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72AFF" w14:textId="466709EE" w:rsidR="00DC51E6" w:rsidRDefault="00231154" w:rsidP="00DC51E6">
      <w:pPr>
        <w:jc w:val="right"/>
        <w:rPr>
          <w:rFonts w:ascii="Arial" w:hAnsi="Arial" w:cs="Arial"/>
          <w:bCs/>
          <w:kern w:val="36"/>
          <w:lang w:val="en-GB"/>
        </w:rPr>
      </w:pPr>
      <w:r>
        <w:rPr>
          <w:rFonts w:ascii="Arial" w:hAnsi="Arial" w:cs="Arial"/>
          <w:bCs/>
          <w:kern w:val="36"/>
          <w:lang w:val="en-GB"/>
        </w:rPr>
        <w:t xml:space="preserve">  </w:t>
      </w:r>
      <w:r w:rsidR="00374463">
        <w:rPr>
          <w:rFonts w:ascii="Arial" w:hAnsi="Arial" w:cs="Arial"/>
          <w:bCs/>
          <w:kern w:val="36"/>
          <w:lang w:val="en-GB"/>
        </w:rPr>
        <w:t xml:space="preserve"> </w:t>
      </w:r>
    </w:p>
    <w:p w14:paraId="75C97B29" w14:textId="01FC7800" w:rsidR="00DC51E6" w:rsidRPr="00401E24" w:rsidRDefault="00DC51E6" w:rsidP="00DC51E6">
      <w:pPr>
        <w:ind w:right="-2"/>
        <w:jc w:val="right"/>
        <w:rPr>
          <w:rFonts w:ascii="Arial" w:hAnsi="Arial" w:cs="Arial"/>
          <w:bCs/>
          <w:kern w:val="36"/>
          <w:lang w:val="en-GB"/>
        </w:rPr>
      </w:pPr>
      <w:r w:rsidRPr="00401E24">
        <w:rPr>
          <w:rFonts w:ascii="Arial" w:hAnsi="Arial" w:cs="Arial"/>
          <w:bCs/>
          <w:kern w:val="36"/>
          <w:lang w:val="en-GB"/>
        </w:rPr>
        <w:t>DH-SYSC-</w:t>
      </w:r>
      <w:r>
        <w:rPr>
          <w:rFonts w:ascii="Arial" w:hAnsi="Arial" w:cs="Arial"/>
          <w:bCs/>
          <w:kern w:val="36"/>
          <w:lang w:val="en-GB"/>
        </w:rPr>
        <w:t>I</w:t>
      </w:r>
      <w:r w:rsidRPr="00401E24">
        <w:rPr>
          <w:rFonts w:ascii="Arial" w:hAnsi="Arial" w:cs="Arial"/>
          <w:bCs/>
          <w:kern w:val="36"/>
          <w:lang w:val="en-GB"/>
        </w:rPr>
        <w:t>V(2021)R</w:t>
      </w:r>
      <w:r>
        <w:rPr>
          <w:rFonts w:ascii="Arial" w:hAnsi="Arial" w:cs="Arial"/>
          <w:bCs/>
          <w:kern w:val="36"/>
          <w:lang w:val="en-GB"/>
        </w:rPr>
        <w:t>4</w:t>
      </w:r>
    </w:p>
    <w:p w14:paraId="4D86CC27" w14:textId="76088C42" w:rsidR="00DC51E6" w:rsidRPr="00805432" w:rsidRDefault="00DC51E6" w:rsidP="00DC51E6">
      <w:pPr>
        <w:jc w:val="right"/>
        <w:rPr>
          <w:rFonts w:ascii="Arial" w:hAnsi="Arial" w:cs="Arial"/>
          <w:bCs/>
          <w:kern w:val="36"/>
          <w:lang w:val="en-US"/>
        </w:rPr>
      </w:pPr>
      <w:r>
        <w:rPr>
          <w:rFonts w:ascii="Arial" w:hAnsi="Arial" w:cs="Arial"/>
          <w:bCs/>
          <w:kern w:val="36"/>
          <w:lang w:val="en-US"/>
        </w:rPr>
        <w:t>24</w:t>
      </w:r>
      <w:r w:rsidRPr="00805432">
        <w:rPr>
          <w:rFonts w:ascii="Arial" w:hAnsi="Arial" w:cs="Arial"/>
          <w:bCs/>
          <w:kern w:val="36"/>
          <w:lang w:val="en-US"/>
        </w:rPr>
        <w:t>/0</w:t>
      </w:r>
      <w:r>
        <w:rPr>
          <w:rFonts w:ascii="Arial" w:hAnsi="Arial" w:cs="Arial"/>
          <w:bCs/>
          <w:kern w:val="36"/>
          <w:lang w:val="en-US"/>
        </w:rPr>
        <w:t>9</w:t>
      </w:r>
      <w:r w:rsidRPr="00805432">
        <w:rPr>
          <w:rFonts w:ascii="Arial" w:hAnsi="Arial" w:cs="Arial"/>
          <w:bCs/>
          <w:kern w:val="36"/>
          <w:lang w:val="en-US"/>
        </w:rPr>
        <w:t>/2021</w:t>
      </w:r>
    </w:p>
    <w:p w14:paraId="4752E28A" w14:textId="77777777" w:rsidR="00DC51E6" w:rsidRPr="00805432" w:rsidRDefault="00DC51E6" w:rsidP="00DC51E6">
      <w:pPr>
        <w:jc w:val="right"/>
        <w:rPr>
          <w:rFonts w:ascii="Arial" w:hAnsi="Arial" w:cs="Arial"/>
          <w:bCs/>
          <w:kern w:val="36"/>
          <w:lang w:val="en-US"/>
        </w:rPr>
      </w:pPr>
    </w:p>
    <w:p w14:paraId="51C990F6" w14:textId="77777777" w:rsidR="00DC51E6" w:rsidRDefault="00DC51E6" w:rsidP="00DC51E6">
      <w:pPr>
        <w:jc w:val="right"/>
        <w:rPr>
          <w:rFonts w:ascii="Arial" w:hAnsi="Arial" w:cs="Arial"/>
          <w:bCs/>
          <w:kern w:val="36"/>
          <w:lang w:val="en-US"/>
        </w:rPr>
      </w:pPr>
    </w:p>
    <w:p w14:paraId="3CCB1C7D" w14:textId="77777777" w:rsidR="00DC51E6" w:rsidRDefault="00DC51E6" w:rsidP="00DC51E6">
      <w:pPr>
        <w:jc w:val="right"/>
        <w:rPr>
          <w:rFonts w:ascii="Arial" w:hAnsi="Arial" w:cs="Arial"/>
          <w:bCs/>
          <w:kern w:val="36"/>
          <w:lang w:val="en-US"/>
        </w:rPr>
      </w:pPr>
    </w:p>
    <w:p w14:paraId="5710A932" w14:textId="77777777" w:rsidR="00DC51E6" w:rsidRPr="00805432" w:rsidRDefault="00DC51E6" w:rsidP="00DC51E6">
      <w:pPr>
        <w:jc w:val="right"/>
        <w:rPr>
          <w:rFonts w:ascii="Arial" w:hAnsi="Arial" w:cs="Arial"/>
          <w:bCs/>
          <w:kern w:val="36"/>
          <w:lang w:val="en-US"/>
        </w:rPr>
      </w:pPr>
    </w:p>
    <w:p w14:paraId="3537CF70" w14:textId="77777777" w:rsidR="00DC51E6" w:rsidRPr="00805432" w:rsidRDefault="00DC51E6" w:rsidP="00DC51E6">
      <w:pPr>
        <w:jc w:val="right"/>
        <w:rPr>
          <w:rFonts w:ascii="Arial" w:hAnsi="Arial" w:cs="Arial"/>
          <w:bCs/>
          <w:kern w:val="36"/>
          <w:lang w:val="en-US"/>
        </w:rPr>
      </w:pPr>
    </w:p>
    <w:p w14:paraId="391DC139" w14:textId="77777777" w:rsidR="00DC51E6" w:rsidRDefault="00DC51E6" w:rsidP="00DC51E6">
      <w:pPr>
        <w:jc w:val="center"/>
        <w:rPr>
          <w:rFonts w:ascii="Arial" w:hAnsi="Arial" w:cs="Arial"/>
          <w:bCs/>
          <w:kern w:val="36"/>
          <w:lang w:val="en-US"/>
        </w:rPr>
      </w:pPr>
      <w:r w:rsidRPr="002F0432">
        <w:rPr>
          <w:rFonts w:ascii="Arial" w:hAnsi="Arial" w:cs="Arial"/>
          <w:bCs/>
          <w:kern w:val="36"/>
          <w:lang w:val="en-US"/>
        </w:rPr>
        <w:t xml:space="preserve">STEERING COMMITTEE FOR HUMAN RIGHTS </w:t>
      </w:r>
    </w:p>
    <w:p w14:paraId="458A70C3" w14:textId="77777777" w:rsidR="00DC51E6" w:rsidRDefault="00DC51E6" w:rsidP="00DC51E6">
      <w:pPr>
        <w:jc w:val="center"/>
        <w:rPr>
          <w:rFonts w:ascii="Arial" w:hAnsi="Arial" w:cs="Arial"/>
          <w:bCs/>
          <w:kern w:val="36"/>
          <w:lang w:val="en-US"/>
        </w:rPr>
      </w:pPr>
      <w:r w:rsidRPr="002F0432">
        <w:rPr>
          <w:rFonts w:ascii="Arial" w:hAnsi="Arial" w:cs="Arial"/>
          <w:bCs/>
          <w:kern w:val="36"/>
          <w:lang w:val="en-US"/>
        </w:rPr>
        <w:t>(CDDH)</w:t>
      </w:r>
    </w:p>
    <w:p w14:paraId="6B14C67F" w14:textId="77777777" w:rsidR="00DC51E6" w:rsidRDefault="00DC51E6" w:rsidP="00DC51E6">
      <w:pPr>
        <w:jc w:val="center"/>
        <w:rPr>
          <w:rFonts w:ascii="Arial" w:hAnsi="Arial" w:cs="Arial"/>
          <w:bCs/>
          <w:kern w:val="36"/>
          <w:lang w:val="en-US"/>
        </w:rPr>
      </w:pPr>
      <w:r w:rsidRPr="00307289">
        <w:rPr>
          <w:rFonts w:ascii="Arial" w:hAnsi="Arial" w:cs="Arial"/>
          <w:bCs/>
          <w:kern w:val="36"/>
          <w:lang w:val="en-US"/>
        </w:rPr>
        <w:t>________</w:t>
      </w:r>
    </w:p>
    <w:p w14:paraId="170FF84A" w14:textId="77777777" w:rsidR="00DC51E6" w:rsidRPr="00307289" w:rsidRDefault="00DC51E6" w:rsidP="00DC51E6">
      <w:pPr>
        <w:jc w:val="center"/>
        <w:rPr>
          <w:rFonts w:ascii="Arial" w:hAnsi="Arial" w:cs="Arial"/>
          <w:bCs/>
          <w:kern w:val="36"/>
          <w:lang w:val="en-US"/>
        </w:rPr>
      </w:pPr>
    </w:p>
    <w:p w14:paraId="5AB4F5FD" w14:textId="77777777" w:rsidR="00DC51E6" w:rsidRDefault="00DC51E6" w:rsidP="00DC51E6">
      <w:pPr>
        <w:jc w:val="center"/>
        <w:rPr>
          <w:rFonts w:ascii="Arial" w:hAnsi="Arial" w:cs="Arial"/>
          <w:bCs/>
          <w:lang w:val="en-US"/>
        </w:rPr>
      </w:pPr>
      <w:r w:rsidRPr="002F0432">
        <w:rPr>
          <w:rFonts w:ascii="Arial" w:hAnsi="Arial" w:cs="Arial"/>
          <w:bCs/>
          <w:lang w:val="en-US"/>
        </w:rPr>
        <w:t>COMMITTEE OF EXPERTS ON THE SYSTEM OF THE EUROPEAN CONVENTION ON HUMAN RIGHTS</w:t>
      </w:r>
      <w:r>
        <w:rPr>
          <w:rFonts w:ascii="Arial" w:hAnsi="Arial" w:cs="Arial"/>
          <w:bCs/>
          <w:lang w:val="en-US"/>
        </w:rPr>
        <w:t xml:space="preserve"> </w:t>
      </w:r>
    </w:p>
    <w:p w14:paraId="6B4DD335" w14:textId="77777777" w:rsidR="00DC51E6" w:rsidRDefault="00DC51E6" w:rsidP="00DC51E6">
      <w:pPr>
        <w:jc w:val="center"/>
        <w:rPr>
          <w:rFonts w:ascii="Arial" w:hAnsi="Arial" w:cs="Arial"/>
          <w:bCs/>
          <w:lang w:val="en-US"/>
        </w:rPr>
      </w:pPr>
      <w:r w:rsidRPr="002F0432">
        <w:rPr>
          <w:rFonts w:ascii="Arial" w:hAnsi="Arial" w:cs="Arial"/>
          <w:bCs/>
          <w:lang w:val="en-US"/>
        </w:rPr>
        <w:t>(DH-SYSC)</w:t>
      </w:r>
      <w:r>
        <w:rPr>
          <w:rFonts w:ascii="Arial" w:hAnsi="Arial" w:cs="Arial"/>
          <w:bCs/>
          <w:lang w:val="en-US"/>
        </w:rPr>
        <w:t xml:space="preserve"> </w:t>
      </w:r>
    </w:p>
    <w:p w14:paraId="23AC9277" w14:textId="77777777" w:rsidR="00DC51E6" w:rsidRPr="00AF4760" w:rsidRDefault="00DC51E6" w:rsidP="00DC51E6">
      <w:pPr>
        <w:jc w:val="center"/>
        <w:rPr>
          <w:rFonts w:ascii="Arial" w:hAnsi="Arial" w:cs="Arial"/>
          <w:bCs/>
          <w:kern w:val="36"/>
          <w:lang w:val="en-US"/>
        </w:rPr>
      </w:pPr>
      <w:r w:rsidRPr="00AF4760">
        <w:rPr>
          <w:rFonts w:ascii="Arial" w:hAnsi="Arial" w:cs="Arial"/>
          <w:bCs/>
          <w:kern w:val="36"/>
          <w:lang w:val="en-US"/>
        </w:rPr>
        <w:t>________</w:t>
      </w:r>
    </w:p>
    <w:p w14:paraId="2E7B9C99" w14:textId="77777777" w:rsidR="00DC51E6" w:rsidRDefault="00DC51E6" w:rsidP="00DC51E6">
      <w:pPr>
        <w:jc w:val="center"/>
        <w:rPr>
          <w:rFonts w:ascii="Arial" w:hAnsi="Arial" w:cs="Arial"/>
          <w:bCs/>
          <w:lang w:val="en-US"/>
        </w:rPr>
      </w:pPr>
    </w:p>
    <w:p w14:paraId="57336A5B" w14:textId="77777777" w:rsidR="00DC51E6" w:rsidRDefault="00DC51E6" w:rsidP="00DC51E6">
      <w:pPr>
        <w:widowControl w:val="0"/>
        <w:jc w:val="center"/>
        <w:rPr>
          <w:rFonts w:ascii="Arial" w:hAnsi="Arial" w:cs="Arial"/>
          <w:b/>
          <w:sz w:val="28"/>
          <w:szCs w:val="28"/>
          <w:lang w:val="en-GB" w:eastAsia="en-GB"/>
        </w:rPr>
      </w:pPr>
      <w:r>
        <w:rPr>
          <w:rFonts w:ascii="Arial" w:hAnsi="Arial" w:cs="Arial"/>
          <w:b/>
          <w:sz w:val="28"/>
          <w:szCs w:val="28"/>
          <w:lang w:val="en-GB" w:eastAsia="en-GB"/>
        </w:rPr>
        <w:t xml:space="preserve">DRAFTING GROUP ON THE EFFECTIVE PROCESSING AND RESOLUTION OF INTER-STATE DISPUTES </w:t>
      </w:r>
    </w:p>
    <w:p w14:paraId="6A83F78D" w14:textId="77777777" w:rsidR="00DC51E6" w:rsidRPr="00534F12" w:rsidRDefault="00DC51E6" w:rsidP="00DC51E6">
      <w:pPr>
        <w:jc w:val="center"/>
        <w:rPr>
          <w:rFonts w:cs="Arial"/>
          <w:sz w:val="28"/>
          <w:lang w:val="en-GB"/>
        </w:rPr>
      </w:pPr>
      <w:r>
        <w:rPr>
          <w:rFonts w:cs="Arial"/>
          <w:sz w:val="28"/>
          <w:lang w:val="en-GB"/>
        </w:rPr>
        <w:t xml:space="preserve"> </w:t>
      </w:r>
    </w:p>
    <w:p w14:paraId="63BCDBE6" w14:textId="77777777" w:rsidR="00DC51E6" w:rsidRDefault="00DC51E6" w:rsidP="00DC51E6">
      <w:pPr>
        <w:jc w:val="center"/>
        <w:rPr>
          <w:rFonts w:ascii="Arial" w:hAnsi="Arial" w:cs="Arial"/>
          <w:b/>
          <w:bCs/>
          <w:sz w:val="28"/>
          <w:lang w:val="en-US"/>
        </w:rPr>
      </w:pPr>
      <w:r w:rsidRPr="00307289">
        <w:rPr>
          <w:rFonts w:ascii="Arial" w:hAnsi="Arial" w:cs="Arial"/>
          <w:b/>
          <w:bCs/>
          <w:sz w:val="28"/>
          <w:lang w:val="en-US"/>
        </w:rPr>
        <w:t>(DH-SYSC-</w:t>
      </w:r>
      <w:r>
        <w:rPr>
          <w:rFonts w:ascii="Arial" w:hAnsi="Arial" w:cs="Arial"/>
          <w:b/>
          <w:bCs/>
          <w:sz w:val="28"/>
          <w:lang w:val="en-US"/>
        </w:rPr>
        <w:t>I</w:t>
      </w:r>
      <w:r w:rsidRPr="00307289">
        <w:rPr>
          <w:rFonts w:ascii="Arial" w:hAnsi="Arial" w:cs="Arial"/>
          <w:b/>
          <w:bCs/>
          <w:sz w:val="28"/>
          <w:lang w:val="en-US"/>
        </w:rPr>
        <w:t xml:space="preserve">V) </w:t>
      </w:r>
    </w:p>
    <w:p w14:paraId="5F4CF42C" w14:textId="77777777" w:rsidR="00DC51E6" w:rsidRPr="00307289" w:rsidRDefault="00DC51E6" w:rsidP="00DC51E6">
      <w:pPr>
        <w:jc w:val="center"/>
        <w:rPr>
          <w:rFonts w:ascii="Arial" w:hAnsi="Arial" w:cs="Arial"/>
          <w:bCs/>
          <w:kern w:val="36"/>
          <w:lang w:val="en-US"/>
        </w:rPr>
      </w:pPr>
      <w:r w:rsidRPr="00307289">
        <w:rPr>
          <w:rFonts w:ascii="Arial" w:hAnsi="Arial" w:cs="Arial"/>
          <w:bCs/>
          <w:kern w:val="36"/>
          <w:lang w:val="en-US"/>
        </w:rPr>
        <w:t>_________</w:t>
      </w:r>
    </w:p>
    <w:p w14:paraId="26403239" w14:textId="77777777" w:rsidR="00DC51E6" w:rsidRPr="00307289" w:rsidRDefault="00DC51E6" w:rsidP="00DC51E6">
      <w:pPr>
        <w:jc w:val="center"/>
        <w:rPr>
          <w:rFonts w:ascii="Arial" w:hAnsi="Arial" w:cs="Arial"/>
          <w:b/>
          <w:bCs/>
          <w:sz w:val="28"/>
          <w:lang w:val="en-US"/>
        </w:rPr>
      </w:pPr>
    </w:p>
    <w:p w14:paraId="07D38050" w14:textId="77777777" w:rsidR="00DC51E6" w:rsidRDefault="00DC51E6" w:rsidP="00DC51E6">
      <w:pPr>
        <w:jc w:val="center"/>
        <w:rPr>
          <w:rFonts w:ascii="Arial" w:hAnsi="Arial" w:cs="Arial"/>
          <w:bCs/>
          <w:kern w:val="36"/>
          <w:sz w:val="28"/>
          <w:szCs w:val="28"/>
          <w:lang w:val="en-US"/>
        </w:rPr>
      </w:pPr>
    </w:p>
    <w:p w14:paraId="57EE3B1A" w14:textId="4C15BE74" w:rsidR="00DC51E6" w:rsidRDefault="00DC51E6" w:rsidP="00DC51E6">
      <w:pPr>
        <w:jc w:val="center"/>
        <w:rPr>
          <w:rFonts w:ascii="Arial" w:hAnsi="Arial" w:cs="Arial"/>
          <w:b/>
          <w:bCs/>
          <w:lang w:val="en-US"/>
        </w:rPr>
      </w:pPr>
      <w:r w:rsidRPr="00406CC8">
        <w:rPr>
          <w:rFonts w:ascii="Arial" w:hAnsi="Arial" w:cs="Arial"/>
          <w:b/>
          <w:bCs/>
          <w:kern w:val="36"/>
          <w:lang w:val="en-US"/>
        </w:rPr>
        <w:t xml:space="preserve">MEETING </w:t>
      </w:r>
      <w:r w:rsidRPr="00406CC8">
        <w:rPr>
          <w:rFonts w:ascii="Arial" w:hAnsi="Arial" w:cs="Arial"/>
          <w:b/>
          <w:bCs/>
          <w:lang w:val="en-US"/>
        </w:rPr>
        <w:t>REPORT</w:t>
      </w:r>
    </w:p>
    <w:p w14:paraId="695E3D91" w14:textId="77777777" w:rsidR="00DC51E6" w:rsidRPr="00406CC8" w:rsidRDefault="00DC51E6" w:rsidP="00DC51E6">
      <w:pPr>
        <w:jc w:val="center"/>
        <w:rPr>
          <w:rFonts w:ascii="Arial" w:hAnsi="Arial" w:cs="Arial"/>
          <w:b/>
          <w:bCs/>
          <w:lang w:val="en-US"/>
        </w:rPr>
      </w:pPr>
    </w:p>
    <w:p w14:paraId="5F6CDDCF" w14:textId="77777777" w:rsidR="00DC51E6" w:rsidRDefault="00DC51E6" w:rsidP="00DC51E6">
      <w:pPr>
        <w:jc w:val="center"/>
        <w:rPr>
          <w:rFonts w:ascii="Arial" w:hAnsi="Arial" w:cs="Arial"/>
          <w:bCs/>
          <w:kern w:val="36"/>
          <w:lang w:val="en-US"/>
        </w:rPr>
      </w:pPr>
    </w:p>
    <w:p w14:paraId="6E862AE2" w14:textId="77777777" w:rsidR="00DC51E6" w:rsidRDefault="00DC51E6" w:rsidP="00DC51E6">
      <w:pPr>
        <w:jc w:val="center"/>
        <w:rPr>
          <w:rFonts w:ascii="Arial" w:hAnsi="Arial" w:cs="Arial"/>
          <w:bCs/>
          <w:kern w:val="36"/>
          <w:lang w:val="en-US"/>
        </w:rPr>
      </w:pPr>
    </w:p>
    <w:p w14:paraId="2C281464" w14:textId="0F069472" w:rsidR="00DC51E6" w:rsidRPr="0080683D" w:rsidRDefault="00DC51E6" w:rsidP="00DC51E6">
      <w:pPr>
        <w:jc w:val="center"/>
        <w:rPr>
          <w:rFonts w:ascii="Arial" w:hAnsi="Arial" w:cs="Arial"/>
          <w:bCs/>
          <w:kern w:val="36"/>
          <w:szCs w:val="28"/>
          <w:lang w:val="en-US"/>
        </w:rPr>
      </w:pPr>
      <w:r>
        <w:rPr>
          <w:rFonts w:ascii="Arial" w:hAnsi="Arial" w:cs="Arial"/>
          <w:bCs/>
          <w:kern w:val="36"/>
          <w:szCs w:val="28"/>
          <w:lang w:val="en-US"/>
        </w:rPr>
        <w:t>4</w:t>
      </w:r>
      <w:r w:rsidRPr="00DC51E6">
        <w:rPr>
          <w:rFonts w:ascii="Arial" w:hAnsi="Arial" w:cs="Arial"/>
          <w:bCs/>
          <w:kern w:val="36"/>
          <w:szCs w:val="28"/>
          <w:vertAlign w:val="superscript"/>
          <w:lang w:val="en-US"/>
        </w:rPr>
        <w:t>th</w:t>
      </w:r>
      <w:r>
        <w:rPr>
          <w:rFonts w:ascii="Arial" w:hAnsi="Arial" w:cs="Arial"/>
          <w:bCs/>
          <w:kern w:val="36"/>
          <w:szCs w:val="28"/>
          <w:lang w:val="en-US"/>
        </w:rPr>
        <w:t xml:space="preserve"> m</w:t>
      </w:r>
      <w:r w:rsidRPr="0080683D">
        <w:rPr>
          <w:rFonts w:ascii="Arial" w:hAnsi="Arial" w:cs="Arial"/>
          <w:bCs/>
          <w:kern w:val="36"/>
          <w:szCs w:val="28"/>
          <w:lang w:val="en-US"/>
        </w:rPr>
        <w:t xml:space="preserve">eeting </w:t>
      </w:r>
    </w:p>
    <w:p w14:paraId="18A31693" w14:textId="77777777" w:rsidR="00DC51E6" w:rsidRPr="0080683D" w:rsidRDefault="00DC51E6" w:rsidP="00DC51E6">
      <w:pPr>
        <w:jc w:val="center"/>
        <w:rPr>
          <w:rFonts w:ascii="Arial" w:hAnsi="Arial" w:cs="Arial"/>
          <w:bCs/>
          <w:kern w:val="36"/>
          <w:szCs w:val="28"/>
          <w:lang w:val="en-US"/>
        </w:rPr>
      </w:pPr>
    </w:p>
    <w:p w14:paraId="43A5BB80" w14:textId="73511C58" w:rsidR="00DC51E6" w:rsidRPr="0080683D" w:rsidRDefault="00DC51E6" w:rsidP="00DC51E6">
      <w:pPr>
        <w:jc w:val="center"/>
        <w:rPr>
          <w:rFonts w:ascii="Arial" w:hAnsi="Arial" w:cs="Arial"/>
          <w:bCs/>
          <w:kern w:val="36"/>
          <w:szCs w:val="28"/>
          <w:lang w:val="en-US"/>
        </w:rPr>
      </w:pPr>
      <w:r>
        <w:rPr>
          <w:rFonts w:ascii="Arial" w:hAnsi="Arial" w:cs="Arial"/>
          <w:bCs/>
          <w:kern w:val="36"/>
          <w:szCs w:val="28"/>
          <w:lang w:val="en-US"/>
        </w:rPr>
        <w:t>22</w:t>
      </w:r>
      <w:r w:rsidRPr="0080683D">
        <w:rPr>
          <w:rFonts w:ascii="Arial" w:hAnsi="Arial" w:cs="Arial"/>
          <w:bCs/>
          <w:kern w:val="36"/>
          <w:szCs w:val="28"/>
          <w:lang w:val="en-US"/>
        </w:rPr>
        <w:t>-</w:t>
      </w:r>
      <w:r>
        <w:rPr>
          <w:rFonts w:ascii="Arial" w:hAnsi="Arial" w:cs="Arial"/>
          <w:bCs/>
          <w:kern w:val="36"/>
          <w:szCs w:val="28"/>
          <w:lang w:val="en-US"/>
        </w:rPr>
        <w:t xml:space="preserve">24 September </w:t>
      </w:r>
      <w:r w:rsidRPr="0080683D">
        <w:rPr>
          <w:rFonts w:ascii="Arial" w:hAnsi="Arial" w:cs="Arial"/>
          <w:bCs/>
          <w:kern w:val="36"/>
          <w:szCs w:val="28"/>
          <w:lang w:val="en-US"/>
        </w:rPr>
        <w:t xml:space="preserve">2021 via </w:t>
      </w:r>
      <w:proofErr w:type="gramStart"/>
      <w:r>
        <w:rPr>
          <w:rFonts w:ascii="Arial" w:hAnsi="Arial" w:cs="Arial"/>
          <w:bCs/>
          <w:kern w:val="36"/>
          <w:szCs w:val="28"/>
          <w:lang w:val="en-US"/>
        </w:rPr>
        <w:t>video-</w:t>
      </w:r>
      <w:r w:rsidRPr="0080683D">
        <w:rPr>
          <w:rFonts w:ascii="Arial" w:hAnsi="Arial" w:cs="Arial"/>
          <w:bCs/>
          <w:kern w:val="36"/>
          <w:szCs w:val="28"/>
          <w:lang w:val="en-US"/>
        </w:rPr>
        <w:t>conference</w:t>
      </w:r>
      <w:proofErr w:type="gramEnd"/>
    </w:p>
    <w:p w14:paraId="4816FCE2" w14:textId="77777777" w:rsidR="00DC51E6" w:rsidRDefault="00DC51E6" w:rsidP="00DC51E6">
      <w:pPr>
        <w:jc w:val="center"/>
        <w:rPr>
          <w:rFonts w:ascii="Arial" w:hAnsi="Arial" w:cs="Arial"/>
          <w:bCs/>
          <w:kern w:val="36"/>
          <w:lang w:val="en-US"/>
        </w:rPr>
      </w:pPr>
    </w:p>
    <w:p w14:paraId="34F04CB5" w14:textId="77777777" w:rsidR="00DC51E6" w:rsidRPr="00A3652B" w:rsidRDefault="00DC51E6" w:rsidP="00DC51E6">
      <w:pPr>
        <w:jc w:val="center"/>
        <w:rPr>
          <w:rFonts w:ascii="Arial" w:hAnsi="Arial" w:cs="Arial"/>
          <w:bCs/>
          <w:kern w:val="36"/>
          <w:lang w:val="en-US"/>
        </w:rPr>
      </w:pPr>
    </w:p>
    <w:p w14:paraId="01BB9718" w14:textId="77777777" w:rsidR="00DC51E6" w:rsidRPr="009C79EE" w:rsidRDefault="00DC51E6" w:rsidP="00DC51E6">
      <w:pPr>
        <w:jc w:val="both"/>
        <w:rPr>
          <w:rFonts w:ascii="Arial" w:hAnsi="Arial" w:cs="Arial"/>
          <w:b/>
          <w:szCs w:val="28"/>
          <w:u w:val="single"/>
          <w:lang w:val="en-US" w:eastAsia="en-GB"/>
        </w:rPr>
      </w:pPr>
    </w:p>
    <w:p w14:paraId="14A0374F" w14:textId="77777777" w:rsidR="00DC51E6" w:rsidRPr="009C79EE" w:rsidRDefault="00DC51E6" w:rsidP="00DC51E6">
      <w:pPr>
        <w:rPr>
          <w:rFonts w:ascii="Arial" w:hAnsi="Arial" w:cs="Arial"/>
          <w:b/>
          <w:szCs w:val="28"/>
          <w:u w:val="single"/>
          <w:lang w:val="en-US" w:eastAsia="en-GB"/>
        </w:rPr>
      </w:pPr>
      <w:r w:rsidRPr="009C79EE">
        <w:rPr>
          <w:rFonts w:ascii="Arial" w:hAnsi="Arial" w:cs="Arial"/>
          <w:b/>
          <w:szCs w:val="28"/>
          <w:u w:val="single"/>
          <w:lang w:val="en-US" w:eastAsia="en-GB"/>
        </w:rPr>
        <w:br w:type="page"/>
      </w:r>
    </w:p>
    <w:p w14:paraId="61767F08" w14:textId="77777777" w:rsidR="00DC51E6" w:rsidRDefault="00DC51E6" w:rsidP="00DC51E6">
      <w:pPr>
        <w:ind w:left="2124" w:hanging="2124"/>
        <w:jc w:val="both"/>
        <w:rPr>
          <w:rFonts w:ascii="Arial" w:hAnsi="Arial" w:cs="Arial"/>
          <w:b/>
          <w:szCs w:val="28"/>
          <w:lang w:val="en-GB" w:eastAsia="en-GB"/>
        </w:rPr>
      </w:pPr>
      <w:r>
        <w:rPr>
          <w:rFonts w:ascii="Arial" w:hAnsi="Arial" w:cs="Arial"/>
          <w:b/>
          <w:szCs w:val="28"/>
          <w:u w:val="single"/>
          <w:lang w:val="en-GB" w:eastAsia="en-GB"/>
        </w:rPr>
        <w:lastRenderedPageBreak/>
        <w:t>ITEMS 1 AND 2:</w:t>
      </w:r>
      <w:r>
        <w:rPr>
          <w:rFonts w:ascii="Arial" w:hAnsi="Arial" w:cs="Arial"/>
          <w:b/>
          <w:szCs w:val="28"/>
          <w:lang w:val="en-GB" w:eastAsia="en-GB"/>
        </w:rPr>
        <w:t xml:space="preserve"> </w:t>
      </w:r>
      <w:r>
        <w:rPr>
          <w:rFonts w:ascii="Arial" w:hAnsi="Arial" w:cs="Arial"/>
          <w:b/>
          <w:szCs w:val="28"/>
          <w:lang w:val="en-GB" w:eastAsia="en-GB"/>
        </w:rPr>
        <w:tab/>
        <w:t xml:space="preserve">OPENING OF THE MEETING, ADOPTION OF THE AGENDA AND THE ORDER OF BUSINESS </w:t>
      </w:r>
    </w:p>
    <w:p w14:paraId="19F442A1" w14:textId="77777777" w:rsidR="00DC51E6" w:rsidRDefault="00DC51E6" w:rsidP="00DC51E6">
      <w:pPr>
        <w:contextualSpacing/>
        <w:jc w:val="both"/>
        <w:rPr>
          <w:rFonts w:ascii="Arial" w:hAnsi="Arial" w:cs="Arial"/>
          <w:sz w:val="22"/>
          <w:lang w:val="en-GB" w:eastAsia="en-US"/>
        </w:rPr>
      </w:pPr>
    </w:p>
    <w:p w14:paraId="4AACE378" w14:textId="53C0D07C" w:rsidR="00DC51E6" w:rsidRDefault="00DC51E6" w:rsidP="00DC51E6">
      <w:pPr>
        <w:numPr>
          <w:ilvl w:val="0"/>
          <w:numId w:val="1"/>
        </w:numPr>
        <w:ind w:left="0" w:firstLine="0"/>
        <w:contextualSpacing/>
        <w:jc w:val="both"/>
        <w:rPr>
          <w:rFonts w:ascii="Arial" w:hAnsi="Arial" w:cs="Arial"/>
          <w:sz w:val="22"/>
          <w:szCs w:val="22"/>
          <w:lang w:val="en-GB" w:eastAsia="en-US"/>
        </w:rPr>
      </w:pPr>
      <w:r w:rsidRPr="00706E54">
        <w:rPr>
          <w:rFonts w:ascii="Arial" w:hAnsi="Arial" w:cs="Arial"/>
          <w:sz w:val="22"/>
          <w:szCs w:val="22"/>
          <w:lang w:val="en-GB" w:eastAsia="en-US"/>
        </w:rPr>
        <w:t xml:space="preserve">The Drafting Group on effective processing and resolution of cases relating to inter-State disputes (DH-SYSC-IV) held its </w:t>
      </w:r>
      <w:r w:rsidR="000B3090">
        <w:rPr>
          <w:rFonts w:ascii="Arial" w:hAnsi="Arial" w:cs="Arial"/>
          <w:sz w:val="22"/>
          <w:szCs w:val="22"/>
          <w:lang w:val="en-GB" w:eastAsia="en-US"/>
        </w:rPr>
        <w:t>4</w:t>
      </w:r>
      <w:r w:rsidR="000B3090" w:rsidRPr="000B3090">
        <w:rPr>
          <w:rFonts w:ascii="Arial" w:hAnsi="Arial" w:cs="Arial"/>
          <w:sz w:val="22"/>
          <w:szCs w:val="22"/>
          <w:vertAlign w:val="superscript"/>
          <w:lang w:val="en-GB" w:eastAsia="en-US"/>
        </w:rPr>
        <w:t>th</w:t>
      </w:r>
      <w:r w:rsidR="000B3090">
        <w:rPr>
          <w:rFonts w:ascii="Arial" w:hAnsi="Arial" w:cs="Arial"/>
          <w:sz w:val="22"/>
          <w:szCs w:val="22"/>
          <w:lang w:val="en-GB" w:eastAsia="en-US"/>
        </w:rPr>
        <w:t xml:space="preserve"> </w:t>
      </w:r>
      <w:r w:rsidRPr="00706E54">
        <w:rPr>
          <w:rFonts w:ascii="Arial" w:hAnsi="Arial" w:cs="Arial"/>
          <w:sz w:val="22"/>
          <w:szCs w:val="22"/>
          <w:lang w:val="en-GB" w:eastAsia="en-US"/>
        </w:rPr>
        <w:t xml:space="preserve">meeting in </w:t>
      </w:r>
      <w:r w:rsidR="000B3090">
        <w:rPr>
          <w:rFonts w:ascii="Arial" w:hAnsi="Arial" w:cs="Arial"/>
          <w:sz w:val="22"/>
          <w:szCs w:val="22"/>
          <w:lang w:val="en-GB" w:eastAsia="en-US"/>
        </w:rPr>
        <w:t>Paris</w:t>
      </w:r>
      <w:r w:rsidRPr="00706E54">
        <w:rPr>
          <w:rFonts w:ascii="Arial" w:hAnsi="Arial" w:cs="Arial"/>
          <w:sz w:val="22"/>
          <w:szCs w:val="22"/>
          <w:lang w:val="en-GB" w:eastAsia="en-US"/>
        </w:rPr>
        <w:t xml:space="preserve"> from </w:t>
      </w:r>
      <w:r w:rsidR="000B3090">
        <w:rPr>
          <w:rFonts w:ascii="Arial" w:hAnsi="Arial" w:cs="Arial"/>
          <w:sz w:val="22"/>
          <w:szCs w:val="22"/>
          <w:lang w:val="en-GB" w:eastAsia="en-US"/>
        </w:rPr>
        <w:t>22</w:t>
      </w:r>
      <w:r w:rsidRPr="00706E54">
        <w:rPr>
          <w:rFonts w:ascii="Arial" w:hAnsi="Arial" w:cs="Arial"/>
          <w:sz w:val="22"/>
          <w:szCs w:val="22"/>
          <w:lang w:val="en-GB" w:eastAsia="en-US"/>
        </w:rPr>
        <w:t xml:space="preserve"> to </w:t>
      </w:r>
      <w:r w:rsidR="000B3090">
        <w:rPr>
          <w:rFonts w:ascii="Arial" w:hAnsi="Arial" w:cs="Arial"/>
          <w:sz w:val="22"/>
          <w:szCs w:val="22"/>
          <w:lang w:val="en-GB" w:eastAsia="en-US"/>
        </w:rPr>
        <w:t xml:space="preserve">24 September </w:t>
      </w:r>
      <w:r w:rsidRPr="00706E54">
        <w:rPr>
          <w:rFonts w:ascii="Arial" w:hAnsi="Arial" w:cs="Arial"/>
          <w:sz w:val="22"/>
          <w:szCs w:val="22"/>
          <w:lang w:val="en-GB" w:eastAsia="en-US"/>
        </w:rPr>
        <w:t xml:space="preserve">2021 by video-conference due to the measures related to the COVID-19 pandemic. The meeting was chaired by Mr Alain CHABLAIS (Switzerland). The list of participants appears in </w:t>
      </w:r>
      <w:r w:rsidRPr="00341F3C">
        <w:rPr>
          <w:rFonts w:ascii="Arial" w:hAnsi="Arial" w:cs="Arial"/>
          <w:sz w:val="22"/>
          <w:szCs w:val="22"/>
          <w:u w:val="single"/>
          <w:lang w:val="en-GB" w:eastAsia="en-US"/>
        </w:rPr>
        <w:t>Appendix I</w:t>
      </w:r>
      <w:r w:rsidRPr="00706E54">
        <w:rPr>
          <w:rFonts w:ascii="Arial" w:hAnsi="Arial" w:cs="Arial"/>
          <w:sz w:val="22"/>
          <w:szCs w:val="22"/>
          <w:lang w:val="en-GB" w:eastAsia="en-US"/>
        </w:rPr>
        <w:t>.</w:t>
      </w:r>
      <w:r>
        <w:rPr>
          <w:rFonts w:ascii="Arial" w:hAnsi="Arial" w:cs="Arial"/>
          <w:sz w:val="22"/>
          <w:szCs w:val="22"/>
          <w:lang w:val="en-GB" w:eastAsia="en-US"/>
        </w:rPr>
        <w:t xml:space="preserve"> </w:t>
      </w:r>
    </w:p>
    <w:p w14:paraId="659F4949" w14:textId="77777777" w:rsidR="00DC51E6" w:rsidRDefault="00DC51E6" w:rsidP="00DC51E6">
      <w:pPr>
        <w:pStyle w:val="Paragraphedeliste"/>
        <w:spacing w:line="240" w:lineRule="auto"/>
        <w:ind w:left="0"/>
        <w:jc w:val="both"/>
        <w:rPr>
          <w:rFonts w:ascii="Arial" w:hAnsi="Arial" w:cs="Arial"/>
          <w:color w:val="000000" w:themeColor="text1"/>
        </w:rPr>
      </w:pPr>
    </w:p>
    <w:p w14:paraId="2ACB556E" w14:textId="77777777" w:rsidR="00DC51E6" w:rsidRPr="009C79EE" w:rsidRDefault="00DC51E6" w:rsidP="00DC51E6">
      <w:pPr>
        <w:pStyle w:val="Paragraphedeliste"/>
        <w:numPr>
          <w:ilvl w:val="0"/>
          <w:numId w:val="1"/>
        </w:numPr>
        <w:spacing w:line="240" w:lineRule="auto"/>
        <w:ind w:left="0" w:firstLine="0"/>
        <w:jc w:val="both"/>
        <w:rPr>
          <w:rFonts w:ascii="Arial" w:hAnsi="Arial" w:cs="Arial"/>
        </w:rPr>
      </w:pPr>
      <w:r w:rsidRPr="00E82B0D">
        <w:rPr>
          <w:rFonts w:ascii="Arial" w:hAnsi="Arial" w:cs="Arial"/>
          <w:color w:val="000000" w:themeColor="text1"/>
        </w:rPr>
        <w:t xml:space="preserve">The Drafting Group adopted the agenda (see </w:t>
      </w:r>
      <w:r w:rsidRPr="004E2D15">
        <w:rPr>
          <w:rFonts w:ascii="Arial" w:hAnsi="Arial" w:cs="Arial"/>
          <w:color w:val="000000" w:themeColor="text1"/>
          <w:u w:val="single"/>
        </w:rPr>
        <w:t>Appendix II</w:t>
      </w:r>
      <w:r w:rsidRPr="00E82B0D">
        <w:rPr>
          <w:rFonts w:ascii="Arial" w:hAnsi="Arial" w:cs="Arial"/>
          <w:color w:val="000000" w:themeColor="text1"/>
        </w:rPr>
        <w:t xml:space="preserve">) and the order of business (see </w:t>
      </w:r>
      <w:r w:rsidRPr="004E2D15">
        <w:rPr>
          <w:rFonts w:ascii="Arial" w:hAnsi="Arial" w:cs="Arial"/>
          <w:color w:val="000000" w:themeColor="text1"/>
          <w:u w:val="single"/>
        </w:rPr>
        <w:t>Appendix III</w:t>
      </w:r>
      <w:r w:rsidRPr="00E82B0D">
        <w:rPr>
          <w:rFonts w:ascii="Arial" w:hAnsi="Arial" w:cs="Arial"/>
          <w:color w:val="000000" w:themeColor="text1"/>
        </w:rPr>
        <w:t>).</w:t>
      </w:r>
    </w:p>
    <w:p w14:paraId="7D80BB02" w14:textId="77777777" w:rsidR="000B3090" w:rsidRPr="000B3090" w:rsidRDefault="000B3090" w:rsidP="000B3090">
      <w:pPr>
        <w:pStyle w:val="Paragraphedeliste"/>
        <w:spacing w:line="240" w:lineRule="auto"/>
        <w:ind w:left="0"/>
        <w:jc w:val="both"/>
        <w:rPr>
          <w:rFonts w:ascii="Arial" w:hAnsi="Arial" w:cs="Arial"/>
          <w:u w:val="single"/>
        </w:rPr>
      </w:pPr>
    </w:p>
    <w:p w14:paraId="017845B6" w14:textId="0DF2444D" w:rsidR="00882D42" w:rsidRPr="005071C2" w:rsidRDefault="00B9041E" w:rsidP="00882D42">
      <w:pPr>
        <w:pStyle w:val="Paragraphedeliste"/>
        <w:numPr>
          <w:ilvl w:val="0"/>
          <w:numId w:val="1"/>
        </w:numPr>
        <w:spacing w:line="240" w:lineRule="auto"/>
        <w:ind w:left="0" w:firstLine="0"/>
        <w:jc w:val="both"/>
        <w:rPr>
          <w:rFonts w:ascii="Arial" w:hAnsi="Arial" w:cs="Arial"/>
        </w:rPr>
      </w:pPr>
      <w:r w:rsidRPr="005071C2">
        <w:rPr>
          <w:rFonts w:ascii="Arial" w:hAnsi="Arial" w:cs="Arial"/>
        </w:rPr>
        <w:t xml:space="preserve">Mr </w:t>
      </w:r>
      <w:r w:rsidR="000B3090" w:rsidRPr="005071C2">
        <w:rPr>
          <w:rFonts w:ascii="Arial" w:hAnsi="Arial" w:cs="Arial"/>
        </w:rPr>
        <w:t>Daniele CANGEMI</w:t>
      </w:r>
      <w:r w:rsidRPr="005071C2">
        <w:rPr>
          <w:rFonts w:ascii="Arial" w:hAnsi="Arial" w:cs="Arial"/>
        </w:rPr>
        <w:t>, Head of Department</w:t>
      </w:r>
      <w:r w:rsidR="005649E9" w:rsidRPr="005071C2">
        <w:rPr>
          <w:rFonts w:ascii="Arial" w:hAnsi="Arial" w:cs="Arial"/>
        </w:rPr>
        <w:t xml:space="preserve"> for Human Rights, Justice and Legal Co-operation Standard-setting activities</w:t>
      </w:r>
      <w:r w:rsidRPr="005071C2">
        <w:rPr>
          <w:rFonts w:ascii="Arial" w:hAnsi="Arial" w:cs="Arial"/>
        </w:rPr>
        <w:t>, welcome</w:t>
      </w:r>
      <w:r w:rsidR="00395C22" w:rsidRPr="005071C2">
        <w:rPr>
          <w:rFonts w:ascii="Arial" w:hAnsi="Arial" w:cs="Arial"/>
        </w:rPr>
        <w:t>d</w:t>
      </w:r>
      <w:r w:rsidRPr="005071C2">
        <w:rPr>
          <w:rFonts w:ascii="Arial" w:hAnsi="Arial" w:cs="Arial"/>
        </w:rPr>
        <w:t xml:space="preserve"> the participants</w:t>
      </w:r>
      <w:r w:rsidR="005649E9" w:rsidRPr="005071C2">
        <w:rPr>
          <w:rFonts w:ascii="Arial" w:hAnsi="Arial" w:cs="Arial"/>
        </w:rPr>
        <w:t>. He underlined that the decision of the Committee of Ministers “</w:t>
      </w:r>
      <w:r w:rsidR="005649E9" w:rsidRPr="005071C2">
        <w:rPr>
          <w:rStyle w:val="lev"/>
          <w:rFonts w:ascii="Arial" w:eastAsiaTheme="majorEastAsia" w:hAnsi="Arial" w:cs="Arial"/>
          <w:b w:val="0"/>
          <w:bCs w:val="0"/>
          <w:shd w:val="clear" w:color="auto" w:fill="FFFFFF"/>
        </w:rPr>
        <w:t xml:space="preserve">Securing the long-term effectiveness of the system of the European Convention on Human Rights” adopted in </w:t>
      </w:r>
      <w:r w:rsidR="005649E9" w:rsidRPr="005071C2">
        <w:rPr>
          <w:rFonts w:ascii="Arial" w:hAnsi="Arial" w:cs="Arial"/>
        </w:rPr>
        <w:t xml:space="preserve">Hamburg on 21 May 2021 welcomed </w:t>
      </w:r>
      <w:r w:rsidR="005649E9" w:rsidRPr="005071C2">
        <w:rPr>
          <w:rFonts w:ascii="Arial" w:hAnsi="Arial" w:cs="Arial"/>
          <w:shd w:val="clear" w:color="auto" w:fill="FFFFFF"/>
        </w:rPr>
        <w:t>the intergovernmental work on the effective processing and resolution of cases relating to inter-State disputes.</w:t>
      </w:r>
      <w:r w:rsidRPr="005071C2">
        <w:rPr>
          <w:rFonts w:ascii="Arial" w:hAnsi="Arial" w:cs="Arial"/>
        </w:rPr>
        <w:t xml:space="preserve"> </w:t>
      </w:r>
      <w:r w:rsidR="00395C22" w:rsidRPr="005071C2">
        <w:rPr>
          <w:rFonts w:ascii="Arial" w:hAnsi="Arial" w:cs="Arial"/>
        </w:rPr>
        <w:t xml:space="preserve">He congratulated the Group </w:t>
      </w:r>
      <w:r w:rsidR="005649E9" w:rsidRPr="005071C2">
        <w:rPr>
          <w:rFonts w:ascii="Arial" w:hAnsi="Arial" w:cs="Arial"/>
        </w:rPr>
        <w:t xml:space="preserve">on </w:t>
      </w:r>
      <w:r w:rsidR="00395C22" w:rsidRPr="005071C2">
        <w:rPr>
          <w:rFonts w:ascii="Arial" w:hAnsi="Arial" w:cs="Arial"/>
        </w:rPr>
        <w:t>the work carried out despite the constraints related to the public health crisis</w:t>
      </w:r>
      <w:r w:rsidR="005649E9" w:rsidRPr="005071C2">
        <w:rPr>
          <w:rFonts w:ascii="Arial" w:hAnsi="Arial" w:cs="Arial"/>
        </w:rPr>
        <w:t xml:space="preserve"> and</w:t>
      </w:r>
      <w:r w:rsidR="00395C22" w:rsidRPr="005071C2">
        <w:rPr>
          <w:rFonts w:ascii="Arial" w:hAnsi="Arial" w:cs="Arial"/>
        </w:rPr>
        <w:t xml:space="preserve"> </w:t>
      </w:r>
      <w:r w:rsidR="005649E9" w:rsidRPr="005071C2">
        <w:rPr>
          <w:rFonts w:ascii="Arial" w:hAnsi="Arial" w:cs="Arial"/>
        </w:rPr>
        <w:t xml:space="preserve">encouraged </w:t>
      </w:r>
      <w:r w:rsidR="00882D42" w:rsidRPr="005071C2">
        <w:rPr>
          <w:rFonts w:ascii="Arial" w:hAnsi="Arial" w:cs="Arial"/>
        </w:rPr>
        <w:t xml:space="preserve">the members to finalise the draft Activity Report for this biennium in </w:t>
      </w:r>
      <w:r w:rsidR="00395C22" w:rsidRPr="005071C2">
        <w:rPr>
          <w:rFonts w:ascii="Arial" w:hAnsi="Arial" w:cs="Arial"/>
        </w:rPr>
        <w:t>the same spirit of compromise</w:t>
      </w:r>
      <w:r w:rsidR="005649E9" w:rsidRPr="005071C2">
        <w:rPr>
          <w:rFonts w:ascii="Arial" w:hAnsi="Arial" w:cs="Arial"/>
        </w:rPr>
        <w:t xml:space="preserve"> shown in previous meetings</w:t>
      </w:r>
      <w:r w:rsidR="00395C22" w:rsidRPr="005071C2">
        <w:rPr>
          <w:rFonts w:ascii="Arial" w:hAnsi="Arial" w:cs="Arial"/>
        </w:rPr>
        <w:t xml:space="preserve">.  </w:t>
      </w:r>
    </w:p>
    <w:p w14:paraId="43B1F3C6" w14:textId="116708CF" w:rsidR="00DC51E6" w:rsidRPr="00B9041E" w:rsidRDefault="00DC51E6" w:rsidP="00B9041E">
      <w:pPr>
        <w:tabs>
          <w:tab w:val="left" w:pos="567"/>
          <w:tab w:val="right" w:pos="8931"/>
        </w:tabs>
        <w:spacing w:before="60" w:after="60"/>
        <w:ind w:left="1418" w:hanging="1418"/>
        <w:jc w:val="both"/>
        <w:rPr>
          <w:rFonts w:ascii="Arial" w:hAnsi="Arial" w:cs="Arial"/>
          <w:lang w:val="en-GB"/>
        </w:rPr>
      </w:pPr>
      <w:r w:rsidRPr="00341F3C">
        <w:rPr>
          <w:rFonts w:ascii="Arial" w:hAnsi="Arial" w:cs="Arial"/>
          <w:b/>
          <w:szCs w:val="28"/>
          <w:u w:val="single"/>
          <w:lang w:val="en-GB" w:eastAsia="en-GB"/>
        </w:rPr>
        <w:t>ITEM 3</w:t>
      </w:r>
      <w:r w:rsidRPr="00341F3C">
        <w:rPr>
          <w:rFonts w:ascii="Arial" w:hAnsi="Arial" w:cs="Arial"/>
          <w:b/>
          <w:szCs w:val="28"/>
          <w:lang w:val="en-GB" w:eastAsia="en-GB"/>
        </w:rPr>
        <w:t>:</w:t>
      </w:r>
      <w:r w:rsidRPr="00341F3C">
        <w:rPr>
          <w:rFonts w:ascii="Arial" w:hAnsi="Arial" w:cs="Arial"/>
          <w:b/>
          <w:szCs w:val="28"/>
          <w:lang w:val="en-GB" w:eastAsia="en-GB"/>
        </w:rPr>
        <w:tab/>
      </w:r>
      <w:r>
        <w:rPr>
          <w:rFonts w:ascii="Arial" w:hAnsi="Arial" w:cs="Arial"/>
          <w:b/>
          <w:szCs w:val="28"/>
          <w:lang w:val="en-GB" w:eastAsia="en-GB"/>
        </w:rPr>
        <w:t xml:space="preserve">DRAFT </w:t>
      </w:r>
      <w:r w:rsidR="00B9041E">
        <w:rPr>
          <w:rFonts w:ascii="Arial" w:hAnsi="Arial" w:cs="Arial"/>
          <w:b/>
          <w:szCs w:val="28"/>
          <w:lang w:val="en-GB" w:eastAsia="en-GB"/>
        </w:rPr>
        <w:t>ACTIVITY</w:t>
      </w:r>
      <w:r>
        <w:rPr>
          <w:rFonts w:ascii="Arial" w:hAnsi="Arial" w:cs="Arial"/>
          <w:b/>
          <w:szCs w:val="28"/>
          <w:lang w:val="en-GB" w:eastAsia="en-GB"/>
        </w:rPr>
        <w:t xml:space="preserve"> REPORT </w:t>
      </w:r>
      <w:r w:rsidR="00B9041E">
        <w:rPr>
          <w:rFonts w:ascii="Arial" w:hAnsi="Arial" w:cs="Arial"/>
          <w:b/>
          <w:szCs w:val="28"/>
          <w:lang w:val="en-GB" w:eastAsia="en-GB"/>
        </w:rPr>
        <w:t>2020-2021</w:t>
      </w:r>
    </w:p>
    <w:p w14:paraId="1CE1CF52" w14:textId="77777777" w:rsidR="00DC51E6" w:rsidRPr="00341F3C" w:rsidRDefault="00DC51E6" w:rsidP="00DC51E6">
      <w:pPr>
        <w:tabs>
          <w:tab w:val="left" w:pos="0"/>
        </w:tabs>
        <w:autoSpaceDE w:val="0"/>
        <w:autoSpaceDN w:val="0"/>
        <w:adjustRightInd w:val="0"/>
        <w:ind w:left="1418" w:hanging="1418"/>
        <w:jc w:val="both"/>
        <w:rPr>
          <w:rFonts w:ascii="Arial" w:hAnsi="Arial" w:cs="Arial"/>
          <w:lang w:val="en-GB"/>
        </w:rPr>
      </w:pPr>
      <w:r>
        <w:rPr>
          <w:rFonts w:ascii="Arial" w:hAnsi="Arial" w:cs="Arial"/>
          <w:b/>
          <w:szCs w:val="28"/>
          <w:lang w:val="en-GB" w:eastAsia="en-GB"/>
        </w:rPr>
        <w:t xml:space="preserve"> </w:t>
      </w:r>
    </w:p>
    <w:p w14:paraId="3D47D5F2" w14:textId="08438DF0" w:rsidR="00DC51E6" w:rsidRDefault="00DC51E6" w:rsidP="005649E9">
      <w:pPr>
        <w:pStyle w:val="Paragraphedeliste"/>
        <w:numPr>
          <w:ilvl w:val="0"/>
          <w:numId w:val="1"/>
        </w:numPr>
        <w:spacing w:line="240" w:lineRule="auto"/>
        <w:ind w:left="0" w:firstLine="0"/>
        <w:jc w:val="both"/>
        <w:rPr>
          <w:rFonts w:ascii="Arial" w:hAnsi="Arial" w:cs="Arial"/>
        </w:rPr>
      </w:pPr>
      <w:r>
        <w:rPr>
          <w:rFonts w:ascii="Arial" w:hAnsi="Arial" w:cs="Arial"/>
        </w:rPr>
        <w:t xml:space="preserve">The Drafting Group examined </w:t>
      </w:r>
      <w:r w:rsidR="00B9041E">
        <w:rPr>
          <w:rFonts w:ascii="Arial" w:hAnsi="Arial" w:cs="Arial"/>
        </w:rPr>
        <w:t xml:space="preserve">the draft </w:t>
      </w:r>
      <w:r w:rsidR="00882D42">
        <w:rPr>
          <w:rFonts w:ascii="Arial" w:hAnsi="Arial" w:cs="Arial"/>
        </w:rPr>
        <w:t>A</w:t>
      </w:r>
      <w:r w:rsidR="00B9041E">
        <w:rPr>
          <w:rFonts w:ascii="Arial" w:hAnsi="Arial" w:cs="Arial"/>
        </w:rPr>
        <w:t xml:space="preserve">ctivity </w:t>
      </w:r>
      <w:r w:rsidR="00882D42">
        <w:rPr>
          <w:rFonts w:ascii="Arial" w:hAnsi="Arial" w:cs="Arial"/>
        </w:rPr>
        <w:t>R</w:t>
      </w:r>
      <w:r w:rsidR="00B9041E">
        <w:rPr>
          <w:rFonts w:ascii="Arial" w:hAnsi="Arial" w:cs="Arial"/>
        </w:rPr>
        <w:t>eport</w:t>
      </w:r>
      <w:r w:rsidR="00695BFE">
        <w:rPr>
          <w:rFonts w:ascii="Arial" w:hAnsi="Arial" w:cs="Arial"/>
        </w:rPr>
        <w:t xml:space="preserve"> </w:t>
      </w:r>
      <w:r w:rsidR="005649E9">
        <w:rPr>
          <w:rFonts w:ascii="Arial" w:hAnsi="Arial" w:cs="Arial"/>
        </w:rPr>
        <w:t>2020-2021</w:t>
      </w:r>
      <w:r w:rsidR="00F6124B">
        <w:rPr>
          <w:rFonts w:ascii="Arial" w:hAnsi="Arial" w:cs="Arial"/>
        </w:rPr>
        <w:t>(document</w:t>
      </w:r>
      <w:r w:rsidR="00467C92">
        <w:rPr>
          <w:rFonts w:ascii="Arial" w:hAnsi="Arial" w:cs="Arial"/>
        </w:rPr>
        <w:t xml:space="preserve"> </w:t>
      </w:r>
      <w:r w:rsidR="00F6124B">
        <w:rPr>
          <w:rFonts w:ascii="Arial" w:hAnsi="Arial" w:cs="Arial"/>
        </w:rPr>
        <w:t xml:space="preserve">DH-SYSC-IV-2021)02) </w:t>
      </w:r>
      <w:r w:rsidR="00695BFE">
        <w:rPr>
          <w:rFonts w:ascii="Arial" w:hAnsi="Arial" w:cs="Arial"/>
        </w:rPr>
        <w:t xml:space="preserve">prepared by the </w:t>
      </w:r>
      <w:r w:rsidR="00467C92">
        <w:rPr>
          <w:rFonts w:ascii="Arial" w:hAnsi="Arial" w:cs="Arial"/>
        </w:rPr>
        <w:t>C</w:t>
      </w:r>
      <w:r w:rsidR="00695BFE">
        <w:rPr>
          <w:rFonts w:ascii="Arial" w:hAnsi="Arial" w:cs="Arial"/>
        </w:rPr>
        <w:t xml:space="preserve">o-Rapporteurs under the guidance of the Chair and </w:t>
      </w:r>
      <w:r w:rsidR="00467C92">
        <w:rPr>
          <w:rFonts w:ascii="Arial" w:hAnsi="Arial" w:cs="Arial"/>
        </w:rPr>
        <w:t>the V</w:t>
      </w:r>
      <w:r w:rsidR="00695BFE">
        <w:rPr>
          <w:rFonts w:ascii="Arial" w:hAnsi="Arial" w:cs="Arial"/>
        </w:rPr>
        <w:t>ice-Chair</w:t>
      </w:r>
      <w:r w:rsidR="00467C92">
        <w:rPr>
          <w:rFonts w:ascii="Arial" w:hAnsi="Arial" w:cs="Arial"/>
        </w:rPr>
        <w:t xml:space="preserve"> and with the support of the Secretariat</w:t>
      </w:r>
      <w:r w:rsidR="00695BFE">
        <w:rPr>
          <w:rFonts w:ascii="Arial" w:hAnsi="Arial" w:cs="Arial"/>
        </w:rPr>
        <w:t xml:space="preserve">. </w:t>
      </w:r>
      <w:r w:rsidR="005649E9">
        <w:rPr>
          <w:rFonts w:ascii="Arial" w:hAnsi="Arial" w:cs="Arial"/>
        </w:rPr>
        <w:t xml:space="preserve">It </w:t>
      </w:r>
      <w:r w:rsidR="002A7DB2">
        <w:rPr>
          <w:rFonts w:ascii="Arial" w:hAnsi="Arial" w:cs="Arial"/>
        </w:rPr>
        <w:t>examined</w:t>
      </w:r>
      <w:r w:rsidR="005649E9">
        <w:rPr>
          <w:rFonts w:ascii="Arial" w:hAnsi="Arial" w:cs="Arial"/>
        </w:rPr>
        <w:t xml:space="preserve"> the</w:t>
      </w:r>
      <w:r w:rsidR="00B9041E">
        <w:rPr>
          <w:rFonts w:ascii="Arial" w:hAnsi="Arial" w:cs="Arial"/>
        </w:rPr>
        <w:t xml:space="preserve"> </w:t>
      </w:r>
      <w:r w:rsidR="00882D42">
        <w:rPr>
          <w:rFonts w:ascii="Arial" w:hAnsi="Arial" w:cs="Arial"/>
        </w:rPr>
        <w:t xml:space="preserve">amendments and </w:t>
      </w:r>
      <w:r w:rsidR="005649E9">
        <w:rPr>
          <w:rFonts w:ascii="Arial" w:hAnsi="Arial" w:cs="Arial"/>
        </w:rPr>
        <w:t xml:space="preserve">the </w:t>
      </w:r>
      <w:r w:rsidR="00B9041E">
        <w:rPr>
          <w:rFonts w:ascii="Arial" w:hAnsi="Arial" w:cs="Arial"/>
        </w:rPr>
        <w:t xml:space="preserve">comments submitted </w:t>
      </w:r>
      <w:r w:rsidR="00695BFE">
        <w:rPr>
          <w:rFonts w:ascii="Arial" w:hAnsi="Arial" w:cs="Arial"/>
        </w:rPr>
        <w:t xml:space="preserve">by delegations </w:t>
      </w:r>
      <w:r w:rsidR="00B9041E">
        <w:rPr>
          <w:rFonts w:ascii="Arial" w:hAnsi="Arial" w:cs="Arial"/>
        </w:rPr>
        <w:t xml:space="preserve">before </w:t>
      </w:r>
      <w:r w:rsidR="00467C92">
        <w:rPr>
          <w:rFonts w:ascii="Arial" w:hAnsi="Arial" w:cs="Arial"/>
        </w:rPr>
        <w:t xml:space="preserve">the meeting </w:t>
      </w:r>
      <w:bookmarkStart w:id="0" w:name="_Hlk83304387"/>
      <w:r w:rsidR="005649E9">
        <w:rPr>
          <w:rFonts w:ascii="Arial" w:hAnsi="Arial" w:cs="Arial"/>
        </w:rPr>
        <w:t xml:space="preserve">(document DH-SYSC-IV(2021)03) </w:t>
      </w:r>
      <w:bookmarkEnd w:id="0"/>
      <w:r w:rsidR="005649E9">
        <w:rPr>
          <w:rFonts w:ascii="Arial" w:hAnsi="Arial" w:cs="Arial"/>
        </w:rPr>
        <w:t xml:space="preserve">as well as </w:t>
      </w:r>
      <w:r w:rsidR="00467C92">
        <w:rPr>
          <w:rFonts w:ascii="Arial" w:hAnsi="Arial" w:cs="Arial"/>
        </w:rPr>
        <w:t xml:space="preserve">amendments and comments </w:t>
      </w:r>
      <w:r w:rsidR="005649E9">
        <w:rPr>
          <w:rFonts w:ascii="Arial" w:hAnsi="Arial" w:cs="Arial"/>
        </w:rPr>
        <w:t>submitted during the meeting</w:t>
      </w:r>
      <w:r w:rsidR="00B9041E">
        <w:rPr>
          <w:rFonts w:ascii="Arial" w:hAnsi="Arial" w:cs="Arial"/>
        </w:rPr>
        <w:t xml:space="preserve">. </w:t>
      </w:r>
      <w:r w:rsidR="00695BFE">
        <w:rPr>
          <w:rFonts w:ascii="Arial" w:hAnsi="Arial" w:cs="Arial"/>
        </w:rPr>
        <w:t xml:space="preserve">The Drafting Group </w:t>
      </w:r>
      <w:r w:rsidR="00467C92">
        <w:rPr>
          <w:rFonts w:ascii="Arial" w:hAnsi="Arial" w:cs="Arial"/>
        </w:rPr>
        <w:t>approved</w:t>
      </w:r>
      <w:r w:rsidR="005649E9">
        <w:rPr>
          <w:rFonts w:ascii="Arial" w:hAnsi="Arial" w:cs="Arial"/>
        </w:rPr>
        <w:t xml:space="preserve"> the text of </w:t>
      </w:r>
      <w:r w:rsidR="00BF04E5">
        <w:rPr>
          <w:rFonts w:ascii="Arial" w:hAnsi="Arial" w:cs="Arial"/>
        </w:rPr>
        <w:t>its</w:t>
      </w:r>
      <w:r w:rsidR="005649E9">
        <w:rPr>
          <w:rFonts w:ascii="Arial" w:hAnsi="Arial" w:cs="Arial"/>
        </w:rPr>
        <w:t xml:space="preserve"> Activity Report 2020-2021 as it appears in Appendix IV </w:t>
      </w:r>
      <w:r w:rsidR="00695BFE">
        <w:rPr>
          <w:rFonts w:ascii="Arial" w:hAnsi="Arial" w:cs="Arial"/>
        </w:rPr>
        <w:t xml:space="preserve">and decided to transmit it to the DH-SYSC for </w:t>
      </w:r>
      <w:r w:rsidR="005649E9">
        <w:rPr>
          <w:rFonts w:ascii="Arial" w:hAnsi="Arial" w:cs="Arial"/>
        </w:rPr>
        <w:t xml:space="preserve">possible approval </w:t>
      </w:r>
      <w:r w:rsidR="00695BFE">
        <w:rPr>
          <w:rFonts w:ascii="Arial" w:hAnsi="Arial" w:cs="Arial"/>
        </w:rPr>
        <w:t>at its 7</w:t>
      </w:r>
      <w:r w:rsidR="00695BFE" w:rsidRPr="00695BFE">
        <w:rPr>
          <w:rFonts w:ascii="Arial" w:hAnsi="Arial" w:cs="Arial"/>
          <w:vertAlign w:val="superscript"/>
        </w:rPr>
        <w:t>th</w:t>
      </w:r>
      <w:r w:rsidR="00695BFE">
        <w:rPr>
          <w:rFonts w:ascii="Arial" w:hAnsi="Arial" w:cs="Arial"/>
        </w:rPr>
        <w:t xml:space="preserve"> meeting (26-28 October</w:t>
      </w:r>
      <w:r w:rsidR="00BF04E5">
        <w:rPr>
          <w:rFonts w:ascii="Arial" w:hAnsi="Arial" w:cs="Arial"/>
        </w:rPr>
        <w:t xml:space="preserve"> 2021</w:t>
      </w:r>
      <w:r w:rsidR="00695BFE">
        <w:rPr>
          <w:rFonts w:ascii="Arial" w:hAnsi="Arial" w:cs="Arial"/>
        </w:rPr>
        <w:t xml:space="preserve">) and further </w:t>
      </w:r>
      <w:r w:rsidR="005649E9">
        <w:rPr>
          <w:rFonts w:ascii="Arial" w:hAnsi="Arial" w:cs="Arial"/>
        </w:rPr>
        <w:t xml:space="preserve">transmission to </w:t>
      </w:r>
      <w:r w:rsidR="00695BFE">
        <w:rPr>
          <w:rFonts w:ascii="Arial" w:hAnsi="Arial" w:cs="Arial"/>
        </w:rPr>
        <w:t xml:space="preserve">the CDDH </w:t>
      </w:r>
      <w:r w:rsidR="005649E9">
        <w:rPr>
          <w:rFonts w:ascii="Arial" w:hAnsi="Arial" w:cs="Arial"/>
        </w:rPr>
        <w:t xml:space="preserve">for its possible adoption at its 95th meeting (23-26 </w:t>
      </w:r>
      <w:r w:rsidR="00695BFE">
        <w:rPr>
          <w:rFonts w:ascii="Arial" w:hAnsi="Arial" w:cs="Arial"/>
        </w:rPr>
        <w:t>November 2021</w:t>
      </w:r>
      <w:r w:rsidR="005649E9">
        <w:rPr>
          <w:rFonts w:ascii="Arial" w:hAnsi="Arial" w:cs="Arial"/>
        </w:rPr>
        <w:t>)</w:t>
      </w:r>
      <w:r w:rsidR="00695BFE">
        <w:rPr>
          <w:rFonts w:ascii="Arial" w:hAnsi="Arial" w:cs="Arial"/>
        </w:rPr>
        <w:t xml:space="preserve">. </w:t>
      </w:r>
    </w:p>
    <w:p w14:paraId="22A8E7F0" w14:textId="77777777" w:rsidR="00162A94" w:rsidRDefault="00162A94" w:rsidP="00162A94">
      <w:pPr>
        <w:pStyle w:val="Paragraphedeliste"/>
        <w:spacing w:line="240" w:lineRule="auto"/>
        <w:ind w:left="0"/>
        <w:jc w:val="both"/>
        <w:rPr>
          <w:rFonts w:ascii="Arial" w:hAnsi="Arial" w:cs="Arial"/>
        </w:rPr>
      </w:pPr>
    </w:p>
    <w:p w14:paraId="5E460C5E" w14:textId="1D1D4DEF" w:rsidR="00162A94" w:rsidRPr="00E84A3F" w:rsidRDefault="00162A94" w:rsidP="005649E9">
      <w:pPr>
        <w:pStyle w:val="Paragraphedeliste"/>
        <w:numPr>
          <w:ilvl w:val="0"/>
          <w:numId w:val="1"/>
        </w:numPr>
        <w:spacing w:line="240" w:lineRule="auto"/>
        <w:ind w:left="0" w:firstLine="0"/>
        <w:jc w:val="both"/>
        <w:rPr>
          <w:rFonts w:ascii="Arial" w:hAnsi="Arial" w:cs="Arial"/>
        </w:rPr>
      </w:pPr>
      <w:r w:rsidRPr="00E84A3F">
        <w:rPr>
          <w:rFonts w:ascii="Arial" w:hAnsi="Arial" w:cs="Arial"/>
        </w:rPr>
        <w:t>The delegation of the Russian Federation reserved its position with regard to this item, and proceeds from the understanding that the contents of the Activity Report 2020-2021 are without prejudice to the ongoing deliberations on the effective processing and resolution of cases relating to inter-state disputes.</w:t>
      </w:r>
    </w:p>
    <w:p w14:paraId="15C36807" w14:textId="77777777" w:rsidR="008732C8" w:rsidRPr="00E84A3F" w:rsidRDefault="008732C8" w:rsidP="00F01217">
      <w:pPr>
        <w:pStyle w:val="Paragraphedeliste"/>
        <w:spacing w:line="240" w:lineRule="auto"/>
        <w:ind w:left="0"/>
        <w:jc w:val="both"/>
        <w:rPr>
          <w:rFonts w:ascii="Arial" w:hAnsi="Arial" w:cs="Arial"/>
        </w:rPr>
      </w:pPr>
    </w:p>
    <w:p w14:paraId="1B555397" w14:textId="27A245AF" w:rsidR="008732C8" w:rsidRPr="00E84A3F" w:rsidRDefault="008732C8" w:rsidP="005649E9">
      <w:pPr>
        <w:pStyle w:val="Paragraphedeliste"/>
        <w:numPr>
          <w:ilvl w:val="0"/>
          <w:numId w:val="1"/>
        </w:numPr>
        <w:spacing w:line="240" w:lineRule="auto"/>
        <w:ind w:left="0" w:firstLine="0"/>
        <w:jc w:val="both"/>
        <w:rPr>
          <w:rFonts w:ascii="Arial" w:hAnsi="Arial" w:cs="Arial"/>
        </w:rPr>
      </w:pPr>
      <w:r w:rsidRPr="00E84A3F">
        <w:rPr>
          <w:rFonts w:ascii="Arial" w:hAnsi="Arial" w:cs="Arial"/>
        </w:rPr>
        <w:t xml:space="preserve">In respect of the statistical report provided by the Registry of the Court on applications linked to inter-State disputes, which is appended to the Activity Report 2020-2021, the Drafting Group agreed to invite the Registry to update the statistical </w:t>
      </w:r>
      <w:r w:rsidR="00973103" w:rsidRPr="00E84A3F">
        <w:rPr>
          <w:rFonts w:ascii="Arial" w:hAnsi="Arial" w:cs="Arial"/>
        </w:rPr>
        <w:t>report</w:t>
      </w:r>
      <w:r w:rsidR="000C68FA" w:rsidRPr="00E84A3F">
        <w:rPr>
          <w:rFonts w:ascii="Arial" w:hAnsi="Arial" w:cs="Arial"/>
        </w:rPr>
        <w:t xml:space="preserve">, </w:t>
      </w:r>
      <w:r w:rsidRPr="00E84A3F">
        <w:rPr>
          <w:rFonts w:ascii="Arial" w:hAnsi="Arial" w:cs="Arial"/>
        </w:rPr>
        <w:t xml:space="preserve">if possible before </w:t>
      </w:r>
      <w:r w:rsidR="002710F7" w:rsidRPr="00E84A3F">
        <w:rPr>
          <w:rFonts w:ascii="Arial" w:hAnsi="Arial" w:cs="Arial"/>
        </w:rPr>
        <w:t xml:space="preserve">the </w:t>
      </w:r>
      <w:r w:rsidRPr="00E84A3F">
        <w:rPr>
          <w:rFonts w:ascii="Arial" w:hAnsi="Arial" w:cs="Arial"/>
        </w:rPr>
        <w:t>7</w:t>
      </w:r>
      <w:r w:rsidRPr="00E84A3F">
        <w:rPr>
          <w:rFonts w:ascii="Arial" w:hAnsi="Arial" w:cs="Arial"/>
          <w:vertAlign w:val="superscript"/>
        </w:rPr>
        <w:t>th</w:t>
      </w:r>
      <w:r w:rsidRPr="00E84A3F">
        <w:rPr>
          <w:rFonts w:ascii="Arial" w:hAnsi="Arial" w:cs="Arial"/>
        </w:rPr>
        <w:t xml:space="preserve"> meeting</w:t>
      </w:r>
      <w:r w:rsidR="002710F7" w:rsidRPr="00E84A3F">
        <w:rPr>
          <w:rFonts w:ascii="Arial" w:hAnsi="Arial" w:cs="Arial"/>
        </w:rPr>
        <w:t xml:space="preserve"> of DH-SYSC</w:t>
      </w:r>
      <w:r w:rsidRPr="00E84A3F">
        <w:rPr>
          <w:rFonts w:ascii="Arial" w:hAnsi="Arial" w:cs="Arial"/>
        </w:rPr>
        <w:t>. The DH-SYSC-IV invited the delegations wishing to submit comments regarding the statistical report</w:t>
      </w:r>
      <w:r w:rsidR="000C68FA" w:rsidRPr="00E84A3F">
        <w:rPr>
          <w:rFonts w:ascii="Arial" w:hAnsi="Arial" w:cs="Arial"/>
        </w:rPr>
        <w:t>, including in respect of the official denominations used,</w:t>
      </w:r>
      <w:r w:rsidRPr="00E84A3F">
        <w:rPr>
          <w:rFonts w:ascii="Arial" w:hAnsi="Arial" w:cs="Arial"/>
        </w:rPr>
        <w:t xml:space="preserve"> to transmit them to the Secretariat</w:t>
      </w:r>
      <w:r w:rsidR="00973103" w:rsidRPr="00E84A3F">
        <w:rPr>
          <w:rFonts w:ascii="Arial" w:hAnsi="Arial" w:cs="Arial"/>
        </w:rPr>
        <w:t xml:space="preserve"> by 15</w:t>
      </w:r>
      <w:r w:rsidR="00973103" w:rsidRPr="00E84A3F">
        <w:rPr>
          <w:rFonts w:ascii="Arial" w:hAnsi="Arial" w:cs="Arial"/>
          <w:vertAlign w:val="superscript"/>
        </w:rPr>
        <w:t xml:space="preserve"> </w:t>
      </w:r>
      <w:r w:rsidR="00973103" w:rsidRPr="00E84A3F">
        <w:rPr>
          <w:rFonts w:ascii="Arial" w:hAnsi="Arial" w:cs="Arial"/>
        </w:rPr>
        <w:t>October 2021. The Secretariat</w:t>
      </w:r>
      <w:r w:rsidRPr="00E84A3F">
        <w:rPr>
          <w:rFonts w:ascii="Arial" w:hAnsi="Arial" w:cs="Arial"/>
        </w:rPr>
        <w:t xml:space="preserve"> will collect the comments received and transmit them to the Registry. </w:t>
      </w:r>
    </w:p>
    <w:p w14:paraId="71E7F82E" w14:textId="28B11C3A" w:rsidR="00DC51E6" w:rsidRPr="00E84A3F" w:rsidRDefault="00DC51E6" w:rsidP="00B9041E">
      <w:pPr>
        <w:pStyle w:val="Paragraphedeliste"/>
        <w:spacing w:line="240" w:lineRule="auto"/>
        <w:ind w:left="0" w:firstLine="720"/>
        <w:jc w:val="both"/>
        <w:rPr>
          <w:rFonts w:ascii="Arial" w:hAnsi="Arial" w:cs="Arial"/>
        </w:rPr>
      </w:pPr>
      <w:r w:rsidRPr="00E84A3F">
        <w:rPr>
          <w:rFonts w:ascii="Arial" w:hAnsi="Arial" w:cs="Arial"/>
        </w:rPr>
        <w:t xml:space="preserve"> </w:t>
      </w:r>
    </w:p>
    <w:p w14:paraId="6B28F6D7" w14:textId="22A82A1A" w:rsidR="00DC51E6" w:rsidRPr="00997D3C" w:rsidRDefault="00DC51E6" w:rsidP="00DC51E6">
      <w:pPr>
        <w:contextualSpacing/>
        <w:jc w:val="both"/>
        <w:rPr>
          <w:rFonts w:ascii="Arial" w:hAnsi="Arial" w:cs="Arial"/>
          <w:b/>
          <w:bCs/>
          <w:sz w:val="22"/>
          <w:szCs w:val="22"/>
          <w:lang w:val="en-GB"/>
        </w:rPr>
      </w:pPr>
      <w:r>
        <w:rPr>
          <w:rFonts w:ascii="Arial" w:hAnsi="Arial" w:cs="Arial"/>
          <w:b/>
          <w:szCs w:val="28"/>
          <w:u w:val="single"/>
          <w:lang w:val="en-GB" w:eastAsia="en-GB"/>
        </w:rPr>
        <w:t xml:space="preserve">ITEM </w:t>
      </w:r>
      <w:r w:rsidR="00B9041E">
        <w:rPr>
          <w:rFonts w:ascii="Arial" w:hAnsi="Arial" w:cs="Arial"/>
          <w:b/>
          <w:szCs w:val="28"/>
          <w:u w:val="single"/>
          <w:lang w:val="en-GB" w:eastAsia="en-GB"/>
        </w:rPr>
        <w:t>4</w:t>
      </w:r>
      <w:r>
        <w:rPr>
          <w:rFonts w:ascii="Arial" w:hAnsi="Arial" w:cs="Arial"/>
          <w:b/>
          <w:szCs w:val="28"/>
          <w:lang w:val="en-GB" w:eastAsia="en-GB"/>
        </w:rPr>
        <w:t xml:space="preserve">: </w:t>
      </w:r>
      <w:r>
        <w:rPr>
          <w:rFonts w:ascii="Arial" w:hAnsi="Arial" w:cs="Arial"/>
          <w:sz w:val="22"/>
          <w:szCs w:val="22"/>
          <w:lang w:val="en-GB"/>
        </w:rPr>
        <w:tab/>
      </w:r>
      <w:r w:rsidRPr="00997D3C">
        <w:rPr>
          <w:rFonts w:ascii="Arial" w:hAnsi="Arial" w:cs="Arial"/>
          <w:b/>
          <w:bCs/>
          <w:lang w:val="en-GB"/>
        </w:rPr>
        <w:t>GENDER EQUALITY</w:t>
      </w:r>
    </w:p>
    <w:p w14:paraId="1D92994F" w14:textId="77777777" w:rsidR="00DC51E6" w:rsidRDefault="00DC51E6" w:rsidP="00DC51E6">
      <w:pPr>
        <w:contextualSpacing/>
        <w:jc w:val="both"/>
        <w:rPr>
          <w:rFonts w:ascii="Arial" w:hAnsi="Arial" w:cs="Arial"/>
          <w:sz w:val="22"/>
          <w:szCs w:val="22"/>
          <w:lang w:val="en-GB"/>
        </w:rPr>
      </w:pPr>
    </w:p>
    <w:p w14:paraId="1C102147" w14:textId="6BE23C47" w:rsidR="00DC51E6" w:rsidRDefault="00E84A3F" w:rsidP="00467C92">
      <w:pPr>
        <w:pStyle w:val="Default"/>
        <w:jc w:val="both"/>
        <w:rPr>
          <w:sz w:val="22"/>
          <w:szCs w:val="22"/>
          <w:lang w:val="en-GB"/>
        </w:rPr>
      </w:pPr>
      <w:r>
        <w:rPr>
          <w:sz w:val="22"/>
          <w:szCs w:val="22"/>
          <w:lang w:val="en-GB"/>
        </w:rPr>
        <w:t>7</w:t>
      </w:r>
      <w:r w:rsidR="00DC51E6">
        <w:rPr>
          <w:sz w:val="22"/>
          <w:szCs w:val="22"/>
          <w:lang w:val="en-GB"/>
        </w:rPr>
        <w:t xml:space="preserve">. </w:t>
      </w:r>
      <w:r w:rsidR="00DC51E6">
        <w:rPr>
          <w:sz w:val="22"/>
          <w:szCs w:val="22"/>
          <w:lang w:val="en-GB"/>
        </w:rPr>
        <w:tab/>
      </w:r>
      <w:bookmarkStart w:id="1" w:name="_Hlk68086231"/>
      <w:r w:rsidR="006F3049">
        <w:rPr>
          <w:sz w:val="22"/>
          <w:szCs w:val="22"/>
          <w:lang w:val="en-GB"/>
        </w:rPr>
        <w:t>Based on the</w:t>
      </w:r>
      <w:r w:rsidR="00E164D9">
        <w:rPr>
          <w:sz w:val="22"/>
          <w:szCs w:val="22"/>
          <w:lang w:val="en-GB"/>
        </w:rPr>
        <w:t xml:space="preserve"> CDDH’S</w:t>
      </w:r>
      <w:r w:rsidR="006F3049">
        <w:rPr>
          <w:sz w:val="22"/>
          <w:szCs w:val="22"/>
          <w:lang w:val="en-GB"/>
        </w:rPr>
        <w:t xml:space="preserve"> decision at its 93</w:t>
      </w:r>
      <w:r w:rsidR="006F3049" w:rsidRPr="00E164D9">
        <w:rPr>
          <w:sz w:val="22"/>
          <w:szCs w:val="22"/>
          <w:vertAlign w:val="superscript"/>
          <w:lang w:val="en-GB"/>
        </w:rPr>
        <w:t>rd</w:t>
      </w:r>
      <w:r w:rsidR="006F3049">
        <w:rPr>
          <w:sz w:val="22"/>
          <w:szCs w:val="22"/>
          <w:lang w:val="en-GB"/>
        </w:rPr>
        <w:t xml:space="preserve"> </w:t>
      </w:r>
      <w:r w:rsidR="006F3049" w:rsidRPr="00E164D9">
        <w:rPr>
          <w:sz w:val="22"/>
          <w:szCs w:val="22"/>
          <w:lang w:val="en-GB"/>
        </w:rPr>
        <w:t xml:space="preserve">meeting (14-16 December 2020) </w:t>
      </w:r>
      <w:r w:rsidR="00E164D9">
        <w:rPr>
          <w:sz w:val="22"/>
          <w:szCs w:val="22"/>
          <w:lang w:val="en-GB"/>
        </w:rPr>
        <w:t>inviting its subordinate bodies to consider the gender equality dimension of its work according to the relevant thematic form (</w:t>
      </w:r>
      <w:r w:rsidR="00E164D9" w:rsidRPr="00E164D9">
        <w:rPr>
          <w:sz w:val="22"/>
          <w:szCs w:val="22"/>
          <w:lang w:val="en-GB"/>
        </w:rPr>
        <w:t>CDDH(2020)13)</w:t>
      </w:r>
      <w:r w:rsidR="00E164D9">
        <w:rPr>
          <w:sz w:val="22"/>
          <w:szCs w:val="22"/>
          <w:lang w:val="en-GB"/>
        </w:rPr>
        <w:t>, t</w:t>
      </w:r>
      <w:r w:rsidR="00DC51E6">
        <w:rPr>
          <w:sz w:val="22"/>
          <w:szCs w:val="22"/>
          <w:lang w:val="en-GB"/>
        </w:rPr>
        <w:t xml:space="preserve">he DH-SYSC-IV </w:t>
      </w:r>
      <w:r w:rsidR="006F3049">
        <w:rPr>
          <w:sz w:val="22"/>
          <w:szCs w:val="22"/>
          <w:lang w:val="en-GB"/>
        </w:rPr>
        <w:t xml:space="preserve">has considered </w:t>
      </w:r>
      <w:r w:rsidR="00E164D9">
        <w:rPr>
          <w:sz w:val="22"/>
          <w:szCs w:val="22"/>
          <w:lang w:val="en-GB"/>
        </w:rPr>
        <w:t xml:space="preserve">this question </w:t>
      </w:r>
      <w:r w:rsidR="006F3049">
        <w:rPr>
          <w:sz w:val="22"/>
          <w:szCs w:val="22"/>
          <w:lang w:val="en-GB"/>
        </w:rPr>
        <w:t>at its 3</w:t>
      </w:r>
      <w:r w:rsidR="00E164D9" w:rsidRPr="00E164D9">
        <w:rPr>
          <w:sz w:val="22"/>
          <w:szCs w:val="22"/>
          <w:vertAlign w:val="superscript"/>
          <w:lang w:val="en-GB"/>
        </w:rPr>
        <w:t>rd</w:t>
      </w:r>
      <w:r w:rsidR="00E164D9">
        <w:rPr>
          <w:sz w:val="22"/>
          <w:szCs w:val="22"/>
          <w:lang w:val="en-GB"/>
        </w:rPr>
        <w:t xml:space="preserve"> meeting (14-16 April 2021</w:t>
      </w:r>
      <w:r w:rsidR="0031279F">
        <w:rPr>
          <w:sz w:val="22"/>
          <w:szCs w:val="22"/>
          <w:lang w:val="en-GB"/>
        </w:rPr>
        <w:t>)</w:t>
      </w:r>
      <w:r w:rsidR="00E164D9">
        <w:rPr>
          <w:sz w:val="22"/>
          <w:szCs w:val="22"/>
          <w:lang w:val="en-GB"/>
        </w:rPr>
        <w:t xml:space="preserve"> </w:t>
      </w:r>
      <w:r w:rsidR="006F3049">
        <w:rPr>
          <w:sz w:val="22"/>
          <w:szCs w:val="22"/>
          <w:lang w:val="en-GB"/>
        </w:rPr>
        <w:t xml:space="preserve">and </w:t>
      </w:r>
      <w:r w:rsidR="00467C92">
        <w:rPr>
          <w:sz w:val="22"/>
          <w:szCs w:val="22"/>
          <w:lang w:val="en-GB"/>
        </w:rPr>
        <w:t xml:space="preserve">at </w:t>
      </w:r>
      <w:r w:rsidR="00E164D9">
        <w:rPr>
          <w:sz w:val="22"/>
          <w:szCs w:val="22"/>
          <w:lang w:val="en-GB"/>
        </w:rPr>
        <w:t>the present meeting</w:t>
      </w:r>
      <w:r w:rsidR="00DC51E6">
        <w:rPr>
          <w:sz w:val="22"/>
          <w:szCs w:val="22"/>
          <w:lang w:val="en-GB"/>
        </w:rPr>
        <w:t xml:space="preserve">. </w:t>
      </w:r>
      <w:r w:rsidR="00E164D9">
        <w:rPr>
          <w:sz w:val="22"/>
          <w:szCs w:val="22"/>
          <w:lang w:val="en-GB"/>
        </w:rPr>
        <w:t xml:space="preserve">It </w:t>
      </w:r>
      <w:r w:rsidR="00467C92">
        <w:rPr>
          <w:sz w:val="22"/>
          <w:szCs w:val="22"/>
          <w:lang w:val="en-GB"/>
        </w:rPr>
        <w:t xml:space="preserve">considers </w:t>
      </w:r>
      <w:r w:rsidR="00E164D9">
        <w:rPr>
          <w:sz w:val="22"/>
          <w:szCs w:val="22"/>
          <w:lang w:val="en-GB"/>
        </w:rPr>
        <w:t xml:space="preserve">that its activities, </w:t>
      </w:r>
      <w:r w:rsidR="00E164D9">
        <w:rPr>
          <w:sz w:val="22"/>
          <w:szCs w:val="22"/>
          <w:lang w:val="en-GB"/>
        </w:rPr>
        <w:lastRenderedPageBreak/>
        <w:t xml:space="preserve">including the planned hearing with external experts, allow for the equal participation of women and men. No other aspect of its analysis and work raises gender equality issues. </w:t>
      </w:r>
    </w:p>
    <w:bookmarkEnd w:id="1"/>
    <w:p w14:paraId="78C7D524" w14:textId="77777777" w:rsidR="00DC51E6" w:rsidRDefault="00DC51E6" w:rsidP="00DC51E6">
      <w:pPr>
        <w:pStyle w:val="Sansinterligne"/>
        <w:jc w:val="both"/>
        <w:rPr>
          <w:rFonts w:ascii="Arial" w:hAnsi="Arial" w:cs="Arial"/>
          <w:sz w:val="22"/>
          <w:szCs w:val="22"/>
          <w:lang w:val="en-GB"/>
        </w:rPr>
      </w:pPr>
    </w:p>
    <w:p w14:paraId="2548C529" w14:textId="1D087C6C" w:rsidR="00DC51E6" w:rsidRDefault="00DC51E6" w:rsidP="00DC51E6">
      <w:pPr>
        <w:tabs>
          <w:tab w:val="left" w:pos="0"/>
        </w:tabs>
        <w:autoSpaceDE w:val="0"/>
        <w:autoSpaceDN w:val="0"/>
        <w:adjustRightInd w:val="0"/>
        <w:ind w:left="1418" w:hanging="1418"/>
        <w:jc w:val="both"/>
        <w:rPr>
          <w:rFonts w:ascii="Arial" w:hAnsi="Arial" w:cs="Arial"/>
          <w:b/>
          <w:szCs w:val="28"/>
          <w:lang w:val="en-GB" w:eastAsia="en-GB"/>
        </w:rPr>
      </w:pPr>
      <w:r>
        <w:rPr>
          <w:rFonts w:ascii="Arial" w:hAnsi="Arial" w:cs="Arial"/>
          <w:b/>
          <w:szCs w:val="28"/>
          <w:u w:val="single"/>
          <w:lang w:val="en-GB" w:eastAsia="en-GB"/>
        </w:rPr>
        <w:t xml:space="preserve">ITEM </w:t>
      </w:r>
      <w:r w:rsidR="00B9041E">
        <w:rPr>
          <w:rFonts w:ascii="Arial" w:hAnsi="Arial" w:cs="Arial"/>
          <w:b/>
          <w:szCs w:val="28"/>
          <w:u w:val="single"/>
          <w:lang w:val="en-GB" w:eastAsia="en-GB"/>
        </w:rPr>
        <w:t>5</w:t>
      </w:r>
      <w:r>
        <w:rPr>
          <w:rFonts w:ascii="Arial" w:hAnsi="Arial" w:cs="Arial"/>
          <w:b/>
          <w:szCs w:val="28"/>
          <w:lang w:val="en-GB" w:eastAsia="en-GB"/>
        </w:rPr>
        <w:t>:</w:t>
      </w:r>
      <w:r>
        <w:rPr>
          <w:rFonts w:ascii="Arial" w:hAnsi="Arial" w:cs="Arial"/>
          <w:b/>
          <w:szCs w:val="28"/>
          <w:lang w:val="en-GB" w:eastAsia="en-GB"/>
        </w:rPr>
        <w:tab/>
        <w:t>ORGANISATION OF FUTURE WORK</w:t>
      </w:r>
    </w:p>
    <w:p w14:paraId="73C06BC4" w14:textId="77777777" w:rsidR="00DC51E6" w:rsidRPr="00565B1D" w:rsidRDefault="00DC51E6" w:rsidP="00DC51E6">
      <w:pPr>
        <w:pStyle w:val="Paragraphedeliste"/>
        <w:tabs>
          <w:tab w:val="left" w:pos="567"/>
          <w:tab w:val="right" w:pos="9600"/>
        </w:tabs>
        <w:spacing w:before="60" w:after="60" w:line="240" w:lineRule="auto"/>
        <w:ind w:left="0"/>
        <w:jc w:val="both"/>
        <w:rPr>
          <w:rFonts w:ascii="Arial" w:hAnsi="Arial" w:cs="Arial"/>
          <w:b/>
        </w:rPr>
      </w:pPr>
    </w:p>
    <w:p w14:paraId="28E26C25" w14:textId="73B1BDC3" w:rsidR="00F6124B" w:rsidRDefault="00E84A3F" w:rsidP="00F16AC1">
      <w:pPr>
        <w:pStyle w:val="Paragraphedeliste"/>
        <w:tabs>
          <w:tab w:val="left" w:pos="567"/>
          <w:tab w:val="right" w:pos="9600"/>
        </w:tabs>
        <w:spacing w:before="60" w:after="60" w:line="240" w:lineRule="auto"/>
        <w:ind w:left="0"/>
        <w:jc w:val="both"/>
        <w:rPr>
          <w:rFonts w:ascii="Arial" w:hAnsi="Arial" w:cs="Arial"/>
          <w:bCs/>
        </w:rPr>
      </w:pPr>
      <w:r>
        <w:rPr>
          <w:rFonts w:ascii="Arial" w:hAnsi="Arial" w:cs="Arial"/>
          <w:shd w:val="clear" w:color="auto" w:fill="FFFFFF"/>
        </w:rPr>
        <w:t>8</w:t>
      </w:r>
      <w:r w:rsidR="00DC51E6">
        <w:rPr>
          <w:rFonts w:ascii="Arial" w:hAnsi="Arial" w:cs="Arial"/>
          <w:shd w:val="clear" w:color="auto" w:fill="FFFFFF"/>
        </w:rPr>
        <w:t xml:space="preserve">. </w:t>
      </w:r>
      <w:r w:rsidR="00395C22">
        <w:rPr>
          <w:rFonts w:ascii="Arial" w:hAnsi="Arial" w:cs="Arial"/>
          <w:shd w:val="clear" w:color="auto" w:fill="FFFFFF"/>
        </w:rPr>
        <w:tab/>
      </w:r>
      <w:r w:rsidR="00DC51E6">
        <w:rPr>
          <w:rFonts w:ascii="Arial" w:hAnsi="Arial" w:cs="Arial"/>
          <w:shd w:val="clear" w:color="auto" w:fill="FFFFFF"/>
        </w:rPr>
        <w:t>The</w:t>
      </w:r>
      <w:r w:rsidR="00DC51E6" w:rsidRPr="002E7655">
        <w:rPr>
          <w:rFonts w:ascii="Arial" w:hAnsi="Arial" w:cs="Arial"/>
          <w:shd w:val="clear" w:color="auto" w:fill="FFFFFF"/>
        </w:rPr>
        <w:t xml:space="preserve"> Drafting Group </w:t>
      </w:r>
      <w:r w:rsidR="00467C92">
        <w:rPr>
          <w:rFonts w:ascii="Arial" w:hAnsi="Arial" w:cs="Arial"/>
          <w:shd w:val="clear" w:color="auto" w:fill="FFFFFF"/>
        </w:rPr>
        <w:t>took note of the fact that</w:t>
      </w:r>
      <w:r w:rsidR="008E32C6">
        <w:rPr>
          <w:rFonts w:ascii="Arial" w:hAnsi="Arial" w:cs="Arial"/>
          <w:shd w:val="clear" w:color="auto" w:fill="FFFFFF"/>
        </w:rPr>
        <w:t xml:space="preserve"> the</w:t>
      </w:r>
      <w:r w:rsidR="00F16AC1">
        <w:rPr>
          <w:rFonts w:ascii="Arial" w:hAnsi="Arial" w:cs="Arial"/>
          <w:shd w:val="clear" w:color="auto" w:fill="FFFFFF"/>
        </w:rPr>
        <w:t xml:space="preserve"> </w:t>
      </w:r>
      <w:r w:rsidR="00F16AC1" w:rsidRPr="00F16AC1">
        <w:rPr>
          <w:rFonts w:ascii="Arial" w:hAnsi="Arial" w:cs="Arial"/>
          <w:bCs/>
        </w:rPr>
        <w:t xml:space="preserve">draft terms of reference for the next quadrennium are being considered by the Committee of Ministers </w:t>
      </w:r>
      <w:r w:rsidR="008E32C6">
        <w:rPr>
          <w:rFonts w:ascii="Arial" w:hAnsi="Arial" w:cs="Arial"/>
          <w:bCs/>
        </w:rPr>
        <w:t>according to which</w:t>
      </w:r>
      <w:r w:rsidR="00F16AC1">
        <w:rPr>
          <w:rFonts w:ascii="Arial" w:hAnsi="Arial" w:cs="Arial"/>
          <w:bCs/>
        </w:rPr>
        <w:t xml:space="preserve"> i</w:t>
      </w:r>
      <w:r w:rsidR="00F16AC1" w:rsidRPr="00F16AC1">
        <w:rPr>
          <w:rFonts w:ascii="Arial" w:hAnsi="Arial" w:cs="Arial"/>
          <w:bCs/>
        </w:rPr>
        <w:t>t is envisaged that the work on the effective processing and resolution of cases relating to inter-State disputes, including possible proposals for the Committee of Ministers continues until 31 December 2022.</w:t>
      </w:r>
      <w:r w:rsidR="008E32C6">
        <w:rPr>
          <w:rFonts w:ascii="Arial" w:hAnsi="Arial" w:cs="Arial"/>
          <w:bCs/>
        </w:rPr>
        <w:t xml:space="preserve"> The Chair explained that, subject to the relevant decisions of the Committee of Ministers and in turn of the CDDH, the work on these issues would be expected to continue as per standard practice of the CDDH including the </w:t>
      </w:r>
      <w:r w:rsidR="002A7DB2">
        <w:rPr>
          <w:rFonts w:ascii="Arial" w:hAnsi="Arial" w:cs="Arial"/>
          <w:bCs/>
        </w:rPr>
        <w:t xml:space="preserve">possible </w:t>
      </w:r>
      <w:r w:rsidR="008E32C6">
        <w:rPr>
          <w:rFonts w:ascii="Arial" w:hAnsi="Arial" w:cs="Arial"/>
          <w:bCs/>
        </w:rPr>
        <w:t>creation of a drafting group.</w:t>
      </w:r>
    </w:p>
    <w:p w14:paraId="3890191F" w14:textId="4226BAE4" w:rsidR="00DC51E6" w:rsidRDefault="00395C22" w:rsidP="00DC51E6">
      <w:pPr>
        <w:pStyle w:val="Sansinterligne"/>
        <w:jc w:val="both"/>
        <w:rPr>
          <w:rFonts w:ascii="Arial" w:hAnsi="Arial" w:cs="Arial"/>
          <w:b/>
          <w:szCs w:val="28"/>
          <w:lang w:val="en-GB" w:eastAsia="en-GB"/>
        </w:rPr>
      </w:pPr>
      <w:r w:rsidRPr="00467C92">
        <w:rPr>
          <w:rFonts w:ascii="Arial" w:hAnsi="Arial" w:cs="Arial"/>
          <w:bCs/>
          <w:sz w:val="22"/>
          <w:szCs w:val="22"/>
          <w:lang w:val="en-GB" w:eastAsia="en-US"/>
        </w:rPr>
        <w:tab/>
      </w:r>
      <w:r w:rsidR="00F16AC1" w:rsidRPr="00467C92">
        <w:rPr>
          <w:rFonts w:ascii="Arial" w:hAnsi="Arial" w:cs="Arial"/>
          <w:sz w:val="22"/>
          <w:szCs w:val="22"/>
          <w:lang w:val="en-GB" w:eastAsia="en-US"/>
        </w:rPr>
        <w:t xml:space="preserve"> </w:t>
      </w:r>
    </w:p>
    <w:p w14:paraId="0B209B99" w14:textId="52EE7C33" w:rsidR="00DC51E6" w:rsidRDefault="00DC51E6" w:rsidP="00DC51E6">
      <w:pPr>
        <w:pStyle w:val="Sansinterligne"/>
        <w:jc w:val="both"/>
        <w:rPr>
          <w:rFonts w:ascii="Arial" w:hAnsi="Arial" w:cs="Arial"/>
          <w:b/>
          <w:szCs w:val="28"/>
          <w:lang w:val="en-GB" w:eastAsia="en-GB"/>
        </w:rPr>
      </w:pPr>
      <w:r>
        <w:rPr>
          <w:rFonts w:ascii="Arial" w:hAnsi="Arial" w:cs="Arial"/>
          <w:b/>
          <w:szCs w:val="28"/>
          <w:u w:val="single"/>
          <w:lang w:val="en-GB" w:eastAsia="en-GB"/>
        </w:rPr>
        <w:t xml:space="preserve">ITEM </w:t>
      </w:r>
      <w:r w:rsidR="00B9041E">
        <w:rPr>
          <w:rFonts w:ascii="Arial" w:hAnsi="Arial" w:cs="Arial"/>
          <w:b/>
          <w:szCs w:val="28"/>
          <w:u w:val="single"/>
          <w:lang w:val="en-GB" w:eastAsia="en-GB"/>
        </w:rPr>
        <w:t>6</w:t>
      </w:r>
      <w:r>
        <w:rPr>
          <w:rFonts w:ascii="Arial" w:hAnsi="Arial" w:cs="Arial"/>
          <w:b/>
          <w:szCs w:val="28"/>
          <w:lang w:val="en-GB" w:eastAsia="en-GB"/>
        </w:rPr>
        <w:t>:</w:t>
      </w:r>
      <w:r>
        <w:rPr>
          <w:rFonts w:ascii="Arial" w:hAnsi="Arial" w:cs="Arial"/>
          <w:b/>
          <w:szCs w:val="28"/>
          <w:lang w:val="en-GB" w:eastAsia="en-GB"/>
        </w:rPr>
        <w:tab/>
        <w:t xml:space="preserve">ANY OTHER BUSINESS </w:t>
      </w:r>
    </w:p>
    <w:p w14:paraId="7CFDEE2E" w14:textId="77777777" w:rsidR="00DC51E6" w:rsidRDefault="00DC51E6" w:rsidP="00DC51E6">
      <w:pPr>
        <w:pStyle w:val="Sansinterligne"/>
        <w:jc w:val="both"/>
        <w:rPr>
          <w:rFonts w:ascii="Arial" w:hAnsi="Arial" w:cs="Arial"/>
          <w:b/>
          <w:szCs w:val="28"/>
          <w:lang w:val="en-GB" w:eastAsia="en-GB"/>
        </w:rPr>
      </w:pPr>
    </w:p>
    <w:p w14:paraId="34A7645B" w14:textId="501CAFE1" w:rsidR="00DC51E6" w:rsidRDefault="00E84A3F" w:rsidP="00DC51E6">
      <w:pPr>
        <w:pStyle w:val="Sansinterligne"/>
        <w:jc w:val="both"/>
        <w:rPr>
          <w:rFonts w:ascii="Arial" w:hAnsi="Arial" w:cs="Arial"/>
          <w:bCs/>
          <w:sz w:val="22"/>
          <w:szCs w:val="22"/>
          <w:lang w:val="en-GB" w:eastAsia="en-GB"/>
        </w:rPr>
      </w:pPr>
      <w:r>
        <w:rPr>
          <w:rFonts w:ascii="Arial" w:hAnsi="Arial" w:cs="Arial"/>
          <w:bCs/>
          <w:sz w:val="22"/>
          <w:szCs w:val="22"/>
          <w:lang w:val="en-GB" w:eastAsia="en-GB"/>
        </w:rPr>
        <w:t>9</w:t>
      </w:r>
      <w:r w:rsidR="00374463">
        <w:rPr>
          <w:rFonts w:ascii="Arial" w:hAnsi="Arial" w:cs="Arial"/>
          <w:bCs/>
          <w:sz w:val="22"/>
          <w:szCs w:val="22"/>
          <w:lang w:val="en-GB" w:eastAsia="en-GB"/>
        </w:rPr>
        <w:t>.</w:t>
      </w:r>
      <w:r w:rsidR="00DC51E6">
        <w:rPr>
          <w:rFonts w:ascii="Arial" w:hAnsi="Arial" w:cs="Arial"/>
          <w:bCs/>
          <w:sz w:val="22"/>
          <w:szCs w:val="22"/>
          <w:lang w:val="en-GB" w:eastAsia="en-GB"/>
        </w:rPr>
        <w:t xml:space="preserve"> </w:t>
      </w:r>
      <w:r w:rsidR="00DC51E6">
        <w:rPr>
          <w:rFonts w:ascii="Arial" w:hAnsi="Arial" w:cs="Arial"/>
          <w:bCs/>
          <w:sz w:val="22"/>
          <w:szCs w:val="22"/>
          <w:lang w:val="en-GB" w:eastAsia="en-GB"/>
        </w:rPr>
        <w:tab/>
        <w:t>No other business was discussed.</w:t>
      </w:r>
    </w:p>
    <w:p w14:paraId="14C1C476" w14:textId="77777777" w:rsidR="00DC51E6" w:rsidRPr="00D870C8" w:rsidRDefault="00DC51E6" w:rsidP="00DC51E6">
      <w:pPr>
        <w:pStyle w:val="Sansinterligne"/>
        <w:jc w:val="both"/>
        <w:rPr>
          <w:rFonts w:ascii="Arial" w:hAnsi="Arial" w:cs="Arial"/>
          <w:bCs/>
          <w:sz w:val="22"/>
          <w:szCs w:val="22"/>
          <w:lang w:val="en-GB" w:eastAsia="en-GB"/>
        </w:rPr>
      </w:pPr>
    </w:p>
    <w:p w14:paraId="689AAEB1" w14:textId="77777777" w:rsidR="00DC51E6" w:rsidRPr="00D846E1" w:rsidRDefault="00DC51E6" w:rsidP="00DC51E6">
      <w:pPr>
        <w:pStyle w:val="Sansinterligne"/>
        <w:jc w:val="both"/>
        <w:rPr>
          <w:rFonts w:ascii="Arial" w:hAnsi="Arial" w:cs="Arial"/>
          <w:sz w:val="22"/>
          <w:szCs w:val="22"/>
          <w:lang w:val="en-GB"/>
        </w:rPr>
      </w:pPr>
    </w:p>
    <w:p w14:paraId="112CB59D" w14:textId="3139B0BB" w:rsidR="00DC51E6" w:rsidRDefault="00DC51E6" w:rsidP="00DC51E6">
      <w:pPr>
        <w:tabs>
          <w:tab w:val="left" w:pos="0"/>
        </w:tabs>
        <w:autoSpaceDE w:val="0"/>
        <w:autoSpaceDN w:val="0"/>
        <w:adjustRightInd w:val="0"/>
        <w:ind w:left="1418" w:hanging="1418"/>
        <w:jc w:val="both"/>
        <w:rPr>
          <w:rFonts w:ascii="Arial" w:hAnsi="Arial" w:cs="Arial"/>
          <w:b/>
          <w:szCs w:val="28"/>
          <w:lang w:val="en-GB" w:eastAsia="en-GB"/>
        </w:rPr>
      </w:pPr>
      <w:r>
        <w:rPr>
          <w:rFonts w:ascii="Arial" w:hAnsi="Arial" w:cs="Arial"/>
          <w:b/>
          <w:szCs w:val="28"/>
          <w:u w:val="single"/>
          <w:lang w:val="en-GB" w:eastAsia="en-GB"/>
        </w:rPr>
        <w:t xml:space="preserve">ITEM </w:t>
      </w:r>
      <w:r w:rsidR="00B9041E">
        <w:rPr>
          <w:rFonts w:ascii="Arial" w:hAnsi="Arial" w:cs="Arial"/>
          <w:b/>
          <w:szCs w:val="28"/>
          <w:u w:val="single"/>
          <w:lang w:val="en-GB" w:eastAsia="en-GB"/>
        </w:rPr>
        <w:t>7</w:t>
      </w:r>
      <w:r>
        <w:rPr>
          <w:rFonts w:ascii="Arial" w:hAnsi="Arial" w:cs="Arial"/>
          <w:b/>
          <w:szCs w:val="28"/>
          <w:lang w:val="en-GB" w:eastAsia="en-GB"/>
        </w:rPr>
        <w:t xml:space="preserve">: </w:t>
      </w:r>
      <w:r>
        <w:rPr>
          <w:rFonts w:ascii="Arial" w:hAnsi="Arial" w:cs="Arial"/>
          <w:b/>
          <w:szCs w:val="28"/>
          <w:lang w:val="en-GB" w:eastAsia="en-GB"/>
        </w:rPr>
        <w:tab/>
        <w:t>ADOPTION OF THE MEETING REPORT</w:t>
      </w:r>
    </w:p>
    <w:p w14:paraId="7B3FFE6E" w14:textId="77777777" w:rsidR="00DC51E6" w:rsidRDefault="00DC51E6" w:rsidP="00DC51E6">
      <w:pPr>
        <w:tabs>
          <w:tab w:val="left" w:pos="0"/>
        </w:tabs>
        <w:autoSpaceDE w:val="0"/>
        <w:autoSpaceDN w:val="0"/>
        <w:adjustRightInd w:val="0"/>
        <w:ind w:left="1418" w:hanging="1418"/>
        <w:jc w:val="both"/>
        <w:rPr>
          <w:rFonts w:ascii="Arial" w:hAnsi="Arial" w:cs="Arial"/>
          <w:sz w:val="22"/>
          <w:lang w:val="en-GB" w:eastAsia="en-US"/>
        </w:rPr>
      </w:pPr>
    </w:p>
    <w:p w14:paraId="6110BD37" w14:textId="51E79145" w:rsidR="00DC51E6" w:rsidRDefault="00E84A3F" w:rsidP="00DC51E6">
      <w:pPr>
        <w:pStyle w:val="Paragraphedeliste"/>
        <w:spacing w:after="0" w:line="240" w:lineRule="auto"/>
        <w:ind w:left="0"/>
        <w:jc w:val="both"/>
        <w:rPr>
          <w:rFonts w:ascii="Arial" w:hAnsi="Arial" w:cs="Arial"/>
        </w:rPr>
      </w:pPr>
      <w:r>
        <w:rPr>
          <w:rFonts w:ascii="Arial" w:eastAsiaTheme="minorHAnsi" w:hAnsi="Arial" w:cs="Arial"/>
          <w:color w:val="000000"/>
        </w:rPr>
        <w:t>10</w:t>
      </w:r>
      <w:r w:rsidR="00DC51E6">
        <w:rPr>
          <w:rFonts w:ascii="Arial" w:eastAsiaTheme="minorHAnsi" w:hAnsi="Arial" w:cs="Arial"/>
          <w:color w:val="000000"/>
        </w:rPr>
        <w:t xml:space="preserve">. </w:t>
      </w:r>
      <w:r w:rsidR="00DC51E6">
        <w:rPr>
          <w:rFonts w:ascii="Arial" w:eastAsiaTheme="minorHAnsi" w:hAnsi="Arial" w:cs="Arial"/>
          <w:color w:val="000000"/>
        </w:rPr>
        <w:tab/>
        <w:t>At the end of its meeting, the Drafting Group adopted the present meeting report</w:t>
      </w:r>
      <w:r w:rsidR="002A7DB2">
        <w:rPr>
          <w:rFonts w:ascii="Arial" w:eastAsiaTheme="minorHAnsi" w:hAnsi="Arial" w:cs="Arial"/>
          <w:color w:val="000000"/>
        </w:rPr>
        <w:t xml:space="preserve"> i</w:t>
      </w:r>
      <w:r w:rsidR="00272644">
        <w:rPr>
          <w:rFonts w:ascii="Arial" w:eastAsiaTheme="minorHAnsi" w:hAnsi="Arial" w:cs="Arial"/>
          <w:color w:val="000000"/>
        </w:rPr>
        <w:t xml:space="preserve">n </w:t>
      </w:r>
      <w:r w:rsidR="002A7DB2">
        <w:rPr>
          <w:rFonts w:ascii="Arial" w:eastAsiaTheme="minorHAnsi" w:hAnsi="Arial" w:cs="Arial"/>
          <w:color w:val="000000"/>
        </w:rPr>
        <w:t>English and in French</w:t>
      </w:r>
      <w:r w:rsidR="00DC51E6">
        <w:rPr>
          <w:rFonts w:ascii="Arial" w:hAnsi="Arial" w:cs="Arial"/>
        </w:rPr>
        <w:t xml:space="preserve">. </w:t>
      </w:r>
    </w:p>
    <w:p w14:paraId="5A37DF8A" w14:textId="77777777" w:rsidR="00DC51E6" w:rsidRDefault="00DC51E6" w:rsidP="00DC51E6">
      <w:pPr>
        <w:pStyle w:val="Paragraphedeliste"/>
        <w:spacing w:after="0" w:line="240" w:lineRule="auto"/>
        <w:ind w:left="0"/>
        <w:jc w:val="both"/>
        <w:rPr>
          <w:rFonts w:ascii="Arial" w:hAnsi="Arial" w:cs="Arial"/>
        </w:rPr>
      </w:pPr>
    </w:p>
    <w:p w14:paraId="2C8794F0" w14:textId="77777777" w:rsidR="00DC51E6" w:rsidRDefault="00DC51E6" w:rsidP="00DC51E6">
      <w:pPr>
        <w:pStyle w:val="Paragraphedeliste"/>
        <w:spacing w:after="0" w:line="240" w:lineRule="auto"/>
        <w:ind w:left="0"/>
        <w:jc w:val="both"/>
        <w:rPr>
          <w:rFonts w:ascii="Arial" w:hAnsi="Arial" w:cs="Arial"/>
        </w:rPr>
      </w:pPr>
    </w:p>
    <w:p w14:paraId="686992ED" w14:textId="77777777" w:rsidR="00DC51E6" w:rsidRDefault="00DC51E6" w:rsidP="00DC51E6">
      <w:pPr>
        <w:pStyle w:val="Paragraphedeliste"/>
        <w:spacing w:after="0" w:line="240" w:lineRule="auto"/>
        <w:ind w:left="0"/>
        <w:jc w:val="both"/>
        <w:rPr>
          <w:rFonts w:ascii="Arial" w:hAnsi="Arial" w:cs="Arial"/>
        </w:rPr>
      </w:pPr>
    </w:p>
    <w:p w14:paraId="353682D6" w14:textId="77777777" w:rsidR="00DC51E6" w:rsidRDefault="00DC51E6" w:rsidP="00DC51E6">
      <w:pPr>
        <w:pStyle w:val="Paragraphedeliste"/>
        <w:spacing w:after="0" w:line="240" w:lineRule="auto"/>
        <w:ind w:left="0"/>
        <w:jc w:val="both"/>
        <w:rPr>
          <w:rFonts w:ascii="Arial" w:hAnsi="Arial" w:cs="Arial"/>
        </w:rPr>
      </w:pPr>
    </w:p>
    <w:p w14:paraId="0746256F" w14:textId="77777777" w:rsidR="00DC51E6" w:rsidRDefault="00DC51E6" w:rsidP="00DC51E6">
      <w:pPr>
        <w:pStyle w:val="Paragraphedeliste"/>
        <w:spacing w:after="0" w:line="240" w:lineRule="auto"/>
        <w:ind w:left="0"/>
        <w:jc w:val="both"/>
        <w:rPr>
          <w:rFonts w:ascii="Arial" w:hAnsi="Arial" w:cs="Arial"/>
        </w:rPr>
      </w:pPr>
    </w:p>
    <w:p w14:paraId="2916D710" w14:textId="77777777" w:rsidR="00DC51E6" w:rsidRPr="007C6C0F" w:rsidRDefault="00DC51E6" w:rsidP="00DC51E6">
      <w:pPr>
        <w:pStyle w:val="Paragraphedeliste"/>
        <w:spacing w:after="0" w:line="240" w:lineRule="auto"/>
        <w:ind w:left="0"/>
        <w:jc w:val="center"/>
        <w:rPr>
          <w:rFonts w:ascii="Arial" w:hAnsi="Arial" w:cs="Arial"/>
        </w:rPr>
      </w:pPr>
      <w:r w:rsidRPr="007C6C0F">
        <w:rPr>
          <w:rFonts w:ascii="Arial" w:hAnsi="Arial" w:cs="Arial"/>
          <w:b/>
          <w:bCs/>
        </w:rPr>
        <w:t>*</w:t>
      </w:r>
      <w:r w:rsidRPr="007C6C0F">
        <w:rPr>
          <w:rFonts w:ascii="Arial" w:hAnsi="Arial" w:cs="Arial"/>
          <w:b/>
          <w:bCs/>
        </w:rPr>
        <w:tab/>
        <w:t>*</w:t>
      </w:r>
      <w:r w:rsidRPr="007C6C0F">
        <w:rPr>
          <w:rFonts w:ascii="Arial" w:hAnsi="Arial" w:cs="Arial"/>
          <w:b/>
          <w:bCs/>
        </w:rPr>
        <w:tab/>
        <w:t>*</w:t>
      </w:r>
    </w:p>
    <w:p w14:paraId="6C453C14" w14:textId="77777777" w:rsidR="00DC51E6" w:rsidRPr="007C6C0F" w:rsidRDefault="00DC51E6" w:rsidP="00DC51E6">
      <w:pPr>
        <w:jc w:val="center"/>
        <w:rPr>
          <w:rFonts w:ascii="Arial" w:hAnsi="Arial" w:cs="Arial"/>
          <w:color w:val="000000" w:themeColor="text1"/>
          <w:sz w:val="22"/>
          <w:szCs w:val="22"/>
          <w:u w:val="single"/>
          <w:lang w:val="en-GB" w:eastAsia="en-GB"/>
        </w:rPr>
      </w:pPr>
      <w:r w:rsidRPr="007C6C0F">
        <w:rPr>
          <w:rFonts w:ascii="Arial" w:hAnsi="Arial" w:cs="Arial"/>
          <w:color w:val="000000" w:themeColor="text1"/>
          <w:sz w:val="22"/>
          <w:szCs w:val="22"/>
          <w:u w:val="single"/>
          <w:lang w:val="en-GB" w:eastAsia="en-GB"/>
        </w:rPr>
        <w:br w:type="page"/>
      </w:r>
      <w:r w:rsidRPr="007C6C0F">
        <w:rPr>
          <w:rFonts w:ascii="Arial" w:hAnsi="Arial" w:cs="Arial"/>
          <w:color w:val="000000" w:themeColor="text1"/>
          <w:sz w:val="22"/>
          <w:szCs w:val="22"/>
          <w:u w:val="single"/>
          <w:lang w:val="en-GB" w:eastAsia="en-GB"/>
        </w:rPr>
        <w:lastRenderedPageBreak/>
        <w:t>Appendix I</w:t>
      </w:r>
    </w:p>
    <w:p w14:paraId="371EBF1B" w14:textId="77777777" w:rsidR="00DC51E6" w:rsidRDefault="00DC51E6" w:rsidP="00DC51E6">
      <w:pPr>
        <w:jc w:val="center"/>
        <w:rPr>
          <w:rFonts w:ascii="Arial" w:hAnsi="Arial" w:cs="Arial"/>
          <w:color w:val="000000" w:themeColor="text1"/>
          <w:sz w:val="22"/>
          <w:szCs w:val="22"/>
          <w:u w:val="single"/>
          <w:lang w:val="en-GB" w:eastAsia="en-GB"/>
        </w:rPr>
      </w:pPr>
    </w:p>
    <w:p w14:paraId="319641C1" w14:textId="77777777" w:rsidR="00DC51E6" w:rsidRPr="00120775" w:rsidRDefault="00DC51E6" w:rsidP="00DC51E6">
      <w:pPr>
        <w:jc w:val="center"/>
        <w:rPr>
          <w:rFonts w:ascii="Arial" w:hAnsi="Arial" w:cs="Arial"/>
          <w:b/>
          <w:bCs/>
          <w:color w:val="000000" w:themeColor="text1"/>
          <w:sz w:val="22"/>
          <w:szCs w:val="22"/>
          <w:lang w:val="en-GB" w:eastAsia="en-GB"/>
        </w:rPr>
      </w:pPr>
      <w:r w:rsidRPr="00120775">
        <w:rPr>
          <w:rFonts w:ascii="Arial" w:hAnsi="Arial" w:cs="Arial"/>
          <w:b/>
          <w:bCs/>
          <w:color w:val="000000" w:themeColor="text1"/>
          <w:sz w:val="22"/>
          <w:szCs w:val="22"/>
          <w:lang w:val="en-GB" w:eastAsia="en-GB"/>
        </w:rPr>
        <w:t>List of participants</w:t>
      </w:r>
    </w:p>
    <w:p w14:paraId="0A7744EC" w14:textId="3E467DFE" w:rsidR="0031279F" w:rsidRPr="0031279F" w:rsidRDefault="0031279F" w:rsidP="0031279F">
      <w:pPr>
        <w:spacing w:before="240" w:after="120"/>
        <w:rPr>
          <w:rFonts w:ascii="Arial" w:hAnsi="Arial" w:cs="Arial"/>
          <w:bCs/>
          <w:kern w:val="36"/>
          <w:sz w:val="22"/>
          <w:szCs w:val="22"/>
          <w:lang w:val="de-DE" w:eastAsia="en-US"/>
        </w:rPr>
      </w:pPr>
      <w:r w:rsidRPr="0031279F">
        <w:rPr>
          <w:rFonts w:ascii="Arial" w:hAnsi="Arial" w:cs="Arial"/>
          <w:b/>
          <w:kern w:val="36"/>
          <w:sz w:val="22"/>
          <w:szCs w:val="22"/>
          <w:lang w:val="de-DE" w:eastAsia="en-US"/>
        </w:rPr>
        <w:t xml:space="preserve">MEMBERS </w:t>
      </w:r>
    </w:p>
    <w:tbl>
      <w:tblPr>
        <w:tblStyle w:val="Grilledutableau1"/>
        <w:tblW w:w="0" w:type="auto"/>
        <w:tblLook w:val="04A0" w:firstRow="1" w:lastRow="0" w:firstColumn="1" w:lastColumn="0" w:noHBand="0" w:noVBand="1"/>
      </w:tblPr>
      <w:tblGrid>
        <w:gridCol w:w="2678"/>
        <w:gridCol w:w="6608"/>
      </w:tblGrid>
      <w:tr w:rsidR="0031279F" w:rsidRPr="0031279F" w14:paraId="7197FADE" w14:textId="77777777" w:rsidTr="00FF4961">
        <w:trPr>
          <w:trHeight w:val="624"/>
        </w:trPr>
        <w:tc>
          <w:tcPr>
            <w:tcW w:w="2678" w:type="dxa"/>
          </w:tcPr>
          <w:p w14:paraId="1C9BD28D" w14:textId="5A4C5ADC" w:rsidR="0031279F" w:rsidRPr="0031279F" w:rsidRDefault="0031279F" w:rsidP="0031279F">
            <w:pPr>
              <w:tabs>
                <w:tab w:val="right" w:pos="9600"/>
              </w:tabs>
              <w:rPr>
                <w:rFonts w:ascii="Arial" w:eastAsia="Calibri" w:hAnsi="Arial" w:cs="Arial"/>
                <w:sz w:val="20"/>
                <w:szCs w:val="20"/>
                <w:lang w:val="en-GB" w:eastAsia="en-GB"/>
              </w:rPr>
            </w:pPr>
            <w:r w:rsidRPr="0031279F">
              <w:rPr>
                <w:rFonts w:ascii="Arial" w:eastAsia="Calibri" w:hAnsi="Arial" w:cs="Arial"/>
                <w:b/>
                <w:bCs/>
                <w:sz w:val="20"/>
                <w:szCs w:val="20"/>
                <w:lang w:val="en-GB" w:eastAsia="en-GB"/>
              </w:rPr>
              <w:t>ARMENIA</w:t>
            </w:r>
            <w:r w:rsidRPr="0031279F">
              <w:rPr>
                <w:rFonts w:ascii="Arial" w:eastAsia="Calibri" w:hAnsi="Arial" w:cs="Arial"/>
                <w:sz w:val="20"/>
                <w:szCs w:val="20"/>
                <w:lang w:val="en-GB" w:eastAsia="en-GB"/>
              </w:rPr>
              <w:t xml:space="preserve"> </w:t>
            </w:r>
          </w:p>
        </w:tc>
        <w:tc>
          <w:tcPr>
            <w:tcW w:w="6608" w:type="dxa"/>
            <w:tcMar>
              <w:top w:w="85" w:type="dxa"/>
              <w:bottom w:w="85" w:type="dxa"/>
            </w:tcMar>
          </w:tcPr>
          <w:p w14:paraId="20E92345" w14:textId="77777777" w:rsidR="0031279F" w:rsidRPr="0031279F" w:rsidRDefault="0031279F" w:rsidP="0031279F">
            <w:pPr>
              <w:jc w:val="both"/>
              <w:rPr>
                <w:rFonts w:ascii="Arial" w:eastAsia="Calibri" w:hAnsi="Arial" w:cs="Arial"/>
                <w:b/>
                <w:bCs/>
                <w:sz w:val="20"/>
                <w:szCs w:val="20"/>
                <w:shd w:val="clear" w:color="auto" w:fill="FFFFFF"/>
                <w:lang w:val="en-GB" w:eastAsia="en-GB"/>
              </w:rPr>
            </w:pPr>
            <w:r w:rsidRPr="0031279F">
              <w:rPr>
                <w:rFonts w:ascii="Arial" w:eastAsia="Calibri" w:hAnsi="Arial" w:cs="Arial"/>
                <w:b/>
                <w:bCs/>
                <w:sz w:val="20"/>
                <w:szCs w:val="20"/>
                <w:shd w:val="clear" w:color="auto" w:fill="FFFFFF"/>
                <w:lang w:val="en-GB" w:eastAsia="en-GB"/>
              </w:rPr>
              <w:t xml:space="preserve">Mr </w:t>
            </w:r>
            <w:proofErr w:type="spellStart"/>
            <w:r w:rsidRPr="0031279F">
              <w:rPr>
                <w:rFonts w:ascii="Arial" w:eastAsia="Calibri" w:hAnsi="Arial" w:cs="Arial"/>
                <w:b/>
                <w:bCs/>
                <w:sz w:val="20"/>
                <w:szCs w:val="20"/>
                <w:shd w:val="clear" w:color="auto" w:fill="FFFFFF"/>
                <w:lang w:val="en-GB" w:eastAsia="en-GB"/>
              </w:rPr>
              <w:t>Yeghishe</w:t>
            </w:r>
            <w:proofErr w:type="spellEnd"/>
            <w:r w:rsidRPr="0031279F">
              <w:rPr>
                <w:rFonts w:ascii="Arial" w:eastAsia="Calibri" w:hAnsi="Arial" w:cs="Arial"/>
                <w:b/>
                <w:bCs/>
                <w:sz w:val="20"/>
                <w:szCs w:val="20"/>
                <w:shd w:val="clear" w:color="auto" w:fill="FFFFFF"/>
                <w:lang w:val="en-GB" w:eastAsia="en-GB"/>
              </w:rPr>
              <w:t xml:space="preserve"> KIRAKOSYAN </w:t>
            </w:r>
          </w:p>
          <w:p w14:paraId="2AFAE2D0" w14:textId="77777777" w:rsidR="0031279F" w:rsidRPr="0031279F" w:rsidRDefault="0031279F" w:rsidP="0031279F">
            <w:pPr>
              <w:jc w:val="both"/>
              <w:rPr>
                <w:rFonts w:ascii="Arial" w:eastAsia="Calibri" w:hAnsi="Arial" w:cs="Arial"/>
                <w:sz w:val="20"/>
                <w:szCs w:val="20"/>
                <w:shd w:val="clear" w:color="auto" w:fill="FFFFFF"/>
                <w:lang w:val="en-GB" w:eastAsia="en-GB"/>
              </w:rPr>
            </w:pPr>
            <w:r w:rsidRPr="0031279F">
              <w:rPr>
                <w:rFonts w:ascii="Arial" w:eastAsia="Calibri" w:hAnsi="Arial" w:cs="Arial"/>
                <w:sz w:val="20"/>
                <w:szCs w:val="20"/>
                <w:shd w:val="clear" w:color="auto" w:fill="FFFFFF"/>
                <w:lang w:val="en-GB" w:eastAsia="en-GB"/>
              </w:rPr>
              <w:t xml:space="preserve">Government Agent of the Republic of Armenia before the European Court of Human Rights (ECtHR) </w:t>
            </w:r>
          </w:p>
          <w:p w14:paraId="75DC09BF" w14:textId="77777777" w:rsidR="0031279F" w:rsidRPr="0031279F" w:rsidRDefault="0031279F" w:rsidP="0031279F">
            <w:pPr>
              <w:jc w:val="both"/>
              <w:rPr>
                <w:rFonts w:ascii="Arial" w:eastAsia="Calibri" w:hAnsi="Arial" w:cs="Arial"/>
                <w:sz w:val="20"/>
                <w:szCs w:val="20"/>
                <w:shd w:val="clear" w:color="auto" w:fill="FFFFFF"/>
                <w:lang w:val="en-GB" w:eastAsia="en-GB"/>
              </w:rPr>
            </w:pPr>
          </w:p>
          <w:p w14:paraId="156EC978" w14:textId="77777777" w:rsidR="0031279F" w:rsidRPr="0031279F" w:rsidRDefault="0031279F" w:rsidP="0031279F">
            <w:pPr>
              <w:jc w:val="both"/>
              <w:rPr>
                <w:rFonts w:ascii="Arial" w:eastAsia="Calibri" w:hAnsi="Arial" w:cs="Arial"/>
                <w:b/>
                <w:bCs/>
                <w:sz w:val="20"/>
                <w:szCs w:val="20"/>
                <w:shd w:val="clear" w:color="auto" w:fill="FFFFFF"/>
                <w:lang w:val="en-GB" w:eastAsia="en-GB"/>
              </w:rPr>
            </w:pPr>
            <w:r w:rsidRPr="0031279F">
              <w:rPr>
                <w:rFonts w:ascii="Arial" w:eastAsia="Calibri" w:hAnsi="Arial" w:cs="Arial"/>
                <w:b/>
                <w:bCs/>
                <w:sz w:val="20"/>
                <w:szCs w:val="20"/>
                <w:shd w:val="clear" w:color="auto" w:fill="FFFFFF"/>
                <w:lang w:val="en-GB" w:eastAsia="en-GB"/>
              </w:rPr>
              <w:t xml:space="preserve">Ms Karine VARDANYAN </w:t>
            </w:r>
          </w:p>
          <w:p w14:paraId="5633B56B" w14:textId="77777777" w:rsidR="0031279F" w:rsidRPr="0031279F" w:rsidRDefault="0031279F" w:rsidP="0031279F">
            <w:pPr>
              <w:jc w:val="both"/>
              <w:rPr>
                <w:rFonts w:ascii="Arial" w:eastAsia="Calibri" w:hAnsi="Arial" w:cs="Arial"/>
                <w:sz w:val="20"/>
                <w:szCs w:val="20"/>
                <w:shd w:val="clear" w:color="auto" w:fill="FFFFFF"/>
                <w:lang w:val="en-GB" w:eastAsia="en-GB"/>
              </w:rPr>
            </w:pPr>
            <w:proofErr w:type="spellStart"/>
            <w:r w:rsidRPr="0031279F">
              <w:rPr>
                <w:rFonts w:ascii="Arial" w:eastAsia="Calibri" w:hAnsi="Arial" w:cs="Arial"/>
                <w:sz w:val="20"/>
                <w:szCs w:val="20"/>
                <w:shd w:val="clear" w:color="auto" w:fill="FFFFFF"/>
                <w:lang w:val="en-GB" w:eastAsia="en-GB"/>
              </w:rPr>
              <w:t>Attaché,International</w:t>
            </w:r>
            <w:proofErr w:type="spellEnd"/>
            <w:r w:rsidRPr="0031279F">
              <w:rPr>
                <w:rFonts w:ascii="Arial" w:eastAsia="Calibri" w:hAnsi="Arial" w:cs="Arial"/>
                <w:sz w:val="20"/>
                <w:szCs w:val="20"/>
                <w:shd w:val="clear" w:color="auto" w:fill="FFFFFF"/>
                <w:lang w:val="en-GB" w:eastAsia="en-GB"/>
              </w:rPr>
              <w:t xml:space="preserve"> Multilateral Treaties Division, Department of Treaties and International Law Ministry of Foreign Affairs of Armenia  </w:t>
            </w:r>
          </w:p>
          <w:p w14:paraId="18C3A5E3" w14:textId="77777777" w:rsidR="0031279F" w:rsidRPr="0031279F" w:rsidRDefault="0031279F" w:rsidP="0031279F">
            <w:pPr>
              <w:jc w:val="both"/>
              <w:rPr>
                <w:rFonts w:ascii="Arial" w:eastAsia="Calibri" w:hAnsi="Arial" w:cs="Arial"/>
                <w:sz w:val="20"/>
                <w:szCs w:val="20"/>
                <w:shd w:val="clear" w:color="auto" w:fill="FFFFFF"/>
                <w:lang w:val="en-GB" w:eastAsia="en-GB"/>
              </w:rPr>
            </w:pPr>
          </w:p>
          <w:p w14:paraId="24BFAB0A" w14:textId="77777777" w:rsidR="0031279F" w:rsidRPr="0031279F" w:rsidRDefault="0031279F" w:rsidP="0031279F">
            <w:pPr>
              <w:jc w:val="both"/>
              <w:rPr>
                <w:rFonts w:ascii="Arial" w:eastAsia="Calibri" w:hAnsi="Arial" w:cs="Arial"/>
                <w:b/>
                <w:bCs/>
                <w:sz w:val="20"/>
                <w:szCs w:val="20"/>
                <w:shd w:val="clear" w:color="auto" w:fill="FFFFFF"/>
                <w:lang w:val="en-GB" w:eastAsia="en-GB"/>
              </w:rPr>
            </w:pPr>
            <w:r w:rsidRPr="0031279F">
              <w:rPr>
                <w:rFonts w:ascii="Arial" w:eastAsia="Calibri" w:hAnsi="Arial" w:cs="Arial"/>
                <w:b/>
                <w:bCs/>
                <w:sz w:val="20"/>
                <w:szCs w:val="20"/>
                <w:shd w:val="clear" w:color="auto" w:fill="FFFFFF"/>
                <w:lang w:val="en-GB" w:eastAsia="en-GB"/>
              </w:rPr>
              <w:t xml:space="preserve">Mr </w:t>
            </w:r>
            <w:proofErr w:type="spellStart"/>
            <w:r w:rsidRPr="0031279F">
              <w:rPr>
                <w:rFonts w:ascii="Arial" w:eastAsia="Calibri" w:hAnsi="Arial" w:cs="Arial"/>
                <w:b/>
                <w:bCs/>
                <w:sz w:val="20"/>
                <w:szCs w:val="20"/>
                <w:shd w:val="clear" w:color="auto" w:fill="FFFFFF"/>
                <w:lang w:val="en-GB" w:eastAsia="en-GB"/>
              </w:rPr>
              <w:t>Liparit</w:t>
            </w:r>
            <w:proofErr w:type="spellEnd"/>
            <w:r w:rsidRPr="0031279F">
              <w:rPr>
                <w:rFonts w:ascii="Arial" w:eastAsia="Calibri" w:hAnsi="Arial" w:cs="Arial"/>
                <w:b/>
                <w:bCs/>
                <w:sz w:val="20"/>
                <w:szCs w:val="20"/>
                <w:shd w:val="clear" w:color="auto" w:fill="FFFFFF"/>
                <w:lang w:val="en-GB" w:eastAsia="en-GB"/>
              </w:rPr>
              <w:t xml:space="preserve"> DRMEYAN </w:t>
            </w:r>
          </w:p>
          <w:p w14:paraId="68117399" w14:textId="77777777" w:rsidR="0031279F" w:rsidRPr="0031279F" w:rsidRDefault="0031279F" w:rsidP="0031279F">
            <w:pPr>
              <w:jc w:val="both"/>
              <w:rPr>
                <w:rFonts w:ascii="Arial" w:eastAsia="Calibri" w:hAnsi="Arial" w:cs="Arial"/>
                <w:sz w:val="20"/>
                <w:szCs w:val="20"/>
                <w:shd w:val="clear" w:color="auto" w:fill="FFFFFF"/>
                <w:lang w:val="en-GB" w:eastAsia="en-GB"/>
              </w:rPr>
            </w:pPr>
            <w:r w:rsidRPr="0031279F">
              <w:rPr>
                <w:rFonts w:ascii="Arial" w:eastAsia="Calibri" w:hAnsi="Arial" w:cs="Arial"/>
                <w:sz w:val="20"/>
                <w:szCs w:val="20"/>
                <w:shd w:val="clear" w:color="auto" w:fill="FFFFFF"/>
                <w:lang w:val="en-GB" w:eastAsia="en-GB"/>
              </w:rPr>
              <w:t>Head of the Government Agent's Office of the Republic of Armenia before the European Court of Human Rights (ECtHR)</w:t>
            </w:r>
          </w:p>
          <w:p w14:paraId="008CB40A" w14:textId="77777777" w:rsidR="0031279F" w:rsidRPr="0031279F" w:rsidRDefault="0031279F" w:rsidP="0031279F">
            <w:pPr>
              <w:jc w:val="both"/>
              <w:rPr>
                <w:rFonts w:ascii="Arial" w:eastAsia="Calibri" w:hAnsi="Arial" w:cs="Arial"/>
                <w:sz w:val="20"/>
                <w:szCs w:val="20"/>
                <w:shd w:val="clear" w:color="auto" w:fill="FFFFFF"/>
                <w:lang w:val="en-GB" w:eastAsia="en-GB"/>
              </w:rPr>
            </w:pPr>
          </w:p>
          <w:p w14:paraId="30E395FC" w14:textId="77777777" w:rsidR="0031279F" w:rsidRPr="0031279F" w:rsidRDefault="0031279F" w:rsidP="0031279F">
            <w:pPr>
              <w:jc w:val="both"/>
              <w:rPr>
                <w:rFonts w:ascii="Arial" w:eastAsia="Calibri" w:hAnsi="Arial" w:cs="Arial"/>
                <w:b/>
                <w:bCs/>
                <w:sz w:val="20"/>
                <w:szCs w:val="20"/>
                <w:shd w:val="clear" w:color="auto" w:fill="FFFFFF"/>
                <w:lang w:val="en-GB" w:eastAsia="en-GB"/>
              </w:rPr>
            </w:pPr>
            <w:r w:rsidRPr="0031279F">
              <w:rPr>
                <w:rFonts w:ascii="Arial" w:eastAsia="Calibri" w:hAnsi="Arial" w:cs="Arial"/>
                <w:b/>
                <w:bCs/>
                <w:sz w:val="20"/>
                <w:szCs w:val="20"/>
                <w:shd w:val="clear" w:color="auto" w:fill="FFFFFF"/>
                <w:lang w:val="en-GB" w:eastAsia="en-GB"/>
              </w:rPr>
              <w:t xml:space="preserve">Ms Diana KARAZYAN </w:t>
            </w:r>
          </w:p>
          <w:p w14:paraId="25FDC0C9" w14:textId="77777777" w:rsidR="0031279F" w:rsidRPr="0031279F" w:rsidRDefault="0031279F" w:rsidP="0031279F">
            <w:pPr>
              <w:jc w:val="both"/>
              <w:rPr>
                <w:rFonts w:ascii="Arial" w:eastAsia="Calibri" w:hAnsi="Arial" w:cs="Arial"/>
                <w:sz w:val="20"/>
                <w:szCs w:val="20"/>
                <w:shd w:val="clear" w:color="auto" w:fill="FFFFFF"/>
                <w:lang w:val="en-GB" w:eastAsia="en-GB"/>
              </w:rPr>
            </w:pPr>
            <w:r w:rsidRPr="0031279F">
              <w:rPr>
                <w:rFonts w:ascii="Arial" w:eastAsia="Calibri" w:hAnsi="Arial" w:cs="Arial"/>
                <w:sz w:val="20"/>
                <w:szCs w:val="20"/>
                <w:shd w:val="clear" w:color="auto" w:fill="FFFFFF"/>
                <w:lang w:val="en-GB" w:eastAsia="en-GB"/>
              </w:rPr>
              <w:t xml:space="preserve">Head of the Department for Representation of the Interests of the Republic of Armenia before the European Court of Human Rights (ECtHR), the Government Agent's Office of the Republic of Armenia before the European Court of Human Rights (ECtHR) </w:t>
            </w:r>
          </w:p>
          <w:p w14:paraId="12D9B501" w14:textId="77777777" w:rsidR="0031279F" w:rsidRPr="0031279F" w:rsidRDefault="0031279F" w:rsidP="0031279F">
            <w:pPr>
              <w:jc w:val="both"/>
              <w:rPr>
                <w:rFonts w:ascii="Arial" w:eastAsia="Calibri" w:hAnsi="Arial" w:cs="Arial"/>
                <w:sz w:val="20"/>
                <w:szCs w:val="20"/>
                <w:shd w:val="clear" w:color="auto" w:fill="FFFFFF"/>
                <w:lang w:val="en-GB" w:eastAsia="en-GB"/>
              </w:rPr>
            </w:pPr>
          </w:p>
          <w:p w14:paraId="45019841" w14:textId="77777777" w:rsidR="0031279F" w:rsidRPr="0031279F" w:rsidRDefault="0031279F" w:rsidP="0031279F">
            <w:pPr>
              <w:jc w:val="both"/>
              <w:rPr>
                <w:rFonts w:ascii="Arial" w:eastAsia="Calibri" w:hAnsi="Arial" w:cs="Arial"/>
                <w:b/>
                <w:bCs/>
                <w:sz w:val="20"/>
                <w:szCs w:val="20"/>
                <w:shd w:val="clear" w:color="auto" w:fill="FFFFFF"/>
                <w:lang w:val="en-GB" w:eastAsia="en-GB"/>
              </w:rPr>
            </w:pPr>
            <w:r w:rsidRPr="0031279F">
              <w:rPr>
                <w:rFonts w:ascii="Arial" w:eastAsia="Calibri" w:hAnsi="Arial" w:cs="Arial"/>
                <w:b/>
                <w:bCs/>
                <w:sz w:val="20"/>
                <w:szCs w:val="20"/>
                <w:shd w:val="clear" w:color="auto" w:fill="FFFFFF"/>
                <w:lang w:val="en-GB" w:eastAsia="en-GB"/>
              </w:rPr>
              <w:t xml:space="preserve">Ms </w:t>
            </w:r>
            <w:proofErr w:type="spellStart"/>
            <w:r w:rsidRPr="0031279F">
              <w:rPr>
                <w:rFonts w:ascii="Arial" w:eastAsia="Calibri" w:hAnsi="Arial" w:cs="Arial"/>
                <w:b/>
                <w:bCs/>
                <w:sz w:val="20"/>
                <w:szCs w:val="20"/>
                <w:shd w:val="clear" w:color="auto" w:fill="FFFFFF"/>
                <w:lang w:val="en-GB" w:eastAsia="en-GB"/>
              </w:rPr>
              <w:t>Ntiana</w:t>
            </w:r>
            <w:proofErr w:type="spellEnd"/>
            <w:r w:rsidRPr="0031279F">
              <w:rPr>
                <w:rFonts w:ascii="Arial" w:eastAsia="Calibri" w:hAnsi="Arial" w:cs="Arial"/>
                <w:b/>
                <w:bCs/>
                <w:sz w:val="20"/>
                <w:szCs w:val="20"/>
                <w:shd w:val="clear" w:color="auto" w:fill="FFFFFF"/>
                <w:lang w:val="en-GB" w:eastAsia="en-GB"/>
              </w:rPr>
              <w:t xml:space="preserve"> LEONIDI </w:t>
            </w:r>
          </w:p>
          <w:p w14:paraId="693AD03D" w14:textId="77777777" w:rsidR="0031279F" w:rsidRPr="0031279F" w:rsidRDefault="0031279F" w:rsidP="0031279F">
            <w:pPr>
              <w:jc w:val="both"/>
              <w:rPr>
                <w:rFonts w:ascii="Arial" w:eastAsia="Calibri" w:hAnsi="Arial" w:cs="Arial"/>
                <w:sz w:val="20"/>
                <w:szCs w:val="20"/>
                <w:shd w:val="clear" w:color="auto" w:fill="FFFFFF"/>
                <w:lang w:val="en-GB" w:eastAsia="en-GB"/>
              </w:rPr>
            </w:pPr>
            <w:r w:rsidRPr="0031279F">
              <w:rPr>
                <w:rFonts w:ascii="Arial" w:eastAsia="Calibri" w:hAnsi="Arial" w:cs="Arial"/>
                <w:sz w:val="20"/>
                <w:szCs w:val="20"/>
                <w:shd w:val="clear" w:color="auto" w:fill="FFFFFF"/>
                <w:lang w:val="en-GB" w:eastAsia="en-GB"/>
              </w:rPr>
              <w:t xml:space="preserve">Chief specialist at the </w:t>
            </w:r>
            <w:proofErr w:type="spellStart"/>
            <w:r w:rsidRPr="0031279F">
              <w:rPr>
                <w:rFonts w:ascii="Arial" w:eastAsia="Calibri" w:hAnsi="Arial" w:cs="Arial"/>
                <w:sz w:val="20"/>
                <w:szCs w:val="20"/>
                <w:shd w:val="clear" w:color="auto" w:fill="FFFFFF"/>
                <w:lang w:val="en-GB" w:eastAsia="en-GB"/>
              </w:rPr>
              <w:t>the</w:t>
            </w:r>
            <w:proofErr w:type="spellEnd"/>
            <w:r w:rsidRPr="0031279F">
              <w:rPr>
                <w:rFonts w:ascii="Arial" w:eastAsia="Calibri" w:hAnsi="Arial" w:cs="Arial"/>
                <w:sz w:val="20"/>
                <w:szCs w:val="20"/>
                <w:shd w:val="clear" w:color="auto" w:fill="FFFFFF"/>
                <w:lang w:val="en-GB" w:eastAsia="en-GB"/>
              </w:rPr>
              <w:t xml:space="preserve"> Department for Representation of the Interests of the Republic of Armenia before the European Court of Human Rights (ECtHR), the Government Agent's Office of the Republic of Armenia before the European Court of Human Rights</w:t>
            </w:r>
          </w:p>
          <w:p w14:paraId="1053956C" w14:textId="77777777" w:rsidR="0031279F" w:rsidRPr="0031279F" w:rsidRDefault="0031279F" w:rsidP="0031279F">
            <w:pPr>
              <w:jc w:val="both"/>
              <w:rPr>
                <w:rFonts w:ascii="Arial" w:eastAsia="Calibri" w:hAnsi="Arial" w:cs="Arial"/>
                <w:sz w:val="20"/>
                <w:szCs w:val="20"/>
                <w:shd w:val="clear" w:color="auto" w:fill="FFFFFF"/>
                <w:lang w:val="en-GB" w:eastAsia="en-GB"/>
              </w:rPr>
            </w:pPr>
            <w:r w:rsidRPr="0031279F">
              <w:rPr>
                <w:rFonts w:ascii="Arial" w:eastAsia="Calibri" w:hAnsi="Arial" w:cs="Arial"/>
                <w:sz w:val="20"/>
                <w:szCs w:val="20"/>
                <w:shd w:val="clear" w:color="auto" w:fill="FFFFFF"/>
                <w:lang w:val="en-GB" w:eastAsia="en-GB"/>
              </w:rPr>
              <w:t>(ECtHR)</w:t>
            </w:r>
          </w:p>
        </w:tc>
      </w:tr>
      <w:tr w:rsidR="0031279F" w:rsidRPr="00616F99" w14:paraId="1947DDA8" w14:textId="77777777" w:rsidTr="00FF4961">
        <w:trPr>
          <w:trHeight w:val="2740"/>
        </w:trPr>
        <w:tc>
          <w:tcPr>
            <w:tcW w:w="2678" w:type="dxa"/>
          </w:tcPr>
          <w:p w14:paraId="6E7FFE0C" w14:textId="43CAE8A8" w:rsidR="0031279F" w:rsidRPr="0031279F" w:rsidRDefault="0031279F" w:rsidP="0031279F">
            <w:pPr>
              <w:tabs>
                <w:tab w:val="right" w:pos="9600"/>
              </w:tabs>
              <w:rPr>
                <w:rFonts w:ascii="Arial" w:eastAsia="Calibri" w:hAnsi="Arial" w:cs="Arial"/>
                <w:b/>
                <w:sz w:val="20"/>
                <w:szCs w:val="20"/>
                <w:lang w:val="en-GB" w:eastAsia="en-GB"/>
              </w:rPr>
            </w:pPr>
            <w:r w:rsidRPr="0031279F">
              <w:rPr>
                <w:rFonts w:ascii="Arial" w:eastAsia="Calibri" w:hAnsi="Arial" w:cs="Arial"/>
                <w:b/>
                <w:sz w:val="20"/>
                <w:szCs w:val="20"/>
                <w:lang w:val="en-GB" w:eastAsia="en-GB"/>
              </w:rPr>
              <w:t xml:space="preserve">AZERBAIJAN </w:t>
            </w:r>
          </w:p>
          <w:p w14:paraId="3F4205AD" w14:textId="77777777" w:rsidR="0031279F" w:rsidRPr="0031279F" w:rsidRDefault="0031279F" w:rsidP="0031279F">
            <w:pPr>
              <w:tabs>
                <w:tab w:val="right" w:pos="9600"/>
              </w:tabs>
              <w:rPr>
                <w:rFonts w:ascii="Arial" w:eastAsia="Calibri" w:hAnsi="Arial" w:cs="Arial"/>
                <w:sz w:val="20"/>
                <w:szCs w:val="20"/>
                <w:lang w:val="en-GB" w:eastAsia="en-GB"/>
              </w:rPr>
            </w:pPr>
          </w:p>
        </w:tc>
        <w:tc>
          <w:tcPr>
            <w:tcW w:w="6608" w:type="dxa"/>
            <w:tcMar>
              <w:top w:w="85" w:type="dxa"/>
              <w:bottom w:w="85" w:type="dxa"/>
            </w:tcMar>
          </w:tcPr>
          <w:p w14:paraId="5C62D204" w14:textId="77777777" w:rsidR="00616F99" w:rsidRPr="00616F99" w:rsidRDefault="00616F99" w:rsidP="00616F99">
            <w:pPr>
              <w:jc w:val="both"/>
              <w:rPr>
                <w:lang w:val="en-GB"/>
              </w:rPr>
            </w:pPr>
            <w:r>
              <w:rPr>
                <w:rFonts w:ascii="Arial" w:hAnsi="Arial" w:cs="Arial"/>
                <w:b/>
                <w:bCs/>
                <w:color w:val="000000"/>
                <w:sz w:val="20"/>
                <w:szCs w:val="20"/>
                <w:lang w:val="en-GB"/>
              </w:rPr>
              <w:t>Mr Habib ABDULLAYEV</w:t>
            </w:r>
          </w:p>
          <w:p w14:paraId="561FC42F" w14:textId="77777777" w:rsidR="00616F99" w:rsidRPr="00616F99" w:rsidRDefault="00616F99" w:rsidP="00616F99">
            <w:pPr>
              <w:rPr>
                <w:rFonts w:ascii="Helvetica" w:hAnsi="Helvetica" w:cs="Helvetica"/>
                <w:sz w:val="22"/>
                <w:szCs w:val="22"/>
                <w:lang w:val="en-GB"/>
              </w:rPr>
            </w:pPr>
            <w:r w:rsidRPr="00616F99">
              <w:rPr>
                <w:rFonts w:ascii="Arial" w:hAnsi="Arial" w:cs="Arial"/>
                <w:color w:val="000000"/>
                <w:sz w:val="20"/>
                <w:szCs w:val="20"/>
                <w:lang w:val="en-GB"/>
              </w:rPr>
              <w:t>Head of the Human Rights Division</w:t>
            </w:r>
            <w:r w:rsidRPr="00616F99">
              <w:rPr>
                <w:rFonts w:ascii="Arial" w:hAnsi="Arial" w:cs="Arial"/>
                <w:color w:val="000000"/>
                <w:sz w:val="20"/>
                <w:szCs w:val="20"/>
                <w:lang w:val="en-GB"/>
              </w:rPr>
              <w:br/>
              <w:t>Department for Work with Law Enforcement Bodies</w:t>
            </w:r>
          </w:p>
          <w:p w14:paraId="1BB62C06" w14:textId="77777777" w:rsidR="00616F99" w:rsidRPr="00616F99" w:rsidRDefault="00616F99" w:rsidP="00616F99">
            <w:pPr>
              <w:rPr>
                <w:rFonts w:ascii="Helvetica" w:hAnsi="Helvetica" w:cs="Helvetica"/>
                <w:lang w:val="en-GB"/>
              </w:rPr>
            </w:pPr>
            <w:r w:rsidRPr="00616F99">
              <w:rPr>
                <w:rFonts w:ascii="Arial" w:hAnsi="Arial" w:cs="Arial"/>
                <w:color w:val="000000"/>
                <w:sz w:val="20"/>
                <w:szCs w:val="20"/>
                <w:lang w:val="en-GB"/>
              </w:rPr>
              <w:t>Administration of President</w:t>
            </w:r>
            <w:r w:rsidRPr="00616F99">
              <w:rPr>
                <w:rFonts w:ascii="Arial" w:hAnsi="Arial" w:cs="Arial"/>
                <w:sz w:val="20"/>
                <w:szCs w:val="20"/>
                <w:lang w:val="en-GB"/>
              </w:rPr>
              <w:t> of the </w:t>
            </w:r>
            <w:r w:rsidRPr="00616F99">
              <w:rPr>
                <w:rFonts w:ascii="Arial" w:hAnsi="Arial" w:cs="Arial"/>
                <w:color w:val="000000"/>
                <w:sz w:val="20"/>
                <w:szCs w:val="20"/>
                <w:lang w:val="en-GB"/>
              </w:rPr>
              <w:t>Republic of Azerbaijan</w:t>
            </w:r>
          </w:p>
          <w:p w14:paraId="36C399B4" w14:textId="77777777" w:rsidR="00616F99" w:rsidRPr="00616F99" w:rsidRDefault="00616F99" w:rsidP="00616F99">
            <w:pPr>
              <w:rPr>
                <w:lang w:val="en-GB"/>
              </w:rPr>
            </w:pPr>
            <w:r>
              <w:rPr>
                <w:rFonts w:ascii="Arial" w:hAnsi="Arial" w:cs="Arial"/>
                <w:sz w:val="20"/>
                <w:szCs w:val="20"/>
                <w:lang w:val="en-GB"/>
              </w:rPr>
              <w:t> </w:t>
            </w:r>
          </w:p>
          <w:p w14:paraId="08EC58B9" w14:textId="77777777" w:rsidR="00616F99" w:rsidRPr="00616F99" w:rsidRDefault="00616F99" w:rsidP="00616F99">
            <w:pPr>
              <w:rPr>
                <w:lang w:val="en-GB"/>
              </w:rPr>
            </w:pPr>
            <w:r>
              <w:rPr>
                <w:rFonts w:ascii="Arial" w:hAnsi="Arial" w:cs="Arial"/>
                <w:b/>
                <w:bCs/>
                <w:color w:val="000000"/>
                <w:sz w:val="20"/>
                <w:szCs w:val="20"/>
                <w:lang w:val="en-GB"/>
              </w:rPr>
              <w:t xml:space="preserve">Ms </w:t>
            </w:r>
            <w:proofErr w:type="spellStart"/>
            <w:r>
              <w:rPr>
                <w:rFonts w:ascii="Arial" w:hAnsi="Arial" w:cs="Arial"/>
                <w:b/>
                <w:bCs/>
                <w:color w:val="000000"/>
                <w:sz w:val="20"/>
                <w:szCs w:val="20"/>
                <w:lang w:val="en-GB"/>
              </w:rPr>
              <w:t>Zhala</w:t>
            </w:r>
            <w:proofErr w:type="spellEnd"/>
            <w:r>
              <w:rPr>
                <w:rFonts w:ascii="Arial" w:hAnsi="Arial" w:cs="Arial"/>
                <w:b/>
                <w:bCs/>
                <w:color w:val="000000"/>
                <w:sz w:val="20"/>
                <w:szCs w:val="20"/>
                <w:lang w:val="en-GB"/>
              </w:rPr>
              <w:t xml:space="preserve"> IBRAHIMOVA</w:t>
            </w:r>
          </w:p>
          <w:p w14:paraId="6E146BE0" w14:textId="77777777" w:rsidR="00616F99" w:rsidRPr="00616F99" w:rsidRDefault="00616F99" w:rsidP="00616F99">
            <w:pPr>
              <w:rPr>
                <w:lang w:val="en-GB"/>
              </w:rPr>
            </w:pPr>
            <w:r>
              <w:rPr>
                <w:rFonts w:ascii="Arial" w:hAnsi="Arial" w:cs="Arial"/>
                <w:color w:val="000000"/>
                <w:sz w:val="20"/>
                <w:szCs w:val="20"/>
                <w:lang w:val="en-GB"/>
              </w:rPr>
              <w:t>Deputy to the Permanent Representative</w:t>
            </w:r>
          </w:p>
          <w:p w14:paraId="207B52D5" w14:textId="77777777" w:rsidR="00616F99" w:rsidRPr="00616F99" w:rsidRDefault="00616F99" w:rsidP="00616F99">
            <w:pPr>
              <w:rPr>
                <w:lang w:val="en-GB"/>
              </w:rPr>
            </w:pPr>
            <w:r>
              <w:rPr>
                <w:rFonts w:ascii="Arial" w:hAnsi="Arial" w:cs="Arial"/>
                <w:color w:val="000000"/>
                <w:sz w:val="20"/>
                <w:szCs w:val="20"/>
                <w:lang w:val="en-GB"/>
              </w:rPr>
              <w:t>of the Republic of Azerbaijan to the Council of Europe</w:t>
            </w:r>
          </w:p>
          <w:p w14:paraId="362582EE" w14:textId="77777777" w:rsidR="00616F99" w:rsidRPr="00616F99" w:rsidRDefault="00616F99" w:rsidP="00616F99">
            <w:pPr>
              <w:rPr>
                <w:lang w:val="en-GB"/>
              </w:rPr>
            </w:pPr>
            <w:r>
              <w:rPr>
                <w:rFonts w:ascii="Arial" w:hAnsi="Arial" w:cs="Arial"/>
                <w:b/>
                <w:bCs/>
                <w:color w:val="000000"/>
                <w:sz w:val="20"/>
                <w:szCs w:val="20"/>
                <w:lang w:val="en-GB"/>
              </w:rPr>
              <w:br/>
              <w:t>Mr Shahin ABBASOV</w:t>
            </w:r>
          </w:p>
          <w:p w14:paraId="581CBE39" w14:textId="77777777" w:rsidR="00616F99" w:rsidRDefault="00616F99" w:rsidP="00616F99">
            <w:pPr>
              <w:rPr>
                <w:rFonts w:ascii="Arial" w:hAnsi="Arial" w:cs="Arial"/>
                <w:color w:val="000000"/>
                <w:sz w:val="20"/>
                <w:szCs w:val="20"/>
                <w:lang w:val="en-GB"/>
              </w:rPr>
            </w:pPr>
            <w:r>
              <w:rPr>
                <w:rFonts w:ascii="Arial" w:hAnsi="Arial" w:cs="Arial"/>
                <w:color w:val="000000"/>
                <w:sz w:val="20"/>
                <w:szCs w:val="20"/>
                <w:lang w:val="en-GB"/>
              </w:rPr>
              <w:t xml:space="preserve">Senior consultant of the </w:t>
            </w:r>
            <w:r w:rsidRPr="00616F99">
              <w:rPr>
                <w:rFonts w:ascii="Arial" w:hAnsi="Arial" w:cs="Arial"/>
                <w:color w:val="000000"/>
                <w:sz w:val="20"/>
                <w:szCs w:val="20"/>
                <w:lang w:val="en-GB"/>
              </w:rPr>
              <w:t>Human Rights Division</w:t>
            </w:r>
          </w:p>
          <w:p w14:paraId="61BA81C6" w14:textId="77777777" w:rsidR="00616F99" w:rsidRPr="00616F99" w:rsidRDefault="00616F99" w:rsidP="00616F99">
            <w:pPr>
              <w:rPr>
                <w:rFonts w:ascii="Helvetica" w:hAnsi="Helvetica" w:cs="Helvetica"/>
                <w:sz w:val="22"/>
                <w:szCs w:val="22"/>
                <w:lang w:val="en-GB"/>
              </w:rPr>
            </w:pPr>
            <w:r w:rsidRPr="00616F99">
              <w:rPr>
                <w:rFonts w:ascii="Arial" w:hAnsi="Arial" w:cs="Arial"/>
                <w:color w:val="000000"/>
                <w:sz w:val="20"/>
                <w:szCs w:val="20"/>
                <w:lang w:val="en-GB"/>
              </w:rPr>
              <w:t>Department for Work with Law Enforcement Bodies</w:t>
            </w:r>
          </w:p>
          <w:p w14:paraId="4B116671" w14:textId="77777777" w:rsidR="00616F99" w:rsidRPr="00616F99" w:rsidRDefault="00616F99" w:rsidP="00616F99">
            <w:pPr>
              <w:rPr>
                <w:rFonts w:ascii="Helvetica" w:hAnsi="Helvetica" w:cs="Helvetica"/>
                <w:lang w:val="en-GB"/>
              </w:rPr>
            </w:pPr>
            <w:r w:rsidRPr="00616F99">
              <w:rPr>
                <w:rFonts w:ascii="Arial" w:hAnsi="Arial" w:cs="Arial"/>
                <w:color w:val="000000"/>
                <w:sz w:val="20"/>
                <w:szCs w:val="20"/>
                <w:lang w:val="en-GB"/>
              </w:rPr>
              <w:t>Administration of President</w:t>
            </w:r>
            <w:r w:rsidRPr="00616F99">
              <w:rPr>
                <w:rFonts w:ascii="Arial" w:hAnsi="Arial" w:cs="Arial"/>
                <w:sz w:val="20"/>
                <w:szCs w:val="20"/>
                <w:lang w:val="en-GB"/>
              </w:rPr>
              <w:t> of the </w:t>
            </w:r>
            <w:r w:rsidRPr="00616F99">
              <w:rPr>
                <w:rFonts w:ascii="Arial" w:hAnsi="Arial" w:cs="Arial"/>
                <w:color w:val="000000"/>
                <w:sz w:val="20"/>
                <w:szCs w:val="20"/>
                <w:lang w:val="en-GB"/>
              </w:rPr>
              <w:t>Republic of Azerbaijan</w:t>
            </w:r>
          </w:p>
          <w:p w14:paraId="7593CAE6" w14:textId="77777777" w:rsidR="00616F99" w:rsidRPr="00616F99" w:rsidRDefault="00616F99" w:rsidP="00616F99">
            <w:pPr>
              <w:rPr>
                <w:rFonts w:ascii="Helvetica" w:hAnsi="Helvetica" w:cs="Helvetica"/>
                <w:lang w:val="en-GB"/>
              </w:rPr>
            </w:pPr>
          </w:p>
          <w:p w14:paraId="41DBCF31" w14:textId="77777777" w:rsidR="00616F99" w:rsidRPr="00616F99" w:rsidRDefault="00616F99" w:rsidP="00616F99">
            <w:pPr>
              <w:rPr>
                <w:lang w:val="en-GB"/>
              </w:rPr>
            </w:pPr>
            <w:r>
              <w:rPr>
                <w:rFonts w:ascii="Arial" w:hAnsi="Arial" w:cs="Arial"/>
                <w:b/>
                <w:bCs/>
                <w:color w:val="000000"/>
                <w:sz w:val="20"/>
                <w:szCs w:val="20"/>
                <w:lang w:val="en-GB"/>
              </w:rPr>
              <w:t xml:space="preserve">Mr </w:t>
            </w:r>
            <w:proofErr w:type="spellStart"/>
            <w:r>
              <w:rPr>
                <w:rFonts w:ascii="Arial" w:hAnsi="Arial" w:cs="Arial"/>
                <w:b/>
                <w:bCs/>
                <w:color w:val="000000"/>
                <w:sz w:val="20"/>
                <w:szCs w:val="20"/>
                <w:lang w:val="en-GB"/>
              </w:rPr>
              <w:t>Elnur</w:t>
            </w:r>
            <w:proofErr w:type="spellEnd"/>
            <w:r>
              <w:rPr>
                <w:rFonts w:ascii="Arial" w:hAnsi="Arial" w:cs="Arial"/>
                <w:b/>
                <w:bCs/>
                <w:color w:val="000000"/>
                <w:sz w:val="20"/>
                <w:szCs w:val="20"/>
                <w:lang w:val="en-GB"/>
              </w:rPr>
              <w:t xml:space="preserve"> ALIYEV</w:t>
            </w:r>
          </w:p>
          <w:p w14:paraId="28A86B89" w14:textId="77777777" w:rsidR="00616F99" w:rsidRPr="00616F99" w:rsidRDefault="00616F99" w:rsidP="00616F99">
            <w:pPr>
              <w:rPr>
                <w:rFonts w:ascii="Arial" w:hAnsi="Arial" w:cs="Arial"/>
                <w:color w:val="000000"/>
                <w:sz w:val="20"/>
                <w:szCs w:val="20"/>
                <w:lang w:val="en-GB"/>
              </w:rPr>
            </w:pPr>
            <w:r w:rsidRPr="00616F99">
              <w:rPr>
                <w:rFonts w:ascii="Arial" w:hAnsi="Arial" w:cs="Arial"/>
                <w:color w:val="000000"/>
                <w:sz w:val="20"/>
                <w:szCs w:val="20"/>
                <w:lang w:val="en-GB"/>
              </w:rPr>
              <w:t xml:space="preserve">Lead consultant </w:t>
            </w:r>
            <w:r>
              <w:rPr>
                <w:rFonts w:ascii="Arial" w:hAnsi="Arial" w:cs="Arial"/>
                <w:color w:val="000000"/>
                <w:sz w:val="20"/>
                <w:szCs w:val="20"/>
                <w:lang w:val="en-GB"/>
              </w:rPr>
              <w:t xml:space="preserve">of the </w:t>
            </w:r>
            <w:r w:rsidRPr="00616F99">
              <w:rPr>
                <w:rFonts w:ascii="Arial" w:hAnsi="Arial" w:cs="Arial"/>
                <w:color w:val="000000"/>
                <w:sz w:val="20"/>
                <w:szCs w:val="20"/>
                <w:lang w:val="en-GB"/>
              </w:rPr>
              <w:t>Human Rights Division</w:t>
            </w:r>
            <w:r>
              <w:rPr>
                <w:rFonts w:ascii="Arial" w:hAnsi="Arial" w:cs="Arial"/>
                <w:b/>
                <w:bCs/>
                <w:color w:val="000000"/>
                <w:sz w:val="20"/>
                <w:szCs w:val="20"/>
                <w:lang w:val="en-GB"/>
              </w:rPr>
              <w:br/>
            </w:r>
            <w:r w:rsidRPr="00616F99">
              <w:rPr>
                <w:rFonts w:ascii="Arial" w:hAnsi="Arial" w:cs="Arial"/>
                <w:color w:val="000000"/>
                <w:sz w:val="20"/>
                <w:szCs w:val="20"/>
                <w:lang w:val="en-GB"/>
              </w:rPr>
              <w:t>Department for Work with Law Enforcement Bodies</w:t>
            </w:r>
          </w:p>
          <w:p w14:paraId="7C1DAB77" w14:textId="60322D5A" w:rsidR="001849A7" w:rsidRPr="00616F99" w:rsidRDefault="00616F99" w:rsidP="00616F99">
            <w:pPr>
              <w:rPr>
                <w:rFonts w:ascii="Arial" w:eastAsia="Calibri" w:hAnsi="Arial" w:cs="Arial"/>
                <w:sz w:val="20"/>
                <w:szCs w:val="20"/>
                <w:lang w:val="en-GB" w:eastAsia="en-GB"/>
              </w:rPr>
            </w:pPr>
            <w:r w:rsidRPr="00616F99">
              <w:rPr>
                <w:rFonts w:ascii="Arial" w:hAnsi="Arial" w:cs="Arial"/>
                <w:color w:val="000000"/>
                <w:sz w:val="20"/>
                <w:szCs w:val="20"/>
                <w:lang w:val="en-GB"/>
              </w:rPr>
              <w:t>Administration of President</w:t>
            </w:r>
            <w:r w:rsidRPr="00616F99">
              <w:rPr>
                <w:rFonts w:ascii="Arial" w:hAnsi="Arial" w:cs="Arial"/>
                <w:sz w:val="20"/>
                <w:szCs w:val="20"/>
                <w:lang w:val="en-GB"/>
              </w:rPr>
              <w:t> of the </w:t>
            </w:r>
            <w:r w:rsidRPr="00616F99">
              <w:rPr>
                <w:rFonts w:ascii="Arial" w:hAnsi="Arial" w:cs="Arial"/>
                <w:color w:val="000000"/>
                <w:sz w:val="20"/>
                <w:szCs w:val="20"/>
                <w:lang w:val="en-GB"/>
              </w:rPr>
              <w:t>Republic of Azerbaijan</w:t>
            </w:r>
          </w:p>
        </w:tc>
      </w:tr>
      <w:tr w:rsidR="0031279F" w:rsidRPr="00616F99" w14:paraId="3EBD088C" w14:textId="77777777" w:rsidTr="00FF4961">
        <w:trPr>
          <w:trHeight w:val="624"/>
        </w:trPr>
        <w:tc>
          <w:tcPr>
            <w:tcW w:w="2678" w:type="dxa"/>
          </w:tcPr>
          <w:p w14:paraId="750F3F62" w14:textId="4C71C622" w:rsidR="00A06CD7" w:rsidRPr="0031279F" w:rsidRDefault="0031279F" w:rsidP="00A06CD7">
            <w:pPr>
              <w:rPr>
                <w:rFonts w:ascii="Arial" w:eastAsia="Calibri" w:hAnsi="Arial" w:cs="Arial"/>
                <w:b/>
                <w:bCs/>
                <w:spacing w:val="-2"/>
                <w:sz w:val="20"/>
                <w:szCs w:val="20"/>
                <w:lang w:val="en-GB" w:eastAsia="en-GB"/>
              </w:rPr>
            </w:pPr>
            <w:r w:rsidRPr="0031279F">
              <w:rPr>
                <w:rFonts w:ascii="Arial" w:eastAsia="Calibri" w:hAnsi="Arial" w:cs="Arial"/>
                <w:b/>
                <w:bCs/>
                <w:spacing w:val="-2"/>
                <w:sz w:val="20"/>
                <w:szCs w:val="20"/>
                <w:lang w:val="en-GB" w:eastAsia="en-GB"/>
              </w:rPr>
              <w:t xml:space="preserve">BOSNIA AND HERZEGOVINA </w:t>
            </w:r>
          </w:p>
          <w:p w14:paraId="64FF8C22" w14:textId="2804FFFA" w:rsidR="0031279F" w:rsidRPr="0031279F" w:rsidRDefault="0031279F" w:rsidP="0031279F">
            <w:pPr>
              <w:jc w:val="both"/>
              <w:rPr>
                <w:rFonts w:ascii="Arial" w:eastAsia="Calibri" w:hAnsi="Arial" w:cs="Arial"/>
                <w:b/>
                <w:bCs/>
                <w:spacing w:val="-2"/>
                <w:sz w:val="20"/>
                <w:szCs w:val="20"/>
                <w:lang w:val="en-GB" w:eastAsia="en-GB"/>
              </w:rPr>
            </w:pPr>
          </w:p>
        </w:tc>
        <w:tc>
          <w:tcPr>
            <w:tcW w:w="6608" w:type="dxa"/>
            <w:tcMar>
              <w:top w:w="85" w:type="dxa"/>
              <w:bottom w:w="85" w:type="dxa"/>
            </w:tcMar>
          </w:tcPr>
          <w:p w14:paraId="3AAFE62B" w14:textId="77777777" w:rsidR="0031279F" w:rsidRPr="0031279F" w:rsidRDefault="0031279F" w:rsidP="0031279F">
            <w:pPr>
              <w:rPr>
                <w:rFonts w:ascii="Arial" w:eastAsia="Calibri" w:hAnsi="Arial" w:cs="Arial"/>
                <w:b/>
                <w:sz w:val="20"/>
                <w:szCs w:val="20"/>
                <w:lang w:val="en-GB" w:eastAsia="en-GB"/>
              </w:rPr>
            </w:pPr>
            <w:r w:rsidRPr="0031279F">
              <w:rPr>
                <w:rFonts w:ascii="Arial" w:eastAsia="Calibri" w:hAnsi="Arial" w:cs="Arial"/>
                <w:b/>
                <w:sz w:val="20"/>
                <w:szCs w:val="20"/>
                <w:lang w:val="en-GB" w:eastAsia="en-GB"/>
              </w:rPr>
              <w:t>Ms Jelena CVIJETIC</w:t>
            </w:r>
          </w:p>
          <w:p w14:paraId="091DD618" w14:textId="77777777" w:rsidR="0031279F" w:rsidRPr="0031279F" w:rsidRDefault="0031279F" w:rsidP="0031279F">
            <w:pPr>
              <w:rPr>
                <w:rFonts w:ascii="Arial" w:eastAsia="Calibri" w:hAnsi="Arial" w:cs="Arial"/>
                <w:sz w:val="20"/>
                <w:szCs w:val="20"/>
                <w:shd w:val="clear" w:color="auto" w:fill="FFFFFF"/>
                <w:lang w:val="en-GB" w:eastAsia="en-GB"/>
              </w:rPr>
            </w:pPr>
            <w:r w:rsidRPr="0031279F">
              <w:rPr>
                <w:rFonts w:ascii="Arial" w:eastAsia="Calibri" w:hAnsi="Arial" w:cs="Arial"/>
                <w:sz w:val="20"/>
                <w:szCs w:val="20"/>
                <w:shd w:val="clear" w:color="auto" w:fill="FFFFFF"/>
                <w:lang w:val="en-GB" w:eastAsia="en-GB"/>
              </w:rPr>
              <w:t>Acting Agent of the Council of Ministers of Bosnia and Herzegovina before the European Court of Human Rights</w:t>
            </w:r>
          </w:p>
          <w:p w14:paraId="58AAFB5C" w14:textId="77777777" w:rsidR="0031279F" w:rsidRPr="0031279F" w:rsidRDefault="0031279F" w:rsidP="0031279F">
            <w:pPr>
              <w:rPr>
                <w:rFonts w:ascii="Arial" w:eastAsia="Calibri" w:hAnsi="Arial" w:cs="Arial"/>
                <w:sz w:val="20"/>
                <w:szCs w:val="20"/>
                <w:lang w:val="en-GB" w:eastAsia="en-GB"/>
              </w:rPr>
            </w:pPr>
          </w:p>
          <w:p w14:paraId="3279CB72" w14:textId="77777777" w:rsidR="0031279F" w:rsidRPr="0031279F" w:rsidRDefault="0031279F" w:rsidP="0031279F">
            <w:pPr>
              <w:rPr>
                <w:rFonts w:ascii="Arial" w:eastAsia="Calibri" w:hAnsi="Arial" w:cs="Arial"/>
                <w:b/>
                <w:sz w:val="20"/>
                <w:szCs w:val="20"/>
                <w:lang w:val="en-US" w:eastAsia="en-GB"/>
              </w:rPr>
            </w:pPr>
            <w:r w:rsidRPr="0031279F">
              <w:rPr>
                <w:rFonts w:ascii="Arial" w:eastAsia="Calibri" w:hAnsi="Arial" w:cs="Arial"/>
                <w:b/>
                <w:sz w:val="20"/>
                <w:szCs w:val="20"/>
                <w:lang w:val="en-US" w:eastAsia="en-GB"/>
              </w:rPr>
              <w:t>Ms Monika MIJIC</w:t>
            </w:r>
          </w:p>
          <w:p w14:paraId="057E91C9" w14:textId="77777777" w:rsidR="0031279F" w:rsidRPr="0031279F" w:rsidRDefault="0031279F" w:rsidP="0031279F">
            <w:pPr>
              <w:rPr>
                <w:rFonts w:ascii="Calibri" w:hAnsi="Calibri"/>
                <w:szCs w:val="20"/>
                <w:lang w:val="en-US" w:eastAsia="en-GB"/>
              </w:rPr>
            </w:pPr>
            <w:r w:rsidRPr="0031279F">
              <w:rPr>
                <w:rFonts w:ascii="Arial" w:eastAsia="Calibri" w:hAnsi="Arial" w:cs="Arial"/>
                <w:sz w:val="20"/>
                <w:szCs w:val="20"/>
                <w:shd w:val="clear" w:color="auto" w:fill="FFFFFF"/>
                <w:lang w:val="en-GB" w:eastAsia="en-GB"/>
              </w:rPr>
              <w:t>Acting Agent of the Council of Ministers of Bosnia and Herzegovina before the European Court of Human Rights</w:t>
            </w:r>
            <w:r w:rsidRPr="0031279F">
              <w:rPr>
                <w:rFonts w:ascii="Calibri" w:hAnsi="Calibri"/>
                <w:szCs w:val="20"/>
                <w:lang w:val="en-US" w:eastAsia="en-GB"/>
              </w:rPr>
              <w:t xml:space="preserve"> </w:t>
            </w:r>
          </w:p>
          <w:p w14:paraId="63AB766D" w14:textId="77777777" w:rsidR="0031279F" w:rsidRPr="0031279F" w:rsidRDefault="0031279F" w:rsidP="0031279F">
            <w:pPr>
              <w:rPr>
                <w:rFonts w:ascii="Arial" w:eastAsia="Calibri" w:hAnsi="Arial" w:cs="Arial"/>
                <w:sz w:val="20"/>
                <w:szCs w:val="20"/>
                <w:lang w:val="en-US" w:eastAsia="en-GB"/>
              </w:rPr>
            </w:pPr>
          </w:p>
          <w:p w14:paraId="43EB2C75" w14:textId="77777777" w:rsidR="0031279F" w:rsidRPr="0031279F" w:rsidRDefault="0031279F" w:rsidP="0031279F">
            <w:pPr>
              <w:rPr>
                <w:rFonts w:ascii="Arial" w:eastAsia="Calibri" w:hAnsi="Arial" w:cs="Arial"/>
                <w:b/>
                <w:sz w:val="20"/>
                <w:szCs w:val="20"/>
                <w:lang w:val="en-US" w:eastAsia="en-GB"/>
              </w:rPr>
            </w:pPr>
            <w:r w:rsidRPr="0031279F">
              <w:rPr>
                <w:rFonts w:ascii="Arial" w:eastAsia="Calibri" w:hAnsi="Arial" w:cs="Arial"/>
                <w:b/>
                <w:sz w:val="20"/>
                <w:szCs w:val="20"/>
                <w:lang w:val="en-US" w:eastAsia="en-GB"/>
              </w:rPr>
              <w:t xml:space="preserve">Ms </w:t>
            </w:r>
            <w:proofErr w:type="spellStart"/>
            <w:r w:rsidRPr="0031279F">
              <w:rPr>
                <w:rFonts w:ascii="Arial" w:eastAsia="Calibri" w:hAnsi="Arial" w:cs="Arial"/>
                <w:b/>
                <w:sz w:val="20"/>
                <w:szCs w:val="20"/>
                <w:lang w:val="en-US" w:eastAsia="en-GB"/>
              </w:rPr>
              <w:t>Harisa</w:t>
            </w:r>
            <w:proofErr w:type="spellEnd"/>
            <w:r w:rsidRPr="0031279F">
              <w:rPr>
                <w:rFonts w:ascii="Arial" w:eastAsia="Calibri" w:hAnsi="Arial" w:cs="Arial"/>
                <w:b/>
                <w:sz w:val="20"/>
                <w:szCs w:val="20"/>
                <w:lang w:val="en-US" w:eastAsia="en-GB"/>
              </w:rPr>
              <w:t xml:space="preserve"> BACVIC </w:t>
            </w:r>
          </w:p>
          <w:p w14:paraId="30155DD2" w14:textId="77777777" w:rsidR="0031279F" w:rsidRPr="0031279F" w:rsidRDefault="0031279F" w:rsidP="0031279F">
            <w:pPr>
              <w:rPr>
                <w:rFonts w:ascii="Arial" w:eastAsia="Calibri" w:hAnsi="Arial" w:cs="Arial"/>
                <w:sz w:val="20"/>
                <w:szCs w:val="20"/>
                <w:shd w:val="clear" w:color="auto" w:fill="FFFFFF"/>
                <w:lang w:val="en-GB" w:eastAsia="en-GB"/>
              </w:rPr>
            </w:pPr>
            <w:r w:rsidRPr="0031279F">
              <w:rPr>
                <w:rFonts w:ascii="Arial" w:eastAsia="Calibri" w:hAnsi="Arial" w:cs="Arial"/>
                <w:sz w:val="20"/>
                <w:szCs w:val="20"/>
                <w:shd w:val="clear" w:color="auto" w:fill="FFFFFF"/>
                <w:lang w:val="en-GB" w:eastAsia="en-GB"/>
              </w:rPr>
              <w:lastRenderedPageBreak/>
              <w:t>Acting Agent of the Council of Ministers of Bosnia and Herzegovina before the European Court of Human Rights</w:t>
            </w:r>
          </w:p>
        </w:tc>
      </w:tr>
      <w:tr w:rsidR="0031279F" w:rsidRPr="00616F99" w14:paraId="6EFDE7A5" w14:textId="77777777" w:rsidTr="00FF4961">
        <w:trPr>
          <w:trHeight w:val="601"/>
        </w:trPr>
        <w:tc>
          <w:tcPr>
            <w:tcW w:w="2678" w:type="dxa"/>
          </w:tcPr>
          <w:p w14:paraId="74FDB2BB" w14:textId="3AE2C0A3" w:rsidR="0031279F" w:rsidRPr="0031279F" w:rsidRDefault="0031279F" w:rsidP="0031279F">
            <w:pPr>
              <w:jc w:val="both"/>
              <w:rPr>
                <w:rFonts w:ascii="Arial" w:eastAsia="Calibri" w:hAnsi="Arial" w:cs="Arial"/>
                <w:b/>
                <w:sz w:val="20"/>
                <w:szCs w:val="20"/>
                <w:lang w:val="en-US" w:eastAsia="en-GB"/>
              </w:rPr>
            </w:pPr>
            <w:r w:rsidRPr="0031279F">
              <w:rPr>
                <w:rFonts w:ascii="Arial" w:eastAsia="Calibri" w:hAnsi="Arial" w:cs="Arial"/>
                <w:b/>
                <w:sz w:val="20"/>
                <w:szCs w:val="20"/>
                <w:lang w:val="en-US" w:eastAsia="en-GB"/>
              </w:rPr>
              <w:lastRenderedPageBreak/>
              <w:t xml:space="preserve">CROATIA </w:t>
            </w:r>
          </w:p>
          <w:p w14:paraId="43BEA1E6" w14:textId="77777777" w:rsidR="0031279F" w:rsidRPr="0031279F" w:rsidRDefault="0031279F" w:rsidP="0031279F">
            <w:pPr>
              <w:tabs>
                <w:tab w:val="right" w:pos="9600"/>
              </w:tabs>
              <w:rPr>
                <w:rFonts w:ascii="Arial" w:eastAsia="Calibri" w:hAnsi="Arial" w:cs="Arial"/>
                <w:sz w:val="20"/>
                <w:szCs w:val="20"/>
                <w:lang w:val="en-GB" w:eastAsia="en-GB"/>
              </w:rPr>
            </w:pPr>
          </w:p>
        </w:tc>
        <w:tc>
          <w:tcPr>
            <w:tcW w:w="6608" w:type="dxa"/>
            <w:tcMar>
              <w:top w:w="85" w:type="dxa"/>
              <w:bottom w:w="85" w:type="dxa"/>
            </w:tcMar>
          </w:tcPr>
          <w:p w14:paraId="0355D90A" w14:textId="77777777" w:rsidR="0031279F" w:rsidRPr="0031279F" w:rsidRDefault="0031279F" w:rsidP="0031279F">
            <w:pPr>
              <w:jc w:val="both"/>
              <w:rPr>
                <w:rFonts w:ascii="Arial" w:eastAsia="Calibri" w:hAnsi="Arial" w:cs="Arial"/>
                <w:b/>
                <w:bCs/>
                <w:sz w:val="20"/>
                <w:szCs w:val="20"/>
                <w:lang w:val="en-US" w:eastAsia="en-GB"/>
              </w:rPr>
            </w:pPr>
            <w:r w:rsidRPr="0031279F">
              <w:rPr>
                <w:rFonts w:ascii="Arial" w:eastAsia="Calibri" w:hAnsi="Arial" w:cs="Arial"/>
                <w:b/>
                <w:bCs/>
                <w:sz w:val="20"/>
                <w:szCs w:val="20"/>
                <w:lang w:val="en-US" w:eastAsia="en-GB"/>
              </w:rPr>
              <w:t xml:space="preserve">Ms </w:t>
            </w:r>
            <w:proofErr w:type="spellStart"/>
            <w:r w:rsidRPr="0031279F">
              <w:rPr>
                <w:rFonts w:ascii="Arial" w:eastAsia="Calibri" w:hAnsi="Arial" w:cs="Arial"/>
                <w:b/>
                <w:bCs/>
                <w:sz w:val="20"/>
                <w:szCs w:val="20"/>
                <w:lang w:val="en-US" w:eastAsia="en-GB"/>
              </w:rPr>
              <w:t>Štefica</w:t>
            </w:r>
            <w:proofErr w:type="spellEnd"/>
            <w:r w:rsidRPr="0031279F">
              <w:rPr>
                <w:rFonts w:ascii="Arial" w:eastAsia="Calibri" w:hAnsi="Arial" w:cs="Arial"/>
                <w:b/>
                <w:bCs/>
                <w:sz w:val="20"/>
                <w:szCs w:val="20"/>
                <w:lang w:val="en-US" w:eastAsia="en-GB"/>
              </w:rPr>
              <w:t xml:space="preserve"> STAŽNIK</w:t>
            </w:r>
          </w:p>
          <w:p w14:paraId="4A21FA5F" w14:textId="77777777" w:rsidR="0031279F" w:rsidRDefault="0031279F" w:rsidP="0031279F">
            <w:pPr>
              <w:jc w:val="both"/>
              <w:rPr>
                <w:rFonts w:ascii="Arial" w:eastAsia="Calibri" w:hAnsi="Arial" w:cs="Arial"/>
                <w:sz w:val="20"/>
                <w:szCs w:val="20"/>
                <w:lang w:val="en-US" w:eastAsia="en-GB"/>
              </w:rPr>
            </w:pPr>
            <w:r w:rsidRPr="0031279F">
              <w:rPr>
                <w:rFonts w:ascii="Arial" w:eastAsia="Calibri" w:hAnsi="Arial" w:cs="Arial"/>
                <w:sz w:val="20"/>
                <w:szCs w:val="20"/>
                <w:lang w:val="en-US" w:eastAsia="en-GB"/>
              </w:rPr>
              <w:t>Representative, Office of the Representative of the Republic of Croatia before the ECHR</w:t>
            </w:r>
          </w:p>
          <w:p w14:paraId="4C997228" w14:textId="77777777" w:rsidR="003C6FA7" w:rsidRDefault="003C6FA7" w:rsidP="0031279F">
            <w:pPr>
              <w:jc w:val="both"/>
              <w:rPr>
                <w:rFonts w:ascii="Arial" w:eastAsia="Calibri" w:hAnsi="Arial" w:cs="Arial"/>
                <w:color w:val="0000FF"/>
                <w:sz w:val="20"/>
                <w:szCs w:val="20"/>
                <w:u w:val="single"/>
                <w:lang w:val="en-GB" w:eastAsia="en-GB"/>
              </w:rPr>
            </w:pPr>
          </w:p>
          <w:p w14:paraId="35BD3EED" w14:textId="77777777" w:rsidR="003C6FA7" w:rsidRPr="003C6FA7" w:rsidRDefault="003C6FA7" w:rsidP="003C6FA7">
            <w:pPr>
              <w:jc w:val="both"/>
              <w:rPr>
                <w:rFonts w:ascii="Arial" w:eastAsia="Calibri" w:hAnsi="Arial" w:cs="Arial"/>
                <w:b/>
                <w:bCs/>
                <w:sz w:val="20"/>
                <w:szCs w:val="20"/>
                <w:lang w:val="en-US" w:eastAsia="en-GB"/>
              </w:rPr>
            </w:pPr>
            <w:r w:rsidRPr="003C6FA7">
              <w:rPr>
                <w:rFonts w:ascii="Arial" w:eastAsia="Calibri" w:hAnsi="Arial" w:cs="Arial"/>
                <w:b/>
                <w:bCs/>
                <w:sz w:val="20"/>
                <w:szCs w:val="20"/>
                <w:lang w:val="en-US" w:eastAsia="en-GB"/>
              </w:rPr>
              <w:t>Ms Narcisa BEĆIREVIĆ</w:t>
            </w:r>
          </w:p>
          <w:p w14:paraId="0F73F801" w14:textId="5FA2C487" w:rsidR="003C6FA7" w:rsidRPr="003C6FA7" w:rsidRDefault="003C6FA7" w:rsidP="0031279F">
            <w:pPr>
              <w:jc w:val="both"/>
              <w:rPr>
                <w:rFonts w:ascii="Arial" w:eastAsia="Calibri" w:hAnsi="Arial" w:cs="Arial"/>
                <w:color w:val="0000FF"/>
                <w:sz w:val="20"/>
                <w:szCs w:val="20"/>
                <w:u w:val="single"/>
                <w:lang w:val="en-US" w:eastAsia="en-GB"/>
              </w:rPr>
            </w:pPr>
            <w:r w:rsidRPr="003C6FA7">
              <w:rPr>
                <w:rFonts w:ascii="Arial" w:eastAsia="Calibri" w:hAnsi="Arial" w:cs="Arial"/>
                <w:sz w:val="20"/>
                <w:szCs w:val="20"/>
                <w:lang w:val="en-US" w:eastAsia="en-GB"/>
              </w:rPr>
              <w:t>Minister Plenipotentiary at Ministry of Foreign and European Affairs</w:t>
            </w:r>
          </w:p>
        </w:tc>
      </w:tr>
      <w:tr w:rsidR="0031279F" w:rsidRPr="00616F99" w14:paraId="7A0CEFF8" w14:textId="77777777" w:rsidTr="00FF4961">
        <w:trPr>
          <w:trHeight w:val="624"/>
        </w:trPr>
        <w:tc>
          <w:tcPr>
            <w:tcW w:w="2678" w:type="dxa"/>
          </w:tcPr>
          <w:p w14:paraId="1DACA85E" w14:textId="1B2022C6" w:rsidR="0031279F" w:rsidRPr="0031279F" w:rsidRDefault="0031279F" w:rsidP="0031279F">
            <w:pPr>
              <w:rPr>
                <w:rFonts w:ascii="Arial" w:eastAsia="Calibri" w:hAnsi="Arial" w:cs="Arial"/>
                <w:b/>
                <w:bCs/>
                <w:spacing w:val="-2"/>
                <w:sz w:val="20"/>
                <w:szCs w:val="20"/>
                <w:lang w:val="en-US" w:eastAsia="en-GB"/>
              </w:rPr>
            </w:pPr>
            <w:r w:rsidRPr="0031279F">
              <w:rPr>
                <w:rFonts w:ascii="Arial" w:eastAsia="Calibri" w:hAnsi="Arial" w:cs="Arial"/>
                <w:b/>
                <w:bCs/>
                <w:spacing w:val="-2"/>
                <w:sz w:val="20"/>
                <w:szCs w:val="20"/>
                <w:lang w:val="en-US" w:eastAsia="en-GB"/>
              </w:rPr>
              <w:t xml:space="preserve">CYPRUS </w:t>
            </w:r>
          </w:p>
          <w:p w14:paraId="03C3E8B5" w14:textId="77777777" w:rsidR="0031279F" w:rsidRPr="0031279F" w:rsidRDefault="0031279F" w:rsidP="0031279F">
            <w:pPr>
              <w:jc w:val="both"/>
              <w:rPr>
                <w:rFonts w:ascii="Arial" w:eastAsia="Calibri" w:hAnsi="Arial" w:cs="Arial"/>
                <w:b/>
                <w:bCs/>
                <w:spacing w:val="-2"/>
                <w:sz w:val="20"/>
                <w:szCs w:val="20"/>
                <w:lang w:val="en-GB" w:eastAsia="en-GB"/>
              </w:rPr>
            </w:pPr>
          </w:p>
        </w:tc>
        <w:tc>
          <w:tcPr>
            <w:tcW w:w="6608" w:type="dxa"/>
            <w:tcMar>
              <w:top w:w="85" w:type="dxa"/>
              <w:bottom w:w="85" w:type="dxa"/>
            </w:tcMar>
          </w:tcPr>
          <w:p w14:paraId="0DC310F8" w14:textId="77777777" w:rsidR="0031279F" w:rsidRPr="0031279F" w:rsidRDefault="0031279F" w:rsidP="0031279F">
            <w:pPr>
              <w:jc w:val="both"/>
              <w:rPr>
                <w:rFonts w:ascii="Arial" w:eastAsia="Calibri" w:hAnsi="Arial" w:cs="Arial"/>
                <w:b/>
                <w:bCs/>
                <w:sz w:val="20"/>
                <w:szCs w:val="20"/>
                <w:shd w:val="clear" w:color="auto" w:fill="FFFFFF"/>
                <w:lang w:val="en-GB" w:eastAsia="en-GB"/>
              </w:rPr>
            </w:pPr>
            <w:r w:rsidRPr="0031279F">
              <w:rPr>
                <w:rFonts w:ascii="Arial" w:eastAsia="Calibri" w:hAnsi="Arial" w:cs="Arial"/>
                <w:b/>
                <w:bCs/>
                <w:sz w:val="20"/>
                <w:szCs w:val="20"/>
                <w:shd w:val="clear" w:color="auto" w:fill="FFFFFF"/>
                <w:lang w:val="en-GB" w:eastAsia="en-GB"/>
              </w:rPr>
              <w:t>Ms Theodora CHRISTODOULIDOU</w:t>
            </w:r>
          </w:p>
          <w:p w14:paraId="0F6EA9D4" w14:textId="77777777" w:rsidR="0031279F" w:rsidRPr="0031279F" w:rsidRDefault="0031279F" w:rsidP="0031279F">
            <w:pPr>
              <w:jc w:val="both"/>
              <w:rPr>
                <w:rFonts w:ascii="Arial" w:eastAsia="Calibri" w:hAnsi="Arial" w:cs="Arial"/>
                <w:sz w:val="20"/>
                <w:szCs w:val="20"/>
                <w:shd w:val="clear" w:color="auto" w:fill="FFFFFF"/>
                <w:lang w:val="en-GB" w:eastAsia="en-GB"/>
              </w:rPr>
            </w:pPr>
            <w:r w:rsidRPr="0031279F">
              <w:rPr>
                <w:rFonts w:ascii="Arial" w:eastAsia="Calibri" w:hAnsi="Arial" w:cs="Arial"/>
                <w:sz w:val="20"/>
                <w:szCs w:val="20"/>
                <w:shd w:val="clear" w:color="auto" w:fill="FFFFFF"/>
                <w:lang w:val="en-GB" w:eastAsia="en-GB"/>
              </w:rPr>
              <w:t>Counsel A of the Republic of Cyprus</w:t>
            </w:r>
          </w:p>
          <w:p w14:paraId="2375D22E" w14:textId="77777777" w:rsidR="0031279F" w:rsidRPr="0031279F" w:rsidRDefault="0031279F" w:rsidP="0031279F">
            <w:pPr>
              <w:jc w:val="both"/>
              <w:rPr>
                <w:rFonts w:ascii="Arial" w:eastAsia="Calibri" w:hAnsi="Arial" w:cs="Arial"/>
                <w:iCs/>
                <w:szCs w:val="20"/>
                <w:lang w:val="en-US" w:eastAsia="en-GB"/>
              </w:rPr>
            </w:pPr>
            <w:r w:rsidRPr="0031279F">
              <w:rPr>
                <w:rFonts w:ascii="Arial" w:eastAsia="Calibri" w:hAnsi="Arial" w:cs="Arial"/>
                <w:sz w:val="20"/>
                <w:szCs w:val="20"/>
                <w:shd w:val="clear" w:color="auto" w:fill="FFFFFF"/>
                <w:lang w:val="en-GB" w:eastAsia="en-GB"/>
              </w:rPr>
              <w:t>Law Office of the Republic of Cyprus</w:t>
            </w:r>
          </w:p>
        </w:tc>
      </w:tr>
      <w:tr w:rsidR="0031279F" w:rsidRPr="0031279F" w14:paraId="55F7EA17" w14:textId="77777777" w:rsidTr="00FF4961">
        <w:trPr>
          <w:trHeight w:val="624"/>
        </w:trPr>
        <w:tc>
          <w:tcPr>
            <w:tcW w:w="2678" w:type="dxa"/>
          </w:tcPr>
          <w:p w14:paraId="5D5F0550" w14:textId="201D3251" w:rsidR="0031279F" w:rsidRPr="0031279F" w:rsidRDefault="0031279F" w:rsidP="0031279F">
            <w:pPr>
              <w:rPr>
                <w:rFonts w:ascii="Arial" w:eastAsia="Calibri" w:hAnsi="Arial" w:cs="Arial"/>
                <w:b/>
                <w:bCs/>
                <w:spacing w:val="-2"/>
                <w:sz w:val="20"/>
                <w:szCs w:val="20"/>
                <w:lang w:val="en-US" w:eastAsia="en-GB"/>
              </w:rPr>
            </w:pPr>
            <w:r w:rsidRPr="0031279F">
              <w:rPr>
                <w:rFonts w:ascii="Arial" w:eastAsia="Calibri" w:hAnsi="Arial" w:cs="Arial"/>
                <w:b/>
                <w:bCs/>
                <w:spacing w:val="-2"/>
                <w:sz w:val="20"/>
                <w:szCs w:val="20"/>
                <w:lang w:val="en-US" w:eastAsia="en-GB"/>
              </w:rPr>
              <w:t xml:space="preserve">CZECH REPUBLIC </w:t>
            </w:r>
          </w:p>
          <w:p w14:paraId="215BB098" w14:textId="77777777" w:rsidR="0031279F" w:rsidRPr="0031279F" w:rsidRDefault="0031279F" w:rsidP="0031279F">
            <w:pPr>
              <w:jc w:val="both"/>
              <w:rPr>
                <w:rFonts w:ascii="Arial" w:eastAsia="Calibri" w:hAnsi="Arial" w:cs="Arial"/>
                <w:b/>
                <w:bCs/>
                <w:spacing w:val="-2"/>
                <w:sz w:val="20"/>
                <w:szCs w:val="20"/>
                <w:lang w:val="en-GB" w:eastAsia="en-GB"/>
              </w:rPr>
            </w:pPr>
          </w:p>
        </w:tc>
        <w:tc>
          <w:tcPr>
            <w:tcW w:w="6608" w:type="dxa"/>
            <w:tcMar>
              <w:top w:w="85" w:type="dxa"/>
              <w:bottom w:w="85" w:type="dxa"/>
            </w:tcMar>
          </w:tcPr>
          <w:p w14:paraId="55928B96" w14:textId="77777777" w:rsidR="0031279F" w:rsidRPr="0031279F" w:rsidRDefault="0031279F" w:rsidP="0031279F">
            <w:pPr>
              <w:jc w:val="both"/>
              <w:rPr>
                <w:rFonts w:ascii="Arial" w:eastAsia="Calibri" w:hAnsi="Arial" w:cs="Arial"/>
                <w:b/>
                <w:sz w:val="20"/>
                <w:szCs w:val="20"/>
                <w:lang w:val="en-US" w:eastAsia="en-GB"/>
              </w:rPr>
            </w:pPr>
            <w:r w:rsidRPr="0031279F">
              <w:rPr>
                <w:rFonts w:ascii="Arial" w:eastAsia="Calibri" w:hAnsi="Arial" w:cs="Arial"/>
                <w:b/>
                <w:sz w:val="20"/>
                <w:szCs w:val="20"/>
                <w:lang w:val="en-US" w:eastAsia="en-GB"/>
              </w:rPr>
              <w:t>Ms Martina JIRSOVA</w:t>
            </w:r>
          </w:p>
          <w:p w14:paraId="7201E78F" w14:textId="77777777" w:rsidR="0031279F" w:rsidRPr="0031279F" w:rsidRDefault="0031279F" w:rsidP="0031279F">
            <w:pPr>
              <w:jc w:val="both"/>
              <w:rPr>
                <w:rFonts w:ascii="Arial" w:eastAsia="Calibri" w:hAnsi="Arial" w:cs="Arial"/>
                <w:sz w:val="20"/>
                <w:szCs w:val="20"/>
                <w:lang w:val="en-US" w:eastAsia="en-GB"/>
              </w:rPr>
            </w:pPr>
            <w:r w:rsidRPr="0031279F">
              <w:rPr>
                <w:rFonts w:ascii="Arial" w:eastAsia="Calibri" w:hAnsi="Arial" w:cs="Arial"/>
                <w:sz w:val="20"/>
                <w:szCs w:val="20"/>
                <w:lang w:val="en-US" w:eastAsia="en-GB"/>
              </w:rPr>
              <w:t>Advisor at the Office of the Czech Government Agent</w:t>
            </w:r>
          </w:p>
          <w:p w14:paraId="4E1D52A2" w14:textId="77777777" w:rsidR="0031279F" w:rsidRPr="0031279F" w:rsidRDefault="0031279F" w:rsidP="0031279F">
            <w:pPr>
              <w:jc w:val="both"/>
              <w:rPr>
                <w:rFonts w:ascii="Arial" w:eastAsia="Calibri" w:hAnsi="Arial" w:cs="Arial"/>
                <w:sz w:val="20"/>
                <w:szCs w:val="20"/>
                <w:lang w:val="en-GB" w:eastAsia="en-GB"/>
              </w:rPr>
            </w:pPr>
            <w:r w:rsidRPr="0031279F">
              <w:rPr>
                <w:rFonts w:ascii="Arial" w:eastAsia="Calibri" w:hAnsi="Arial" w:cs="Arial"/>
                <w:sz w:val="20"/>
                <w:szCs w:val="20"/>
                <w:lang w:val="en-US" w:eastAsia="en-GB"/>
              </w:rPr>
              <w:t>Ministry of Justice</w:t>
            </w:r>
            <w:r w:rsidRPr="0031279F">
              <w:rPr>
                <w:rFonts w:ascii="Arial" w:eastAsia="Calibri" w:hAnsi="Arial" w:cs="Arial"/>
                <w:bCs/>
                <w:sz w:val="20"/>
                <w:szCs w:val="20"/>
                <w:lang w:val="en-US" w:eastAsia="en-GB"/>
              </w:rPr>
              <w:t xml:space="preserve"> </w:t>
            </w:r>
          </w:p>
        </w:tc>
      </w:tr>
      <w:tr w:rsidR="0031279F" w:rsidRPr="0031279F" w14:paraId="36561F9E" w14:textId="77777777" w:rsidTr="00FF4961">
        <w:trPr>
          <w:trHeight w:val="624"/>
        </w:trPr>
        <w:tc>
          <w:tcPr>
            <w:tcW w:w="2678" w:type="dxa"/>
          </w:tcPr>
          <w:p w14:paraId="22DC5B02" w14:textId="01471C81" w:rsidR="0031279F" w:rsidRPr="0031279F" w:rsidRDefault="0031279F" w:rsidP="0031279F">
            <w:pPr>
              <w:jc w:val="both"/>
              <w:rPr>
                <w:rFonts w:ascii="Arial" w:eastAsia="Calibri" w:hAnsi="Arial" w:cs="Arial"/>
                <w:b/>
                <w:sz w:val="20"/>
                <w:szCs w:val="20"/>
                <w:lang w:val="en-US" w:eastAsia="en-GB"/>
              </w:rPr>
            </w:pPr>
            <w:r w:rsidRPr="0031279F">
              <w:rPr>
                <w:rFonts w:ascii="Arial" w:eastAsia="Calibri" w:hAnsi="Arial" w:cs="Arial"/>
                <w:b/>
                <w:sz w:val="20"/>
                <w:szCs w:val="20"/>
                <w:lang w:val="en-US" w:eastAsia="en-GB"/>
              </w:rPr>
              <w:t>FINLAND</w:t>
            </w:r>
          </w:p>
          <w:p w14:paraId="7A9C2FB8" w14:textId="77777777" w:rsidR="0031279F" w:rsidRPr="0031279F" w:rsidRDefault="0031279F" w:rsidP="0031279F">
            <w:pPr>
              <w:jc w:val="both"/>
              <w:rPr>
                <w:rFonts w:ascii="Arial" w:eastAsia="Calibri" w:hAnsi="Arial" w:cs="Arial"/>
                <w:b/>
                <w:bCs/>
                <w:spacing w:val="-2"/>
                <w:sz w:val="20"/>
                <w:szCs w:val="20"/>
                <w:lang w:val="en-GB" w:eastAsia="en-GB"/>
              </w:rPr>
            </w:pPr>
          </w:p>
        </w:tc>
        <w:tc>
          <w:tcPr>
            <w:tcW w:w="6608" w:type="dxa"/>
            <w:tcMar>
              <w:top w:w="85" w:type="dxa"/>
              <w:bottom w:w="85" w:type="dxa"/>
            </w:tcMar>
          </w:tcPr>
          <w:p w14:paraId="54DF976F" w14:textId="77777777" w:rsidR="0031279F" w:rsidRPr="0031279F" w:rsidRDefault="0031279F" w:rsidP="0031279F">
            <w:pPr>
              <w:rPr>
                <w:rFonts w:ascii="Arial" w:eastAsia="Calibri" w:hAnsi="Arial" w:cs="Arial"/>
                <w:sz w:val="20"/>
                <w:szCs w:val="20"/>
                <w:shd w:val="clear" w:color="auto" w:fill="FFFFFF"/>
                <w:lang w:val="en-GB" w:eastAsia="en-GB"/>
              </w:rPr>
            </w:pPr>
            <w:r w:rsidRPr="0031279F">
              <w:rPr>
                <w:rFonts w:ascii="Arial" w:eastAsia="Calibri" w:hAnsi="Arial" w:cs="Arial"/>
                <w:b/>
                <w:bCs/>
                <w:sz w:val="20"/>
                <w:szCs w:val="20"/>
                <w:shd w:val="clear" w:color="auto" w:fill="FFFFFF"/>
                <w:lang w:val="en-GB" w:eastAsia="en-GB"/>
              </w:rPr>
              <w:t>Ms Satu SISTONEN</w:t>
            </w:r>
            <w:r w:rsidRPr="0031279F">
              <w:rPr>
                <w:rFonts w:ascii="Arial" w:eastAsia="Calibri" w:hAnsi="Arial" w:cs="Arial"/>
                <w:sz w:val="20"/>
                <w:szCs w:val="20"/>
                <w:shd w:val="clear" w:color="auto" w:fill="FFFFFF"/>
                <w:lang w:val="en-GB" w:eastAsia="en-GB"/>
              </w:rPr>
              <w:br/>
              <w:t>Deputy Director, Legal Counsellor</w:t>
            </w:r>
            <w:r w:rsidRPr="0031279F">
              <w:rPr>
                <w:rFonts w:ascii="Arial" w:eastAsia="Calibri" w:hAnsi="Arial" w:cs="Arial"/>
                <w:sz w:val="20"/>
                <w:szCs w:val="20"/>
                <w:shd w:val="clear" w:color="auto" w:fill="FFFFFF"/>
                <w:lang w:val="en-GB" w:eastAsia="en-GB"/>
              </w:rPr>
              <w:br/>
              <w:t>Unit for Human Rights Courts and Conventions</w:t>
            </w:r>
          </w:p>
          <w:p w14:paraId="20C16541" w14:textId="77777777" w:rsidR="0031279F" w:rsidRPr="0031279F" w:rsidRDefault="0031279F" w:rsidP="0031279F">
            <w:pPr>
              <w:rPr>
                <w:rFonts w:ascii="Arial" w:eastAsia="Calibri" w:hAnsi="Arial" w:cs="Arial"/>
                <w:szCs w:val="20"/>
                <w:lang w:val="en-US" w:eastAsia="en-GB"/>
              </w:rPr>
            </w:pPr>
            <w:r w:rsidRPr="0031279F">
              <w:rPr>
                <w:rFonts w:ascii="Arial" w:eastAsia="Calibri" w:hAnsi="Arial" w:cs="Arial"/>
                <w:sz w:val="20"/>
                <w:szCs w:val="20"/>
                <w:shd w:val="clear" w:color="auto" w:fill="FFFFFF"/>
                <w:lang w:val="en-GB" w:eastAsia="en-GB"/>
              </w:rPr>
              <w:t>Legal Service</w:t>
            </w:r>
            <w:r w:rsidRPr="0031279F">
              <w:rPr>
                <w:rFonts w:ascii="Arial" w:eastAsia="Calibri" w:hAnsi="Arial" w:cs="Arial"/>
                <w:szCs w:val="20"/>
                <w:lang w:val="en-US" w:eastAsia="en-GB"/>
              </w:rPr>
              <w:t xml:space="preserve"> </w:t>
            </w:r>
          </w:p>
        </w:tc>
      </w:tr>
      <w:tr w:rsidR="0031279F" w:rsidRPr="00616F99" w14:paraId="4C979DF7" w14:textId="77777777" w:rsidTr="00FF4961">
        <w:trPr>
          <w:trHeight w:val="624"/>
        </w:trPr>
        <w:tc>
          <w:tcPr>
            <w:tcW w:w="2678" w:type="dxa"/>
          </w:tcPr>
          <w:p w14:paraId="41B5A58A" w14:textId="78D3B06E" w:rsidR="0031279F" w:rsidRPr="0031279F" w:rsidRDefault="0031279F" w:rsidP="00A06CD7">
            <w:pPr>
              <w:jc w:val="both"/>
              <w:rPr>
                <w:rFonts w:ascii="Arial" w:eastAsia="Calibri" w:hAnsi="Arial" w:cs="Arial"/>
                <w:sz w:val="20"/>
                <w:szCs w:val="20"/>
                <w:lang w:val="en-GB" w:eastAsia="en-GB"/>
              </w:rPr>
            </w:pPr>
            <w:r w:rsidRPr="0031279F">
              <w:rPr>
                <w:rFonts w:ascii="Arial" w:eastAsia="Calibri" w:hAnsi="Arial" w:cs="Arial"/>
                <w:b/>
                <w:spacing w:val="-2"/>
                <w:sz w:val="20"/>
                <w:szCs w:val="20"/>
                <w:lang w:val="en-US" w:eastAsia="en-GB"/>
              </w:rPr>
              <w:t xml:space="preserve">GEORGIA </w:t>
            </w:r>
          </w:p>
        </w:tc>
        <w:tc>
          <w:tcPr>
            <w:tcW w:w="6608" w:type="dxa"/>
            <w:tcMar>
              <w:top w:w="85" w:type="dxa"/>
              <w:bottom w:w="85" w:type="dxa"/>
            </w:tcMar>
          </w:tcPr>
          <w:p w14:paraId="223B0723" w14:textId="77777777" w:rsidR="0031279F" w:rsidRPr="0031279F" w:rsidRDefault="0031279F" w:rsidP="0031279F">
            <w:pPr>
              <w:jc w:val="both"/>
              <w:rPr>
                <w:rFonts w:ascii="Arial" w:eastAsia="Calibri" w:hAnsi="Arial" w:cs="Arial"/>
                <w:sz w:val="20"/>
                <w:szCs w:val="20"/>
                <w:shd w:val="clear" w:color="auto" w:fill="FFFFFF"/>
                <w:lang w:val="en-GB" w:eastAsia="en-GB"/>
              </w:rPr>
            </w:pPr>
            <w:r w:rsidRPr="0031279F">
              <w:rPr>
                <w:rFonts w:ascii="Arial" w:eastAsia="Calibri" w:hAnsi="Arial" w:cs="Arial"/>
                <w:b/>
                <w:bCs/>
                <w:sz w:val="20"/>
                <w:szCs w:val="20"/>
                <w:shd w:val="clear" w:color="auto" w:fill="FFFFFF"/>
                <w:lang w:val="en-GB" w:eastAsia="en-GB"/>
              </w:rPr>
              <w:t>Ms. Nino NIKOLAISHVILI</w:t>
            </w:r>
            <w:r w:rsidRPr="0031279F">
              <w:rPr>
                <w:rFonts w:ascii="Arial" w:eastAsia="Calibri" w:hAnsi="Arial" w:cs="Arial"/>
                <w:sz w:val="20"/>
                <w:szCs w:val="20"/>
                <w:shd w:val="clear" w:color="auto" w:fill="FFFFFF"/>
                <w:lang w:val="en-GB" w:eastAsia="en-GB"/>
              </w:rPr>
              <w:t xml:space="preserve"> </w:t>
            </w:r>
          </w:p>
          <w:p w14:paraId="4D67277A" w14:textId="77777777" w:rsidR="0031279F" w:rsidRDefault="0031279F" w:rsidP="0031279F">
            <w:pPr>
              <w:jc w:val="both"/>
              <w:rPr>
                <w:rFonts w:ascii="Arial" w:eastAsia="Calibri" w:hAnsi="Arial" w:cs="Arial"/>
                <w:sz w:val="20"/>
                <w:szCs w:val="20"/>
                <w:shd w:val="clear" w:color="auto" w:fill="FFFFFF"/>
                <w:lang w:val="en-GB" w:eastAsia="en-GB"/>
              </w:rPr>
            </w:pPr>
            <w:r w:rsidRPr="0031279F">
              <w:rPr>
                <w:rFonts w:ascii="Arial" w:eastAsia="Calibri" w:hAnsi="Arial" w:cs="Arial"/>
                <w:sz w:val="20"/>
                <w:szCs w:val="20"/>
                <w:shd w:val="clear" w:color="auto" w:fill="FFFFFF"/>
                <w:lang w:val="en-GB" w:eastAsia="en-GB"/>
              </w:rPr>
              <w:t>Head of the Department of State Representation in International Courts, Ministry of Justice of Georgia</w:t>
            </w:r>
          </w:p>
          <w:p w14:paraId="1BACCA44" w14:textId="77777777" w:rsidR="00647FD8" w:rsidRDefault="00647FD8" w:rsidP="0031279F">
            <w:pPr>
              <w:jc w:val="both"/>
              <w:rPr>
                <w:rFonts w:ascii="Arial" w:eastAsia="Calibri" w:hAnsi="Arial" w:cs="Arial"/>
                <w:sz w:val="20"/>
                <w:szCs w:val="20"/>
                <w:shd w:val="clear" w:color="auto" w:fill="FFFFFF"/>
                <w:lang w:val="en-GB" w:eastAsia="en-GB"/>
              </w:rPr>
            </w:pPr>
          </w:p>
          <w:p w14:paraId="4ED85C95" w14:textId="77777777" w:rsidR="00647FD8" w:rsidRPr="00647FD8" w:rsidRDefault="00647FD8" w:rsidP="00647FD8">
            <w:pPr>
              <w:jc w:val="both"/>
              <w:rPr>
                <w:rFonts w:ascii="Arial" w:eastAsia="Calibri" w:hAnsi="Arial" w:cs="Arial"/>
                <w:b/>
                <w:bCs/>
                <w:sz w:val="20"/>
                <w:szCs w:val="20"/>
                <w:shd w:val="clear" w:color="auto" w:fill="FFFFFF"/>
                <w:lang w:val="en-GB" w:eastAsia="en-GB"/>
              </w:rPr>
            </w:pPr>
            <w:r w:rsidRPr="00647FD8">
              <w:rPr>
                <w:rFonts w:ascii="Arial" w:eastAsia="Calibri" w:hAnsi="Arial" w:cs="Arial"/>
                <w:b/>
                <w:bCs/>
                <w:sz w:val="20"/>
                <w:szCs w:val="20"/>
                <w:shd w:val="clear" w:color="auto" w:fill="FFFFFF"/>
                <w:lang w:val="en-GB" w:eastAsia="en-GB"/>
              </w:rPr>
              <w:t xml:space="preserve">Mr </w:t>
            </w:r>
            <w:proofErr w:type="spellStart"/>
            <w:r w:rsidRPr="00647FD8">
              <w:rPr>
                <w:rFonts w:ascii="Arial" w:eastAsia="Calibri" w:hAnsi="Arial" w:cs="Arial"/>
                <w:b/>
                <w:bCs/>
                <w:sz w:val="20"/>
                <w:szCs w:val="20"/>
                <w:shd w:val="clear" w:color="auto" w:fill="FFFFFF"/>
                <w:lang w:val="en-GB" w:eastAsia="en-GB"/>
              </w:rPr>
              <w:t>Anri</w:t>
            </w:r>
            <w:proofErr w:type="spellEnd"/>
            <w:r w:rsidRPr="00647FD8">
              <w:rPr>
                <w:rFonts w:ascii="Arial" w:eastAsia="Calibri" w:hAnsi="Arial" w:cs="Arial"/>
                <w:b/>
                <w:bCs/>
                <w:sz w:val="20"/>
                <w:szCs w:val="20"/>
                <w:shd w:val="clear" w:color="auto" w:fill="FFFFFF"/>
                <w:lang w:val="en-GB" w:eastAsia="en-GB"/>
              </w:rPr>
              <w:t xml:space="preserve"> KURDGHELASHVILI</w:t>
            </w:r>
          </w:p>
          <w:p w14:paraId="4D8D9B9C" w14:textId="047EB35F" w:rsidR="00647FD8" w:rsidRPr="0031279F" w:rsidRDefault="00647FD8" w:rsidP="00647FD8">
            <w:pPr>
              <w:jc w:val="both"/>
              <w:rPr>
                <w:rFonts w:ascii="Arial" w:eastAsia="Calibri" w:hAnsi="Arial" w:cs="Arial"/>
                <w:sz w:val="20"/>
                <w:szCs w:val="20"/>
                <w:shd w:val="clear" w:color="auto" w:fill="FFFFFF"/>
                <w:lang w:val="en-GB" w:eastAsia="en-GB"/>
              </w:rPr>
            </w:pPr>
            <w:r w:rsidRPr="00647FD8">
              <w:rPr>
                <w:rFonts w:ascii="Arial" w:eastAsia="Calibri" w:hAnsi="Arial" w:cs="Arial"/>
                <w:sz w:val="20"/>
                <w:szCs w:val="20"/>
                <w:shd w:val="clear" w:color="auto" w:fill="FFFFFF"/>
                <w:lang w:val="en-US" w:eastAsia="en-GB"/>
              </w:rPr>
              <w:t xml:space="preserve">Legal Advisor, Department of State Representation to International Courts, Ministry </w:t>
            </w:r>
            <w:r w:rsidR="00E6088C">
              <w:rPr>
                <w:rFonts w:ascii="Arial" w:eastAsia="Calibri" w:hAnsi="Arial" w:cs="Arial"/>
                <w:sz w:val="20"/>
                <w:szCs w:val="20"/>
                <w:shd w:val="clear" w:color="auto" w:fill="FFFFFF"/>
                <w:lang w:val="en-US" w:eastAsia="en-GB"/>
              </w:rPr>
              <w:t>o</w:t>
            </w:r>
            <w:r w:rsidRPr="00647FD8">
              <w:rPr>
                <w:rFonts w:ascii="Arial" w:eastAsia="Calibri" w:hAnsi="Arial" w:cs="Arial"/>
                <w:sz w:val="20"/>
                <w:szCs w:val="20"/>
                <w:shd w:val="clear" w:color="auto" w:fill="FFFFFF"/>
                <w:lang w:val="en-US" w:eastAsia="en-GB"/>
              </w:rPr>
              <w:t xml:space="preserve">f Justice </w:t>
            </w:r>
            <w:r w:rsidR="00E6088C">
              <w:rPr>
                <w:rFonts w:ascii="Arial" w:eastAsia="Calibri" w:hAnsi="Arial" w:cs="Arial"/>
                <w:sz w:val="20"/>
                <w:szCs w:val="20"/>
                <w:shd w:val="clear" w:color="auto" w:fill="FFFFFF"/>
                <w:lang w:val="en-US" w:eastAsia="en-GB"/>
              </w:rPr>
              <w:t>o</w:t>
            </w:r>
            <w:r w:rsidRPr="00647FD8">
              <w:rPr>
                <w:rFonts w:ascii="Arial" w:eastAsia="Calibri" w:hAnsi="Arial" w:cs="Arial"/>
                <w:sz w:val="20"/>
                <w:szCs w:val="20"/>
                <w:shd w:val="clear" w:color="auto" w:fill="FFFFFF"/>
                <w:lang w:val="en-US" w:eastAsia="en-GB"/>
              </w:rPr>
              <w:t>f Georgia</w:t>
            </w:r>
            <w:r w:rsidRPr="0031279F">
              <w:rPr>
                <w:rFonts w:ascii="Arial" w:eastAsia="Calibri" w:hAnsi="Arial" w:cs="Arial"/>
                <w:sz w:val="20"/>
                <w:szCs w:val="20"/>
                <w:shd w:val="clear" w:color="auto" w:fill="FFFFFF"/>
                <w:lang w:val="en-GB" w:eastAsia="en-GB"/>
              </w:rPr>
              <w:t xml:space="preserve"> </w:t>
            </w:r>
          </w:p>
        </w:tc>
      </w:tr>
      <w:tr w:rsidR="0031279F" w:rsidRPr="00272644" w14:paraId="6BCAB31F" w14:textId="77777777" w:rsidTr="00FF4961">
        <w:trPr>
          <w:trHeight w:val="624"/>
        </w:trPr>
        <w:tc>
          <w:tcPr>
            <w:tcW w:w="2678" w:type="dxa"/>
          </w:tcPr>
          <w:p w14:paraId="6F93F4F4" w14:textId="4A534D92" w:rsidR="0031279F" w:rsidRPr="0031279F" w:rsidRDefault="0031279F" w:rsidP="0031279F">
            <w:pPr>
              <w:jc w:val="both"/>
              <w:rPr>
                <w:rFonts w:ascii="Arial" w:eastAsia="Calibri" w:hAnsi="Arial" w:cs="Arial"/>
                <w:b/>
                <w:spacing w:val="-2"/>
                <w:sz w:val="20"/>
                <w:szCs w:val="20"/>
                <w:lang w:val="en-US" w:eastAsia="en-GB"/>
              </w:rPr>
            </w:pPr>
            <w:r w:rsidRPr="0031279F">
              <w:rPr>
                <w:rFonts w:ascii="Arial" w:eastAsia="Calibri" w:hAnsi="Arial" w:cs="Arial"/>
                <w:b/>
                <w:spacing w:val="-2"/>
                <w:sz w:val="20"/>
                <w:szCs w:val="20"/>
                <w:lang w:val="en-US" w:eastAsia="en-GB"/>
              </w:rPr>
              <w:t xml:space="preserve">GERMANY </w:t>
            </w:r>
          </w:p>
        </w:tc>
        <w:tc>
          <w:tcPr>
            <w:tcW w:w="6608" w:type="dxa"/>
            <w:tcMar>
              <w:top w:w="85" w:type="dxa"/>
              <w:bottom w:w="85" w:type="dxa"/>
            </w:tcMar>
          </w:tcPr>
          <w:p w14:paraId="1A2927E2" w14:textId="77777777" w:rsidR="0031279F" w:rsidRPr="0031279F" w:rsidRDefault="0031279F" w:rsidP="0031279F">
            <w:pPr>
              <w:rPr>
                <w:rFonts w:ascii="Arial" w:eastAsia="Calibri" w:hAnsi="Arial" w:cs="Arial"/>
                <w:b/>
                <w:sz w:val="20"/>
                <w:szCs w:val="20"/>
                <w:lang w:val="en-US" w:eastAsia="en-GB"/>
              </w:rPr>
            </w:pPr>
            <w:r w:rsidRPr="0031279F">
              <w:rPr>
                <w:rFonts w:ascii="Arial" w:eastAsia="Calibri" w:hAnsi="Arial" w:cs="Arial"/>
                <w:b/>
                <w:sz w:val="20"/>
                <w:szCs w:val="20"/>
                <w:lang w:val="en-US" w:eastAsia="en-GB"/>
              </w:rPr>
              <w:t xml:space="preserve">Ms Kathrin MELLECH </w:t>
            </w:r>
          </w:p>
          <w:p w14:paraId="23D16866" w14:textId="77777777" w:rsidR="0031279F" w:rsidRDefault="0031279F" w:rsidP="0031279F">
            <w:pPr>
              <w:rPr>
                <w:rFonts w:ascii="Arial" w:eastAsia="Calibri" w:hAnsi="Arial" w:cs="Arial"/>
                <w:sz w:val="20"/>
                <w:szCs w:val="20"/>
                <w:lang w:val="en-US" w:eastAsia="en-GB"/>
              </w:rPr>
            </w:pPr>
            <w:r w:rsidRPr="0031279F">
              <w:rPr>
                <w:rFonts w:ascii="Arial" w:eastAsia="Calibri" w:hAnsi="Arial" w:cs="Arial"/>
                <w:sz w:val="20"/>
                <w:szCs w:val="20"/>
                <w:lang w:val="en-US" w:eastAsia="en-GB"/>
              </w:rPr>
              <w:t xml:space="preserve">Division for Human Rights </w:t>
            </w:r>
            <w:proofErr w:type="spellStart"/>
            <w:r w:rsidRPr="0031279F">
              <w:rPr>
                <w:rFonts w:ascii="Arial" w:eastAsia="Calibri" w:hAnsi="Arial" w:cs="Arial"/>
                <w:sz w:val="20"/>
                <w:szCs w:val="20"/>
                <w:lang w:val="en-US" w:eastAsia="en-GB"/>
              </w:rPr>
              <w:t>Bundesministerium</w:t>
            </w:r>
            <w:proofErr w:type="spellEnd"/>
            <w:r w:rsidRPr="0031279F">
              <w:rPr>
                <w:rFonts w:ascii="Arial" w:eastAsia="Calibri" w:hAnsi="Arial" w:cs="Arial"/>
                <w:sz w:val="20"/>
                <w:szCs w:val="20"/>
                <w:lang w:val="en-US" w:eastAsia="en-GB"/>
              </w:rPr>
              <w:t xml:space="preserve"> der </w:t>
            </w:r>
            <w:proofErr w:type="spellStart"/>
            <w:r w:rsidRPr="0031279F">
              <w:rPr>
                <w:rFonts w:ascii="Arial" w:eastAsia="Calibri" w:hAnsi="Arial" w:cs="Arial"/>
                <w:sz w:val="20"/>
                <w:szCs w:val="20"/>
                <w:lang w:val="en-US" w:eastAsia="en-GB"/>
              </w:rPr>
              <w:t>Justiz</w:t>
            </w:r>
            <w:proofErr w:type="spellEnd"/>
            <w:r w:rsidRPr="0031279F">
              <w:rPr>
                <w:rFonts w:ascii="Arial" w:eastAsia="Calibri" w:hAnsi="Arial" w:cs="Arial"/>
                <w:sz w:val="20"/>
                <w:szCs w:val="20"/>
                <w:lang w:val="en-US" w:eastAsia="en-GB"/>
              </w:rPr>
              <w:t xml:space="preserve"> und </w:t>
            </w:r>
            <w:proofErr w:type="spellStart"/>
            <w:r w:rsidRPr="0031279F">
              <w:rPr>
                <w:rFonts w:ascii="Arial" w:eastAsia="Calibri" w:hAnsi="Arial" w:cs="Arial"/>
                <w:sz w:val="20"/>
                <w:szCs w:val="20"/>
                <w:lang w:val="en-US" w:eastAsia="en-GB"/>
              </w:rPr>
              <w:t>für</w:t>
            </w:r>
            <w:proofErr w:type="spellEnd"/>
            <w:r w:rsidRPr="0031279F">
              <w:rPr>
                <w:rFonts w:ascii="Arial" w:eastAsia="Calibri" w:hAnsi="Arial" w:cs="Arial"/>
                <w:sz w:val="20"/>
                <w:szCs w:val="20"/>
                <w:lang w:val="en-US" w:eastAsia="en-GB"/>
              </w:rPr>
              <w:t xml:space="preserve"> </w:t>
            </w:r>
            <w:proofErr w:type="spellStart"/>
            <w:r w:rsidRPr="0031279F">
              <w:rPr>
                <w:rFonts w:ascii="Arial" w:eastAsia="Calibri" w:hAnsi="Arial" w:cs="Arial"/>
                <w:sz w:val="20"/>
                <w:szCs w:val="20"/>
                <w:lang w:val="en-US" w:eastAsia="en-GB"/>
              </w:rPr>
              <w:t>Verbraucherschutz</w:t>
            </w:r>
            <w:proofErr w:type="spellEnd"/>
            <w:r w:rsidRPr="0031279F">
              <w:rPr>
                <w:rFonts w:ascii="Arial" w:eastAsia="Calibri" w:hAnsi="Arial" w:cs="Arial"/>
                <w:sz w:val="20"/>
                <w:szCs w:val="20"/>
                <w:lang w:val="en-US" w:eastAsia="en-GB"/>
              </w:rPr>
              <w:t xml:space="preserve"> - Federal Ministry of Justice and Consumer Protection</w:t>
            </w:r>
          </w:p>
          <w:p w14:paraId="6E2578B8" w14:textId="77777777" w:rsidR="001849A7" w:rsidRDefault="001849A7" w:rsidP="0031279F">
            <w:pPr>
              <w:rPr>
                <w:rFonts w:ascii="Arial" w:eastAsia="Calibri" w:hAnsi="Arial" w:cs="Arial"/>
                <w:sz w:val="20"/>
                <w:szCs w:val="20"/>
                <w:lang w:val="en-GB" w:eastAsia="en-GB"/>
              </w:rPr>
            </w:pPr>
          </w:p>
          <w:p w14:paraId="2E952D85" w14:textId="77777777" w:rsidR="001849A7" w:rsidRPr="00CD6799" w:rsidRDefault="001849A7" w:rsidP="001849A7">
            <w:pPr>
              <w:pStyle w:val="Textebrut"/>
              <w:rPr>
                <w:rFonts w:ascii="Arial" w:hAnsi="Arial" w:cs="Arial"/>
                <w:lang w:val="en-GB"/>
              </w:rPr>
            </w:pPr>
            <w:proofErr w:type="spellStart"/>
            <w:r w:rsidRPr="00CD6799">
              <w:rPr>
                <w:rFonts w:ascii="Arial" w:hAnsi="Arial" w:cs="Arial"/>
                <w:b/>
                <w:bCs/>
                <w:lang w:val="en-GB"/>
              </w:rPr>
              <w:t>Dr.</w:t>
            </w:r>
            <w:proofErr w:type="spellEnd"/>
            <w:r w:rsidRPr="00CD6799">
              <w:rPr>
                <w:rFonts w:ascii="Arial" w:hAnsi="Arial" w:cs="Arial"/>
                <w:b/>
                <w:bCs/>
                <w:lang w:val="en-GB"/>
              </w:rPr>
              <w:t xml:space="preserve"> Hans-</w:t>
            </w:r>
            <w:proofErr w:type="spellStart"/>
            <w:r w:rsidRPr="00CD6799">
              <w:rPr>
                <w:rFonts w:ascii="Arial" w:hAnsi="Arial" w:cs="Arial"/>
                <w:b/>
                <w:bCs/>
                <w:lang w:val="en-GB"/>
              </w:rPr>
              <w:t>Jörg</w:t>
            </w:r>
            <w:proofErr w:type="spellEnd"/>
            <w:r w:rsidRPr="00CD6799">
              <w:rPr>
                <w:rFonts w:ascii="Arial" w:hAnsi="Arial" w:cs="Arial"/>
                <w:lang w:val="en-GB"/>
              </w:rPr>
              <w:t xml:space="preserve"> </w:t>
            </w:r>
            <w:r w:rsidRPr="00CD6799">
              <w:rPr>
                <w:rFonts w:ascii="Arial" w:hAnsi="Arial" w:cs="Arial"/>
                <w:b/>
                <w:bCs/>
                <w:lang w:val="en-GB"/>
              </w:rPr>
              <w:t>BEHRENS</w:t>
            </w:r>
          </w:p>
          <w:p w14:paraId="37EBCAAA" w14:textId="2B5D414B" w:rsidR="001849A7" w:rsidRPr="0031279F" w:rsidRDefault="001849A7" w:rsidP="001849A7">
            <w:pPr>
              <w:pStyle w:val="Textebrut"/>
              <w:rPr>
                <w:rFonts w:ascii="Arial" w:eastAsia="Calibri" w:hAnsi="Arial" w:cs="Arial"/>
                <w:lang w:val="en-GB" w:eastAsia="en-GB"/>
              </w:rPr>
            </w:pPr>
            <w:r w:rsidRPr="00CD6799">
              <w:rPr>
                <w:rFonts w:ascii="Arial" w:hAnsi="Arial" w:cs="Arial"/>
                <w:lang w:val="en-GB"/>
              </w:rPr>
              <w:t xml:space="preserve">LL.M. (London), </w:t>
            </w:r>
            <w:proofErr w:type="spellStart"/>
            <w:r w:rsidRPr="00CD6799">
              <w:rPr>
                <w:rFonts w:ascii="Arial" w:hAnsi="Arial" w:cs="Arial"/>
                <w:lang w:val="en-GB"/>
              </w:rPr>
              <w:t>Ministerialrat</w:t>
            </w:r>
            <w:proofErr w:type="spellEnd"/>
            <w:r w:rsidRPr="0031279F">
              <w:rPr>
                <w:rFonts w:ascii="Arial" w:eastAsia="Calibri" w:hAnsi="Arial" w:cs="Arial"/>
                <w:lang w:val="en-GB" w:eastAsia="en-GB"/>
              </w:rPr>
              <w:t xml:space="preserve"> </w:t>
            </w:r>
          </w:p>
        </w:tc>
      </w:tr>
      <w:tr w:rsidR="0031279F" w:rsidRPr="0031279F" w14:paraId="7A7E1FF0" w14:textId="77777777" w:rsidTr="00FF4961">
        <w:trPr>
          <w:trHeight w:val="624"/>
        </w:trPr>
        <w:tc>
          <w:tcPr>
            <w:tcW w:w="2678" w:type="dxa"/>
          </w:tcPr>
          <w:p w14:paraId="5A46A485" w14:textId="2FFC17F1" w:rsidR="0031279F" w:rsidRPr="0031279F" w:rsidRDefault="0031279F" w:rsidP="0031279F">
            <w:pPr>
              <w:jc w:val="both"/>
              <w:rPr>
                <w:rFonts w:ascii="Arial" w:eastAsia="Calibri" w:hAnsi="Arial" w:cs="Arial"/>
                <w:b/>
                <w:spacing w:val="-2"/>
                <w:sz w:val="20"/>
                <w:szCs w:val="20"/>
                <w:lang w:val="en-US" w:eastAsia="en-GB"/>
              </w:rPr>
            </w:pPr>
            <w:r w:rsidRPr="0031279F">
              <w:rPr>
                <w:rFonts w:ascii="Arial" w:eastAsia="Calibri" w:hAnsi="Arial" w:cs="Arial"/>
                <w:b/>
                <w:spacing w:val="-2"/>
                <w:sz w:val="20"/>
                <w:szCs w:val="20"/>
                <w:lang w:val="en-US" w:eastAsia="en-GB"/>
              </w:rPr>
              <w:t xml:space="preserve">GREECE </w:t>
            </w:r>
          </w:p>
        </w:tc>
        <w:tc>
          <w:tcPr>
            <w:tcW w:w="6608" w:type="dxa"/>
            <w:tcMar>
              <w:top w:w="85" w:type="dxa"/>
              <w:bottom w:w="85" w:type="dxa"/>
            </w:tcMar>
          </w:tcPr>
          <w:p w14:paraId="632270AF" w14:textId="77777777" w:rsidR="0031279F" w:rsidRPr="0031279F" w:rsidRDefault="0031279F" w:rsidP="0031279F">
            <w:pPr>
              <w:rPr>
                <w:rFonts w:ascii="Arial" w:eastAsia="Calibri" w:hAnsi="Arial" w:cs="Arial"/>
                <w:b/>
                <w:bCs/>
                <w:sz w:val="20"/>
                <w:szCs w:val="20"/>
                <w:lang w:eastAsia="en-GB"/>
              </w:rPr>
            </w:pPr>
            <w:r w:rsidRPr="0031279F">
              <w:rPr>
                <w:rFonts w:ascii="Arial" w:eastAsia="Calibri" w:hAnsi="Arial" w:cs="Arial"/>
                <w:b/>
                <w:bCs/>
                <w:sz w:val="20"/>
                <w:szCs w:val="20"/>
                <w:lang w:eastAsia="en-GB"/>
              </w:rPr>
              <w:t>Mr Elias KASTANAS</w:t>
            </w:r>
          </w:p>
          <w:p w14:paraId="3B49D8C5" w14:textId="77777777" w:rsidR="0031279F" w:rsidRPr="0031279F" w:rsidRDefault="0031279F" w:rsidP="0031279F">
            <w:pPr>
              <w:rPr>
                <w:rFonts w:ascii="Arial" w:eastAsia="Calibri" w:hAnsi="Arial" w:cs="Arial"/>
                <w:sz w:val="20"/>
                <w:szCs w:val="20"/>
                <w:lang w:eastAsia="en-GB"/>
              </w:rPr>
            </w:pPr>
            <w:r w:rsidRPr="0031279F">
              <w:rPr>
                <w:rFonts w:ascii="Arial" w:eastAsia="Calibri" w:hAnsi="Arial" w:cs="Arial"/>
                <w:sz w:val="20"/>
                <w:szCs w:val="20"/>
                <w:lang w:eastAsia="en-GB"/>
              </w:rPr>
              <w:t>Conseiller juridique adjoint</w:t>
            </w:r>
          </w:p>
          <w:p w14:paraId="1B0DC653" w14:textId="77777777" w:rsidR="0031279F" w:rsidRPr="0031279F" w:rsidRDefault="0031279F" w:rsidP="0031279F">
            <w:pPr>
              <w:rPr>
                <w:rFonts w:ascii="Arial" w:eastAsia="Calibri" w:hAnsi="Arial" w:cs="Arial"/>
                <w:sz w:val="20"/>
                <w:szCs w:val="21"/>
                <w:lang w:eastAsia="en-GB"/>
              </w:rPr>
            </w:pPr>
            <w:r w:rsidRPr="0031279F">
              <w:rPr>
                <w:rFonts w:ascii="Arial" w:eastAsia="Calibri" w:hAnsi="Arial" w:cs="Arial"/>
                <w:sz w:val="20"/>
                <w:szCs w:val="20"/>
                <w:lang w:eastAsia="en-GB"/>
              </w:rPr>
              <w:t>Service juridique, Ministère des Affaires Étrangères</w:t>
            </w:r>
            <w:r w:rsidRPr="0031279F">
              <w:rPr>
                <w:rFonts w:ascii="Arial" w:eastAsia="Calibri" w:hAnsi="Arial" w:cs="Arial"/>
                <w:sz w:val="20"/>
                <w:szCs w:val="21"/>
                <w:lang w:eastAsia="en-GB"/>
              </w:rPr>
              <w:t xml:space="preserve"> </w:t>
            </w:r>
          </w:p>
        </w:tc>
      </w:tr>
      <w:tr w:rsidR="00FF4961" w:rsidRPr="00616F99" w14:paraId="0B233492" w14:textId="77777777" w:rsidTr="00FF4961">
        <w:trPr>
          <w:trHeight w:val="624"/>
        </w:trPr>
        <w:tc>
          <w:tcPr>
            <w:tcW w:w="2678" w:type="dxa"/>
          </w:tcPr>
          <w:p w14:paraId="38FDCAE3" w14:textId="77777777" w:rsidR="00FF4961" w:rsidRPr="00FF4961" w:rsidRDefault="00FF4961" w:rsidP="00FF4961">
            <w:pPr>
              <w:jc w:val="both"/>
              <w:rPr>
                <w:rFonts w:ascii="Arial" w:hAnsi="Arial" w:cs="Arial"/>
                <w:b/>
                <w:bCs/>
                <w:sz w:val="20"/>
                <w:szCs w:val="20"/>
                <w:lang w:val="en-US"/>
              </w:rPr>
            </w:pPr>
            <w:r w:rsidRPr="00FF4961">
              <w:rPr>
                <w:rFonts w:ascii="Arial" w:hAnsi="Arial" w:cs="Arial"/>
                <w:b/>
                <w:bCs/>
                <w:sz w:val="20"/>
                <w:szCs w:val="20"/>
                <w:lang w:val="en-US"/>
              </w:rPr>
              <w:t xml:space="preserve">LIECHTENSTEIN </w:t>
            </w:r>
          </w:p>
          <w:p w14:paraId="7B5D3E21" w14:textId="77777777" w:rsidR="00FF4961" w:rsidRPr="00FF4961" w:rsidRDefault="00FF4961" w:rsidP="00FF4961">
            <w:pPr>
              <w:jc w:val="both"/>
              <w:rPr>
                <w:rFonts w:ascii="Arial" w:eastAsia="Calibri" w:hAnsi="Arial" w:cs="Arial"/>
                <w:b/>
                <w:sz w:val="20"/>
                <w:szCs w:val="20"/>
                <w:lang w:val="en-US" w:eastAsia="en-GB"/>
              </w:rPr>
            </w:pPr>
          </w:p>
        </w:tc>
        <w:tc>
          <w:tcPr>
            <w:tcW w:w="6608" w:type="dxa"/>
            <w:tcMar>
              <w:top w:w="85" w:type="dxa"/>
              <w:bottom w:w="85" w:type="dxa"/>
            </w:tcMar>
          </w:tcPr>
          <w:p w14:paraId="432565C2" w14:textId="77777777" w:rsidR="00FF4961" w:rsidRPr="00FF4961" w:rsidRDefault="00FF4961" w:rsidP="00FF4961">
            <w:pPr>
              <w:rPr>
                <w:rFonts w:ascii="Arial" w:hAnsi="Arial" w:cs="Arial"/>
                <w:b/>
                <w:bCs/>
                <w:sz w:val="20"/>
                <w:szCs w:val="20"/>
                <w:lang w:val="en-US"/>
              </w:rPr>
            </w:pPr>
            <w:r w:rsidRPr="00FF4961">
              <w:rPr>
                <w:rFonts w:ascii="Arial" w:hAnsi="Arial" w:cs="Arial"/>
                <w:b/>
                <w:bCs/>
                <w:sz w:val="20"/>
                <w:szCs w:val="20"/>
                <w:lang w:val="en-US"/>
              </w:rPr>
              <w:t>Ms Helen LOREZ</w:t>
            </w:r>
          </w:p>
          <w:p w14:paraId="0CBDA15D" w14:textId="77777777" w:rsidR="00FF4961" w:rsidRPr="00FF4961" w:rsidRDefault="00FF4961" w:rsidP="00FF4961">
            <w:pPr>
              <w:rPr>
                <w:rFonts w:ascii="Arial" w:hAnsi="Arial" w:cs="Arial"/>
                <w:sz w:val="20"/>
                <w:szCs w:val="20"/>
                <w:lang w:val="en-US"/>
              </w:rPr>
            </w:pPr>
            <w:r w:rsidRPr="00FF4961">
              <w:rPr>
                <w:rFonts w:ascii="Arial" w:hAnsi="Arial" w:cs="Arial"/>
                <w:sz w:val="20"/>
                <w:szCs w:val="20"/>
                <w:lang w:val="en-US"/>
              </w:rPr>
              <w:t>Deputy Permanent Representative</w:t>
            </w:r>
          </w:p>
          <w:p w14:paraId="61E4371D" w14:textId="77777777" w:rsidR="00FF4961" w:rsidRPr="00FF4961" w:rsidRDefault="00FF4961" w:rsidP="00FF4961">
            <w:pPr>
              <w:rPr>
                <w:rFonts w:ascii="Arial" w:eastAsia="Calibri" w:hAnsi="Arial" w:cs="Arial"/>
                <w:b/>
                <w:sz w:val="20"/>
                <w:szCs w:val="20"/>
                <w:lang w:val="en-US" w:eastAsia="en-GB"/>
              </w:rPr>
            </w:pPr>
            <w:r w:rsidRPr="00FF4961">
              <w:rPr>
                <w:rFonts w:ascii="Arial" w:hAnsi="Arial" w:cs="Arial"/>
                <w:sz w:val="20"/>
                <w:szCs w:val="20"/>
                <w:lang w:val="en-US"/>
              </w:rPr>
              <w:t>Permanent</w:t>
            </w:r>
            <w:r w:rsidRPr="00FF4961">
              <w:rPr>
                <w:sz w:val="20"/>
                <w:szCs w:val="20"/>
                <w:lang w:val="en-GB"/>
              </w:rPr>
              <w:t xml:space="preserve"> </w:t>
            </w:r>
            <w:r w:rsidRPr="00FF4961">
              <w:rPr>
                <w:rFonts w:ascii="Arial" w:hAnsi="Arial" w:cs="Arial"/>
                <w:sz w:val="20"/>
                <w:szCs w:val="20"/>
                <w:lang w:val="en-US"/>
              </w:rPr>
              <w:t xml:space="preserve">Representation of Liechtenstein to the Council of Europe </w:t>
            </w:r>
          </w:p>
        </w:tc>
      </w:tr>
      <w:tr w:rsidR="0031279F" w:rsidRPr="00616F99" w14:paraId="2A507449" w14:textId="77777777" w:rsidTr="00FF4961">
        <w:trPr>
          <w:trHeight w:val="624"/>
        </w:trPr>
        <w:tc>
          <w:tcPr>
            <w:tcW w:w="2678" w:type="dxa"/>
          </w:tcPr>
          <w:p w14:paraId="420F1258" w14:textId="0AA9D279" w:rsidR="0031279F" w:rsidRPr="0031279F" w:rsidRDefault="0031279F" w:rsidP="0031279F">
            <w:pPr>
              <w:rPr>
                <w:rFonts w:ascii="Arial" w:eastAsia="Calibri" w:hAnsi="Arial" w:cs="Arial"/>
                <w:sz w:val="20"/>
                <w:szCs w:val="20"/>
                <w:lang w:eastAsia="en-GB"/>
              </w:rPr>
            </w:pPr>
            <w:r w:rsidRPr="0031279F">
              <w:rPr>
                <w:rFonts w:ascii="Arial" w:eastAsia="Calibri" w:hAnsi="Arial" w:cs="Arial"/>
                <w:b/>
                <w:sz w:val="20"/>
                <w:szCs w:val="20"/>
                <w:lang w:val="pt-PT" w:eastAsia="en-GB"/>
              </w:rPr>
              <w:t xml:space="preserve">REPUBLIC OF MOLDOVA </w:t>
            </w:r>
          </w:p>
        </w:tc>
        <w:tc>
          <w:tcPr>
            <w:tcW w:w="6608" w:type="dxa"/>
            <w:tcMar>
              <w:top w:w="85" w:type="dxa"/>
              <w:bottom w:w="85" w:type="dxa"/>
            </w:tcMar>
          </w:tcPr>
          <w:p w14:paraId="685EE4DA" w14:textId="77777777" w:rsidR="00C12C1F" w:rsidRPr="0031279F" w:rsidRDefault="00C12C1F" w:rsidP="00C12C1F">
            <w:pPr>
              <w:shd w:val="clear" w:color="auto" w:fill="FFFFFF"/>
              <w:rPr>
                <w:rFonts w:ascii="Arial" w:eastAsia="Calibri" w:hAnsi="Arial" w:cs="Arial"/>
                <w:b/>
                <w:bCs/>
                <w:sz w:val="20"/>
                <w:szCs w:val="20"/>
                <w:shd w:val="clear" w:color="auto" w:fill="FFFFFF"/>
                <w:lang w:val="en-GB" w:eastAsia="en-GB"/>
              </w:rPr>
            </w:pPr>
            <w:r w:rsidRPr="0031279F">
              <w:rPr>
                <w:rFonts w:ascii="Arial" w:eastAsia="Calibri" w:hAnsi="Arial" w:cs="Arial"/>
                <w:b/>
                <w:bCs/>
                <w:sz w:val="20"/>
                <w:szCs w:val="20"/>
                <w:shd w:val="clear" w:color="auto" w:fill="FFFFFF"/>
                <w:lang w:val="en-GB" w:eastAsia="en-GB"/>
              </w:rPr>
              <w:t xml:space="preserve">Ms </w:t>
            </w:r>
            <w:proofErr w:type="spellStart"/>
            <w:r w:rsidRPr="0031279F">
              <w:rPr>
                <w:rFonts w:ascii="Arial" w:eastAsia="Calibri" w:hAnsi="Arial" w:cs="Arial"/>
                <w:b/>
                <w:bCs/>
                <w:sz w:val="20"/>
                <w:szCs w:val="20"/>
                <w:shd w:val="clear" w:color="auto" w:fill="FFFFFF"/>
                <w:lang w:val="en-GB" w:eastAsia="en-GB"/>
              </w:rPr>
              <w:t>Doina</w:t>
            </w:r>
            <w:proofErr w:type="spellEnd"/>
            <w:r w:rsidRPr="0031279F">
              <w:rPr>
                <w:rFonts w:ascii="Arial" w:eastAsia="Calibri" w:hAnsi="Arial" w:cs="Arial"/>
                <w:b/>
                <w:bCs/>
                <w:sz w:val="20"/>
                <w:szCs w:val="20"/>
                <w:shd w:val="clear" w:color="auto" w:fill="FFFFFF"/>
                <w:lang w:val="en-GB" w:eastAsia="en-GB"/>
              </w:rPr>
              <w:t xml:space="preserve"> MAIMESCU </w:t>
            </w:r>
          </w:p>
          <w:p w14:paraId="1B7E7177" w14:textId="77777777" w:rsidR="00C12C1F" w:rsidRPr="0031279F" w:rsidRDefault="00C12C1F" w:rsidP="00C12C1F">
            <w:pPr>
              <w:shd w:val="clear" w:color="auto" w:fill="FFFFFF"/>
              <w:rPr>
                <w:rFonts w:ascii="Arial" w:eastAsia="Calibri" w:hAnsi="Arial" w:cs="Arial"/>
                <w:sz w:val="20"/>
                <w:szCs w:val="20"/>
                <w:shd w:val="clear" w:color="auto" w:fill="FFFFFF"/>
                <w:lang w:val="en-GB" w:eastAsia="en-GB"/>
              </w:rPr>
            </w:pPr>
            <w:r w:rsidRPr="0031279F">
              <w:rPr>
                <w:rFonts w:ascii="Arial" w:eastAsia="Calibri" w:hAnsi="Arial" w:cs="Arial"/>
                <w:sz w:val="20"/>
                <w:szCs w:val="20"/>
                <w:shd w:val="clear" w:color="auto" w:fill="FFFFFF"/>
                <w:lang w:val="en-GB" w:eastAsia="en-GB"/>
              </w:rPr>
              <w:t xml:space="preserve">Head of the Governmental Agent Department of the Ministry of Justice </w:t>
            </w:r>
          </w:p>
          <w:p w14:paraId="5CD395C8" w14:textId="77777777" w:rsidR="00C12C1F" w:rsidRPr="0031279F" w:rsidRDefault="00C12C1F" w:rsidP="00C12C1F">
            <w:pPr>
              <w:shd w:val="clear" w:color="auto" w:fill="FFFFFF"/>
              <w:rPr>
                <w:rFonts w:ascii="Arial" w:eastAsia="Calibri" w:hAnsi="Arial" w:cs="Arial"/>
                <w:sz w:val="20"/>
                <w:szCs w:val="20"/>
                <w:shd w:val="clear" w:color="auto" w:fill="FFFFFF"/>
                <w:lang w:val="en-GB" w:eastAsia="en-GB"/>
              </w:rPr>
            </w:pPr>
          </w:p>
          <w:p w14:paraId="3C25F24C" w14:textId="77777777" w:rsidR="00C12C1F" w:rsidRPr="0031279F" w:rsidRDefault="00C12C1F" w:rsidP="00C12C1F">
            <w:pPr>
              <w:shd w:val="clear" w:color="auto" w:fill="FFFFFF"/>
              <w:rPr>
                <w:rFonts w:ascii="Arial" w:eastAsia="Calibri" w:hAnsi="Arial" w:cs="Arial"/>
                <w:b/>
                <w:bCs/>
                <w:sz w:val="20"/>
                <w:szCs w:val="20"/>
                <w:shd w:val="clear" w:color="auto" w:fill="FFFFFF"/>
                <w:lang w:val="en-GB" w:eastAsia="en-GB"/>
              </w:rPr>
            </w:pPr>
            <w:r w:rsidRPr="0031279F">
              <w:rPr>
                <w:rFonts w:ascii="Arial" w:eastAsia="Calibri" w:hAnsi="Arial" w:cs="Arial"/>
                <w:b/>
                <w:bCs/>
                <w:sz w:val="20"/>
                <w:szCs w:val="20"/>
                <w:shd w:val="clear" w:color="auto" w:fill="FFFFFF"/>
                <w:lang w:val="en-GB" w:eastAsia="en-GB"/>
              </w:rPr>
              <w:t>Ms Mihaela MARTINOV-GUCEAC</w:t>
            </w:r>
          </w:p>
          <w:p w14:paraId="1E1F1AB6" w14:textId="16CD22E1" w:rsidR="0031279F" w:rsidRPr="0031279F" w:rsidRDefault="00C12C1F" w:rsidP="00C12C1F">
            <w:pPr>
              <w:shd w:val="clear" w:color="auto" w:fill="FFFFFF"/>
              <w:rPr>
                <w:rFonts w:ascii="Arial" w:eastAsia="Calibri" w:hAnsi="Arial" w:cs="Arial"/>
                <w:sz w:val="20"/>
                <w:szCs w:val="20"/>
                <w:lang w:val="en-US" w:eastAsia="en-GB"/>
              </w:rPr>
            </w:pPr>
            <w:r w:rsidRPr="0031279F">
              <w:rPr>
                <w:rFonts w:ascii="Arial" w:eastAsia="Calibri" w:hAnsi="Arial" w:cs="Arial"/>
                <w:sz w:val="20"/>
                <w:szCs w:val="20"/>
                <w:shd w:val="clear" w:color="auto" w:fill="FFFFFF"/>
                <w:lang w:val="en-GB" w:eastAsia="en-GB"/>
              </w:rPr>
              <w:t>Deputy to the Permanent Representative of the Republic of Moldova to the Council of Europe</w:t>
            </w:r>
          </w:p>
        </w:tc>
      </w:tr>
      <w:tr w:rsidR="0031279F" w:rsidRPr="00616F99" w14:paraId="73C46C35" w14:textId="77777777" w:rsidTr="00FF4961">
        <w:trPr>
          <w:trHeight w:val="624"/>
        </w:trPr>
        <w:tc>
          <w:tcPr>
            <w:tcW w:w="2678" w:type="dxa"/>
          </w:tcPr>
          <w:p w14:paraId="4AAA6D2A" w14:textId="48D7677C" w:rsidR="0031279F" w:rsidRPr="0031279F" w:rsidRDefault="0031279F" w:rsidP="0031279F">
            <w:pPr>
              <w:jc w:val="both"/>
              <w:rPr>
                <w:rFonts w:ascii="Arial" w:eastAsia="Calibri" w:hAnsi="Arial" w:cs="Arial"/>
                <w:b/>
                <w:spacing w:val="-2"/>
                <w:sz w:val="20"/>
                <w:szCs w:val="20"/>
                <w:lang w:val="en-GB" w:eastAsia="en-GB"/>
              </w:rPr>
            </w:pPr>
            <w:r w:rsidRPr="0031279F">
              <w:rPr>
                <w:rFonts w:ascii="Arial" w:eastAsia="Calibri" w:hAnsi="Arial" w:cs="Arial"/>
                <w:b/>
                <w:sz w:val="20"/>
                <w:szCs w:val="20"/>
                <w:lang w:val="en-US" w:eastAsia="en-GB"/>
              </w:rPr>
              <w:t xml:space="preserve">NETHERLANDS </w:t>
            </w:r>
          </w:p>
        </w:tc>
        <w:tc>
          <w:tcPr>
            <w:tcW w:w="6608" w:type="dxa"/>
            <w:tcMar>
              <w:top w:w="85" w:type="dxa"/>
              <w:bottom w:w="85" w:type="dxa"/>
            </w:tcMar>
          </w:tcPr>
          <w:p w14:paraId="072AC478" w14:textId="77777777" w:rsidR="0031279F" w:rsidRPr="0031279F" w:rsidRDefault="0031279F" w:rsidP="0031279F">
            <w:pPr>
              <w:rPr>
                <w:rFonts w:ascii="Arial" w:eastAsia="Calibri" w:hAnsi="Arial" w:cs="Arial"/>
                <w:sz w:val="20"/>
                <w:szCs w:val="20"/>
                <w:lang w:val="en-US" w:eastAsia="en-GB"/>
              </w:rPr>
            </w:pPr>
            <w:r w:rsidRPr="0031279F">
              <w:rPr>
                <w:rFonts w:ascii="Arial" w:eastAsia="Calibri" w:hAnsi="Arial" w:cs="Arial"/>
                <w:b/>
                <w:sz w:val="20"/>
                <w:szCs w:val="20"/>
                <w:lang w:val="en-US" w:eastAsia="en-GB"/>
              </w:rPr>
              <w:t>Ms Anne AAGTEN</w:t>
            </w:r>
          </w:p>
          <w:p w14:paraId="0EBFEBC4" w14:textId="77777777" w:rsidR="0031279F" w:rsidRPr="0031279F" w:rsidRDefault="0031279F" w:rsidP="0031279F">
            <w:pPr>
              <w:rPr>
                <w:rFonts w:ascii="Arial" w:eastAsia="Calibri" w:hAnsi="Arial" w:cs="Arial"/>
                <w:sz w:val="20"/>
                <w:szCs w:val="20"/>
                <w:lang w:val="en-GB" w:eastAsia="en-GB"/>
              </w:rPr>
            </w:pPr>
            <w:r w:rsidRPr="0031279F">
              <w:rPr>
                <w:rFonts w:ascii="Arial" w:eastAsia="Calibri" w:hAnsi="Arial" w:cs="Arial"/>
                <w:sz w:val="20"/>
                <w:szCs w:val="20"/>
                <w:lang w:val="en-US" w:eastAsia="en-GB"/>
              </w:rPr>
              <w:t>LLM Legal Officer, Ministry of Foreign Affairs, Legal Affairs Department, International Law Division (DJZ/IR)</w:t>
            </w:r>
          </w:p>
        </w:tc>
      </w:tr>
      <w:tr w:rsidR="0031279F" w:rsidRPr="00616F99" w14:paraId="7C569016" w14:textId="77777777" w:rsidTr="00616F99">
        <w:trPr>
          <w:trHeight w:val="163"/>
        </w:trPr>
        <w:tc>
          <w:tcPr>
            <w:tcW w:w="2678" w:type="dxa"/>
          </w:tcPr>
          <w:p w14:paraId="51781B53" w14:textId="0BC96940" w:rsidR="0031279F" w:rsidRPr="0031279F" w:rsidRDefault="0031279F" w:rsidP="0031279F">
            <w:pPr>
              <w:jc w:val="both"/>
              <w:rPr>
                <w:rFonts w:ascii="Arial" w:eastAsia="Calibri" w:hAnsi="Arial" w:cs="Arial"/>
                <w:sz w:val="20"/>
                <w:szCs w:val="20"/>
                <w:lang w:val="en-GB" w:eastAsia="en-GB"/>
              </w:rPr>
            </w:pPr>
            <w:r w:rsidRPr="0031279F">
              <w:rPr>
                <w:rFonts w:ascii="Arial" w:eastAsia="Calibri" w:hAnsi="Arial" w:cs="Arial"/>
                <w:b/>
                <w:spacing w:val="-2"/>
                <w:sz w:val="20"/>
                <w:szCs w:val="20"/>
                <w:lang w:val="en-GB" w:eastAsia="en-GB"/>
              </w:rPr>
              <w:t xml:space="preserve">NORWAY </w:t>
            </w:r>
          </w:p>
        </w:tc>
        <w:tc>
          <w:tcPr>
            <w:tcW w:w="6608" w:type="dxa"/>
            <w:tcMar>
              <w:top w:w="85" w:type="dxa"/>
              <w:bottom w:w="85" w:type="dxa"/>
            </w:tcMar>
          </w:tcPr>
          <w:p w14:paraId="07BD128D" w14:textId="77777777" w:rsidR="0031279F" w:rsidRPr="0031279F" w:rsidRDefault="0031279F" w:rsidP="0031279F">
            <w:pPr>
              <w:rPr>
                <w:rFonts w:ascii="Arial" w:hAnsi="Arial" w:cs="Arial"/>
                <w:b/>
                <w:bCs/>
                <w:color w:val="000000"/>
                <w:sz w:val="20"/>
                <w:szCs w:val="20"/>
                <w:lang w:val="en-GB" w:eastAsia="en-GB"/>
              </w:rPr>
            </w:pPr>
            <w:r w:rsidRPr="0031279F">
              <w:rPr>
                <w:rFonts w:ascii="Arial" w:hAnsi="Arial" w:cs="Arial"/>
                <w:b/>
                <w:bCs/>
                <w:color w:val="000000"/>
                <w:sz w:val="20"/>
                <w:szCs w:val="20"/>
                <w:lang w:val="en-GB" w:eastAsia="en-GB"/>
              </w:rPr>
              <w:t>Mr Morten RUUD</w:t>
            </w:r>
          </w:p>
          <w:p w14:paraId="7B7D6510" w14:textId="77777777" w:rsidR="0031279F" w:rsidRPr="0031279F" w:rsidRDefault="0031279F" w:rsidP="0031279F">
            <w:pPr>
              <w:rPr>
                <w:rFonts w:ascii="Arial" w:hAnsi="Arial" w:cs="Arial"/>
                <w:color w:val="000000"/>
                <w:sz w:val="20"/>
                <w:szCs w:val="20"/>
                <w:lang w:val="en-GB" w:eastAsia="en-GB"/>
              </w:rPr>
            </w:pPr>
            <w:r w:rsidRPr="0031279F">
              <w:rPr>
                <w:rFonts w:ascii="Arial" w:hAnsi="Arial" w:cs="Arial"/>
                <w:color w:val="000000"/>
                <w:sz w:val="20"/>
                <w:szCs w:val="20"/>
                <w:lang w:val="en-GB" w:eastAsia="en-GB"/>
              </w:rPr>
              <w:t xml:space="preserve">Special Adviser  Norwegian Ministry of Justice and Public Security, Legislation, Department, Oslo </w:t>
            </w:r>
          </w:p>
          <w:p w14:paraId="149B1FB6" w14:textId="77777777" w:rsidR="0031279F" w:rsidRPr="0031279F" w:rsidRDefault="0031279F" w:rsidP="0031279F">
            <w:pPr>
              <w:rPr>
                <w:rFonts w:ascii="Arial" w:eastAsia="Calibri" w:hAnsi="Arial" w:cs="Arial"/>
                <w:sz w:val="20"/>
                <w:szCs w:val="20"/>
                <w:lang w:val="en-GB" w:eastAsia="en-GB"/>
              </w:rPr>
            </w:pPr>
          </w:p>
          <w:p w14:paraId="1E1C3733" w14:textId="77777777" w:rsidR="0031279F" w:rsidRPr="0031279F" w:rsidRDefault="0031279F" w:rsidP="0031279F">
            <w:pPr>
              <w:rPr>
                <w:rFonts w:ascii="Arial" w:hAnsi="Arial" w:cs="Arial"/>
                <w:b/>
                <w:bCs/>
                <w:color w:val="000000"/>
                <w:sz w:val="20"/>
                <w:szCs w:val="20"/>
                <w:lang w:val="en-GB" w:eastAsia="en-GB"/>
              </w:rPr>
            </w:pPr>
            <w:r w:rsidRPr="0031279F">
              <w:rPr>
                <w:rFonts w:ascii="Arial" w:hAnsi="Arial" w:cs="Arial"/>
                <w:b/>
                <w:bCs/>
                <w:color w:val="000000"/>
                <w:sz w:val="20"/>
                <w:szCs w:val="20"/>
                <w:lang w:val="en-GB" w:eastAsia="en-GB"/>
              </w:rPr>
              <w:t xml:space="preserve">Mr Geir ULFSTEIN </w:t>
            </w:r>
          </w:p>
          <w:p w14:paraId="3B7E6E34" w14:textId="77777777" w:rsidR="0031279F" w:rsidRPr="0031279F" w:rsidRDefault="0031279F" w:rsidP="0031279F">
            <w:pPr>
              <w:rPr>
                <w:rFonts w:ascii="Arial" w:eastAsia="Calibri" w:hAnsi="Arial" w:cs="Arial"/>
                <w:sz w:val="20"/>
                <w:szCs w:val="20"/>
                <w:lang w:val="en-GB" w:eastAsia="en-GB"/>
              </w:rPr>
            </w:pPr>
            <w:r w:rsidRPr="0031279F">
              <w:rPr>
                <w:rFonts w:ascii="Arial" w:hAnsi="Arial" w:cs="Arial"/>
                <w:color w:val="000000"/>
                <w:sz w:val="20"/>
                <w:szCs w:val="20"/>
                <w:lang w:val="en-GB" w:eastAsia="en-GB"/>
              </w:rPr>
              <w:t>Co-director of </w:t>
            </w:r>
            <w:proofErr w:type="spellStart"/>
            <w:r w:rsidR="00272644">
              <w:fldChar w:fldCharType="begin"/>
            </w:r>
            <w:r w:rsidR="00272644" w:rsidRPr="00272644">
              <w:rPr>
                <w:lang w:val="en-US"/>
              </w:rPr>
              <w:instrText xml:space="preserve"> HYPERLINK "http://www.jus.uio.no/pluricourts/english/" </w:instrText>
            </w:r>
            <w:r w:rsidR="00272644">
              <w:fldChar w:fldCharType="separate"/>
            </w:r>
            <w:r w:rsidRPr="0031279F">
              <w:rPr>
                <w:rFonts w:ascii="Arial" w:hAnsi="Arial" w:cs="Arial"/>
                <w:color w:val="000000"/>
                <w:sz w:val="20"/>
                <w:szCs w:val="20"/>
                <w:lang w:val="en-GB" w:eastAsia="en-GB"/>
              </w:rPr>
              <w:t>PluriCourts</w:t>
            </w:r>
            <w:proofErr w:type="spellEnd"/>
            <w:r w:rsidRPr="0031279F">
              <w:rPr>
                <w:rFonts w:ascii="Arial" w:hAnsi="Arial" w:cs="Arial"/>
                <w:color w:val="000000"/>
                <w:sz w:val="20"/>
                <w:szCs w:val="20"/>
                <w:lang w:val="en-GB" w:eastAsia="en-GB"/>
              </w:rPr>
              <w:t xml:space="preserve"> – Centre for the Study of the Legitimate Roles of the Judiciary in the Global Order</w:t>
            </w:r>
            <w:r w:rsidR="00272644">
              <w:rPr>
                <w:rFonts w:ascii="Arial" w:hAnsi="Arial" w:cs="Arial"/>
                <w:color w:val="000000"/>
                <w:sz w:val="20"/>
                <w:szCs w:val="20"/>
                <w:lang w:val="en-GB" w:eastAsia="en-GB"/>
              </w:rPr>
              <w:fldChar w:fldCharType="end"/>
            </w:r>
            <w:r w:rsidRPr="0031279F">
              <w:rPr>
                <w:rFonts w:ascii="Arial" w:hAnsi="Arial" w:cs="Arial"/>
                <w:color w:val="000000"/>
                <w:sz w:val="20"/>
                <w:szCs w:val="20"/>
                <w:lang w:val="en-GB" w:eastAsia="en-GB"/>
              </w:rPr>
              <w:t>, University of Oslo</w:t>
            </w:r>
            <w:r w:rsidRPr="0031279F">
              <w:rPr>
                <w:rFonts w:ascii="Arial" w:eastAsia="Calibri" w:hAnsi="Arial" w:cs="Arial"/>
                <w:sz w:val="20"/>
                <w:szCs w:val="20"/>
                <w:lang w:val="en-GB" w:eastAsia="en-GB"/>
              </w:rPr>
              <w:t xml:space="preserve"> </w:t>
            </w:r>
          </w:p>
        </w:tc>
      </w:tr>
      <w:tr w:rsidR="0031279F" w:rsidRPr="00616F99" w14:paraId="108B6B6A" w14:textId="77777777" w:rsidTr="00FF4961">
        <w:trPr>
          <w:trHeight w:val="624"/>
        </w:trPr>
        <w:tc>
          <w:tcPr>
            <w:tcW w:w="2678" w:type="dxa"/>
          </w:tcPr>
          <w:p w14:paraId="1FE29BF9" w14:textId="4B801599" w:rsidR="0031279F" w:rsidRPr="0031279F" w:rsidRDefault="0031279F" w:rsidP="0031279F">
            <w:pPr>
              <w:autoSpaceDE w:val="0"/>
              <w:autoSpaceDN w:val="0"/>
              <w:adjustRightInd w:val="0"/>
              <w:rPr>
                <w:rFonts w:ascii="Arial" w:eastAsia="Calibri" w:hAnsi="Arial" w:cs="Arial"/>
                <w:sz w:val="20"/>
                <w:szCs w:val="20"/>
                <w:lang w:val="en-GB" w:eastAsia="en-GB"/>
              </w:rPr>
            </w:pPr>
            <w:r w:rsidRPr="0031279F">
              <w:rPr>
                <w:rFonts w:ascii="Arial" w:eastAsia="Calibri" w:hAnsi="Arial" w:cs="Arial"/>
                <w:b/>
                <w:bCs/>
                <w:sz w:val="20"/>
                <w:szCs w:val="20"/>
                <w:lang w:val="en-GB" w:eastAsia="en-GB"/>
              </w:rPr>
              <w:lastRenderedPageBreak/>
              <w:t xml:space="preserve">POLAND </w:t>
            </w:r>
          </w:p>
        </w:tc>
        <w:tc>
          <w:tcPr>
            <w:tcW w:w="6608" w:type="dxa"/>
            <w:tcMar>
              <w:top w:w="85" w:type="dxa"/>
              <w:bottom w:w="85" w:type="dxa"/>
            </w:tcMar>
          </w:tcPr>
          <w:p w14:paraId="53865C39" w14:textId="77777777" w:rsidR="0031279F" w:rsidRPr="0031279F" w:rsidRDefault="0031279F" w:rsidP="0031279F">
            <w:pPr>
              <w:rPr>
                <w:rFonts w:ascii="Arial" w:hAnsi="Arial" w:cs="Arial"/>
                <w:b/>
                <w:bCs/>
                <w:color w:val="000000"/>
                <w:sz w:val="20"/>
                <w:szCs w:val="20"/>
                <w:lang w:val="en-GB" w:eastAsia="en-GB"/>
              </w:rPr>
            </w:pPr>
            <w:r w:rsidRPr="0031279F">
              <w:rPr>
                <w:rFonts w:ascii="Arial" w:hAnsi="Arial" w:cs="Arial"/>
                <w:b/>
                <w:bCs/>
                <w:color w:val="000000"/>
                <w:sz w:val="20"/>
                <w:szCs w:val="20"/>
                <w:lang w:val="en-GB" w:eastAsia="en-GB"/>
              </w:rPr>
              <w:t>Ms Magdalena BOROWSKA</w:t>
            </w:r>
          </w:p>
          <w:p w14:paraId="648CDC75" w14:textId="77777777" w:rsidR="0031279F" w:rsidRPr="0031279F" w:rsidRDefault="0031279F" w:rsidP="0031279F">
            <w:pPr>
              <w:rPr>
                <w:rFonts w:ascii="Arial" w:hAnsi="Arial" w:cs="Arial"/>
                <w:color w:val="000000"/>
                <w:sz w:val="20"/>
                <w:szCs w:val="20"/>
                <w:lang w:val="en-GB" w:eastAsia="en-GB"/>
              </w:rPr>
            </w:pPr>
            <w:proofErr w:type="spellStart"/>
            <w:r w:rsidRPr="0031279F">
              <w:rPr>
                <w:rFonts w:ascii="Arial" w:hAnsi="Arial" w:cs="Arial"/>
                <w:color w:val="000000"/>
                <w:sz w:val="20"/>
                <w:szCs w:val="20"/>
                <w:lang w:val="en-GB" w:eastAsia="en-GB"/>
              </w:rPr>
              <w:t>Departament</w:t>
            </w:r>
            <w:proofErr w:type="spellEnd"/>
            <w:r w:rsidRPr="0031279F">
              <w:rPr>
                <w:rFonts w:ascii="Arial" w:hAnsi="Arial" w:cs="Arial"/>
                <w:color w:val="000000"/>
                <w:sz w:val="20"/>
                <w:szCs w:val="20"/>
                <w:lang w:val="en-GB" w:eastAsia="en-GB"/>
              </w:rPr>
              <w:t xml:space="preserve"> </w:t>
            </w:r>
            <w:proofErr w:type="spellStart"/>
            <w:r w:rsidRPr="0031279F">
              <w:rPr>
                <w:rFonts w:ascii="Arial" w:hAnsi="Arial" w:cs="Arial"/>
                <w:color w:val="000000"/>
                <w:sz w:val="20"/>
                <w:szCs w:val="20"/>
                <w:lang w:val="en-GB" w:eastAsia="en-GB"/>
              </w:rPr>
              <w:t>Prawno-Traktatowy</w:t>
            </w:r>
            <w:proofErr w:type="spellEnd"/>
          </w:p>
          <w:p w14:paraId="0AF267F9" w14:textId="77777777" w:rsidR="0031279F" w:rsidRPr="0031279F" w:rsidRDefault="0031279F" w:rsidP="0031279F">
            <w:pPr>
              <w:rPr>
                <w:rFonts w:ascii="Arial" w:hAnsi="Arial" w:cs="Arial"/>
                <w:color w:val="000000"/>
                <w:sz w:val="20"/>
                <w:szCs w:val="20"/>
                <w:lang w:val="en-GB" w:eastAsia="en-GB"/>
              </w:rPr>
            </w:pPr>
            <w:proofErr w:type="spellStart"/>
            <w:r w:rsidRPr="0031279F">
              <w:rPr>
                <w:rFonts w:ascii="Arial" w:hAnsi="Arial" w:cs="Arial"/>
                <w:color w:val="000000"/>
                <w:sz w:val="20"/>
                <w:szCs w:val="20"/>
                <w:lang w:val="en-GB" w:eastAsia="en-GB"/>
              </w:rPr>
              <w:t>Ministerstwo</w:t>
            </w:r>
            <w:proofErr w:type="spellEnd"/>
            <w:r w:rsidRPr="0031279F">
              <w:rPr>
                <w:rFonts w:ascii="Arial" w:hAnsi="Arial" w:cs="Arial"/>
                <w:color w:val="000000"/>
                <w:sz w:val="20"/>
                <w:szCs w:val="20"/>
                <w:lang w:val="en-GB" w:eastAsia="en-GB"/>
              </w:rPr>
              <w:t xml:space="preserve"> </w:t>
            </w:r>
            <w:proofErr w:type="spellStart"/>
            <w:r w:rsidRPr="0031279F">
              <w:rPr>
                <w:rFonts w:ascii="Arial" w:hAnsi="Arial" w:cs="Arial"/>
                <w:color w:val="000000"/>
                <w:sz w:val="20"/>
                <w:szCs w:val="20"/>
                <w:lang w:val="en-GB" w:eastAsia="en-GB"/>
              </w:rPr>
              <w:t>Spraw</w:t>
            </w:r>
            <w:proofErr w:type="spellEnd"/>
            <w:r w:rsidRPr="0031279F">
              <w:rPr>
                <w:rFonts w:ascii="Arial" w:hAnsi="Arial" w:cs="Arial"/>
                <w:color w:val="000000"/>
                <w:sz w:val="20"/>
                <w:szCs w:val="20"/>
                <w:lang w:val="en-GB" w:eastAsia="en-GB"/>
              </w:rPr>
              <w:t xml:space="preserve"> </w:t>
            </w:r>
            <w:proofErr w:type="spellStart"/>
            <w:r w:rsidRPr="0031279F">
              <w:rPr>
                <w:rFonts w:ascii="Arial" w:hAnsi="Arial" w:cs="Arial"/>
                <w:color w:val="000000"/>
                <w:sz w:val="20"/>
                <w:szCs w:val="20"/>
                <w:lang w:val="en-GB" w:eastAsia="en-GB"/>
              </w:rPr>
              <w:t>Zagranicznych</w:t>
            </w:r>
            <w:proofErr w:type="spellEnd"/>
          </w:p>
        </w:tc>
      </w:tr>
      <w:tr w:rsidR="0031279F" w:rsidRPr="00616F99" w14:paraId="7F353037" w14:textId="77777777" w:rsidTr="00FF4961">
        <w:trPr>
          <w:trHeight w:val="624"/>
        </w:trPr>
        <w:tc>
          <w:tcPr>
            <w:tcW w:w="2678" w:type="dxa"/>
          </w:tcPr>
          <w:p w14:paraId="4FA47E93" w14:textId="4DF9BDD2" w:rsidR="0031279F" w:rsidRPr="0031279F" w:rsidRDefault="0031279F" w:rsidP="0031279F">
            <w:pPr>
              <w:jc w:val="both"/>
              <w:rPr>
                <w:rFonts w:ascii="Arial" w:eastAsia="Calibri" w:hAnsi="Arial" w:cs="Arial"/>
                <w:sz w:val="20"/>
                <w:szCs w:val="20"/>
                <w:lang w:val="en-GB" w:eastAsia="en-GB"/>
              </w:rPr>
            </w:pPr>
            <w:r w:rsidRPr="0031279F">
              <w:rPr>
                <w:rFonts w:ascii="Arial" w:eastAsia="Calibri" w:hAnsi="Arial" w:cs="Arial"/>
                <w:b/>
                <w:sz w:val="20"/>
                <w:szCs w:val="20"/>
                <w:lang w:val="en-US" w:eastAsia="en-GB"/>
              </w:rPr>
              <w:t xml:space="preserve">ROMANIA </w:t>
            </w:r>
          </w:p>
        </w:tc>
        <w:tc>
          <w:tcPr>
            <w:tcW w:w="6608" w:type="dxa"/>
            <w:tcMar>
              <w:top w:w="85" w:type="dxa"/>
              <w:bottom w:w="85" w:type="dxa"/>
            </w:tcMar>
          </w:tcPr>
          <w:p w14:paraId="7498A8AA" w14:textId="77777777" w:rsidR="0031279F" w:rsidRPr="0031279F" w:rsidRDefault="0031279F" w:rsidP="0031279F">
            <w:pPr>
              <w:rPr>
                <w:rFonts w:ascii="Arial" w:hAnsi="Arial" w:cs="Arial"/>
                <w:b/>
                <w:bCs/>
                <w:color w:val="000000"/>
                <w:sz w:val="20"/>
                <w:szCs w:val="20"/>
                <w:lang w:val="en-GB" w:eastAsia="en-GB"/>
              </w:rPr>
            </w:pPr>
            <w:r w:rsidRPr="0031279F">
              <w:rPr>
                <w:rFonts w:ascii="Arial" w:hAnsi="Arial" w:cs="Arial"/>
                <w:b/>
                <w:bCs/>
                <w:color w:val="000000"/>
                <w:sz w:val="20"/>
                <w:szCs w:val="20"/>
                <w:lang w:val="en-GB" w:eastAsia="en-GB"/>
              </w:rPr>
              <w:t>Ms Mirela PASCARU</w:t>
            </w:r>
          </w:p>
          <w:p w14:paraId="1F8B64BE" w14:textId="77777777" w:rsidR="0031279F" w:rsidRPr="0031279F" w:rsidRDefault="0031279F" w:rsidP="0031279F">
            <w:pPr>
              <w:rPr>
                <w:rFonts w:ascii="Arial" w:hAnsi="Arial" w:cs="Arial"/>
                <w:color w:val="000000"/>
                <w:sz w:val="20"/>
                <w:szCs w:val="20"/>
                <w:lang w:val="en-GB" w:eastAsia="en-GB"/>
              </w:rPr>
            </w:pPr>
            <w:r w:rsidRPr="0031279F">
              <w:rPr>
                <w:rFonts w:ascii="Arial" w:hAnsi="Arial" w:cs="Arial"/>
                <w:color w:val="000000"/>
                <w:sz w:val="20"/>
                <w:szCs w:val="20"/>
                <w:lang w:val="en-GB" w:eastAsia="en-GB"/>
              </w:rPr>
              <w:t xml:space="preserve">Deputy director </w:t>
            </w:r>
          </w:p>
          <w:p w14:paraId="41A47E8D" w14:textId="77777777" w:rsidR="0031279F" w:rsidRPr="0031279F" w:rsidRDefault="0031279F" w:rsidP="0031279F">
            <w:pPr>
              <w:rPr>
                <w:rFonts w:ascii="Arial" w:hAnsi="Arial" w:cs="Arial"/>
                <w:color w:val="000000"/>
                <w:sz w:val="20"/>
                <w:szCs w:val="20"/>
                <w:lang w:val="en-GB" w:eastAsia="en-GB"/>
              </w:rPr>
            </w:pPr>
            <w:r w:rsidRPr="0031279F">
              <w:rPr>
                <w:rFonts w:ascii="Arial" w:hAnsi="Arial" w:cs="Arial"/>
                <w:color w:val="000000"/>
                <w:sz w:val="20"/>
                <w:szCs w:val="20"/>
                <w:lang w:val="en-GB" w:eastAsia="en-GB"/>
              </w:rPr>
              <w:t>International Law and EU Law Division</w:t>
            </w:r>
          </w:p>
          <w:p w14:paraId="5E97C388" w14:textId="77777777" w:rsidR="0031279F" w:rsidRPr="0031279F" w:rsidRDefault="0031279F" w:rsidP="0031279F">
            <w:pPr>
              <w:rPr>
                <w:rFonts w:ascii="Arial" w:eastAsia="Calibri" w:hAnsi="Arial" w:cs="Arial"/>
                <w:sz w:val="20"/>
                <w:szCs w:val="20"/>
                <w:lang w:val="en-US" w:eastAsia="en-GB"/>
              </w:rPr>
            </w:pPr>
            <w:r w:rsidRPr="0031279F">
              <w:rPr>
                <w:rFonts w:ascii="Arial" w:hAnsi="Arial" w:cs="Arial"/>
                <w:color w:val="000000"/>
                <w:sz w:val="20"/>
                <w:szCs w:val="20"/>
                <w:lang w:val="en-GB" w:eastAsia="en-GB"/>
              </w:rPr>
              <w:t>Ministry of Foreign Affairs of Romania</w:t>
            </w:r>
            <w:r w:rsidRPr="0031279F">
              <w:rPr>
                <w:rFonts w:ascii="Arial" w:eastAsia="Calibri" w:hAnsi="Arial" w:cs="Arial"/>
                <w:sz w:val="20"/>
                <w:szCs w:val="20"/>
                <w:lang w:val="en-US" w:eastAsia="en-GB"/>
              </w:rPr>
              <w:t xml:space="preserve"> </w:t>
            </w:r>
          </w:p>
        </w:tc>
      </w:tr>
      <w:tr w:rsidR="0031279F" w:rsidRPr="00616F99" w14:paraId="4340CCCA" w14:textId="77777777" w:rsidTr="00FF4961">
        <w:trPr>
          <w:trHeight w:val="624"/>
        </w:trPr>
        <w:tc>
          <w:tcPr>
            <w:tcW w:w="2678" w:type="dxa"/>
          </w:tcPr>
          <w:p w14:paraId="368798D4" w14:textId="0BDD9069" w:rsidR="0031279F" w:rsidRPr="0031279F" w:rsidRDefault="0031279F" w:rsidP="0031279F">
            <w:pPr>
              <w:jc w:val="both"/>
              <w:rPr>
                <w:rFonts w:ascii="Arial" w:eastAsia="Calibri" w:hAnsi="Arial" w:cs="Arial"/>
                <w:sz w:val="20"/>
                <w:szCs w:val="20"/>
                <w:lang w:eastAsia="en-GB"/>
              </w:rPr>
            </w:pPr>
            <w:r w:rsidRPr="0031279F">
              <w:rPr>
                <w:rFonts w:ascii="Arial" w:eastAsia="Calibri" w:hAnsi="Arial" w:cs="Arial"/>
                <w:b/>
                <w:sz w:val="20"/>
                <w:szCs w:val="20"/>
                <w:lang w:eastAsia="en-GB"/>
              </w:rPr>
              <w:t xml:space="preserve">RUSSIAN FEDERATION </w:t>
            </w:r>
          </w:p>
        </w:tc>
        <w:tc>
          <w:tcPr>
            <w:tcW w:w="6608" w:type="dxa"/>
            <w:tcMar>
              <w:top w:w="85" w:type="dxa"/>
              <w:bottom w:w="85" w:type="dxa"/>
            </w:tcMar>
          </w:tcPr>
          <w:p w14:paraId="5DBC76FB" w14:textId="77777777" w:rsidR="00CC6667" w:rsidRPr="00CC6667" w:rsidRDefault="00CC6667" w:rsidP="00CC6667">
            <w:pPr>
              <w:jc w:val="both"/>
              <w:rPr>
                <w:rFonts w:ascii="Arial" w:eastAsia="Calibri" w:hAnsi="Arial" w:cs="Arial"/>
                <w:b/>
                <w:bCs/>
                <w:sz w:val="20"/>
                <w:szCs w:val="20"/>
                <w:lang w:val="en-GB" w:eastAsia="en-GB"/>
              </w:rPr>
            </w:pPr>
            <w:r w:rsidRPr="00CC6667">
              <w:rPr>
                <w:rFonts w:ascii="Arial" w:eastAsia="Calibri" w:hAnsi="Arial" w:cs="Arial"/>
                <w:b/>
                <w:bCs/>
                <w:sz w:val="20"/>
                <w:szCs w:val="20"/>
                <w:lang w:val="en-GB" w:eastAsia="en-GB"/>
              </w:rPr>
              <w:t>Mr Roman SEDOV</w:t>
            </w:r>
          </w:p>
          <w:p w14:paraId="44BB43F5" w14:textId="231FBB45" w:rsidR="00CC6667" w:rsidRPr="00CC6667" w:rsidRDefault="00CC6667" w:rsidP="00CC6667">
            <w:pPr>
              <w:jc w:val="both"/>
              <w:rPr>
                <w:rFonts w:ascii="Arial" w:eastAsia="Calibri" w:hAnsi="Arial" w:cs="Arial"/>
                <w:sz w:val="20"/>
                <w:szCs w:val="20"/>
                <w:lang w:val="en-GB" w:eastAsia="en-GB"/>
              </w:rPr>
            </w:pPr>
            <w:r w:rsidRPr="00CC6667">
              <w:rPr>
                <w:rFonts w:ascii="Arial" w:eastAsia="Calibri" w:hAnsi="Arial" w:cs="Arial"/>
                <w:sz w:val="20"/>
                <w:szCs w:val="20"/>
                <w:lang w:val="en-GB" w:eastAsia="en-GB"/>
              </w:rPr>
              <w:t xml:space="preserve">Representative of the foreign Office (Division) of the General Prosecutor’s Office of the Russian Federation </w:t>
            </w:r>
          </w:p>
          <w:p w14:paraId="5F2AE9DD" w14:textId="77777777" w:rsidR="00CC6667" w:rsidRPr="00CC6667" w:rsidRDefault="00CC6667" w:rsidP="00CC6667">
            <w:pPr>
              <w:jc w:val="both"/>
              <w:rPr>
                <w:rFonts w:ascii="Arial" w:eastAsia="Calibri" w:hAnsi="Arial" w:cs="Arial"/>
                <w:sz w:val="20"/>
                <w:szCs w:val="20"/>
                <w:lang w:val="en-GB" w:eastAsia="en-GB"/>
              </w:rPr>
            </w:pPr>
          </w:p>
          <w:p w14:paraId="0C5AB7A7" w14:textId="77777777" w:rsidR="00CC6667" w:rsidRPr="00CC6667" w:rsidRDefault="00CC6667" w:rsidP="00CC6667">
            <w:pPr>
              <w:jc w:val="both"/>
              <w:rPr>
                <w:rFonts w:ascii="Arial" w:eastAsia="Calibri" w:hAnsi="Arial" w:cs="Arial"/>
                <w:b/>
                <w:bCs/>
                <w:sz w:val="20"/>
                <w:szCs w:val="20"/>
                <w:lang w:val="en-GB" w:eastAsia="en-GB"/>
              </w:rPr>
            </w:pPr>
            <w:r w:rsidRPr="00CC6667">
              <w:rPr>
                <w:rFonts w:ascii="Arial" w:eastAsia="Calibri" w:hAnsi="Arial" w:cs="Arial"/>
                <w:b/>
                <w:bCs/>
                <w:sz w:val="20"/>
                <w:szCs w:val="20"/>
                <w:lang w:val="en-GB" w:eastAsia="en-GB"/>
              </w:rPr>
              <w:t>Mr Alexander MOLCHANOV</w:t>
            </w:r>
          </w:p>
          <w:p w14:paraId="4738F84B" w14:textId="3D633CC9" w:rsidR="00CC6667" w:rsidRPr="00C12C1F" w:rsidRDefault="00CC6667" w:rsidP="00CC6667">
            <w:pPr>
              <w:jc w:val="both"/>
              <w:rPr>
                <w:rFonts w:ascii="Arial" w:eastAsia="Calibri" w:hAnsi="Arial" w:cs="Arial"/>
                <w:sz w:val="20"/>
                <w:szCs w:val="20"/>
                <w:lang w:val="en-GB" w:eastAsia="en-GB"/>
              </w:rPr>
            </w:pPr>
            <w:r w:rsidRPr="00CC6667">
              <w:rPr>
                <w:rFonts w:ascii="Arial" w:eastAsia="Calibri" w:hAnsi="Arial" w:cs="Arial"/>
                <w:sz w:val="20"/>
                <w:szCs w:val="20"/>
                <w:lang w:val="en-GB" w:eastAsia="en-GB"/>
              </w:rPr>
              <w:t xml:space="preserve">Representative of the foreign Office (Division) of the General Prosecutor’s Office of the Russian Federation </w:t>
            </w:r>
          </w:p>
          <w:p w14:paraId="6F9A3500" w14:textId="77777777" w:rsidR="00CC6667" w:rsidRPr="00C12C1F" w:rsidRDefault="00CC6667" w:rsidP="00CC6667">
            <w:pPr>
              <w:jc w:val="both"/>
              <w:rPr>
                <w:rFonts w:ascii="Arial" w:eastAsia="Calibri" w:hAnsi="Arial" w:cs="Arial"/>
                <w:sz w:val="20"/>
                <w:szCs w:val="20"/>
                <w:lang w:val="en-GB" w:eastAsia="en-GB"/>
              </w:rPr>
            </w:pPr>
          </w:p>
          <w:p w14:paraId="09F04673" w14:textId="77777777" w:rsidR="00CC6667" w:rsidRPr="00C12C1F" w:rsidRDefault="00CC6667" w:rsidP="00CC6667">
            <w:pPr>
              <w:jc w:val="both"/>
              <w:rPr>
                <w:rFonts w:ascii="Arial" w:eastAsia="Calibri" w:hAnsi="Arial" w:cs="Arial"/>
                <w:b/>
                <w:bCs/>
                <w:sz w:val="20"/>
                <w:szCs w:val="20"/>
                <w:lang w:val="en-GB" w:eastAsia="en-GB"/>
              </w:rPr>
            </w:pPr>
            <w:r w:rsidRPr="00C12C1F">
              <w:rPr>
                <w:rFonts w:ascii="Arial" w:eastAsia="Calibri" w:hAnsi="Arial" w:cs="Arial"/>
                <w:b/>
                <w:bCs/>
                <w:sz w:val="20"/>
                <w:szCs w:val="20"/>
                <w:lang w:val="en-GB" w:eastAsia="en-GB"/>
              </w:rPr>
              <w:t>M. Konstantin KOSORUKOV</w:t>
            </w:r>
          </w:p>
          <w:p w14:paraId="54AAF6EB" w14:textId="40ACB9DD" w:rsidR="00CC6667" w:rsidRPr="00CC6667" w:rsidRDefault="00CC6667" w:rsidP="00CC6667">
            <w:pPr>
              <w:jc w:val="both"/>
              <w:rPr>
                <w:rFonts w:ascii="Arial" w:eastAsia="Calibri" w:hAnsi="Arial" w:cs="Arial"/>
                <w:sz w:val="20"/>
                <w:szCs w:val="20"/>
                <w:lang w:val="en-US" w:eastAsia="en-GB"/>
              </w:rPr>
            </w:pPr>
            <w:r w:rsidRPr="00CC6667">
              <w:rPr>
                <w:rFonts w:ascii="Arial" w:eastAsia="Calibri" w:hAnsi="Arial" w:cs="Arial"/>
                <w:sz w:val="20"/>
                <w:szCs w:val="20"/>
                <w:lang w:val="en-GB" w:eastAsia="en-GB"/>
              </w:rPr>
              <w:t>Deputy to the Permanent Representative of the Russian Federation to the Council of Europe</w:t>
            </w:r>
            <w:r w:rsidRPr="00CC6667">
              <w:rPr>
                <w:rFonts w:ascii="Arial" w:eastAsia="Calibri" w:hAnsi="Arial" w:cs="Arial"/>
                <w:sz w:val="20"/>
                <w:szCs w:val="20"/>
                <w:lang w:val="en-US" w:eastAsia="en-GB"/>
              </w:rPr>
              <w:t xml:space="preserve"> </w:t>
            </w:r>
          </w:p>
          <w:p w14:paraId="3DCF79B3" w14:textId="77777777" w:rsidR="00CC6667" w:rsidRPr="00CC6667" w:rsidRDefault="00CC6667" w:rsidP="00CC6667">
            <w:pPr>
              <w:jc w:val="both"/>
              <w:rPr>
                <w:rFonts w:ascii="Arial" w:eastAsia="Calibri" w:hAnsi="Arial" w:cs="Arial"/>
                <w:sz w:val="20"/>
                <w:szCs w:val="20"/>
                <w:lang w:val="en-US" w:eastAsia="en-GB"/>
              </w:rPr>
            </w:pPr>
          </w:p>
          <w:p w14:paraId="5B7CAA2F" w14:textId="77777777" w:rsidR="00CC6667" w:rsidRPr="00CC6667" w:rsidRDefault="00CC6667" w:rsidP="00CC6667">
            <w:pPr>
              <w:jc w:val="both"/>
              <w:rPr>
                <w:rFonts w:ascii="Arial" w:eastAsia="Calibri" w:hAnsi="Arial" w:cs="Arial"/>
                <w:b/>
                <w:bCs/>
                <w:sz w:val="20"/>
                <w:szCs w:val="20"/>
                <w:lang w:val="en-US" w:eastAsia="en-GB"/>
              </w:rPr>
            </w:pPr>
            <w:r w:rsidRPr="00CC6667">
              <w:rPr>
                <w:rFonts w:ascii="Arial" w:eastAsia="Calibri" w:hAnsi="Arial" w:cs="Arial"/>
                <w:b/>
                <w:bCs/>
                <w:sz w:val="20"/>
                <w:szCs w:val="20"/>
                <w:lang w:val="en-US" w:eastAsia="en-GB"/>
              </w:rPr>
              <w:t>Ms Olga ZINCHENKO</w:t>
            </w:r>
          </w:p>
          <w:p w14:paraId="195A740B" w14:textId="33E5A3B3" w:rsidR="00CC6667" w:rsidRPr="00CC6667" w:rsidRDefault="00CC6667" w:rsidP="00CC6667">
            <w:pPr>
              <w:jc w:val="both"/>
              <w:rPr>
                <w:rFonts w:ascii="Arial" w:eastAsia="Calibri" w:hAnsi="Arial" w:cs="Arial"/>
                <w:sz w:val="20"/>
                <w:szCs w:val="20"/>
                <w:lang w:val="en-GB" w:eastAsia="en-GB"/>
              </w:rPr>
            </w:pPr>
            <w:r w:rsidRPr="00CC6667">
              <w:rPr>
                <w:rFonts w:ascii="Arial" w:eastAsia="Calibri" w:hAnsi="Arial" w:cs="Arial"/>
                <w:sz w:val="20"/>
                <w:szCs w:val="20"/>
                <w:lang w:val="en-US" w:eastAsia="en-GB"/>
              </w:rPr>
              <w:t>Third Secretary of the Department for Humanitarian Cooperation and Human Rights of the Ministry of Foreign Affairs of the Russian Federation</w:t>
            </w:r>
            <w:r w:rsidRPr="00CC6667">
              <w:rPr>
                <w:rFonts w:ascii="Arial" w:eastAsia="Calibri" w:hAnsi="Arial" w:cs="Arial"/>
                <w:sz w:val="20"/>
                <w:szCs w:val="20"/>
                <w:lang w:val="en-GB" w:eastAsia="en-GB"/>
              </w:rPr>
              <w:t xml:space="preserve"> </w:t>
            </w:r>
          </w:p>
          <w:p w14:paraId="3E229B72" w14:textId="77777777" w:rsidR="00CC6667" w:rsidRPr="00CC6667" w:rsidRDefault="00CC6667" w:rsidP="00CC6667">
            <w:pPr>
              <w:jc w:val="both"/>
              <w:rPr>
                <w:rFonts w:ascii="Arial" w:eastAsia="Calibri" w:hAnsi="Arial" w:cs="Arial"/>
                <w:sz w:val="20"/>
                <w:szCs w:val="20"/>
                <w:lang w:val="en-GB" w:eastAsia="en-GB"/>
              </w:rPr>
            </w:pPr>
          </w:p>
          <w:p w14:paraId="27174863" w14:textId="70F06995" w:rsidR="00D711C8" w:rsidRPr="00D711C8" w:rsidRDefault="00CC6667" w:rsidP="00CC6667">
            <w:pPr>
              <w:rPr>
                <w:rFonts w:ascii="Arial" w:eastAsia="Calibri" w:hAnsi="Arial" w:cs="Arial"/>
                <w:sz w:val="20"/>
                <w:szCs w:val="20"/>
                <w:lang w:val="en-US" w:eastAsia="en-GB"/>
              </w:rPr>
            </w:pPr>
            <w:r w:rsidRPr="00CC6667">
              <w:rPr>
                <w:rFonts w:ascii="Arial" w:eastAsia="Calibri" w:hAnsi="Arial" w:cs="Arial"/>
                <w:b/>
                <w:bCs/>
                <w:sz w:val="20"/>
                <w:szCs w:val="20"/>
                <w:lang w:val="en-US" w:eastAsia="en-GB"/>
              </w:rPr>
              <w:t>Mr Vladislav ERMAKOV</w:t>
            </w:r>
            <w:r w:rsidRPr="00CC6667">
              <w:rPr>
                <w:rFonts w:ascii="Arial" w:eastAsia="Calibri" w:hAnsi="Arial" w:cs="Arial"/>
                <w:sz w:val="20"/>
                <w:szCs w:val="20"/>
                <w:lang w:val="en-US" w:eastAsia="en-GB"/>
              </w:rPr>
              <w:br/>
              <w:t>Deputy to the Permanent Representative </w:t>
            </w:r>
          </w:p>
        </w:tc>
      </w:tr>
      <w:tr w:rsidR="0031279F" w:rsidRPr="00616F99" w14:paraId="282A9B78" w14:textId="77777777" w:rsidTr="00FF4961">
        <w:trPr>
          <w:trHeight w:val="624"/>
        </w:trPr>
        <w:tc>
          <w:tcPr>
            <w:tcW w:w="2678" w:type="dxa"/>
          </w:tcPr>
          <w:p w14:paraId="27FD3E85" w14:textId="4AB7E51E" w:rsidR="0031279F" w:rsidRPr="0031279F" w:rsidRDefault="0031279F" w:rsidP="0031279F">
            <w:pPr>
              <w:jc w:val="both"/>
              <w:rPr>
                <w:rFonts w:ascii="Arial" w:eastAsia="Calibri" w:hAnsi="Arial" w:cs="Arial"/>
                <w:b/>
                <w:spacing w:val="-2"/>
                <w:sz w:val="20"/>
                <w:szCs w:val="20"/>
                <w:lang w:val="en-GB" w:eastAsia="en-GB"/>
              </w:rPr>
            </w:pPr>
            <w:r w:rsidRPr="0031279F">
              <w:rPr>
                <w:rFonts w:ascii="Arial" w:eastAsia="Calibri" w:hAnsi="Arial" w:cs="Arial"/>
                <w:b/>
                <w:spacing w:val="-2"/>
                <w:sz w:val="20"/>
                <w:szCs w:val="20"/>
                <w:lang w:val="en-GB" w:eastAsia="en-GB"/>
              </w:rPr>
              <w:t xml:space="preserve">SERBIA </w:t>
            </w:r>
          </w:p>
        </w:tc>
        <w:tc>
          <w:tcPr>
            <w:tcW w:w="6608" w:type="dxa"/>
            <w:tcMar>
              <w:top w:w="85" w:type="dxa"/>
              <w:bottom w:w="85" w:type="dxa"/>
            </w:tcMar>
          </w:tcPr>
          <w:p w14:paraId="395445B0" w14:textId="77777777" w:rsidR="0031279F" w:rsidRPr="0031279F" w:rsidRDefault="0031279F" w:rsidP="0031279F">
            <w:pPr>
              <w:rPr>
                <w:rFonts w:ascii="Arial" w:eastAsia="Calibri" w:hAnsi="Arial" w:cs="Arial"/>
                <w:b/>
                <w:bCs/>
                <w:sz w:val="20"/>
                <w:szCs w:val="20"/>
                <w:lang w:val="en-US" w:eastAsia="en-GB"/>
              </w:rPr>
            </w:pPr>
            <w:r w:rsidRPr="0031279F">
              <w:rPr>
                <w:rFonts w:ascii="Arial" w:eastAsia="Calibri" w:hAnsi="Arial" w:cs="Arial"/>
                <w:b/>
                <w:bCs/>
                <w:sz w:val="20"/>
                <w:szCs w:val="20"/>
                <w:lang w:val="en-US" w:eastAsia="en-GB"/>
              </w:rPr>
              <w:t>Mr Aleksandar V. GAJIĆ</w:t>
            </w:r>
          </w:p>
          <w:p w14:paraId="017CB4A4" w14:textId="1C8C60D6" w:rsidR="0031279F" w:rsidRPr="0031279F" w:rsidRDefault="0031279F" w:rsidP="00C95E47">
            <w:pPr>
              <w:rPr>
                <w:rFonts w:ascii="Arial" w:eastAsia="Calibri" w:hAnsi="Arial" w:cs="Arial"/>
                <w:sz w:val="20"/>
                <w:szCs w:val="20"/>
                <w:lang w:val="en-GB" w:eastAsia="en-GB"/>
              </w:rPr>
            </w:pPr>
            <w:r w:rsidRPr="0031279F">
              <w:rPr>
                <w:rFonts w:ascii="Arial" w:eastAsia="Calibri" w:hAnsi="Arial" w:cs="Arial"/>
                <w:sz w:val="20"/>
                <w:szCs w:val="20"/>
                <w:lang w:val="en-US" w:eastAsia="en-GB"/>
              </w:rPr>
              <w:t>PhD, Chief Legal Advisor at the Ministry of Foreign Affairs and Professor at the Faculty of Law, University of Belgrade</w:t>
            </w:r>
          </w:p>
        </w:tc>
      </w:tr>
      <w:tr w:rsidR="0031279F" w:rsidRPr="00616F99" w14:paraId="217B224C" w14:textId="77777777" w:rsidTr="00FF4961">
        <w:trPr>
          <w:trHeight w:val="624"/>
        </w:trPr>
        <w:tc>
          <w:tcPr>
            <w:tcW w:w="2678" w:type="dxa"/>
          </w:tcPr>
          <w:p w14:paraId="059B24AA" w14:textId="68456EC8" w:rsidR="0031279F" w:rsidRPr="0031279F" w:rsidRDefault="0031279F" w:rsidP="0031279F">
            <w:pPr>
              <w:jc w:val="both"/>
              <w:rPr>
                <w:rFonts w:ascii="Arial" w:eastAsia="Calibri" w:hAnsi="Arial" w:cs="Arial"/>
                <w:b/>
                <w:spacing w:val="-2"/>
                <w:sz w:val="20"/>
                <w:szCs w:val="20"/>
                <w:lang w:val="en-GB" w:eastAsia="en-GB"/>
              </w:rPr>
            </w:pPr>
            <w:r w:rsidRPr="0031279F">
              <w:rPr>
                <w:rFonts w:ascii="Arial" w:eastAsia="Calibri" w:hAnsi="Arial" w:cs="Arial"/>
                <w:b/>
                <w:spacing w:val="-2"/>
                <w:sz w:val="20"/>
                <w:szCs w:val="20"/>
                <w:lang w:val="en-GB" w:eastAsia="en-GB"/>
              </w:rPr>
              <w:t xml:space="preserve">SLOVENIA </w:t>
            </w:r>
          </w:p>
        </w:tc>
        <w:tc>
          <w:tcPr>
            <w:tcW w:w="6608" w:type="dxa"/>
            <w:tcMar>
              <w:top w:w="85" w:type="dxa"/>
              <w:bottom w:w="85" w:type="dxa"/>
            </w:tcMar>
          </w:tcPr>
          <w:p w14:paraId="2BDA331C" w14:textId="77777777" w:rsidR="0031279F" w:rsidRPr="0031279F" w:rsidRDefault="0031279F" w:rsidP="0031279F">
            <w:pPr>
              <w:rPr>
                <w:rFonts w:ascii="Arial" w:eastAsia="Calibri" w:hAnsi="Arial" w:cs="Arial"/>
                <w:b/>
                <w:bCs/>
                <w:sz w:val="20"/>
                <w:szCs w:val="20"/>
                <w:lang w:val="en-US" w:eastAsia="en-GB"/>
              </w:rPr>
            </w:pPr>
            <w:r w:rsidRPr="0031279F">
              <w:rPr>
                <w:rFonts w:ascii="Arial" w:eastAsia="Calibri" w:hAnsi="Arial" w:cs="Arial"/>
                <w:b/>
                <w:bCs/>
                <w:sz w:val="20"/>
                <w:szCs w:val="20"/>
                <w:lang w:val="en-US" w:eastAsia="en-GB"/>
              </w:rPr>
              <w:t>Ms Mateja ŠTRUMELJ PIŠKUR</w:t>
            </w:r>
          </w:p>
          <w:p w14:paraId="6CE794D8" w14:textId="77777777" w:rsidR="0031279F" w:rsidRPr="0031279F" w:rsidRDefault="0031279F" w:rsidP="0031279F">
            <w:pPr>
              <w:rPr>
                <w:rFonts w:ascii="Arial" w:eastAsia="Calibri" w:hAnsi="Arial" w:cs="Arial"/>
                <w:sz w:val="20"/>
                <w:szCs w:val="20"/>
                <w:lang w:val="en-US" w:eastAsia="en-GB"/>
              </w:rPr>
            </w:pPr>
            <w:r w:rsidRPr="0031279F">
              <w:rPr>
                <w:rFonts w:ascii="Arial" w:eastAsia="Calibri" w:hAnsi="Arial" w:cs="Arial"/>
                <w:sz w:val="20"/>
                <w:szCs w:val="20"/>
                <w:lang w:val="en-US" w:eastAsia="en-GB"/>
              </w:rPr>
              <w:t>Head of the International Law Department</w:t>
            </w:r>
          </w:p>
          <w:p w14:paraId="0B461899" w14:textId="77777777" w:rsidR="0031279F" w:rsidRPr="0031279F" w:rsidRDefault="0031279F" w:rsidP="0031279F">
            <w:pPr>
              <w:rPr>
                <w:rFonts w:ascii="Arial" w:eastAsia="Calibri" w:hAnsi="Arial" w:cs="Arial"/>
                <w:sz w:val="20"/>
                <w:szCs w:val="20"/>
                <w:lang w:val="en-GB" w:eastAsia="en-GB"/>
              </w:rPr>
            </w:pPr>
            <w:r w:rsidRPr="0031279F">
              <w:rPr>
                <w:rFonts w:ascii="Arial" w:eastAsia="Calibri" w:hAnsi="Arial" w:cs="Arial"/>
                <w:sz w:val="20"/>
                <w:szCs w:val="20"/>
                <w:lang w:val="en-US" w:eastAsia="en-GB"/>
              </w:rPr>
              <w:t>Directorate for International Law and Protection of Interests, Ministry of Foreign Affairs</w:t>
            </w:r>
            <w:r w:rsidRPr="0031279F">
              <w:rPr>
                <w:rFonts w:ascii="Arial" w:eastAsia="Calibri" w:hAnsi="Arial" w:cs="Arial"/>
                <w:sz w:val="20"/>
                <w:szCs w:val="20"/>
                <w:lang w:val="en-GB" w:eastAsia="en-GB"/>
              </w:rPr>
              <w:t xml:space="preserve"> </w:t>
            </w:r>
          </w:p>
          <w:p w14:paraId="1B2A53AA" w14:textId="77777777" w:rsidR="0031279F" w:rsidRPr="0031279F" w:rsidRDefault="0031279F" w:rsidP="0031279F">
            <w:pPr>
              <w:rPr>
                <w:rFonts w:ascii="Arial" w:eastAsia="Calibri" w:hAnsi="Arial" w:cs="Arial"/>
                <w:sz w:val="20"/>
                <w:szCs w:val="20"/>
                <w:lang w:val="en-GB" w:eastAsia="en-GB"/>
              </w:rPr>
            </w:pPr>
          </w:p>
          <w:p w14:paraId="41D86F6F" w14:textId="77777777" w:rsidR="0031279F" w:rsidRPr="0031279F" w:rsidRDefault="0031279F" w:rsidP="0031279F">
            <w:pPr>
              <w:rPr>
                <w:rFonts w:ascii="Calibri" w:eastAsia="Calibri" w:hAnsi="Calibri"/>
                <w:sz w:val="20"/>
                <w:szCs w:val="20"/>
                <w:lang w:val="en-GB" w:eastAsia="en-GB"/>
              </w:rPr>
            </w:pPr>
            <w:r w:rsidRPr="0031279F">
              <w:rPr>
                <w:rFonts w:ascii="Arial" w:eastAsia="Calibri" w:hAnsi="Arial" w:cs="Arial"/>
                <w:b/>
                <w:bCs/>
                <w:sz w:val="20"/>
                <w:szCs w:val="20"/>
                <w:lang w:val="en-GB" w:eastAsia="en-GB"/>
              </w:rPr>
              <w:t>Ms Jasna FURLANIČ</w:t>
            </w:r>
            <w:r w:rsidRPr="0031279F">
              <w:rPr>
                <w:rFonts w:ascii="Calibri" w:eastAsia="Calibri" w:hAnsi="Calibri"/>
                <w:sz w:val="20"/>
                <w:szCs w:val="20"/>
                <w:lang w:val="en-GB" w:eastAsia="en-GB"/>
              </w:rPr>
              <w:t xml:space="preserve"> </w:t>
            </w:r>
          </w:p>
          <w:p w14:paraId="2737C486" w14:textId="77777777" w:rsidR="0031279F" w:rsidRPr="0031279F" w:rsidRDefault="0031279F" w:rsidP="0031279F">
            <w:pPr>
              <w:rPr>
                <w:rFonts w:ascii="Calibri" w:eastAsia="Calibri" w:hAnsi="Calibri"/>
                <w:szCs w:val="20"/>
                <w:lang w:val="en-US" w:eastAsia="en-GB"/>
              </w:rPr>
            </w:pPr>
            <w:r w:rsidRPr="0031279F">
              <w:rPr>
                <w:rFonts w:ascii="Arial" w:eastAsia="Calibri" w:hAnsi="Arial" w:cs="Arial"/>
                <w:sz w:val="20"/>
                <w:szCs w:val="20"/>
                <w:lang w:val="en-US" w:eastAsia="en-GB"/>
              </w:rPr>
              <w:t>Expert, International Law Department , Ministry of Foreign Affairs of the Republic of Slovenia</w:t>
            </w:r>
            <w:r w:rsidRPr="0031279F">
              <w:rPr>
                <w:rFonts w:ascii="Calibri" w:eastAsia="Calibri" w:hAnsi="Calibri"/>
                <w:szCs w:val="20"/>
                <w:lang w:val="en-US" w:eastAsia="en-GB"/>
              </w:rPr>
              <w:t xml:space="preserve"> </w:t>
            </w:r>
          </w:p>
        </w:tc>
      </w:tr>
      <w:tr w:rsidR="0031279F" w:rsidRPr="00616F99" w14:paraId="77FC7A2B" w14:textId="77777777" w:rsidTr="00FF4961">
        <w:trPr>
          <w:trHeight w:val="624"/>
        </w:trPr>
        <w:tc>
          <w:tcPr>
            <w:tcW w:w="2678" w:type="dxa"/>
          </w:tcPr>
          <w:p w14:paraId="0BDF7A61" w14:textId="3BFCB200" w:rsidR="0031279F" w:rsidRPr="0031279F" w:rsidRDefault="0031279F" w:rsidP="0031279F">
            <w:pPr>
              <w:rPr>
                <w:rFonts w:ascii="Arial" w:eastAsia="Calibri" w:hAnsi="Arial" w:cs="Arial"/>
                <w:sz w:val="20"/>
                <w:szCs w:val="20"/>
                <w:lang w:val="en-GB" w:eastAsia="en-GB"/>
              </w:rPr>
            </w:pPr>
            <w:r w:rsidRPr="0031279F">
              <w:rPr>
                <w:rFonts w:ascii="Arial" w:eastAsia="Calibri" w:hAnsi="Arial" w:cs="Arial"/>
                <w:b/>
                <w:spacing w:val="-2"/>
                <w:sz w:val="20"/>
                <w:szCs w:val="20"/>
                <w:lang w:val="en-GB" w:eastAsia="en-GB"/>
              </w:rPr>
              <w:t xml:space="preserve">SWEDEN </w:t>
            </w:r>
          </w:p>
        </w:tc>
        <w:tc>
          <w:tcPr>
            <w:tcW w:w="6608" w:type="dxa"/>
            <w:tcMar>
              <w:top w:w="85" w:type="dxa"/>
              <w:bottom w:w="85" w:type="dxa"/>
            </w:tcMar>
          </w:tcPr>
          <w:p w14:paraId="17669AA1" w14:textId="77777777" w:rsidR="0031279F" w:rsidRPr="0031279F" w:rsidRDefault="0031279F" w:rsidP="0031279F">
            <w:pPr>
              <w:rPr>
                <w:rFonts w:ascii="Arial" w:eastAsia="Calibri" w:hAnsi="Arial" w:cs="Arial"/>
                <w:b/>
                <w:bCs/>
                <w:sz w:val="20"/>
                <w:szCs w:val="20"/>
                <w:lang w:val="en-US" w:eastAsia="sv-SE"/>
              </w:rPr>
            </w:pPr>
            <w:r w:rsidRPr="0031279F">
              <w:rPr>
                <w:rFonts w:ascii="Arial" w:eastAsia="Calibri" w:hAnsi="Arial" w:cs="Arial"/>
                <w:b/>
                <w:bCs/>
                <w:sz w:val="20"/>
                <w:szCs w:val="20"/>
                <w:lang w:val="en-US" w:eastAsia="sv-SE"/>
              </w:rPr>
              <w:t>Ms Helen Lindquist</w:t>
            </w:r>
          </w:p>
          <w:p w14:paraId="5646DF97" w14:textId="77777777" w:rsidR="0031279F" w:rsidRPr="0031279F" w:rsidRDefault="0031279F" w:rsidP="0031279F">
            <w:pPr>
              <w:rPr>
                <w:rFonts w:ascii="Arial" w:eastAsia="Calibri" w:hAnsi="Arial" w:cs="Arial"/>
                <w:sz w:val="20"/>
                <w:szCs w:val="20"/>
                <w:lang w:val="en-GB" w:eastAsia="en-GB"/>
              </w:rPr>
            </w:pPr>
            <w:r w:rsidRPr="0031279F">
              <w:rPr>
                <w:rFonts w:ascii="Arial" w:eastAsia="Calibri" w:hAnsi="Arial" w:cs="Arial"/>
                <w:sz w:val="20"/>
                <w:szCs w:val="20"/>
                <w:lang w:val="en-US" w:eastAsia="sv-SE"/>
              </w:rPr>
              <w:t>Deputy Director</w:t>
            </w:r>
            <w:r w:rsidRPr="0031279F">
              <w:rPr>
                <w:rFonts w:ascii="Arial" w:eastAsia="Calibri" w:hAnsi="Arial" w:cs="Arial"/>
                <w:sz w:val="20"/>
                <w:szCs w:val="20"/>
                <w:lang w:val="en-US" w:eastAsia="sv-SE"/>
              </w:rPr>
              <w:br/>
              <w:t>Ministry for Foreign Affairs</w:t>
            </w:r>
            <w:r w:rsidRPr="0031279F">
              <w:rPr>
                <w:rFonts w:ascii="Arial" w:eastAsia="Calibri" w:hAnsi="Arial" w:cs="Arial"/>
                <w:sz w:val="20"/>
                <w:szCs w:val="20"/>
                <w:lang w:val="en-US" w:eastAsia="sv-SE"/>
              </w:rPr>
              <w:br/>
              <w:t>Department for International Law, Human Rights and Treaty Law</w:t>
            </w:r>
          </w:p>
        </w:tc>
      </w:tr>
      <w:tr w:rsidR="0031279F" w:rsidRPr="0031279F" w14:paraId="79745284" w14:textId="77777777" w:rsidTr="00FF4961">
        <w:trPr>
          <w:trHeight w:val="624"/>
        </w:trPr>
        <w:tc>
          <w:tcPr>
            <w:tcW w:w="2678" w:type="dxa"/>
          </w:tcPr>
          <w:p w14:paraId="2BE7CD6A" w14:textId="3A0063AD" w:rsidR="0031279F" w:rsidRPr="0031279F" w:rsidRDefault="0031279F" w:rsidP="0031279F">
            <w:pPr>
              <w:jc w:val="both"/>
              <w:rPr>
                <w:rFonts w:ascii="Arial" w:eastAsia="Calibri" w:hAnsi="Arial" w:cs="Arial"/>
                <w:sz w:val="20"/>
                <w:szCs w:val="20"/>
                <w:lang w:val="en-GB" w:eastAsia="en-GB"/>
              </w:rPr>
            </w:pPr>
            <w:r w:rsidRPr="0031279F">
              <w:rPr>
                <w:rFonts w:ascii="Arial" w:eastAsia="Calibri" w:hAnsi="Arial" w:cs="Arial"/>
                <w:b/>
                <w:spacing w:val="-2"/>
                <w:sz w:val="20"/>
                <w:szCs w:val="20"/>
                <w:lang w:val="en-GB" w:eastAsia="en-GB"/>
              </w:rPr>
              <w:t xml:space="preserve">SWITZERLAND (Chair) </w:t>
            </w:r>
          </w:p>
        </w:tc>
        <w:tc>
          <w:tcPr>
            <w:tcW w:w="6608" w:type="dxa"/>
            <w:tcMar>
              <w:top w:w="85" w:type="dxa"/>
              <w:bottom w:w="85" w:type="dxa"/>
            </w:tcMar>
          </w:tcPr>
          <w:p w14:paraId="76C036D8" w14:textId="77777777" w:rsidR="0031279F" w:rsidRPr="0031279F" w:rsidRDefault="0031279F" w:rsidP="0031279F">
            <w:pPr>
              <w:jc w:val="both"/>
              <w:rPr>
                <w:rFonts w:ascii="Arial" w:eastAsia="Calibri" w:hAnsi="Arial" w:cs="Arial"/>
                <w:sz w:val="20"/>
                <w:szCs w:val="20"/>
                <w:lang w:val="fr-CH" w:eastAsia="en-GB"/>
              </w:rPr>
            </w:pPr>
            <w:r w:rsidRPr="0031279F">
              <w:rPr>
                <w:rFonts w:ascii="Arial" w:eastAsia="Calibri" w:hAnsi="Arial" w:cs="Arial"/>
                <w:b/>
                <w:bCs/>
                <w:color w:val="000000"/>
                <w:sz w:val="20"/>
                <w:szCs w:val="20"/>
                <w:lang w:val="fr-CH" w:eastAsia="de-CH"/>
              </w:rPr>
              <w:t>M. Alain CHABLAIS</w:t>
            </w:r>
          </w:p>
          <w:p w14:paraId="4704E66B" w14:textId="77777777" w:rsidR="0031279F" w:rsidRPr="0031279F" w:rsidRDefault="0031279F" w:rsidP="0031279F">
            <w:pPr>
              <w:jc w:val="both"/>
              <w:rPr>
                <w:rFonts w:ascii="Calibri" w:eastAsia="Calibri" w:hAnsi="Calibri"/>
                <w:sz w:val="20"/>
                <w:szCs w:val="20"/>
              </w:rPr>
            </w:pPr>
            <w:r w:rsidRPr="0031279F">
              <w:rPr>
                <w:rFonts w:ascii="Arial" w:eastAsia="Calibri" w:hAnsi="Arial" w:cs="Arial"/>
                <w:sz w:val="20"/>
                <w:szCs w:val="20"/>
                <w:lang w:val="fr-CH" w:eastAsia="en-GB"/>
              </w:rPr>
              <w:t xml:space="preserve">Dr. </w:t>
            </w:r>
            <w:proofErr w:type="spellStart"/>
            <w:r w:rsidRPr="0031279F">
              <w:rPr>
                <w:rFonts w:ascii="Arial" w:eastAsia="Calibri" w:hAnsi="Arial" w:cs="Arial"/>
                <w:sz w:val="20"/>
                <w:szCs w:val="20"/>
                <w:lang w:val="fr-CH" w:eastAsia="en-GB"/>
              </w:rPr>
              <w:t>iur</w:t>
            </w:r>
            <w:proofErr w:type="spellEnd"/>
            <w:r w:rsidRPr="0031279F">
              <w:rPr>
                <w:rFonts w:ascii="Arial" w:eastAsia="Calibri" w:hAnsi="Arial" w:cs="Arial"/>
                <w:sz w:val="20"/>
                <w:szCs w:val="20"/>
                <w:lang w:val="fr-CH" w:eastAsia="en-GB"/>
              </w:rPr>
              <w:t>., Département fédéral de justice et police DFJP, Office fédéral de la justice OFJ, Agent du Gouvernement suisse devant la Cour européenne des droits de l’Homme</w:t>
            </w:r>
            <w:r w:rsidRPr="0031279F">
              <w:rPr>
                <w:rFonts w:ascii="Calibri" w:eastAsia="Calibri" w:hAnsi="Calibri"/>
                <w:sz w:val="20"/>
                <w:szCs w:val="20"/>
              </w:rPr>
              <w:t xml:space="preserve"> </w:t>
            </w:r>
          </w:p>
          <w:p w14:paraId="22086AB8" w14:textId="77777777" w:rsidR="0031279F" w:rsidRPr="0031279F" w:rsidRDefault="0031279F" w:rsidP="0031279F">
            <w:pPr>
              <w:jc w:val="both"/>
              <w:rPr>
                <w:rFonts w:ascii="Arial" w:eastAsia="Calibri" w:hAnsi="Arial" w:cs="Arial"/>
                <w:sz w:val="20"/>
                <w:szCs w:val="20"/>
                <w:lang w:val="fr-CH" w:eastAsia="en-GB"/>
              </w:rPr>
            </w:pPr>
            <w:r w:rsidRPr="0031279F">
              <w:rPr>
                <w:rFonts w:ascii="Arial" w:eastAsia="Calibri" w:hAnsi="Arial" w:cs="Arial"/>
                <w:sz w:val="20"/>
                <w:szCs w:val="20"/>
                <w:lang w:eastAsia="en-GB"/>
              </w:rPr>
              <w:t xml:space="preserve"> </w:t>
            </w:r>
          </w:p>
          <w:p w14:paraId="37F2D223" w14:textId="77777777" w:rsidR="0031279F" w:rsidRPr="0031279F" w:rsidRDefault="0031279F" w:rsidP="0031279F">
            <w:pPr>
              <w:rPr>
                <w:rFonts w:ascii="Arial" w:eastAsia="Calibri" w:hAnsi="Arial" w:cs="Arial"/>
                <w:sz w:val="20"/>
                <w:szCs w:val="20"/>
                <w:lang w:val="de-CH" w:eastAsia="en-GB"/>
              </w:rPr>
            </w:pPr>
            <w:r w:rsidRPr="0031279F">
              <w:rPr>
                <w:rFonts w:ascii="Arial" w:eastAsia="Calibri" w:hAnsi="Arial" w:cs="Arial"/>
                <w:b/>
                <w:bCs/>
                <w:color w:val="000000"/>
                <w:sz w:val="20"/>
                <w:szCs w:val="20"/>
                <w:lang w:val="fr-CH" w:eastAsia="de-CH"/>
              </w:rPr>
              <w:t>Mr Adrian SCHEIDEGGER</w:t>
            </w:r>
            <w:r w:rsidRPr="0031279F">
              <w:rPr>
                <w:rFonts w:ascii="Arial" w:eastAsia="Calibri" w:hAnsi="Arial" w:cs="Arial"/>
                <w:b/>
                <w:bCs/>
                <w:color w:val="000000"/>
                <w:sz w:val="20"/>
                <w:szCs w:val="20"/>
                <w:lang w:val="fr-CH" w:eastAsia="de-CH"/>
              </w:rPr>
              <w:br/>
            </w:r>
            <w:r w:rsidRPr="0031279F">
              <w:rPr>
                <w:rFonts w:ascii="Arial" w:eastAsia="Calibri" w:hAnsi="Arial" w:cs="Arial"/>
                <w:color w:val="000000"/>
                <w:sz w:val="20"/>
                <w:szCs w:val="20"/>
                <w:lang w:val="fr-CH" w:eastAsia="de-CH"/>
              </w:rPr>
              <w:t>Agent suppléant du Gouvernement suisse devant la Cour européenne des droits de l'Homme le CAT, le CEDR, le CEDAW et le CDE</w:t>
            </w:r>
            <w:r w:rsidRPr="0031279F">
              <w:rPr>
                <w:rFonts w:ascii="Arial" w:eastAsia="Calibri" w:hAnsi="Arial" w:cs="Arial"/>
                <w:color w:val="000000"/>
                <w:sz w:val="20"/>
                <w:szCs w:val="20"/>
                <w:lang w:val="fr-CH" w:eastAsia="de-CH"/>
              </w:rPr>
              <w:br/>
            </w:r>
            <w:r w:rsidRPr="0031279F">
              <w:rPr>
                <w:rFonts w:ascii="Arial" w:eastAsia="Calibri" w:hAnsi="Arial" w:cs="Arial"/>
                <w:color w:val="000000"/>
                <w:sz w:val="20"/>
                <w:szCs w:val="20"/>
                <w:lang w:val="fr-CH" w:eastAsia="de-CH"/>
              </w:rPr>
              <w:lastRenderedPageBreak/>
              <w:t>Représentation de la Suisse devant la Cour européenne des droits de l'Homme, le CAT, le CEDR, le CEDEF et le CDE</w:t>
            </w:r>
          </w:p>
        </w:tc>
      </w:tr>
      <w:tr w:rsidR="0031279F" w:rsidRPr="0031279F" w14:paraId="3A009E0F" w14:textId="77777777" w:rsidTr="00FF4961">
        <w:trPr>
          <w:trHeight w:val="47"/>
        </w:trPr>
        <w:tc>
          <w:tcPr>
            <w:tcW w:w="2678" w:type="dxa"/>
          </w:tcPr>
          <w:p w14:paraId="3E0E3FC4" w14:textId="6F736BED" w:rsidR="0031279F" w:rsidRPr="0031279F" w:rsidRDefault="0031279F" w:rsidP="0031279F">
            <w:pPr>
              <w:jc w:val="both"/>
              <w:rPr>
                <w:rFonts w:ascii="Arial" w:eastAsia="Calibri" w:hAnsi="Arial" w:cs="Arial"/>
                <w:sz w:val="20"/>
                <w:szCs w:val="20"/>
                <w:lang w:val="en-GB" w:eastAsia="en-GB"/>
              </w:rPr>
            </w:pPr>
            <w:r w:rsidRPr="0031279F">
              <w:rPr>
                <w:rFonts w:ascii="Arial" w:eastAsia="Calibri" w:hAnsi="Arial" w:cs="Arial"/>
                <w:b/>
                <w:sz w:val="20"/>
                <w:szCs w:val="20"/>
                <w:lang w:val="en-GB" w:eastAsia="en-GB"/>
              </w:rPr>
              <w:lastRenderedPageBreak/>
              <w:t xml:space="preserve">TURKEY </w:t>
            </w:r>
          </w:p>
        </w:tc>
        <w:tc>
          <w:tcPr>
            <w:tcW w:w="6608" w:type="dxa"/>
            <w:tcMar>
              <w:top w:w="85" w:type="dxa"/>
              <w:bottom w:w="85" w:type="dxa"/>
            </w:tcMar>
          </w:tcPr>
          <w:p w14:paraId="43B10D0E" w14:textId="77777777" w:rsidR="0031279F" w:rsidRPr="0031279F" w:rsidRDefault="0031279F" w:rsidP="0031279F">
            <w:pPr>
              <w:rPr>
                <w:rFonts w:ascii="Arial" w:eastAsia="Calibri" w:hAnsi="Arial" w:cs="Arial"/>
                <w:b/>
                <w:bCs/>
                <w:color w:val="000000"/>
                <w:sz w:val="20"/>
                <w:szCs w:val="20"/>
                <w:lang w:val="fr-CH" w:eastAsia="de-CH"/>
              </w:rPr>
            </w:pPr>
            <w:r w:rsidRPr="0031279F">
              <w:rPr>
                <w:rFonts w:ascii="Arial" w:eastAsia="Calibri" w:hAnsi="Arial" w:cs="Arial"/>
                <w:b/>
                <w:bCs/>
                <w:color w:val="000000"/>
                <w:sz w:val="20"/>
                <w:szCs w:val="20"/>
                <w:lang w:val="fr-CH" w:eastAsia="de-CH"/>
              </w:rPr>
              <w:t xml:space="preserve">Ms Duygu ÇELIK </w:t>
            </w:r>
          </w:p>
          <w:p w14:paraId="7A4EBD88" w14:textId="77777777" w:rsidR="0031279F" w:rsidRPr="0031279F" w:rsidRDefault="0031279F" w:rsidP="0031279F">
            <w:pPr>
              <w:rPr>
                <w:rFonts w:ascii="Arial" w:eastAsia="Calibri" w:hAnsi="Arial" w:cs="Arial"/>
                <w:color w:val="000000"/>
                <w:sz w:val="20"/>
                <w:szCs w:val="20"/>
                <w:lang w:val="fr-CH" w:eastAsia="de-CH"/>
              </w:rPr>
            </w:pPr>
            <w:r w:rsidRPr="0031279F">
              <w:rPr>
                <w:rFonts w:ascii="Arial" w:eastAsia="Calibri" w:hAnsi="Arial" w:cs="Arial"/>
                <w:color w:val="000000"/>
                <w:sz w:val="20"/>
                <w:szCs w:val="20"/>
                <w:lang w:val="fr-CH" w:eastAsia="de-CH"/>
              </w:rPr>
              <w:t>Experte juridique</w:t>
            </w:r>
          </w:p>
          <w:p w14:paraId="39C9F661" w14:textId="77777777" w:rsidR="0031279F" w:rsidRPr="0031279F" w:rsidRDefault="0031279F" w:rsidP="0031279F">
            <w:pPr>
              <w:rPr>
                <w:rFonts w:ascii="Arial" w:eastAsia="Calibri" w:hAnsi="Arial" w:cs="Arial"/>
                <w:color w:val="000000"/>
                <w:sz w:val="20"/>
                <w:szCs w:val="20"/>
                <w:lang w:val="fr-CH" w:eastAsia="de-CH"/>
              </w:rPr>
            </w:pPr>
            <w:r w:rsidRPr="0031279F">
              <w:rPr>
                <w:rFonts w:ascii="Arial" w:eastAsia="Calibri" w:hAnsi="Arial" w:cs="Arial"/>
                <w:color w:val="000000"/>
                <w:sz w:val="20"/>
                <w:szCs w:val="20"/>
                <w:lang w:val="fr-CH" w:eastAsia="de-CH"/>
              </w:rPr>
              <w:t xml:space="preserve">Ministère des Affaires Étrangères </w:t>
            </w:r>
          </w:p>
          <w:p w14:paraId="13FDB757" w14:textId="77777777" w:rsidR="0031279F" w:rsidRPr="0031279F" w:rsidRDefault="0031279F" w:rsidP="0031279F">
            <w:pPr>
              <w:rPr>
                <w:rFonts w:ascii="Arial" w:eastAsia="Calibri" w:hAnsi="Arial" w:cs="Arial"/>
                <w:sz w:val="20"/>
                <w:szCs w:val="20"/>
                <w:lang w:val="de-DE" w:eastAsia="sv-SE"/>
              </w:rPr>
            </w:pPr>
          </w:p>
          <w:p w14:paraId="076F3EC1" w14:textId="77777777" w:rsidR="0031279F" w:rsidRPr="0031279F" w:rsidRDefault="0031279F" w:rsidP="0031279F">
            <w:pPr>
              <w:rPr>
                <w:rFonts w:ascii="Arial" w:eastAsia="Calibri" w:hAnsi="Arial" w:cs="Arial"/>
                <w:b/>
                <w:bCs/>
                <w:color w:val="000000"/>
                <w:sz w:val="20"/>
                <w:szCs w:val="20"/>
                <w:lang w:val="fr-CH" w:eastAsia="de-CH"/>
              </w:rPr>
            </w:pPr>
            <w:r w:rsidRPr="0031279F">
              <w:rPr>
                <w:rFonts w:ascii="Arial" w:eastAsia="Calibri" w:hAnsi="Arial" w:cs="Arial"/>
                <w:b/>
                <w:bCs/>
                <w:color w:val="000000"/>
                <w:sz w:val="20"/>
                <w:szCs w:val="20"/>
                <w:lang w:val="fr-CH" w:eastAsia="de-CH"/>
              </w:rPr>
              <w:t>Ms Ayşen EMÜLER</w:t>
            </w:r>
          </w:p>
          <w:p w14:paraId="51C723CA" w14:textId="77777777" w:rsidR="0031279F" w:rsidRPr="0031279F" w:rsidRDefault="0031279F" w:rsidP="0031279F">
            <w:pPr>
              <w:rPr>
                <w:rFonts w:ascii="Arial" w:eastAsia="Calibri" w:hAnsi="Arial" w:cs="Arial"/>
                <w:color w:val="000000"/>
                <w:sz w:val="20"/>
                <w:szCs w:val="20"/>
                <w:lang w:val="fr-CH" w:eastAsia="de-CH"/>
              </w:rPr>
            </w:pPr>
            <w:r w:rsidRPr="0031279F">
              <w:rPr>
                <w:rFonts w:ascii="Arial" w:eastAsia="Calibri" w:hAnsi="Arial" w:cs="Arial"/>
                <w:color w:val="000000"/>
                <w:sz w:val="20"/>
                <w:szCs w:val="20"/>
                <w:lang w:val="fr-CH" w:eastAsia="de-CH"/>
              </w:rPr>
              <w:t>Experte juridique</w:t>
            </w:r>
          </w:p>
          <w:p w14:paraId="5FB4E6A1" w14:textId="77777777" w:rsidR="0031279F" w:rsidRPr="0031279F" w:rsidRDefault="0031279F" w:rsidP="0031279F">
            <w:pPr>
              <w:rPr>
                <w:rFonts w:ascii="Arial" w:eastAsia="Calibri" w:hAnsi="Arial" w:cs="Arial"/>
                <w:color w:val="000000"/>
                <w:sz w:val="20"/>
                <w:szCs w:val="20"/>
                <w:lang w:val="fr-CH" w:eastAsia="de-CH"/>
              </w:rPr>
            </w:pPr>
            <w:r w:rsidRPr="0031279F">
              <w:rPr>
                <w:rFonts w:ascii="Arial" w:eastAsia="Calibri" w:hAnsi="Arial" w:cs="Arial"/>
                <w:color w:val="000000"/>
                <w:sz w:val="20"/>
                <w:szCs w:val="20"/>
                <w:lang w:val="fr-CH" w:eastAsia="de-CH"/>
              </w:rPr>
              <w:t>Ministère des Affaires Étrangères</w:t>
            </w:r>
          </w:p>
        </w:tc>
      </w:tr>
      <w:tr w:rsidR="00E85EC4" w:rsidRPr="00616F99" w14:paraId="2DC76651" w14:textId="77777777" w:rsidTr="00FF4961">
        <w:trPr>
          <w:trHeight w:val="47"/>
        </w:trPr>
        <w:tc>
          <w:tcPr>
            <w:tcW w:w="2678" w:type="dxa"/>
          </w:tcPr>
          <w:p w14:paraId="6841DD41" w14:textId="4EBBE10C" w:rsidR="00E85EC4" w:rsidRPr="0031279F" w:rsidRDefault="00E85EC4" w:rsidP="0031279F">
            <w:pPr>
              <w:jc w:val="both"/>
              <w:rPr>
                <w:rFonts w:ascii="Arial" w:eastAsia="Calibri" w:hAnsi="Arial" w:cs="Arial"/>
                <w:b/>
                <w:sz w:val="20"/>
                <w:szCs w:val="20"/>
                <w:lang w:val="en-GB" w:eastAsia="en-GB"/>
              </w:rPr>
            </w:pPr>
            <w:r>
              <w:rPr>
                <w:rFonts w:ascii="Arial" w:eastAsia="Calibri" w:hAnsi="Arial" w:cs="Arial"/>
                <w:b/>
                <w:sz w:val="20"/>
                <w:szCs w:val="20"/>
                <w:lang w:val="en-GB" w:eastAsia="en-GB"/>
              </w:rPr>
              <w:t>UNITED KINGDOM</w:t>
            </w:r>
          </w:p>
        </w:tc>
        <w:tc>
          <w:tcPr>
            <w:tcW w:w="6608" w:type="dxa"/>
            <w:tcMar>
              <w:top w:w="85" w:type="dxa"/>
              <w:bottom w:w="85" w:type="dxa"/>
            </w:tcMar>
          </w:tcPr>
          <w:p w14:paraId="0F9FCE45" w14:textId="77777777" w:rsidR="00E85EC4" w:rsidRPr="00E85EC4" w:rsidRDefault="00E85EC4" w:rsidP="00E85EC4">
            <w:pPr>
              <w:rPr>
                <w:rFonts w:ascii="Arial" w:eastAsia="Calibri" w:hAnsi="Arial" w:cs="Arial"/>
                <w:b/>
                <w:bCs/>
                <w:color w:val="000000"/>
                <w:sz w:val="20"/>
                <w:szCs w:val="20"/>
                <w:lang w:val="en-GB" w:eastAsia="de-CH"/>
              </w:rPr>
            </w:pPr>
            <w:r w:rsidRPr="00E85EC4">
              <w:rPr>
                <w:rFonts w:ascii="Arial" w:eastAsia="Calibri" w:hAnsi="Arial" w:cs="Arial"/>
                <w:b/>
                <w:bCs/>
                <w:color w:val="000000"/>
                <w:sz w:val="20"/>
                <w:szCs w:val="20"/>
                <w:lang w:val="en-GB" w:eastAsia="de-CH"/>
              </w:rPr>
              <w:t>Mr James GAUGHAN</w:t>
            </w:r>
          </w:p>
          <w:p w14:paraId="41D1EEEA" w14:textId="3D4A1AC2" w:rsidR="00E85EC4" w:rsidRPr="00E85EC4" w:rsidRDefault="00E85EC4" w:rsidP="0031279F">
            <w:pPr>
              <w:rPr>
                <w:rFonts w:ascii="Arial" w:eastAsia="Calibri" w:hAnsi="Arial" w:cs="Arial"/>
                <w:color w:val="000000"/>
                <w:sz w:val="20"/>
                <w:szCs w:val="20"/>
                <w:lang w:val="de-DE" w:eastAsia="de-CH"/>
              </w:rPr>
            </w:pPr>
            <w:r w:rsidRPr="00E85EC4">
              <w:rPr>
                <w:rFonts w:ascii="Arial" w:eastAsia="Calibri" w:hAnsi="Arial" w:cs="Arial"/>
                <w:color w:val="000000"/>
                <w:sz w:val="20"/>
                <w:szCs w:val="20"/>
                <w:lang w:val="de-DE" w:eastAsia="de-CH"/>
              </w:rPr>
              <w:t xml:space="preserve">Legal </w:t>
            </w:r>
            <w:proofErr w:type="spellStart"/>
            <w:r w:rsidRPr="00E85EC4">
              <w:rPr>
                <w:rFonts w:ascii="Arial" w:eastAsia="Calibri" w:hAnsi="Arial" w:cs="Arial"/>
                <w:color w:val="000000"/>
                <w:sz w:val="20"/>
                <w:szCs w:val="20"/>
                <w:lang w:val="de-DE" w:eastAsia="de-CH"/>
              </w:rPr>
              <w:t>Directorate</w:t>
            </w:r>
            <w:proofErr w:type="spellEnd"/>
            <w:r w:rsidRPr="00E85EC4">
              <w:rPr>
                <w:rFonts w:ascii="Arial" w:eastAsia="Calibri" w:hAnsi="Arial" w:cs="Arial"/>
                <w:color w:val="000000"/>
                <w:sz w:val="20"/>
                <w:szCs w:val="20"/>
                <w:lang w:val="de-DE" w:eastAsia="de-CH"/>
              </w:rPr>
              <w:t xml:space="preserve">, </w:t>
            </w:r>
            <w:proofErr w:type="spellStart"/>
            <w:r w:rsidRPr="00E85EC4">
              <w:rPr>
                <w:rFonts w:ascii="Arial" w:eastAsia="Calibri" w:hAnsi="Arial" w:cs="Arial"/>
                <w:color w:val="000000"/>
                <w:sz w:val="20"/>
                <w:szCs w:val="20"/>
                <w:lang w:val="de-DE" w:eastAsia="de-CH"/>
              </w:rPr>
              <w:t>Foreign</w:t>
            </w:r>
            <w:proofErr w:type="spellEnd"/>
            <w:r w:rsidRPr="00E85EC4">
              <w:rPr>
                <w:rFonts w:ascii="Arial" w:eastAsia="Calibri" w:hAnsi="Arial" w:cs="Arial"/>
                <w:color w:val="000000"/>
                <w:sz w:val="20"/>
                <w:szCs w:val="20"/>
                <w:lang w:val="de-DE" w:eastAsia="de-CH"/>
              </w:rPr>
              <w:t xml:space="preserve"> and Commonwealth Office</w:t>
            </w:r>
          </w:p>
        </w:tc>
      </w:tr>
    </w:tbl>
    <w:p w14:paraId="44BC6AAF" w14:textId="7BF72937" w:rsidR="0031279F" w:rsidRPr="0031279F" w:rsidRDefault="0031279F" w:rsidP="007F0EE5">
      <w:pPr>
        <w:tabs>
          <w:tab w:val="right" w:pos="9600"/>
        </w:tabs>
        <w:spacing w:before="360" w:after="120" w:line="276" w:lineRule="auto"/>
        <w:rPr>
          <w:rFonts w:ascii="Arial" w:eastAsia="Calibri" w:hAnsi="Arial" w:cs="Arial"/>
          <w:i/>
          <w:iCs/>
          <w:sz w:val="20"/>
          <w:szCs w:val="20"/>
          <w:lang w:eastAsia="en-US"/>
        </w:rPr>
      </w:pPr>
      <w:r w:rsidRPr="0031279F">
        <w:rPr>
          <w:rFonts w:ascii="Arial" w:eastAsia="Calibri" w:hAnsi="Arial" w:cs="Arial"/>
          <w:b/>
          <w:bCs/>
          <w:sz w:val="20"/>
          <w:szCs w:val="20"/>
          <w:lang w:eastAsia="en-US"/>
        </w:rPr>
        <w:t xml:space="preserve">PARTICIPANTS </w:t>
      </w:r>
    </w:p>
    <w:tbl>
      <w:tblPr>
        <w:tblStyle w:val="Grilledutableau1"/>
        <w:tblW w:w="0" w:type="auto"/>
        <w:tblLook w:val="04A0" w:firstRow="1" w:lastRow="0" w:firstColumn="1" w:lastColumn="0" w:noHBand="0" w:noVBand="1"/>
      </w:tblPr>
      <w:tblGrid>
        <w:gridCol w:w="2677"/>
        <w:gridCol w:w="6609"/>
      </w:tblGrid>
      <w:tr w:rsidR="0031279F" w:rsidRPr="00616F99" w14:paraId="092402E7" w14:textId="77777777" w:rsidTr="00616F99">
        <w:trPr>
          <w:trHeight w:val="624"/>
        </w:trPr>
        <w:tc>
          <w:tcPr>
            <w:tcW w:w="2677" w:type="dxa"/>
          </w:tcPr>
          <w:p w14:paraId="0B558F1F" w14:textId="595CBF83" w:rsidR="0031279F" w:rsidRPr="0031279F" w:rsidRDefault="0031279F" w:rsidP="0031279F">
            <w:pPr>
              <w:jc w:val="both"/>
              <w:rPr>
                <w:rFonts w:ascii="Arial" w:eastAsia="Calibri" w:hAnsi="Arial" w:cs="Arial"/>
                <w:b/>
                <w:bCs/>
                <w:sz w:val="20"/>
                <w:szCs w:val="20"/>
                <w:lang w:val="en-US" w:eastAsia="en-GB"/>
              </w:rPr>
            </w:pPr>
            <w:r w:rsidRPr="0031279F">
              <w:rPr>
                <w:rFonts w:ascii="Arial" w:eastAsia="Calibri" w:hAnsi="Arial" w:cs="Arial"/>
                <w:b/>
                <w:sz w:val="20"/>
                <w:szCs w:val="20"/>
                <w:lang w:val="pt-PT" w:eastAsia="en-GB"/>
              </w:rPr>
              <w:t xml:space="preserve">Registry of the European Court of Human Rights </w:t>
            </w:r>
          </w:p>
        </w:tc>
        <w:tc>
          <w:tcPr>
            <w:tcW w:w="6609" w:type="dxa"/>
            <w:tcMar>
              <w:top w:w="85" w:type="dxa"/>
              <w:bottom w:w="85" w:type="dxa"/>
            </w:tcMar>
          </w:tcPr>
          <w:p w14:paraId="75CD251C" w14:textId="77777777" w:rsidR="0031279F" w:rsidRPr="0031279F" w:rsidRDefault="0031279F" w:rsidP="0031279F">
            <w:pPr>
              <w:rPr>
                <w:rFonts w:ascii="Arial" w:eastAsia="Calibri" w:hAnsi="Arial" w:cs="Arial"/>
                <w:b/>
                <w:bCs/>
                <w:sz w:val="20"/>
                <w:szCs w:val="20"/>
                <w:lang w:val="en-GB" w:eastAsia="en-GB"/>
              </w:rPr>
            </w:pPr>
            <w:r w:rsidRPr="0031279F">
              <w:rPr>
                <w:rFonts w:ascii="Arial" w:eastAsia="Calibri" w:hAnsi="Arial" w:cs="Arial"/>
                <w:b/>
                <w:bCs/>
                <w:sz w:val="20"/>
                <w:szCs w:val="20"/>
                <w:lang w:val="en-GB" w:eastAsia="en-GB"/>
              </w:rPr>
              <w:t>Mr Anders MANSSON</w:t>
            </w:r>
          </w:p>
          <w:p w14:paraId="5A1595E3" w14:textId="77777777" w:rsidR="0031279F" w:rsidRPr="0031279F" w:rsidRDefault="0031279F" w:rsidP="0031279F">
            <w:pPr>
              <w:rPr>
                <w:rFonts w:ascii="Arial" w:eastAsia="Calibri" w:hAnsi="Arial" w:cs="Arial"/>
                <w:b/>
                <w:bCs/>
                <w:sz w:val="20"/>
                <w:szCs w:val="20"/>
                <w:lang w:val="en-US" w:eastAsia="en-GB"/>
              </w:rPr>
            </w:pPr>
            <w:r w:rsidRPr="0031279F">
              <w:rPr>
                <w:rFonts w:ascii="Arial" w:eastAsia="Calibri" w:hAnsi="Arial" w:cs="Arial"/>
                <w:sz w:val="20"/>
                <w:szCs w:val="20"/>
                <w:lang w:val="pt-PT" w:eastAsia="en-GB"/>
              </w:rPr>
              <w:t>Registrar and Deputy Registrar</w:t>
            </w:r>
          </w:p>
        </w:tc>
      </w:tr>
      <w:tr w:rsidR="0031279F" w:rsidRPr="00616F99" w14:paraId="0E58A4A9" w14:textId="77777777" w:rsidTr="00616F99">
        <w:trPr>
          <w:trHeight w:val="624"/>
        </w:trPr>
        <w:tc>
          <w:tcPr>
            <w:tcW w:w="2677" w:type="dxa"/>
            <w:shd w:val="clear" w:color="auto" w:fill="auto"/>
          </w:tcPr>
          <w:p w14:paraId="2B5D23BA" w14:textId="741B8D7C" w:rsidR="0031279F" w:rsidRPr="00CD6799" w:rsidRDefault="0031279F" w:rsidP="0031279F">
            <w:pPr>
              <w:rPr>
                <w:rFonts w:ascii="Arial" w:eastAsia="Calibri" w:hAnsi="Arial" w:cs="Arial"/>
                <w:b/>
                <w:sz w:val="20"/>
                <w:szCs w:val="20"/>
                <w:lang w:val="en-GB" w:eastAsia="en-GB"/>
              </w:rPr>
            </w:pPr>
            <w:r w:rsidRPr="00CD6799">
              <w:rPr>
                <w:rFonts w:ascii="Arial" w:eastAsia="Calibri" w:hAnsi="Arial" w:cs="Arial"/>
                <w:b/>
                <w:bCs/>
                <w:sz w:val="20"/>
                <w:szCs w:val="20"/>
                <w:lang w:val="en-GB" w:eastAsia="en-GB"/>
              </w:rPr>
              <w:t xml:space="preserve">Secretariat of the Committee of Legal Advisers on Public International Law </w:t>
            </w:r>
          </w:p>
        </w:tc>
        <w:tc>
          <w:tcPr>
            <w:tcW w:w="6609" w:type="dxa"/>
            <w:shd w:val="clear" w:color="auto" w:fill="auto"/>
            <w:tcMar>
              <w:top w:w="85" w:type="dxa"/>
              <w:bottom w:w="85" w:type="dxa"/>
            </w:tcMar>
          </w:tcPr>
          <w:p w14:paraId="2F305E47" w14:textId="77777777" w:rsidR="0031279F" w:rsidRPr="00CD6799" w:rsidRDefault="0031279F" w:rsidP="0031279F">
            <w:pPr>
              <w:keepNext/>
              <w:rPr>
                <w:rFonts w:ascii="Arial" w:eastAsia="Calibri" w:hAnsi="Arial" w:cs="Arial"/>
                <w:b/>
                <w:bCs/>
                <w:sz w:val="20"/>
                <w:szCs w:val="20"/>
                <w:lang w:val="en-GB" w:eastAsia="en-GB"/>
              </w:rPr>
            </w:pPr>
            <w:r w:rsidRPr="00CD6799">
              <w:rPr>
                <w:rFonts w:ascii="Arial" w:eastAsia="Calibri" w:hAnsi="Arial" w:cs="Arial"/>
                <w:b/>
                <w:bCs/>
                <w:sz w:val="20"/>
                <w:szCs w:val="20"/>
                <w:lang w:val="en-GB" w:eastAsia="en-GB"/>
              </w:rPr>
              <w:t>Ms Irene SUOMINEN</w:t>
            </w:r>
          </w:p>
          <w:p w14:paraId="6D9D9D1C" w14:textId="77777777" w:rsidR="0031279F" w:rsidRPr="00CD6799" w:rsidRDefault="0031279F" w:rsidP="0031279F">
            <w:pPr>
              <w:keepNext/>
              <w:rPr>
                <w:rFonts w:ascii="Arial" w:eastAsia="Calibri" w:hAnsi="Arial" w:cs="Arial"/>
                <w:sz w:val="20"/>
                <w:szCs w:val="20"/>
                <w:lang w:val="en-GB" w:eastAsia="en-GB"/>
              </w:rPr>
            </w:pPr>
            <w:r w:rsidRPr="00CD6799">
              <w:rPr>
                <w:rFonts w:ascii="Arial" w:eastAsia="Calibri" w:hAnsi="Arial" w:cs="Arial"/>
                <w:sz w:val="20"/>
                <w:szCs w:val="20"/>
                <w:lang w:val="en-GB" w:eastAsia="en-GB"/>
              </w:rPr>
              <w:t xml:space="preserve">Legal Advisor </w:t>
            </w:r>
          </w:p>
          <w:p w14:paraId="52A13AC6" w14:textId="77777777" w:rsidR="0031279F" w:rsidRPr="00CD6799" w:rsidRDefault="0031279F" w:rsidP="0031279F">
            <w:pPr>
              <w:keepNext/>
              <w:rPr>
                <w:rFonts w:ascii="Arial" w:eastAsia="Calibri" w:hAnsi="Arial" w:cs="Arial"/>
                <w:b/>
                <w:bCs/>
                <w:sz w:val="20"/>
                <w:szCs w:val="20"/>
                <w:lang w:val="en-GB" w:eastAsia="en-GB"/>
              </w:rPr>
            </w:pPr>
            <w:r w:rsidRPr="00CD6799">
              <w:rPr>
                <w:rFonts w:ascii="Arial" w:eastAsia="Calibri" w:hAnsi="Arial" w:cs="Arial"/>
                <w:sz w:val="20"/>
                <w:szCs w:val="20"/>
                <w:lang w:val="en-GB" w:eastAsia="en-GB"/>
              </w:rPr>
              <w:t xml:space="preserve">Legal Advice and Litigation Department </w:t>
            </w:r>
          </w:p>
        </w:tc>
      </w:tr>
      <w:tr w:rsidR="0031279F" w:rsidRPr="0031279F" w14:paraId="74B6802E" w14:textId="77777777" w:rsidTr="00616F99">
        <w:trPr>
          <w:trHeight w:val="624"/>
        </w:trPr>
        <w:tc>
          <w:tcPr>
            <w:tcW w:w="2677" w:type="dxa"/>
            <w:shd w:val="clear" w:color="auto" w:fill="auto"/>
          </w:tcPr>
          <w:p w14:paraId="79B19BFE" w14:textId="6C181CF3" w:rsidR="0031279F" w:rsidRPr="00CD6799" w:rsidRDefault="0031279F" w:rsidP="0031279F">
            <w:pPr>
              <w:rPr>
                <w:rFonts w:ascii="Arial" w:eastAsia="Calibri" w:hAnsi="Arial" w:cs="Arial"/>
                <w:b/>
                <w:bCs/>
                <w:sz w:val="20"/>
                <w:szCs w:val="20"/>
                <w:lang w:val="en-US" w:eastAsia="en-GB"/>
              </w:rPr>
            </w:pPr>
            <w:r w:rsidRPr="00CD6799">
              <w:rPr>
                <w:rFonts w:ascii="Arial" w:eastAsia="Calibri" w:hAnsi="Arial" w:cs="Arial"/>
                <w:b/>
                <w:bCs/>
                <w:sz w:val="20"/>
                <w:szCs w:val="20"/>
                <w:lang w:val="en-US" w:eastAsia="en-GB"/>
              </w:rPr>
              <w:t xml:space="preserve">Conference of INGOs of the Council of Europe </w:t>
            </w:r>
          </w:p>
          <w:p w14:paraId="2DBA4CBF" w14:textId="77777777" w:rsidR="0031279F" w:rsidRPr="00CD6799" w:rsidRDefault="0031279F" w:rsidP="0031279F">
            <w:pPr>
              <w:rPr>
                <w:rFonts w:ascii="Arial" w:eastAsia="Calibri" w:hAnsi="Arial" w:cs="Arial"/>
                <w:b/>
                <w:bCs/>
                <w:sz w:val="20"/>
                <w:szCs w:val="20"/>
                <w:lang w:val="en-GB" w:eastAsia="en-GB"/>
              </w:rPr>
            </w:pPr>
          </w:p>
        </w:tc>
        <w:tc>
          <w:tcPr>
            <w:tcW w:w="6609" w:type="dxa"/>
            <w:shd w:val="clear" w:color="auto" w:fill="auto"/>
            <w:tcMar>
              <w:top w:w="85" w:type="dxa"/>
              <w:bottom w:w="85" w:type="dxa"/>
            </w:tcMar>
          </w:tcPr>
          <w:p w14:paraId="5F1EFD66" w14:textId="77777777" w:rsidR="0031279F" w:rsidRPr="00CD6799" w:rsidRDefault="0031279F" w:rsidP="0031279F">
            <w:pPr>
              <w:keepNext/>
              <w:rPr>
                <w:rFonts w:ascii="Arial" w:eastAsia="Calibri" w:hAnsi="Arial" w:cs="Arial"/>
                <w:sz w:val="20"/>
                <w:szCs w:val="20"/>
                <w:lang w:val="en-GB" w:eastAsia="en-GB"/>
              </w:rPr>
            </w:pPr>
            <w:r w:rsidRPr="00CD6799">
              <w:rPr>
                <w:rFonts w:ascii="Arial" w:eastAsia="Calibri" w:hAnsi="Arial" w:cs="Arial"/>
                <w:b/>
                <w:bCs/>
                <w:sz w:val="20"/>
                <w:szCs w:val="20"/>
                <w:lang w:val="en-GB" w:eastAsia="en-GB"/>
              </w:rPr>
              <w:t>Mr Jeremy McBride</w:t>
            </w:r>
          </w:p>
          <w:p w14:paraId="42EC0CDE" w14:textId="77777777" w:rsidR="0031279F" w:rsidRPr="00CD6799" w:rsidRDefault="0031279F" w:rsidP="0031279F">
            <w:pPr>
              <w:keepNext/>
              <w:rPr>
                <w:rFonts w:ascii="Arial" w:eastAsia="Calibri" w:hAnsi="Arial" w:cs="Arial"/>
                <w:sz w:val="20"/>
                <w:szCs w:val="20"/>
                <w:lang w:val="en-GB" w:eastAsia="en-GB"/>
              </w:rPr>
            </w:pPr>
          </w:p>
        </w:tc>
      </w:tr>
    </w:tbl>
    <w:p w14:paraId="20E2F221" w14:textId="16721066" w:rsidR="0031279F" w:rsidRPr="0031279F" w:rsidRDefault="0031279F" w:rsidP="0031279F">
      <w:pPr>
        <w:tabs>
          <w:tab w:val="right" w:pos="9600"/>
        </w:tabs>
        <w:spacing w:before="480" w:after="120" w:line="276" w:lineRule="auto"/>
        <w:rPr>
          <w:rFonts w:ascii="Arial" w:eastAsia="Calibri" w:hAnsi="Arial" w:cs="Arial"/>
          <w:i/>
          <w:iCs/>
          <w:sz w:val="20"/>
          <w:szCs w:val="20"/>
          <w:lang w:val="en-GB" w:eastAsia="en-US"/>
        </w:rPr>
      </w:pPr>
      <w:r w:rsidRPr="0031279F">
        <w:rPr>
          <w:rFonts w:ascii="Arial" w:eastAsia="Calibri" w:hAnsi="Arial" w:cs="Arial"/>
          <w:b/>
          <w:bCs/>
          <w:sz w:val="20"/>
          <w:szCs w:val="20"/>
          <w:lang w:val="en-GB" w:eastAsia="en-US"/>
        </w:rPr>
        <w:t xml:space="preserve">OBSERVERS </w:t>
      </w:r>
    </w:p>
    <w:tbl>
      <w:tblPr>
        <w:tblStyle w:val="Grilledutableau1"/>
        <w:tblW w:w="0" w:type="auto"/>
        <w:tblLook w:val="04A0" w:firstRow="1" w:lastRow="0" w:firstColumn="1" w:lastColumn="0" w:noHBand="0" w:noVBand="1"/>
      </w:tblPr>
      <w:tblGrid>
        <w:gridCol w:w="2672"/>
        <w:gridCol w:w="6614"/>
      </w:tblGrid>
      <w:tr w:rsidR="0031279F" w:rsidRPr="0031279F" w14:paraId="40F7DBCD" w14:textId="77777777" w:rsidTr="00BC6474">
        <w:trPr>
          <w:trHeight w:val="131"/>
        </w:trPr>
        <w:tc>
          <w:tcPr>
            <w:tcW w:w="2689" w:type="dxa"/>
          </w:tcPr>
          <w:p w14:paraId="7F213465" w14:textId="30EBDFF0" w:rsidR="0031279F" w:rsidRPr="0031279F" w:rsidRDefault="0031279F" w:rsidP="0031279F">
            <w:pPr>
              <w:rPr>
                <w:rFonts w:ascii="Arial" w:eastAsia="Calibri" w:hAnsi="Arial" w:cs="Arial"/>
                <w:i/>
                <w:iCs/>
                <w:sz w:val="20"/>
                <w:szCs w:val="20"/>
                <w:lang w:val="en-GB" w:eastAsia="en-GB"/>
              </w:rPr>
            </w:pPr>
            <w:r w:rsidRPr="0031279F">
              <w:rPr>
                <w:rFonts w:ascii="Arial" w:eastAsia="Calibri" w:hAnsi="Arial" w:cs="Arial"/>
                <w:b/>
                <w:sz w:val="20"/>
                <w:szCs w:val="20"/>
                <w:lang w:val="en-GB" w:eastAsia="en-GB"/>
              </w:rPr>
              <w:t xml:space="preserve">HOLY </w:t>
            </w:r>
            <w:smartTag w:uri="urn:schemas-microsoft-com:office:smarttags" w:element="stockticker">
              <w:r w:rsidRPr="0031279F">
                <w:rPr>
                  <w:rFonts w:ascii="Arial" w:eastAsia="Calibri" w:hAnsi="Arial" w:cs="Arial"/>
                  <w:b/>
                  <w:sz w:val="20"/>
                  <w:szCs w:val="20"/>
                  <w:lang w:val="en-GB" w:eastAsia="en-GB"/>
                </w:rPr>
                <w:t>SEE</w:t>
              </w:r>
            </w:smartTag>
            <w:r w:rsidRPr="0031279F">
              <w:rPr>
                <w:rFonts w:ascii="Arial" w:eastAsia="Calibri" w:hAnsi="Arial" w:cs="Arial"/>
                <w:b/>
                <w:sz w:val="20"/>
                <w:szCs w:val="20"/>
                <w:lang w:val="en-GB" w:eastAsia="en-GB"/>
              </w:rPr>
              <w:t xml:space="preserve"> </w:t>
            </w:r>
          </w:p>
        </w:tc>
        <w:tc>
          <w:tcPr>
            <w:tcW w:w="6661" w:type="dxa"/>
          </w:tcPr>
          <w:p w14:paraId="37E4009A" w14:textId="77777777" w:rsidR="0031279F" w:rsidRPr="0031279F" w:rsidRDefault="0031279F" w:rsidP="0031279F">
            <w:pPr>
              <w:rPr>
                <w:rFonts w:ascii="Arial" w:eastAsia="Calibri" w:hAnsi="Arial" w:cs="Arial"/>
                <w:sz w:val="20"/>
                <w:szCs w:val="20"/>
                <w:lang w:val="en-GB" w:eastAsia="en-GB"/>
              </w:rPr>
            </w:pPr>
            <w:r w:rsidRPr="0031279F">
              <w:rPr>
                <w:rFonts w:ascii="Arial" w:eastAsia="Calibri" w:hAnsi="Arial" w:cs="Arial"/>
                <w:b/>
                <w:bCs/>
                <w:sz w:val="20"/>
                <w:szCs w:val="20"/>
                <w:lang w:val="en-US" w:eastAsia="en-GB"/>
              </w:rPr>
              <w:t xml:space="preserve">M. </w:t>
            </w:r>
            <w:proofErr w:type="spellStart"/>
            <w:r w:rsidRPr="0031279F">
              <w:rPr>
                <w:rFonts w:ascii="Arial" w:eastAsia="Calibri" w:hAnsi="Arial" w:cs="Arial"/>
                <w:b/>
                <w:bCs/>
                <w:sz w:val="20"/>
                <w:szCs w:val="20"/>
                <w:lang w:val="en-US" w:eastAsia="en-GB"/>
              </w:rPr>
              <w:t>Grégor</w:t>
            </w:r>
            <w:proofErr w:type="spellEnd"/>
            <w:r w:rsidRPr="0031279F">
              <w:rPr>
                <w:rFonts w:ascii="Arial" w:eastAsia="Calibri" w:hAnsi="Arial" w:cs="Arial"/>
                <w:b/>
                <w:bCs/>
                <w:sz w:val="20"/>
                <w:szCs w:val="20"/>
                <w:lang w:val="en-US" w:eastAsia="en-GB"/>
              </w:rPr>
              <w:t xml:space="preserve"> PUPPINCK</w:t>
            </w:r>
          </w:p>
        </w:tc>
      </w:tr>
    </w:tbl>
    <w:p w14:paraId="7FB828BA" w14:textId="49379436" w:rsidR="0031279F" w:rsidRPr="0031279F" w:rsidRDefault="0031279F" w:rsidP="0031279F">
      <w:pPr>
        <w:tabs>
          <w:tab w:val="right" w:pos="9600"/>
        </w:tabs>
        <w:spacing w:before="600" w:after="120" w:line="276" w:lineRule="auto"/>
        <w:rPr>
          <w:rFonts w:ascii="Arial" w:eastAsia="Calibri" w:hAnsi="Arial" w:cs="Arial"/>
          <w:i/>
          <w:iCs/>
          <w:sz w:val="20"/>
          <w:szCs w:val="20"/>
          <w:lang w:val="en-GB" w:eastAsia="en-US"/>
        </w:rPr>
      </w:pPr>
      <w:r w:rsidRPr="0031279F">
        <w:rPr>
          <w:rFonts w:ascii="Arial" w:eastAsia="Calibri" w:hAnsi="Arial" w:cs="Arial"/>
          <w:b/>
          <w:bCs/>
          <w:sz w:val="20"/>
          <w:szCs w:val="20"/>
          <w:lang w:val="en-GB" w:eastAsia="en-US"/>
        </w:rPr>
        <w:t xml:space="preserve">SECRETARIAT </w:t>
      </w:r>
    </w:p>
    <w:tbl>
      <w:tblPr>
        <w:tblStyle w:val="Grilledutableau1"/>
        <w:tblW w:w="0" w:type="auto"/>
        <w:tblLook w:val="04A0" w:firstRow="1" w:lastRow="0" w:firstColumn="1" w:lastColumn="0" w:noHBand="0" w:noVBand="1"/>
      </w:tblPr>
      <w:tblGrid>
        <w:gridCol w:w="2675"/>
        <w:gridCol w:w="6611"/>
      </w:tblGrid>
      <w:tr w:rsidR="0031279F" w:rsidRPr="00616F99" w14:paraId="15642F80" w14:textId="77777777" w:rsidTr="001849A7">
        <w:trPr>
          <w:trHeight w:val="624"/>
        </w:trPr>
        <w:tc>
          <w:tcPr>
            <w:tcW w:w="2689" w:type="dxa"/>
          </w:tcPr>
          <w:p w14:paraId="56FF5EEE" w14:textId="77777777" w:rsidR="0031279F" w:rsidRPr="0031279F" w:rsidRDefault="0031279F" w:rsidP="0031279F">
            <w:pPr>
              <w:tabs>
                <w:tab w:val="left" w:pos="-720"/>
              </w:tabs>
              <w:suppressAutoHyphens/>
              <w:ind w:right="48"/>
              <w:jc w:val="both"/>
              <w:rPr>
                <w:rFonts w:ascii="Arial" w:eastAsia="Calibri" w:hAnsi="Arial" w:cs="Arial"/>
                <w:b/>
                <w:spacing w:val="-2"/>
                <w:sz w:val="20"/>
                <w:szCs w:val="20"/>
                <w:lang w:val="en-GB" w:eastAsia="en-GB"/>
              </w:rPr>
            </w:pPr>
            <w:r w:rsidRPr="0031279F">
              <w:rPr>
                <w:rFonts w:ascii="Arial" w:eastAsia="Calibri" w:hAnsi="Arial" w:cs="Arial"/>
                <w:b/>
                <w:spacing w:val="-2"/>
                <w:sz w:val="20"/>
                <w:szCs w:val="20"/>
                <w:lang w:val="en-GB" w:eastAsia="en-GB"/>
              </w:rPr>
              <w:t xml:space="preserve">DGI – Human Rights and Rule of Law </w:t>
            </w:r>
          </w:p>
          <w:p w14:paraId="1DE9B7F0" w14:textId="77777777" w:rsidR="0031279F" w:rsidRPr="0031279F" w:rsidRDefault="0031279F" w:rsidP="0031279F">
            <w:pPr>
              <w:tabs>
                <w:tab w:val="left" w:pos="-720"/>
              </w:tabs>
              <w:suppressAutoHyphens/>
              <w:ind w:right="48"/>
              <w:rPr>
                <w:rFonts w:ascii="Arial" w:eastAsia="Calibri" w:hAnsi="Arial" w:cs="Arial"/>
                <w:b/>
                <w:spacing w:val="-2"/>
                <w:sz w:val="20"/>
                <w:szCs w:val="20"/>
                <w:lang w:val="en-GB" w:eastAsia="en-GB"/>
              </w:rPr>
            </w:pPr>
            <w:r w:rsidRPr="0031279F">
              <w:rPr>
                <w:rFonts w:ascii="Arial" w:eastAsia="Calibri" w:hAnsi="Arial" w:cs="Arial"/>
                <w:b/>
                <w:spacing w:val="-2"/>
                <w:sz w:val="20"/>
                <w:szCs w:val="20"/>
                <w:lang w:val="en-GB" w:eastAsia="en-GB"/>
              </w:rPr>
              <w:t>Council of Europe</w:t>
            </w:r>
          </w:p>
          <w:p w14:paraId="2A42461C" w14:textId="77777777" w:rsidR="0031279F" w:rsidRPr="0031279F" w:rsidRDefault="0031279F" w:rsidP="0031279F">
            <w:pPr>
              <w:tabs>
                <w:tab w:val="left" w:pos="-720"/>
              </w:tabs>
              <w:suppressAutoHyphens/>
              <w:ind w:right="48"/>
              <w:rPr>
                <w:rFonts w:ascii="Arial" w:eastAsia="Calibri" w:hAnsi="Arial" w:cs="Arial"/>
                <w:b/>
                <w:spacing w:val="-2"/>
                <w:sz w:val="20"/>
                <w:szCs w:val="20"/>
                <w:lang w:val="en-GB" w:eastAsia="en-GB"/>
              </w:rPr>
            </w:pPr>
            <w:r w:rsidRPr="0031279F">
              <w:rPr>
                <w:rFonts w:ascii="Arial" w:eastAsia="Calibri" w:hAnsi="Arial" w:cs="Arial"/>
                <w:b/>
                <w:spacing w:val="-2"/>
                <w:sz w:val="20"/>
                <w:szCs w:val="20"/>
                <w:lang w:val="en-GB" w:eastAsia="en-GB"/>
              </w:rPr>
              <w:t xml:space="preserve">F-67075 Strasbourg Cedex </w:t>
            </w:r>
          </w:p>
          <w:p w14:paraId="6DC8BB42" w14:textId="010E236F" w:rsidR="0031279F" w:rsidRPr="00775C45" w:rsidRDefault="0031279F" w:rsidP="0031279F">
            <w:pPr>
              <w:tabs>
                <w:tab w:val="left" w:pos="-720"/>
              </w:tabs>
              <w:suppressAutoHyphens/>
              <w:ind w:right="48"/>
              <w:jc w:val="both"/>
              <w:rPr>
                <w:rFonts w:ascii="Arial" w:eastAsia="Calibri" w:hAnsi="Arial" w:cs="Arial"/>
                <w:sz w:val="20"/>
                <w:szCs w:val="20"/>
                <w:lang w:val="en-GB" w:eastAsia="en-GB"/>
              </w:rPr>
            </w:pPr>
          </w:p>
        </w:tc>
        <w:tc>
          <w:tcPr>
            <w:tcW w:w="6661" w:type="dxa"/>
          </w:tcPr>
          <w:p w14:paraId="48C4D5E0" w14:textId="77777777" w:rsidR="0031279F" w:rsidRPr="0031279F" w:rsidRDefault="0031279F" w:rsidP="0031279F">
            <w:pPr>
              <w:tabs>
                <w:tab w:val="left" w:pos="-720"/>
              </w:tabs>
              <w:suppressAutoHyphens/>
              <w:ind w:right="63"/>
              <w:jc w:val="both"/>
              <w:rPr>
                <w:rFonts w:ascii="Arial" w:eastAsia="Calibri" w:hAnsi="Arial" w:cs="Arial"/>
                <w:b/>
                <w:bCs/>
                <w:spacing w:val="-2"/>
                <w:sz w:val="20"/>
                <w:szCs w:val="20"/>
                <w:lang w:val="en-GB" w:eastAsia="en-GB"/>
              </w:rPr>
            </w:pPr>
            <w:r w:rsidRPr="0031279F">
              <w:rPr>
                <w:rFonts w:ascii="Arial" w:eastAsia="Calibri" w:hAnsi="Arial" w:cs="Arial"/>
                <w:b/>
                <w:bCs/>
                <w:spacing w:val="-2"/>
                <w:sz w:val="20"/>
                <w:szCs w:val="20"/>
                <w:lang w:val="en-GB" w:eastAsia="en-GB"/>
              </w:rPr>
              <w:t xml:space="preserve">Mr Daniele CANGEMI </w:t>
            </w:r>
          </w:p>
          <w:p w14:paraId="424DD8CD" w14:textId="6F328B12" w:rsidR="0031279F" w:rsidRPr="0031279F" w:rsidRDefault="0031279F" w:rsidP="0031279F">
            <w:pPr>
              <w:tabs>
                <w:tab w:val="left" w:pos="-720"/>
              </w:tabs>
              <w:suppressAutoHyphens/>
              <w:ind w:right="63"/>
              <w:jc w:val="both"/>
              <w:rPr>
                <w:rFonts w:ascii="Arial" w:eastAsia="Calibri" w:hAnsi="Arial" w:cs="Arial"/>
                <w:spacing w:val="-2"/>
                <w:sz w:val="20"/>
                <w:szCs w:val="20"/>
                <w:lang w:val="en-GB" w:eastAsia="en-GB"/>
              </w:rPr>
            </w:pPr>
            <w:r w:rsidRPr="0031279F">
              <w:rPr>
                <w:rFonts w:ascii="Arial" w:eastAsia="Calibri" w:hAnsi="Arial" w:cs="Arial"/>
                <w:spacing w:val="-2"/>
                <w:sz w:val="20"/>
                <w:szCs w:val="20"/>
                <w:lang w:val="en-GB" w:eastAsia="en-GB"/>
              </w:rPr>
              <w:t xml:space="preserve">Head of Department </w:t>
            </w:r>
          </w:p>
          <w:p w14:paraId="3F8315ED" w14:textId="08603DE1" w:rsidR="0031279F" w:rsidRPr="0031279F" w:rsidRDefault="0031279F" w:rsidP="0031279F">
            <w:pPr>
              <w:tabs>
                <w:tab w:val="left" w:pos="-720"/>
              </w:tabs>
              <w:suppressAutoHyphens/>
              <w:ind w:right="63"/>
              <w:jc w:val="both"/>
              <w:rPr>
                <w:rFonts w:ascii="Arial" w:eastAsia="Calibri" w:hAnsi="Arial" w:cs="Arial"/>
                <w:b/>
                <w:bCs/>
                <w:spacing w:val="-2"/>
                <w:sz w:val="20"/>
                <w:szCs w:val="20"/>
                <w:lang w:val="en-GB" w:eastAsia="en-GB"/>
              </w:rPr>
            </w:pPr>
            <w:r w:rsidRPr="0031279F">
              <w:rPr>
                <w:rFonts w:ascii="Arial" w:eastAsia="Calibri" w:hAnsi="Arial" w:cs="Arial"/>
                <w:spacing w:val="-2"/>
                <w:sz w:val="20"/>
                <w:szCs w:val="20"/>
                <w:lang w:val="en-GB" w:eastAsia="en-GB"/>
              </w:rPr>
              <w:t xml:space="preserve">Department for Human Rights, Justice and Legal Co-operation Standard-settings activities </w:t>
            </w:r>
          </w:p>
          <w:p w14:paraId="0D8CA371" w14:textId="77777777" w:rsidR="0031279F" w:rsidRPr="0031279F" w:rsidRDefault="0031279F" w:rsidP="0031279F">
            <w:pPr>
              <w:tabs>
                <w:tab w:val="right" w:pos="9026"/>
              </w:tabs>
              <w:suppressAutoHyphens/>
              <w:spacing w:before="240"/>
              <w:jc w:val="both"/>
              <w:rPr>
                <w:rFonts w:ascii="Arial" w:eastAsia="Calibri" w:hAnsi="Arial" w:cs="Arial"/>
                <w:b/>
                <w:bCs/>
                <w:sz w:val="20"/>
                <w:szCs w:val="20"/>
                <w:lang w:val="en-US" w:eastAsia="en-GB"/>
              </w:rPr>
            </w:pPr>
            <w:r w:rsidRPr="0031279F">
              <w:rPr>
                <w:rFonts w:ascii="Arial" w:eastAsia="Calibri" w:hAnsi="Arial" w:cs="Arial"/>
                <w:b/>
                <w:bCs/>
                <w:sz w:val="20"/>
                <w:szCs w:val="20"/>
                <w:lang w:val="en-US" w:eastAsia="en-GB"/>
              </w:rPr>
              <w:t>Ms Elvana THACI</w:t>
            </w:r>
          </w:p>
          <w:p w14:paraId="6766CBE3" w14:textId="5F1CED1A" w:rsidR="0031279F" w:rsidRPr="0031279F" w:rsidRDefault="0031279F" w:rsidP="0031279F">
            <w:pPr>
              <w:tabs>
                <w:tab w:val="right" w:pos="9026"/>
              </w:tabs>
              <w:suppressAutoHyphens/>
              <w:jc w:val="both"/>
              <w:rPr>
                <w:rFonts w:ascii="Arial" w:eastAsia="Calibri" w:hAnsi="Arial" w:cs="Arial"/>
                <w:i/>
                <w:iCs/>
                <w:sz w:val="20"/>
                <w:szCs w:val="20"/>
                <w:lang w:val="en-US" w:eastAsia="en-GB"/>
              </w:rPr>
            </w:pPr>
            <w:r w:rsidRPr="0031279F">
              <w:rPr>
                <w:rFonts w:ascii="Arial" w:eastAsia="Calibri" w:hAnsi="Arial" w:cs="Arial"/>
                <w:sz w:val="20"/>
                <w:szCs w:val="20"/>
                <w:lang w:val="en-US" w:eastAsia="en-GB"/>
              </w:rPr>
              <w:t>Administrator</w:t>
            </w:r>
          </w:p>
          <w:p w14:paraId="6DA8B940" w14:textId="35E6E6E8" w:rsidR="0031279F" w:rsidRPr="0031279F" w:rsidRDefault="0031279F" w:rsidP="0031279F">
            <w:pPr>
              <w:tabs>
                <w:tab w:val="right" w:pos="9026"/>
              </w:tabs>
              <w:suppressAutoHyphens/>
              <w:jc w:val="both"/>
              <w:rPr>
                <w:rFonts w:ascii="Arial" w:eastAsia="Calibri" w:hAnsi="Arial" w:cs="Arial"/>
                <w:bCs/>
                <w:iCs/>
                <w:sz w:val="20"/>
                <w:szCs w:val="20"/>
                <w:lang w:val="en-GB" w:eastAsia="en-GB"/>
              </w:rPr>
            </w:pPr>
            <w:r w:rsidRPr="0031279F">
              <w:rPr>
                <w:rFonts w:ascii="Arial" w:eastAsia="Calibri" w:hAnsi="Arial" w:cs="Arial"/>
                <w:bCs/>
                <w:iCs/>
                <w:spacing w:val="-2"/>
                <w:sz w:val="20"/>
                <w:szCs w:val="20"/>
                <w:lang w:val="en-GB" w:eastAsia="en-GB"/>
              </w:rPr>
              <w:t xml:space="preserve">Secretary of the DH-SYSC-V </w:t>
            </w:r>
          </w:p>
          <w:p w14:paraId="7CD7BAC4" w14:textId="6EE72E44" w:rsidR="0031279F" w:rsidRPr="0031279F" w:rsidRDefault="0031279F" w:rsidP="0031279F">
            <w:pPr>
              <w:tabs>
                <w:tab w:val="left" w:pos="-720"/>
              </w:tabs>
              <w:suppressAutoHyphens/>
              <w:ind w:right="63"/>
              <w:jc w:val="both"/>
              <w:rPr>
                <w:rFonts w:ascii="Arial" w:eastAsia="Calibri" w:hAnsi="Arial" w:cs="Arial"/>
                <w:spacing w:val="-3"/>
                <w:sz w:val="20"/>
                <w:szCs w:val="20"/>
                <w:lang w:val="de-DE" w:eastAsia="en-GB"/>
              </w:rPr>
            </w:pPr>
            <w:r w:rsidRPr="00775C45">
              <w:rPr>
                <w:rFonts w:ascii="Arial" w:eastAsia="Calibri" w:hAnsi="Arial" w:cs="Arial"/>
                <w:spacing w:val="-2"/>
                <w:sz w:val="20"/>
                <w:szCs w:val="20"/>
                <w:lang w:val="en-GB" w:eastAsia="en-GB"/>
              </w:rPr>
              <w:t xml:space="preserve">Human Rights Intergovernmental Cooperation Division </w:t>
            </w:r>
          </w:p>
          <w:p w14:paraId="7B24EE68" w14:textId="77777777" w:rsidR="0031279F" w:rsidRPr="0031279F" w:rsidRDefault="0031279F" w:rsidP="0031279F">
            <w:pPr>
              <w:tabs>
                <w:tab w:val="right" w:pos="9026"/>
              </w:tabs>
              <w:suppressAutoHyphens/>
              <w:spacing w:before="240"/>
              <w:jc w:val="both"/>
              <w:rPr>
                <w:rFonts w:ascii="Arial" w:eastAsia="Calibri" w:hAnsi="Arial" w:cs="Arial"/>
                <w:b/>
                <w:bCs/>
                <w:spacing w:val="-3"/>
                <w:sz w:val="20"/>
                <w:szCs w:val="20"/>
                <w:lang w:val="de-DE" w:eastAsia="en-GB"/>
              </w:rPr>
            </w:pPr>
            <w:r w:rsidRPr="0031279F">
              <w:rPr>
                <w:rFonts w:ascii="Arial" w:eastAsia="Calibri" w:hAnsi="Arial" w:cs="Arial"/>
                <w:b/>
                <w:bCs/>
                <w:spacing w:val="-3"/>
                <w:sz w:val="20"/>
                <w:szCs w:val="20"/>
                <w:lang w:val="de-DE" w:eastAsia="en-GB"/>
              </w:rPr>
              <w:t>Ms Sarah BELHADJMILED</w:t>
            </w:r>
          </w:p>
          <w:p w14:paraId="52DAF9B3" w14:textId="6F356817" w:rsidR="0031279F" w:rsidRPr="0031279F" w:rsidRDefault="0031279F" w:rsidP="0031279F">
            <w:pPr>
              <w:tabs>
                <w:tab w:val="right" w:pos="9026"/>
              </w:tabs>
              <w:suppressAutoHyphens/>
              <w:jc w:val="both"/>
              <w:rPr>
                <w:rFonts w:ascii="Arial" w:eastAsia="Calibri" w:hAnsi="Arial" w:cs="Arial"/>
                <w:sz w:val="20"/>
                <w:szCs w:val="20"/>
                <w:lang w:val="en-GB" w:eastAsia="en-GB"/>
              </w:rPr>
            </w:pPr>
            <w:r w:rsidRPr="0031279F">
              <w:rPr>
                <w:rFonts w:ascii="Arial" w:eastAsia="Calibri" w:hAnsi="Arial" w:cs="Arial"/>
                <w:spacing w:val="-2"/>
                <w:sz w:val="20"/>
                <w:szCs w:val="20"/>
                <w:lang w:val="en-GB" w:eastAsia="en-GB"/>
              </w:rPr>
              <w:t>Assistant lawyer</w:t>
            </w:r>
            <w:r w:rsidRPr="0031279F">
              <w:rPr>
                <w:rFonts w:ascii="Arial" w:eastAsia="Calibri" w:hAnsi="Arial" w:cs="Arial"/>
                <w:sz w:val="20"/>
                <w:szCs w:val="20"/>
                <w:lang w:val="en-GB" w:eastAsia="en-GB"/>
              </w:rPr>
              <w:t xml:space="preserve"> </w:t>
            </w:r>
          </w:p>
          <w:p w14:paraId="35AA33DA" w14:textId="19BC7DDE" w:rsidR="0031279F" w:rsidRPr="0031279F" w:rsidRDefault="0031279F" w:rsidP="0031279F">
            <w:pPr>
              <w:tabs>
                <w:tab w:val="right" w:pos="9026"/>
              </w:tabs>
              <w:suppressAutoHyphens/>
              <w:jc w:val="both"/>
              <w:rPr>
                <w:rFonts w:ascii="Arial" w:eastAsia="Calibri" w:hAnsi="Arial" w:cs="Arial"/>
                <w:spacing w:val="-3"/>
                <w:sz w:val="20"/>
                <w:szCs w:val="20"/>
                <w:lang w:val="de-DE" w:eastAsia="en-GB"/>
              </w:rPr>
            </w:pPr>
            <w:r w:rsidRPr="00775C45">
              <w:rPr>
                <w:rFonts w:ascii="Arial" w:eastAsia="Calibri" w:hAnsi="Arial" w:cs="Arial"/>
                <w:spacing w:val="-2"/>
                <w:sz w:val="20"/>
                <w:szCs w:val="20"/>
                <w:lang w:val="en-GB" w:eastAsia="en-GB"/>
              </w:rPr>
              <w:t xml:space="preserve">Human Rights Intergovernmental Cooperation Division </w:t>
            </w:r>
          </w:p>
          <w:p w14:paraId="5D93F448" w14:textId="7EDFD5BE" w:rsidR="0031279F" w:rsidRPr="0031279F" w:rsidRDefault="0031279F" w:rsidP="0031279F">
            <w:pPr>
              <w:tabs>
                <w:tab w:val="right" w:pos="9026"/>
              </w:tabs>
              <w:suppressAutoHyphens/>
              <w:spacing w:before="240"/>
              <w:jc w:val="both"/>
              <w:rPr>
                <w:rFonts w:ascii="Arial" w:eastAsia="Calibri" w:hAnsi="Arial" w:cs="Arial"/>
                <w:b/>
                <w:bCs/>
                <w:spacing w:val="-3"/>
                <w:sz w:val="20"/>
                <w:szCs w:val="20"/>
                <w:lang w:val="de-DE" w:eastAsia="en-GB"/>
              </w:rPr>
            </w:pPr>
            <w:r w:rsidRPr="0031279F">
              <w:rPr>
                <w:rFonts w:ascii="Arial" w:eastAsia="Calibri" w:hAnsi="Arial" w:cs="Arial"/>
                <w:b/>
                <w:bCs/>
                <w:spacing w:val="-3"/>
                <w:sz w:val="20"/>
                <w:szCs w:val="20"/>
                <w:lang w:val="de-DE" w:eastAsia="en-GB"/>
              </w:rPr>
              <w:t>M</w:t>
            </w:r>
            <w:r w:rsidR="00775C45">
              <w:rPr>
                <w:rFonts w:ascii="Arial" w:eastAsia="Calibri" w:hAnsi="Arial" w:cs="Arial"/>
                <w:b/>
                <w:bCs/>
                <w:spacing w:val="-3"/>
                <w:sz w:val="20"/>
                <w:szCs w:val="20"/>
                <w:lang w:val="de-DE" w:eastAsia="en-GB"/>
              </w:rPr>
              <w:t>r</w:t>
            </w:r>
            <w:r w:rsidRPr="0031279F">
              <w:rPr>
                <w:rFonts w:ascii="Arial" w:eastAsia="Calibri" w:hAnsi="Arial" w:cs="Arial"/>
                <w:b/>
                <w:bCs/>
                <w:spacing w:val="-3"/>
                <w:sz w:val="20"/>
                <w:szCs w:val="20"/>
                <w:lang w:val="de-DE" w:eastAsia="en-GB"/>
              </w:rPr>
              <w:t xml:space="preserve"> Nicolas DOMAGALSKI</w:t>
            </w:r>
          </w:p>
          <w:p w14:paraId="100F4FF1" w14:textId="2FED2E20" w:rsidR="0031279F" w:rsidRPr="00775C45" w:rsidRDefault="0031279F" w:rsidP="0031279F">
            <w:pPr>
              <w:tabs>
                <w:tab w:val="right" w:pos="9026"/>
              </w:tabs>
              <w:suppressAutoHyphens/>
              <w:jc w:val="both"/>
              <w:rPr>
                <w:rFonts w:ascii="Arial" w:eastAsia="Calibri" w:hAnsi="Arial" w:cs="Arial"/>
                <w:sz w:val="20"/>
                <w:szCs w:val="20"/>
                <w:lang w:val="en-GB" w:eastAsia="en-GB"/>
              </w:rPr>
            </w:pPr>
            <w:r w:rsidRPr="00775C45">
              <w:rPr>
                <w:rFonts w:ascii="Arial" w:eastAsia="Calibri" w:hAnsi="Arial" w:cs="Arial"/>
                <w:spacing w:val="-2"/>
                <w:sz w:val="20"/>
                <w:szCs w:val="20"/>
                <w:lang w:val="en-GB" w:eastAsia="en-GB"/>
              </w:rPr>
              <w:t>Assistant lawyer</w:t>
            </w:r>
            <w:r w:rsidRPr="00775C45">
              <w:rPr>
                <w:rFonts w:ascii="Arial" w:eastAsia="Calibri" w:hAnsi="Arial" w:cs="Arial"/>
                <w:sz w:val="20"/>
                <w:szCs w:val="20"/>
                <w:lang w:val="en-GB" w:eastAsia="en-GB"/>
              </w:rPr>
              <w:t xml:space="preserve"> </w:t>
            </w:r>
          </w:p>
          <w:p w14:paraId="73028FF4" w14:textId="77777777" w:rsidR="0031279F" w:rsidRDefault="0031279F" w:rsidP="0031279F">
            <w:pPr>
              <w:tabs>
                <w:tab w:val="right" w:pos="9026"/>
              </w:tabs>
              <w:suppressAutoHyphens/>
              <w:jc w:val="both"/>
              <w:rPr>
                <w:rFonts w:ascii="Arial" w:eastAsia="Calibri" w:hAnsi="Arial" w:cs="Arial"/>
                <w:spacing w:val="-2"/>
                <w:sz w:val="20"/>
                <w:szCs w:val="20"/>
                <w:lang w:val="en-GB" w:eastAsia="en-GB"/>
              </w:rPr>
            </w:pPr>
            <w:r w:rsidRPr="00775C45">
              <w:rPr>
                <w:rFonts w:ascii="Arial" w:eastAsia="Calibri" w:hAnsi="Arial" w:cs="Arial"/>
                <w:spacing w:val="-2"/>
                <w:sz w:val="20"/>
                <w:szCs w:val="20"/>
                <w:lang w:val="en-GB" w:eastAsia="en-GB"/>
              </w:rPr>
              <w:t xml:space="preserve">Human Rights Intergovernmental Cooperation Division </w:t>
            </w:r>
          </w:p>
          <w:p w14:paraId="4B086669" w14:textId="77777777" w:rsidR="001849A7" w:rsidRDefault="001849A7" w:rsidP="0031279F">
            <w:pPr>
              <w:tabs>
                <w:tab w:val="right" w:pos="9026"/>
              </w:tabs>
              <w:suppressAutoHyphens/>
              <w:jc w:val="both"/>
              <w:rPr>
                <w:rFonts w:ascii="Arial" w:eastAsia="Calibri" w:hAnsi="Arial" w:cs="Arial"/>
                <w:spacing w:val="-2"/>
                <w:sz w:val="20"/>
                <w:szCs w:val="20"/>
                <w:lang w:val="en-GB" w:eastAsia="en-GB"/>
              </w:rPr>
            </w:pPr>
          </w:p>
          <w:p w14:paraId="2F06D68D" w14:textId="77777777" w:rsidR="001849A7" w:rsidRPr="003C6FA7" w:rsidRDefault="001849A7" w:rsidP="001849A7">
            <w:pPr>
              <w:tabs>
                <w:tab w:val="right" w:pos="9026"/>
              </w:tabs>
              <w:suppressAutoHyphens/>
              <w:jc w:val="both"/>
              <w:rPr>
                <w:rFonts w:ascii="Arial" w:eastAsia="Calibri" w:hAnsi="Arial" w:cs="Arial"/>
                <w:b/>
                <w:bCs/>
                <w:sz w:val="20"/>
                <w:szCs w:val="20"/>
                <w:lang w:val="en-GB" w:eastAsia="en-GB"/>
              </w:rPr>
            </w:pPr>
            <w:r w:rsidRPr="003C6FA7">
              <w:rPr>
                <w:rFonts w:ascii="Arial" w:eastAsia="Calibri" w:hAnsi="Arial" w:cs="Arial"/>
                <w:b/>
                <w:bCs/>
                <w:sz w:val="20"/>
                <w:szCs w:val="20"/>
                <w:lang w:val="en-GB" w:eastAsia="en-GB"/>
              </w:rPr>
              <w:t>Ms Alina DEUTSCH</w:t>
            </w:r>
          </w:p>
          <w:p w14:paraId="3461AA14" w14:textId="77777777" w:rsidR="001849A7" w:rsidRPr="001849A7" w:rsidRDefault="001849A7" w:rsidP="001849A7">
            <w:pPr>
              <w:tabs>
                <w:tab w:val="right" w:pos="9026"/>
              </w:tabs>
              <w:suppressAutoHyphens/>
              <w:jc w:val="both"/>
              <w:rPr>
                <w:rFonts w:ascii="Arial" w:eastAsia="Calibri" w:hAnsi="Arial" w:cs="Arial"/>
                <w:sz w:val="20"/>
                <w:szCs w:val="20"/>
                <w:lang w:val="de-DE" w:eastAsia="en-GB"/>
              </w:rPr>
            </w:pPr>
            <w:r w:rsidRPr="001849A7">
              <w:rPr>
                <w:rFonts w:ascii="Arial" w:eastAsia="Calibri" w:hAnsi="Arial" w:cs="Arial"/>
                <w:sz w:val="20"/>
                <w:szCs w:val="20"/>
                <w:lang w:val="de-DE" w:eastAsia="en-GB"/>
              </w:rPr>
              <w:t xml:space="preserve">Trainee / </w:t>
            </w:r>
            <w:r w:rsidRPr="001849A7">
              <w:rPr>
                <w:rFonts w:ascii="Arial" w:eastAsia="Calibri" w:hAnsi="Arial" w:cs="Arial"/>
                <w:i/>
                <w:iCs/>
                <w:sz w:val="20"/>
                <w:szCs w:val="20"/>
                <w:lang w:val="de-DE" w:eastAsia="en-GB"/>
              </w:rPr>
              <w:t>Stagiaire</w:t>
            </w:r>
          </w:p>
          <w:p w14:paraId="367A859A" w14:textId="6A705CD5" w:rsidR="001849A7" w:rsidRPr="0031279F" w:rsidRDefault="001849A7" w:rsidP="001849A7">
            <w:pPr>
              <w:tabs>
                <w:tab w:val="right" w:pos="9026"/>
              </w:tabs>
              <w:suppressAutoHyphens/>
              <w:jc w:val="both"/>
              <w:rPr>
                <w:rFonts w:ascii="Arial" w:eastAsia="Calibri" w:hAnsi="Arial" w:cs="Arial"/>
                <w:sz w:val="20"/>
                <w:szCs w:val="20"/>
                <w:lang w:val="it-IT" w:eastAsia="en-GB"/>
              </w:rPr>
            </w:pPr>
            <w:r w:rsidRPr="003C6FA7">
              <w:rPr>
                <w:rFonts w:ascii="Arial" w:eastAsia="Calibri" w:hAnsi="Arial" w:cs="Arial"/>
                <w:sz w:val="20"/>
                <w:szCs w:val="20"/>
                <w:lang w:val="en-GB" w:eastAsia="en-GB"/>
              </w:rPr>
              <w:t xml:space="preserve">Human Rights Intergovernmental Cooperation Division </w:t>
            </w:r>
          </w:p>
        </w:tc>
      </w:tr>
    </w:tbl>
    <w:p w14:paraId="3F7F1113" w14:textId="69D87429" w:rsidR="0031279F" w:rsidRPr="0031279F" w:rsidRDefault="0031279F" w:rsidP="0031279F">
      <w:pPr>
        <w:tabs>
          <w:tab w:val="right" w:pos="9600"/>
        </w:tabs>
        <w:spacing w:before="360" w:after="120" w:line="276" w:lineRule="auto"/>
        <w:rPr>
          <w:rFonts w:ascii="Arial" w:eastAsia="Calibri" w:hAnsi="Arial" w:cs="Arial"/>
          <w:b/>
          <w:bCs/>
          <w:sz w:val="20"/>
          <w:szCs w:val="20"/>
          <w:lang w:val="en-GB" w:eastAsia="en-US"/>
        </w:rPr>
      </w:pPr>
      <w:r w:rsidRPr="0031279F">
        <w:rPr>
          <w:rFonts w:ascii="Arial" w:eastAsia="Calibri" w:hAnsi="Arial" w:cs="Arial"/>
          <w:b/>
          <w:bCs/>
          <w:sz w:val="20"/>
          <w:szCs w:val="20"/>
          <w:lang w:val="en-GB" w:eastAsia="en-US"/>
        </w:rPr>
        <w:lastRenderedPageBreak/>
        <w:t xml:space="preserve">INTERPRETERS </w:t>
      </w:r>
    </w:p>
    <w:tbl>
      <w:tblPr>
        <w:tblStyle w:val="Grilledutableau1"/>
        <w:tblW w:w="0" w:type="auto"/>
        <w:tblLook w:val="04A0" w:firstRow="1" w:lastRow="0" w:firstColumn="1" w:lastColumn="0" w:noHBand="0" w:noVBand="1"/>
      </w:tblPr>
      <w:tblGrid>
        <w:gridCol w:w="9286"/>
      </w:tblGrid>
      <w:tr w:rsidR="0031279F" w:rsidRPr="00616F99" w14:paraId="39E2D085" w14:textId="77777777" w:rsidTr="001849A7">
        <w:trPr>
          <w:trHeight w:val="624"/>
        </w:trPr>
        <w:tc>
          <w:tcPr>
            <w:tcW w:w="9350" w:type="dxa"/>
          </w:tcPr>
          <w:p w14:paraId="08BEDC00" w14:textId="77777777" w:rsidR="0031279F" w:rsidRPr="0031279F" w:rsidRDefault="0031279F" w:rsidP="0031279F">
            <w:pPr>
              <w:tabs>
                <w:tab w:val="left" w:pos="-720"/>
              </w:tabs>
              <w:suppressAutoHyphens/>
              <w:jc w:val="both"/>
              <w:rPr>
                <w:rFonts w:ascii="Arial" w:eastAsia="Calibri" w:hAnsi="Arial" w:cs="Arial"/>
                <w:b/>
                <w:bCs/>
                <w:sz w:val="20"/>
                <w:szCs w:val="20"/>
                <w:lang w:val="en-GB" w:eastAsia="en-GB"/>
              </w:rPr>
            </w:pPr>
            <w:r w:rsidRPr="0031279F">
              <w:rPr>
                <w:rFonts w:ascii="Arial" w:eastAsia="Calibri" w:hAnsi="Arial" w:cs="Arial"/>
                <w:b/>
                <w:bCs/>
                <w:sz w:val="20"/>
                <w:szCs w:val="20"/>
                <w:lang w:val="en-GB" w:eastAsia="en-GB"/>
              </w:rPr>
              <w:t>M. Michael HILL</w:t>
            </w:r>
          </w:p>
          <w:p w14:paraId="1D0A942A" w14:textId="77777777" w:rsidR="0031279F" w:rsidRPr="0031279F" w:rsidRDefault="0031279F" w:rsidP="0031279F">
            <w:pPr>
              <w:tabs>
                <w:tab w:val="left" w:pos="-720"/>
              </w:tabs>
              <w:suppressAutoHyphens/>
              <w:spacing w:before="240"/>
              <w:jc w:val="both"/>
              <w:rPr>
                <w:rFonts w:ascii="Arial" w:eastAsia="Calibri" w:hAnsi="Arial" w:cs="Arial"/>
                <w:b/>
                <w:bCs/>
                <w:sz w:val="20"/>
                <w:szCs w:val="20"/>
                <w:lang w:val="en-GB" w:eastAsia="en-GB"/>
              </w:rPr>
            </w:pPr>
            <w:r w:rsidRPr="0031279F">
              <w:rPr>
                <w:rFonts w:ascii="Arial" w:eastAsia="Calibri" w:hAnsi="Arial" w:cs="Arial"/>
                <w:b/>
                <w:bCs/>
                <w:sz w:val="20"/>
                <w:szCs w:val="20"/>
                <w:lang w:val="en-GB" w:eastAsia="en-GB"/>
              </w:rPr>
              <w:t>Ms Julia TANNER</w:t>
            </w:r>
          </w:p>
        </w:tc>
      </w:tr>
    </w:tbl>
    <w:p w14:paraId="4D66602C" w14:textId="77777777" w:rsidR="0031279F" w:rsidRPr="0031279F" w:rsidRDefault="0031279F" w:rsidP="0031279F">
      <w:pPr>
        <w:tabs>
          <w:tab w:val="right" w:pos="9600"/>
        </w:tabs>
        <w:spacing w:line="276" w:lineRule="auto"/>
        <w:rPr>
          <w:rFonts w:ascii="Arial" w:eastAsia="Calibri" w:hAnsi="Arial" w:cs="Arial"/>
          <w:sz w:val="20"/>
          <w:szCs w:val="20"/>
          <w:lang w:val="en-GB" w:eastAsia="en-US"/>
        </w:rPr>
      </w:pPr>
    </w:p>
    <w:p w14:paraId="7E0CB18A" w14:textId="77777777" w:rsidR="00DC51E6" w:rsidRPr="00120775" w:rsidRDefault="00DC51E6" w:rsidP="00DC51E6">
      <w:pPr>
        <w:jc w:val="center"/>
        <w:rPr>
          <w:rFonts w:ascii="Arial" w:hAnsi="Arial" w:cs="Arial"/>
          <w:sz w:val="22"/>
          <w:szCs w:val="22"/>
          <w:u w:val="single"/>
          <w:lang w:val="en-GB" w:eastAsia="en-GB"/>
        </w:rPr>
      </w:pPr>
    </w:p>
    <w:p w14:paraId="4804096C" w14:textId="77777777" w:rsidR="00DC51E6" w:rsidRPr="00120775" w:rsidRDefault="00DC51E6" w:rsidP="00DC51E6">
      <w:pPr>
        <w:rPr>
          <w:rFonts w:ascii="Arial" w:hAnsi="Arial" w:cs="Arial"/>
          <w:sz w:val="22"/>
          <w:szCs w:val="22"/>
          <w:u w:val="single"/>
          <w:lang w:val="en-GB" w:eastAsia="en-GB"/>
        </w:rPr>
      </w:pPr>
      <w:r w:rsidRPr="00120775">
        <w:rPr>
          <w:rFonts w:ascii="Arial" w:hAnsi="Arial" w:cs="Arial"/>
          <w:sz w:val="22"/>
          <w:szCs w:val="22"/>
          <w:u w:val="single"/>
          <w:lang w:val="en-GB" w:eastAsia="en-GB"/>
        </w:rPr>
        <w:br w:type="page"/>
      </w:r>
    </w:p>
    <w:p w14:paraId="5DEA4BAD" w14:textId="77777777" w:rsidR="00DC51E6" w:rsidRPr="00885196" w:rsidRDefault="00DC51E6" w:rsidP="00DC51E6">
      <w:pPr>
        <w:jc w:val="center"/>
        <w:rPr>
          <w:rFonts w:ascii="Arial" w:hAnsi="Arial" w:cs="Arial"/>
          <w:sz w:val="22"/>
          <w:szCs w:val="22"/>
          <w:u w:val="single"/>
          <w:lang w:val="en-GB" w:eastAsia="en-GB"/>
        </w:rPr>
      </w:pPr>
      <w:r w:rsidRPr="00885196">
        <w:rPr>
          <w:rFonts w:ascii="Arial" w:hAnsi="Arial" w:cs="Arial"/>
          <w:sz w:val="22"/>
          <w:szCs w:val="22"/>
          <w:u w:val="single"/>
          <w:lang w:val="en-GB" w:eastAsia="en-GB"/>
        </w:rPr>
        <w:lastRenderedPageBreak/>
        <w:t>Appendix II</w:t>
      </w:r>
    </w:p>
    <w:p w14:paraId="006604B8" w14:textId="77777777" w:rsidR="00DC51E6" w:rsidRPr="00885196" w:rsidRDefault="00DC51E6" w:rsidP="00DC51E6">
      <w:pPr>
        <w:tabs>
          <w:tab w:val="left" w:pos="709"/>
        </w:tabs>
        <w:autoSpaceDE w:val="0"/>
        <w:autoSpaceDN w:val="0"/>
        <w:adjustRightInd w:val="0"/>
        <w:ind w:left="709"/>
        <w:jc w:val="center"/>
        <w:rPr>
          <w:rFonts w:ascii="Arial" w:hAnsi="Arial" w:cs="Arial"/>
          <w:b/>
          <w:sz w:val="22"/>
          <w:szCs w:val="22"/>
          <w:lang w:val="en-GB" w:eastAsia="en-GB"/>
        </w:rPr>
      </w:pPr>
    </w:p>
    <w:p w14:paraId="34C65EFC" w14:textId="401A9532" w:rsidR="00120775" w:rsidRDefault="00DC51E6" w:rsidP="00120775">
      <w:pPr>
        <w:tabs>
          <w:tab w:val="left" w:pos="0"/>
        </w:tabs>
        <w:autoSpaceDE w:val="0"/>
        <w:autoSpaceDN w:val="0"/>
        <w:adjustRightInd w:val="0"/>
        <w:jc w:val="center"/>
        <w:rPr>
          <w:rFonts w:ascii="Arial" w:hAnsi="Arial" w:cs="Arial"/>
          <w:b/>
          <w:sz w:val="22"/>
          <w:szCs w:val="22"/>
          <w:lang w:val="en-GB" w:eastAsia="en-GB"/>
        </w:rPr>
      </w:pPr>
      <w:r w:rsidRPr="00051CCB">
        <w:rPr>
          <w:rFonts w:ascii="Arial" w:hAnsi="Arial" w:cs="Arial"/>
          <w:b/>
          <w:sz w:val="22"/>
          <w:szCs w:val="22"/>
          <w:lang w:val="en-GB" w:eastAsia="en-GB"/>
        </w:rPr>
        <w:t>Annotated Agenda</w:t>
      </w:r>
    </w:p>
    <w:p w14:paraId="56DA6AC4" w14:textId="77777777" w:rsidR="003C6F63" w:rsidRDefault="003C6F63" w:rsidP="00120775">
      <w:pPr>
        <w:tabs>
          <w:tab w:val="left" w:pos="0"/>
        </w:tabs>
        <w:autoSpaceDE w:val="0"/>
        <w:autoSpaceDN w:val="0"/>
        <w:adjustRightInd w:val="0"/>
        <w:jc w:val="center"/>
        <w:rPr>
          <w:rFonts w:ascii="Arial" w:hAnsi="Arial" w:cs="Arial"/>
          <w:b/>
          <w:sz w:val="22"/>
          <w:szCs w:val="22"/>
          <w:lang w:val="en-GB" w:eastAsia="en-GB"/>
        </w:rPr>
      </w:pPr>
    </w:p>
    <w:tbl>
      <w:tblPr>
        <w:tblStyle w:val="TableGrid2"/>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6818"/>
        <w:gridCol w:w="2830"/>
      </w:tblGrid>
      <w:tr w:rsidR="003D3897" w:rsidRPr="00616F99" w14:paraId="0A432573" w14:textId="77777777" w:rsidTr="003D3897">
        <w:trPr>
          <w:trHeight w:val="624"/>
          <w:jc w:val="center"/>
        </w:trPr>
        <w:tc>
          <w:tcPr>
            <w:tcW w:w="417" w:type="dxa"/>
            <w:tcBorders>
              <w:top w:val="single" w:sz="4" w:space="0" w:color="BFBFBF" w:themeColor="background1" w:themeShade="BF"/>
              <w:bottom w:val="single" w:sz="4" w:space="0" w:color="BFBFBF" w:themeColor="background1" w:themeShade="BF"/>
            </w:tcBorders>
            <w:vAlign w:val="center"/>
          </w:tcPr>
          <w:p w14:paraId="30D732FA" w14:textId="3824E93D" w:rsidR="003D3897" w:rsidRPr="00004559" w:rsidRDefault="00120775" w:rsidP="001849A7">
            <w:pPr>
              <w:tabs>
                <w:tab w:val="left" w:pos="567"/>
                <w:tab w:val="right" w:pos="9600"/>
              </w:tabs>
              <w:rPr>
                <w:rFonts w:ascii="Arial" w:hAnsi="Arial" w:cs="Arial"/>
                <w:b/>
              </w:rPr>
            </w:pPr>
            <w:r>
              <w:rPr>
                <w:rFonts w:ascii="Arial" w:hAnsi="Arial" w:cs="Arial"/>
                <w:b/>
                <w:sz w:val="22"/>
                <w:szCs w:val="22"/>
                <w:lang w:val="en-GB" w:eastAsia="en-GB"/>
              </w:rPr>
              <w:br w:type="page"/>
            </w:r>
            <w:bookmarkStart w:id="2" w:name="_Hlk64984190"/>
            <w:r w:rsidR="003D3897" w:rsidRPr="00004559">
              <w:rPr>
                <w:rFonts w:ascii="Arial" w:hAnsi="Arial" w:cs="Arial"/>
                <w:b/>
              </w:rPr>
              <w:t>1.</w:t>
            </w:r>
          </w:p>
        </w:tc>
        <w:tc>
          <w:tcPr>
            <w:tcW w:w="6818" w:type="dxa"/>
            <w:tcBorders>
              <w:top w:val="single" w:sz="4" w:space="0" w:color="BFBFBF" w:themeColor="background1" w:themeShade="BF"/>
              <w:bottom w:val="single" w:sz="4" w:space="0" w:color="BFBFBF" w:themeColor="background1" w:themeShade="BF"/>
            </w:tcBorders>
            <w:vAlign w:val="center"/>
          </w:tcPr>
          <w:p w14:paraId="4ACB7EEE" w14:textId="77777777" w:rsidR="003D3897" w:rsidRPr="003D3897" w:rsidRDefault="003D3897" w:rsidP="001849A7">
            <w:pPr>
              <w:tabs>
                <w:tab w:val="left" w:pos="567"/>
                <w:tab w:val="right" w:pos="9600"/>
              </w:tabs>
              <w:spacing w:before="60" w:after="60"/>
              <w:rPr>
                <w:rFonts w:ascii="Arial" w:hAnsi="Arial" w:cs="Arial"/>
                <w:b/>
                <w:sz w:val="22"/>
                <w:szCs w:val="22"/>
                <w:lang w:val="en-GB"/>
              </w:rPr>
            </w:pPr>
            <w:r w:rsidRPr="003D3897">
              <w:rPr>
                <w:rFonts w:ascii="Arial" w:hAnsi="Arial" w:cs="Arial"/>
                <w:b/>
                <w:sz w:val="22"/>
                <w:szCs w:val="22"/>
                <w:lang w:val="en-GB"/>
              </w:rPr>
              <w:t>Opening of the meeting</w:t>
            </w:r>
          </w:p>
          <w:p w14:paraId="7BD14FB1" w14:textId="77777777" w:rsidR="003D3897" w:rsidRPr="003D3897" w:rsidRDefault="003D3897" w:rsidP="001849A7">
            <w:pPr>
              <w:tabs>
                <w:tab w:val="left" w:pos="567"/>
                <w:tab w:val="right" w:pos="9600"/>
              </w:tabs>
              <w:spacing w:before="60" w:after="60"/>
              <w:rPr>
                <w:rStyle w:val="Accentuation"/>
                <w:rFonts w:ascii="Arial" w:eastAsiaTheme="majorEastAsia" w:hAnsi="Arial" w:cs="Arial"/>
                <w:color w:val="000000"/>
                <w:sz w:val="22"/>
                <w:szCs w:val="22"/>
                <w:lang w:val="en-GB"/>
              </w:rPr>
            </w:pPr>
          </w:p>
          <w:p w14:paraId="27EB3456" w14:textId="77777777" w:rsidR="003D3897" w:rsidRPr="003D3897" w:rsidRDefault="003D3897" w:rsidP="001849A7">
            <w:pPr>
              <w:tabs>
                <w:tab w:val="left" w:pos="567"/>
                <w:tab w:val="right" w:pos="9600"/>
              </w:tabs>
              <w:spacing w:before="60" w:after="60"/>
              <w:rPr>
                <w:rFonts w:ascii="Arial" w:hAnsi="Arial" w:cs="Arial"/>
                <w:b/>
                <w:sz w:val="22"/>
                <w:szCs w:val="22"/>
                <w:lang w:val="en-GB"/>
              </w:rPr>
            </w:pPr>
            <w:r w:rsidRPr="003D3897">
              <w:rPr>
                <w:rStyle w:val="Accentuation"/>
                <w:rFonts w:ascii="Arial" w:eastAsiaTheme="majorEastAsia" w:hAnsi="Arial" w:cs="Arial"/>
                <w:color w:val="000000"/>
                <w:sz w:val="22"/>
                <w:szCs w:val="22"/>
                <w:lang w:val="en-GB"/>
              </w:rPr>
              <w:t>The Chairperson, Mr</w:t>
            </w:r>
            <w:r w:rsidRPr="003D3897">
              <w:rPr>
                <w:rStyle w:val="Accentuation"/>
                <w:rFonts w:ascii="Arial" w:eastAsiaTheme="majorEastAsia" w:hAnsi="Arial" w:cs="Arial"/>
                <w:sz w:val="22"/>
                <w:szCs w:val="22"/>
                <w:lang w:val="en-GB"/>
              </w:rPr>
              <w:t> </w:t>
            </w:r>
            <w:r w:rsidRPr="003D3897">
              <w:rPr>
                <w:rStyle w:val="Accentuation"/>
                <w:rFonts w:ascii="Arial" w:eastAsiaTheme="majorEastAsia" w:hAnsi="Arial" w:cs="Arial"/>
                <w:color w:val="000000"/>
                <w:sz w:val="22"/>
                <w:szCs w:val="22"/>
                <w:lang w:val="en-GB"/>
              </w:rPr>
              <w:t>Alain CHABLAIS</w:t>
            </w:r>
            <w:r w:rsidRPr="003D3897">
              <w:rPr>
                <w:rStyle w:val="Accentuation"/>
                <w:rFonts w:ascii="Arial" w:eastAsiaTheme="majorEastAsia" w:hAnsi="Arial" w:cs="Arial"/>
                <w:sz w:val="22"/>
                <w:szCs w:val="22"/>
                <w:lang w:val="en-GB"/>
              </w:rPr>
              <w:t> </w:t>
            </w:r>
            <w:r w:rsidRPr="003D3897">
              <w:rPr>
                <w:rStyle w:val="Accentuation"/>
                <w:rFonts w:ascii="Arial" w:eastAsiaTheme="majorEastAsia" w:hAnsi="Arial" w:cs="Arial"/>
                <w:color w:val="000000"/>
                <w:sz w:val="22"/>
                <w:szCs w:val="22"/>
                <w:lang w:val="en-GB"/>
              </w:rPr>
              <w:t xml:space="preserve">(Switzerland) will open the meeting. </w:t>
            </w:r>
          </w:p>
        </w:tc>
        <w:tc>
          <w:tcPr>
            <w:tcW w:w="2830" w:type="dxa"/>
            <w:tcBorders>
              <w:top w:val="single" w:sz="4" w:space="0" w:color="BFBFBF" w:themeColor="background1" w:themeShade="BF"/>
              <w:bottom w:val="single" w:sz="4" w:space="0" w:color="BFBFBF" w:themeColor="background1" w:themeShade="BF"/>
            </w:tcBorders>
            <w:vAlign w:val="center"/>
          </w:tcPr>
          <w:p w14:paraId="0543849D" w14:textId="77777777" w:rsidR="003D3897" w:rsidRPr="003D3897" w:rsidRDefault="003D3897" w:rsidP="001849A7">
            <w:pPr>
              <w:tabs>
                <w:tab w:val="left" w:pos="567"/>
                <w:tab w:val="right" w:pos="9600"/>
              </w:tabs>
              <w:rPr>
                <w:rFonts w:ascii="Arial" w:hAnsi="Arial" w:cs="Arial"/>
                <w:sz w:val="22"/>
                <w:szCs w:val="22"/>
                <w:lang w:val="en-GB"/>
              </w:rPr>
            </w:pPr>
          </w:p>
        </w:tc>
      </w:tr>
      <w:tr w:rsidR="003D3897" w:rsidRPr="00616F99" w14:paraId="0B71833E" w14:textId="77777777" w:rsidTr="003D3897">
        <w:trPr>
          <w:trHeight w:val="267"/>
          <w:jc w:val="center"/>
        </w:trPr>
        <w:tc>
          <w:tcPr>
            <w:tcW w:w="417" w:type="dxa"/>
            <w:tcBorders>
              <w:top w:val="single" w:sz="4" w:space="0" w:color="BFBFBF" w:themeColor="background1" w:themeShade="BF"/>
              <w:bottom w:val="single" w:sz="4" w:space="0" w:color="BFBFBF" w:themeColor="background1" w:themeShade="BF"/>
            </w:tcBorders>
            <w:vAlign w:val="center"/>
          </w:tcPr>
          <w:p w14:paraId="4D0058E9" w14:textId="77777777" w:rsidR="003D3897" w:rsidRPr="00004559" w:rsidRDefault="003D3897" w:rsidP="001849A7">
            <w:pPr>
              <w:tabs>
                <w:tab w:val="left" w:pos="567"/>
                <w:tab w:val="right" w:pos="9600"/>
              </w:tabs>
              <w:rPr>
                <w:rFonts w:ascii="Arial" w:hAnsi="Arial" w:cs="Arial"/>
                <w:b/>
              </w:rPr>
            </w:pPr>
            <w:r w:rsidRPr="00004559">
              <w:rPr>
                <w:rFonts w:ascii="Arial" w:hAnsi="Arial" w:cs="Arial"/>
                <w:b/>
              </w:rPr>
              <w:t>2.</w:t>
            </w:r>
          </w:p>
        </w:tc>
        <w:tc>
          <w:tcPr>
            <w:tcW w:w="6818" w:type="dxa"/>
            <w:tcBorders>
              <w:top w:val="single" w:sz="4" w:space="0" w:color="BFBFBF" w:themeColor="background1" w:themeShade="BF"/>
              <w:bottom w:val="single" w:sz="4" w:space="0" w:color="BFBFBF" w:themeColor="background1" w:themeShade="BF"/>
            </w:tcBorders>
            <w:vAlign w:val="center"/>
          </w:tcPr>
          <w:p w14:paraId="215FBBF6" w14:textId="77777777" w:rsidR="003D3897" w:rsidRPr="003D3897" w:rsidRDefault="003D3897" w:rsidP="001849A7">
            <w:pPr>
              <w:spacing w:before="60" w:after="60"/>
              <w:rPr>
                <w:rFonts w:ascii="Arial" w:hAnsi="Arial" w:cs="Arial"/>
                <w:b/>
                <w:sz w:val="22"/>
                <w:szCs w:val="22"/>
                <w:lang w:val="en-GB"/>
              </w:rPr>
            </w:pPr>
            <w:r w:rsidRPr="003D3897">
              <w:rPr>
                <w:rFonts w:ascii="Arial" w:hAnsi="Arial" w:cs="Arial"/>
                <w:b/>
                <w:sz w:val="22"/>
                <w:szCs w:val="22"/>
                <w:lang w:val="en-GB"/>
              </w:rPr>
              <w:t>Adoption of the annotated agenda and order of business</w:t>
            </w:r>
          </w:p>
          <w:p w14:paraId="70BA939F" w14:textId="77777777" w:rsidR="003D3897" w:rsidRPr="003D3897" w:rsidRDefault="003D3897" w:rsidP="001849A7">
            <w:pPr>
              <w:spacing w:before="60" w:after="60"/>
              <w:rPr>
                <w:rFonts w:ascii="Arial" w:hAnsi="Arial" w:cs="Arial"/>
                <w:b/>
                <w:sz w:val="22"/>
                <w:szCs w:val="22"/>
                <w:lang w:val="en-GB"/>
              </w:rPr>
            </w:pPr>
          </w:p>
        </w:tc>
        <w:tc>
          <w:tcPr>
            <w:tcW w:w="2830" w:type="dxa"/>
            <w:tcBorders>
              <w:top w:val="single" w:sz="4" w:space="0" w:color="BFBFBF" w:themeColor="background1" w:themeShade="BF"/>
              <w:bottom w:val="single" w:sz="4" w:space="0" w:color="BFBFBF" w:themeColor="background1" w:themeShade="BF"/>
            </w:tcBorders>
            <w:vAlign w:val="center"/>
          </w:tcPr>
          <w:p w14:paraId="40BE3100" w14:textId="77777777" w:rsidR="003D3897" w:rsidRPr="00E93EDB" w:rsidRDefault="003D3897" w:rsidP="001849A7">
            <w:pPr>
              <w:tabs>
                <w:tab w:val="left" w:pos="179"/>
                <w:tab w:val="right" w:pos="9600"/>
              </w:tabs>
              <w:rPr>
                <w:rFonts w:ascii="Arial" w:hAnsi="Arial" w:cs="Arial"/>
                <w:lang w:val="sv-SE"/>
              </w:rPr>
            </w:pPr>
            <w:r w:rsidRPr="00E93EDB">
              <w:rPr>
                <w:rFonts w:ascii="Arial" w:hAnsi="Arial" w:cs="Arial"/>
                <w:bCs/>
                <w:iCs/>
                <w:lang w:val="sv-SE" w:eastAsia="en-US"/>
              </w:rPr>
              <w:t>DH-SYSC-IV(202</w:t>
            </w:r>
            <w:r w:rsidRPr="00E93EDB">
              <w:rPr>
                <w:rFonts w:ascii="Arial" w:hAnsi="Arial" w:cs="Arial"/>
                <w:bCs/>
                <w:iCs/>
                <w:lang w:val="sv-SE"/>
              </w:rPr>
              <w:t>1</w:t>
            </w:r>
            <w:r w:rsidRPr="00E93EDB">
              <w:rPr>
                <w:rFonts w:ascii="Arial" w:hAnsi="Arial" w:cs="Arial"/>
                <w:bCs/>
                <w:iCs/>
                <w:lang w:val="sv-SE" w:eastAsia="en-US"/>
              </w:rPr>
              <w:t>)</w:t>
            </w:r>
            <w:r w:rsidRPr="00E93EDB">
              <w:rPr>
                <w:rFonts w:ascii="Arial" w:hAnsi="Arial" w:cs="Arial"/>
                <w:bCs/>
                <w:iCs/>
                <w:lang w:val="sv-SE"/>
              </w:rPr>
              <w:t>OJ</w:t>
            </w:r>
            <w:r>
              <w:rPr>
                <w:rFonts w:ascii="Arial" w:hAnsi="Arial" w:cs="Arial"/>
                <w:bCs/>
                <w:iCs/>
                <w:lang w:val="sv-SE"/>
              </w:rPr>
              <w:t>2</w:t>
            </w:r>
          </w:p>
          <w:p w14:paraId="5B6A98C0" w14:textId="77777777" w:rsidR="003D3897" w:rsidRPr="00E93EDB" w:rsidRDefault="003D3897" w:rsidP="001849A7">
            <w:pPr>
              <w:tabs>
                <w:tab w:val="left" w:pos="567"/>
                <w:tab w:val="right" w:pos="9600"/>
              </w:tabs>
              <w:jc w:val="center"/>
              <w:rPr>
                <w:rFonts w:ascii="Arial" w:hAnsi="Arial" w:cs="Arial"/>
                <w:lang w:val="sv-SE"/>
              </w:rPr>
            </w:pPr>
          </w:p>
          <w:p w14:paraId="2372F018" w14:textId="77777777" w:rsidR="003D3897" w:rsidRPr="00E93EDB" w:rsidRDefault="003D3897" w:rsidP="001849A7">
            <w:pPr>
              <w:tabs>
                <w:tab w:val="left" w:pos="567"/>
                <w:tab w:val="right" w:pos="9600"/>
              </w:tabs>
              <w:ind w:left="181" w:hanging="181"/>
              <w:rPr>
                <w:rFonts w:ascii="Arial" w:hAnsi="Arial" w:cs="Arial"/>
                <w:sz w:val="22"/>
                <w:szCs w:val="22"/>
                <w:lang w:val="sv-SE"/>
              </w:rPr>
            </w:pPr>
            <w:r w:rsidRPr="00E93EDB">
              <w:rPr>
                <w:rFonts w:ascii="Arial" w:hAnsi="Arial" w:cs="Arial"/>
                <w:lang w:val="sv-SE"/>
              </w:rPr>
              <w:t>DH-SYSC-IV(2021)OT</w:t>
            </w:r>
            <w:r>
              <w:rPr>
                <w:rFonts w:ascii="Arial" w:hAnsi="Arial" w:cs="Arial"/>
                <w:lang w:val="sv-SE"/>
              </w:rPr>
              <w:t>2</w:t>
            </w:r>
          </w:p>
        </w:tc>
      </w:tr>
      <w:tr w:rsidR="003D3897" w:rsidRPr="00616F99" w14:paraId="5CE727D1" w14:textId="77777777" w:rsidTr="003D3897">
        <w:trPr>
          <w:trHeight w:val="267"/>
          <w:jc w:val="center"/>
        </w:trPr>
        <w:tc>
          <w:tcPr>
            <w:tcW w:w="417" w:type="dxa"/>
            <w:tcBorders>
              <w:top w:val="single" w:sz="4" w:space="0" w:color="BFBFBF" w:themeColor="background1" w:themeShade="BF"/>
              <w:bottom w:val="single" w:sz="4" w:space="0" w:color="BFBFBF" w:themeColor="background1" w:themeShade="BF"/>
            </w:tcBorders>
            <w:vAlign w:val="center"/>
          </w:tcPr>
          <w:p w14:paraId="1CC48FAF" w14:textId="77777777" w:rsidR="003D3897" w:rsidRPr="00004559" w:rsidRDefault="003D3897" w:rsidP="001849A7">
            <w:pPr>
              <w:tabs>
                <w:tab w:val="left" w:pos="567"/>
                <w:tab w:val="right" w:pos="9600"/>
              </w:tabs>
              <w:rPr>
                <w:rFonts w:ascii="Arial" w:hAnsi="Arial" w:cs="Arial"/>
                <w:b/>
              </w:rPr>
            </w:pPr>
            <w:r>
              <w:rPr>
                <w:rFonts w:ascii="Arial" w:hAnsi="Arial" w:cs="Arial"/>
                <w:b/>
              </w:rPr>
              <w:t>3.</w:t>
            </w:r>
          </w:p>
        </w:tc>
        <w:tc>
          <w:tcPr>
            <w:tcW w:w="6818" w:type="dxa"/>
            <w:tcBorders>
              <w:top w:val="single" w:sz="4" w:space="0" w:color="BFBFBF" w:themeColor="background1" w:themeShade="BF"/>
              <w:bottom w:val="single" w:sz="4" w:space="0" w:color="BFBFBF" w:themeColor="background1" w:themeShade="BF"/>
            </w:tcBorders>
            <w:vAlign w:val="center"/>
          </w:tcPr>
          <w:p w14:paraId="3BC8DBDB" w14:textId="77777777" w:rsidR="003D3897" w:rsidRPr="003D3897" w:rsidRDefault="003D3897" w:rsidP="001849A7">
            <w:pPr>
              <w:spacing w:before="60" w:after="60"/>
              <w:rPr>
                <w:rFonts w:ascii="Arial" w:hAnsi="Arial" w:cs="Arial"/>
                <w:b/>
                <w:sz w:val="22"/>
                <w:szCs w:val="22"/>
                <w:lang w:val="en-GB"/>
              </w:rPr>
            </w:pPr>
            <w:r w:rsidRPr="003D3897">
              <w:rPr>
                <w:rFonts w:ascii="Arial" w:hAnsi="Arial" w:cs="Arial"/>
                <w:b/>
                <w:sz w:val="22"/>
                <w:szCs w:val="22"/>
                <w:lang w:val="en-GB"/>
              </w:rPr>
              <w:t>Draft Activity Report 2020-2021</w:t>
            </w:r>
          </w:p>
          <w:p w14:paraId="23A72BA4" w14:textId="77777777" w:rsidR="003D3897" w:rsidRPr="003D3897" w:rsidRDefault="003D3897" w:rsidP="001849A7">
            <w:pPr>
              <w:rPr>
                <w:rFonts w:ascii="Arial" w:hAnsi="Arial" w:cs="Arial"/>
                <w:bCs/>
                <w:i/>
                <w:iCs/>
                <w:sz w:val="22"/>
                <w:szCs w:val="22"/>
                <w:lang w:val="en-GB"/>
              </w:rPr>
            </w:pPr>
          </w:p>
          <w:p w14:paraId="5F41E634" w14:textId="77777777" w:rsidR="003D3897" w:rsidRPr="00BD19A1" w:rsidRDefault="003D3897" w:rsidP="001849A7">
            <w:pPr>
              <w:rPr>
                <w:rFonts w:ascii="Arial" w:hAnsi="Arial" w:cs="Arial"/>
                <w:i/>
                <w:iCs/>
                <w:sz w:val="22"/>
                <w:szCs w:val="22"/>
                <w:lang w:val="en-US"/>
              </w:rPr>
            </w:pPr>
            <w:r w:rsidRPr="003D3897">
              <w:rPr>
                <w:rFonts w:ascii="Arial" w:hAnsi="Arial" w:cs="Arial"/>
                <w:bCs/>
                <w:i/>
                <w:iCs/>
                <w:sz w:val="22"/>
                <w:szCs w:val="22"/>
                <w:lang w:val="en-GB"/>
              </w:rPr>
              <w:t xml:space="preserve">The members of the Drafting Group will be invited to examine the draft report with a view to its finalisation and transmission to the DH-SYSC </w:t>
            </w:r>
            <w:r w:rsidRPr="003D3897">
              <w:rPr>
                <w:rFonts w:ascii="Arial" w:hAnsi="Arial" w:cs="Arial"/>
                <w:i/>
                <w:iCs/>
                <w:sz w:val="22"/>
                <w:szCs w:val="22"/>
                <w:lang w:val="en-GB"/>
              </w:rPr>
              <w:t>for its consideration at its 7</w:t>
            </w:r>
            <w:r w:rsidRPr="003D3897">
              <w:rPr>
                <w:rFonts w:ascii="Arial" w:hAnsi="Arial" w:cs="Arial"/>
                <w:i/>
                <w:iCs/>
                <w:sz w:val="22"/>
                <w:szCs w:val="22"/>
                <w:vertAlign w:val="superscript"/>
                <w:lang w:val="en-GB"/>
              </w:rPr>
              <w:t>th</w:t>
            </w:r>
            <w:r w:rsidRPr="003D3897">
              <w:rPr>
                <w:rFonts w:ascii="Arial" w:hAnsi="Arial" w:cs="Arial"/>
                <w:i/>
                <w:iCs/>
                <w:sz w:val="22"/>
                <w:szCs w:val="22"/>
                <w:lang w:val="en-GB"/>
              </w:rPr>
              <w:t xml:space="preserve"> meeting (26-28 October 2021) and in turn to the CDDH for its consideration at its 95</w:t>
            </w:r>
            <w:r w:rsidRPr="003D3897">
              <w:rPr>
                <w:rFonts w:ascii="Arial" w:hAnsi="Arial" w:cs="Arial"/>
                <w:i/>
                <w:iCs/>
                <w:sz w:val="22"/>
                <w:szCs w:val="22"/>
                <w:vertAlign w:val="superscript"/>
                <w:lang w:val="en-GB"/>
              </w:rPr>
              <w:t>th</w:t>
            </w:r>
            <w:r w:rsidRPr="003D3897">
              <w:rPr>
                <w:rFonts w:ascii="Arial" w:hAnsi="Arial" w:cs="Arial"/>
                <w:i/>
                <w:iCs/>
                <w:sz w:val="22"/>
                <w:szCs w:val="22"/>
                <w:lang w:val="en-GB"/>
              </w:rPr>
              <w:t xml:space="preserve"> meeting (23-26 November 2021)</w:t>
            </w:r>
          </w:p>
        </w:tc>
        <w:tc>
          <w:tcPr>
            <w:tcW w:w="2830" w:type="dxa"/>
            <w:tcBorders>
              <w:top w:val="single" w:sz="4" w:space="0" w:color="BFBFBF" w:themeColor="background1" w:themeShade="BF"/>
              <w:bottom w:val="single" w:sz="4" w:space="0" w:color="BFBFBF" w:themeColor="background1" w:themeShade="BF"/>
            </w:tcBorders>
            <w:vAlign w:val="center"/>
          </w:tcPr>
          <w:p w14:paraId="7E29387F" w14:textId="77777777" w:rsidR="003D3897" w:rsidRPr="003D3897" w:rsidRDefault="00276E8F" w:rsidP="001849A7">
            <w:pPr>
              <w:ind w:left="181" w:hanging="181"/>
              <w:rPr>
                <w:rFonts w:ascii="Arial" w:hAnsi="Arial" w:cs="Arial"/>
                <w:lang w:val="en-GB"/>
              </w:rPr>
            </w:pPr>
            <w:hyperlink r:id="rId8" w:history="1">
              <w:r w:rsidR="003D3897" w:rsidRPr="003D3897">
                <w:rPr>
                  <w:rStyle w:val="Lienhypertexte"/>
                  <w:rFonts w:ascii="Arial" w:eastAsiaTheme="majorEastAsia" w:hAnsi="Arial" w:cs="Arial"/>
                  <w:lang w:val="en-GB"/>
                </w:rPr>
                <w:t>DH-SYSC-IV(2021)02</w:t>
              </w:r>
            </w:hyperlink>
          </w:p>
          <w:p w14:paraId="0E6957A7" w14:textId="77777777" w:rsidR="003D3897" w:rsidRPr="003D3897" w:rsidRDefault="003D3897" w:rsidP="001849A7">
            <w:pPr>
              <w:rPr>
                <w:rFonts w:ascii="Arial" w:hAnsi="Arial" w:cs="Arial"/>
                <w:lang w:val="en-GB"/>
              </w:rPr>
            </w:pPr>
          </w:p>
          <w:p w14:paraId="7A544A5A" w14:textId="77777777" w:rsidR="003D3897" w:rsidRPr="003D3897" w:rsidRDefault="00276E8F" w:rsidP="001849A7">
            <w:pPr>
              <w:rPr>
                <w:rFonts w:ascii="Arial" w:hAnsi="Arial" w:cs="Arial"/>
                <w:lang w:val="en-GB"/>
              </w:rPr>
            </w:pPr>
            <w:hyperlink r:id="rId9" w:history="1">
              <w:r w:rsidR="003D3897" w:rsidRPr="003D3897">
                <w:rPr>
                  <w:rStyle w:val="Lienhypertexte"/>
                  <w:rFonts w:ascii="Arial" w:eastAsiaTheme="majorEastAsia" w:hAnsi="Arial" w:cs="Arial"/>
                  <w:lang w:val="en-GB"/>
                </w:rPr>
                <w:t>Letter of the Registrar to the Chair of DH-SYSC-</w:t>
              </w:r>
            </w:hyperlink>
            <w:r w:rsidR="003D3897" w:rsidRPr="003D3897">
              <w:rPr>
                <w:rFonts w:ascii="Arial" w:hAnsi="Arial" w:cs="Arial"/>
                <w:lang w:val="en-GB"/>
              </w:rPr>
              <w:t>IV (</w:t>
            </w:r>
            <w:r w:rsidR="003D3897" w:rsidRPr="003D3897">
              <w:rPr>
                <w:rFonts w:ascii="Arial" w:hAnsi="Arial" w:cs="Arial"/>
                <w:i/>
                <w:iCs/>
                <w:lang w:val="en-GB"/>
              </w:rPr>
              <w:t>via email</w:t>
            </w:r>
            <w:r w:rsidR="003D3897" w:rsidRPr="003D3897">
              <w:rPr>
                <w:rFonts w:ascii="Arial" w:hAnsi="Arial" w:cs="Arial"/>
                <w:lang w:val="en-GB"/>
              </w:rPr>
              <w:t>)</w:t>
            </w:r>
          </w:p>
          <w:p w14:paraId="0EB550BD" w14:textId="77777777" w:rsidR="003D3897" w:rsidRPr="00E93EDB" w:rsidRDefault="003D3897" w:rsidP="001849A7">
            <w:pPr>
              <w:tabs>
                <w:tab w:val="left" w:pos="179"/>
                <w:tab w:val="right" w:pos="9600"/>
              </w:tabs>
              <w:ind w:left="-104"/>
              <w:rPr>
                <w:rFonts w:ascii="Arial" w:hAnsi="Arial" w:cs="Arial"/>
                <w:bCs/>
                <w:iCs/>
                <w:sz w:val="22"/>
                <w:szCs w:val="22"/>
                <w:lang w:val="sv-SE"/>
              </w:rPr>
            </w:pPr>
          </w:p>
        </w:tc>
      </w:tr>
      <w:tr w:rsidR="003D3897" w:rsidRPr="00E731EA" w14:paraId="5BB0C61D" w14:textId="77777777" w:rsidTr="003D3897">
        <w:trPr>
          <w:trHeight w:val="556"/>
          <w:jc w:val="center"/>
        </w:trPr>
        <w:tc>
          <w:tcPr>
            <w:tcW w:w="417" w:type="dxa"/>
            <w:tcBorders>
              <w:top w:val="single" w:sz="4" w:space="0" w:color="BFBFBF" w:themeColor="background1" w:themeShade="BF"/>
              <w:bottom w:val="single" w:sz="4" w:space="0" w:color="BFBFBF" w:themeColor="background1" w:themeShade="BF"/>
            </w:tcBorders>
            <w:vAlign w:val="center"/>
          </w:tcPr>
          <w:p w14:paraId="2AEF6FDE" w14:textId="77777777" w:rsidR="003D3897" w:rsidRDefault="003D3897" w:rsidP="001849A7">
            <w:pPr>
              <w:tabs>
                <w:tab w:val="left" w:pos="567"/>
                <w:tab w:val="right" w:pos="9600"/>
              </w:tabs>
              <w:rPr>
                <w:rFonts w:ascii="Arial" w:hAnsi="Arial" w:cs="Arial"/>
                <w:b/>
              </w:rPr>
            </w:pPr>
            <w:r>
              <w:rPr>
                <w:rFonts w:ascii="Arial" w:hAnsi="Arial" w:cs="Arial"/>
                <w:b/>
              </w:rPr>
              <w:t>4.</w:t>
            </w:r>
          </w:p>
        </w:tc>
        <w:tc>
          <w:tcPr>
            <w:tcW w:w="6818" w:type="dxa"/>
            <w:tcBorders>
              <w:top w:val="single" w:sz="4" w:space="0" w:color="BFBFBF" w:themeColor="background1" w:themeShade="BF"/>
              <w:bottom w:val="single" w:sz="4" w:space="0" w:color="BFBFBF" w:themeColor="background1" w:themeShade="BF"/>
            </w:tcBorders>
            <w:vAlign w:val="center"/>
          </w:tcPr>
          <w:p w14:paraId="3EA3638D" w14:textId="77777777" w:rsidR="003D3897" w:rsidRPr="003D3897" w:rsidRDefault="003D3897" w:rsidP="001849A7">
            <w:pPr>
              <w:tabs>
                <w:tab w:val="left" w:pos="567"/>
                <w:tab w:val="right" w:pos="9600"/>
              </w:tabs>
              <w:spacing w:before="60" w:after="60"/>
              <w:rPr>
                <w:rFonts w:ascii="Arial" w:hAnsi="Arial" w:cs="Arial"/>
                <w:b/>
                <w:sz w:val="22"/>
                <w:szCs w:val="22"/>
                <w:lang w:val="en-GB"/>
              </w:rPr>
            </w:pPr>
            <w:r w:rsidRPr="003D3897">
              <w:rPr>
                <w:rFonts w:ascii="Arial" w:hAnsi="Arial" w:cs="Arial"/>
                <w:b/>
                <w:sz w:val="22"/>
                <w:szCs w:val="22"/>
                <w:lang w:val="en-GB"/>
              </w:rPr>
              <w:t>Gender equality</w:t>
            </w:r>
          </w:p>
          <w:p w14:paraId="1D2EF224" w14:textId="77777777" w:rsidR="003D3897" w:rsidRPr="00E93EDB" w:rsidRDefault="003D3897" w:rsidP="001849A7">
            <w:pPr>
              <w:pStyle w:val="Default"/>
              <w:jc w:val="both"/>
              <w:rPr>
                <w:bCs/>
                <w:i/>
                <w:iCs/>
                <w:sz w:val="22"/>
                <w:szCs w:val="22"/>
                <w:lang w:val="en-GB"/>
              </w:rPr>
            </w:pPr>
          </w:p>
          <w:p w14:paraId="2D0C015B" w14:textId="77777777" w:rsidR="003D3897" w:rsidRPr="003D3897" w:rsidRDefault="003D3897" w:rsidP="001849A7">
            <w:pPr>
              <w:tabs>
                <w:tab w:val="left" w:pos="567"/>
                <w:tab w:val="right" w:pos="9600"/>
              </w:tabs>
              <w:spacing w:before="60" w:after="60"/>
              <w:rPr>
                <w:rFonts w:ascii="Arial" w:hAnsi="Arial" w:cs="Arial"/>
                <w:b/>
                <w:sz w:val="22"/>
                <w:szCs w:val="22"/>
                <w:lang w:val="en-GB"/>
              </w:rPr>
            </w:pPr>
            <w:r w:rsidRPr="003D3897">
              <w:rPr>
                <w:rFonts w:ascii="Arial" w:hAnsi="Arial" w:cs="Arial"/>
                <w:bCs/>
                <w:i/>
                <w:iCs/>
                <w:sz w:val="22"/>
                <w:szCs w:val="22"/>
                <w:lang w:val="en-GB"/>
              </w:rPr>
              <w:t xml:space="preserve">The Drafting Group will be invited to discuss </w:t>
            </w:r>
            <w:r w:rsidRPr="003D3897">
              <w:rPr>
                <w:rFonts w:ascii="Arial" w:hAnsi="Arial" w:cs="Arial"/>
                <w:i/>
                <w:iCs/>
                <w:sz w:val="22"/>
                <w:szCs w:val="22"/>
                <w:lang w:val="en-GB"/>
              </w:rPr>
              <w:t>gender equality aspects of its work.</w:t>
            </w:r>
          </w:p>
        </w:tc>
        <w:tc>
          <w:tcPr>
            <w:tcW w:w="2830" w:type="dxa"/>
            <w:tcBorders>
              <w:top w:val="single" w:sz="4" w:space="0" w:color="BFBFBF" w:themeColor="background1" w:themeShade="BF"/>
              <w:bottom w:val="single" w:sz="4" w:space="0" w:color="BFBFBF" w:themeColor="background1" w:themeShade="BF"/>
            </w:tcBorders>
            <w:vAlign w:val="center"/>
          </w:tcPr>
          <w:p w14:paraId="409CD554" w14:textId="77777777" w:rsidR="003D3897" w:rsidRPr="00E93EDB" w:rsidRDefault="00276E8F" w:rsidP="001849A7">
            <w:pPr>
              <w:tabs>
                <w:tab w:val="left" w:pos="567"/>
                <w:tab w:val="right" w:pos="9600"/>
              </w:tabs>
              <w:rPr>
                <w:rFonts w:ascii="Arial" w:hAnsi="Arial" w:cs="Arial"/>
                <w:color w:val="000000" w:themeColor="text1"/>
                <w:sz w:val="22"/>
                <w:szCs w:val="22"/>
              </w:rPr>
            </w:pPr>
            <w:hyperlink r:id="rId10" w:history="1">
              <w:r w:rsidR="003D3897" w:rsidRPr="00E93EDB">
                <w:rPr>
                  <w:rStyle w:val="Lienhypertexte"/>
                  <w:rFonts w:ascii="Arial" w:eastAsiaTheme="majorEastAsia" w:hAnsi="Arial" w:cs="Arial"/>
                  <w:sz w:val="22"/>
                  <w:szCs w:val="22"/>
                </w:rPr>
                <w:t>CDDH(2020)13</w:t>
              </w:r>
            </w:hyperlink>
          </w:p>
        </w:tc>
      </w:tr>
      <w:tr w:rsidR="003D3897" w:rsidRPr="00E731EA" w14:paraId="355D1C68" w14:textId="77777777" w:rsidTr="003D3897">
        <w:trPr>
          <w:trHeight w:val="556"/>
          <w:jc w:val="center"/>
        </w:trPr>
        <w:tc>
          <w:tcPr>
            <w:tcW w:w="417" w:type="dxa"/>
            <w:tcBorders>
              <w:top w:val="single" w:sz="4" w:space="0" w:color="BFBFBF" w:themeColor="background1" w:themeShade="BF"/>
              <w:bottom w:val="single" w:sz="4" w:space="0" w:color="BFBFBF" w:themeColor="background1" w:themeShade="BF"/>
            </w:tcBorders>
            <w:vAlign w:val="center"/>
          </w:tcPr>
          <w:p w14:paraId="27AD3522" w14:textId="77777777" w:rsidR="003D3897" w:rsidRDefault="003D3897" w:rsidP="001849A7">
            <w:pPr>
              <w:tabs>
                <w:tab w:val="left" w:pos="567"/>
                <w:tab w:val="right" w:pos="9600"/>
              </w:tabs>
              <w:rPr>
                <w:rFonts w:ascii="Arial" w:hAnsi="Arial" w:cs="Arial"/>
                <w:b/>
              </w:rPr>
            </w:pPr>
            <w:r>
              <w:rPr>
                <w:rFonts w:ascii="Arial" w:hAnsi="Arial" w:cs="Arial"/>
                <w:b/>
              </w:rPr>
              <w:t>5.</w:t>
            </w:r>
          </w:p>
        </w:tc>
        <w:tc>
          <w:tcPr>
            <w:tcW w:w="6818" w:type="dxa"/>
            <w:tcBorders>
              <w:top w:val="single" w:sz="4" w:space="0" w:color="BFBFBF" w:themeColor="background1" w:themeShade="BF"/>
              <w:bottom w:val="single" w:sz="4" w:space="0" w:color="BFBFBF" w:themeColor="background1" w:themeShade="BF"/>
            </w:tcBorders>
            <w:vAlign w:val="center"/>
          </w:tcPr>
          <w:p w14:paraId="3ADC10B9" w14:textId="77777777" w:rsidR="003D3897" w:rsidRPr="003D3897" w:rsidRDefault="003D3897" w:rsidP="001849A7">
            <w:pPr>
              <w:tabs>
                <w:tab w:val="left" w:pos="567"/>
                <w:tab w:val="right" w:pos="9600"/>
              </w:tabs>
              <w:spacing w:before="60" w:after="60"/>
              <w:rPr>
                <w:rFonts w:ascii="Arial" w:hAnsi="Arial" w:cs="Arial"/>
                <w:b/>
                <w:sz w:val="22"/>
                <w:szCs w:val="22"/>
                <w:lang w:val="en-GB"/>
              </w:rPr>
            </w:pPr>
            <w:r w:rsidRPr="003D3897">
              <w:rPr>
                <w:rFonts w:ascii="Arial" w:hAnsi="Arial" w:cs="Arial"/>
                <w:b/>
                <w:sz w:val="22"/>
                <w:szCs w:val="22"/>
                <w:lang w:val="en-GB"/>
              </w:rPr>
              <w:t>Organisation of future work</w:t>
            </w:r>
          </w:p>
          <w:p w14:paraId="277A6BF7" w14:textId="77777777" w:rsidR="003D3897" w:rsidRPr="003D3897" w:rsidRDefault="003D3897" w:rsidP="001849A7">
            <w:pPr>
              <w:tabs>
                <w:tab w:val="left" w:pos="567"/>
                <w:tab w:val="right" w:pos="9600"/>
              </w:tabs>
              <w:spacing w:before="60" w:after="60"/>
              <w:rPr>
                <w:rStyle w:val="Accentuation"/>
                <w:rFonts w:ascii="Arial" w:eastAsiaTheme="majorEastAsia" w:hAnsi="Arial" w:cs="Arial"/>
                <w:color w:val="000000"/>
                <w:sz w:val="22"/>
                <w:szCs w:val="22"/>
                <w:lang w:val="en-GB"/>
              </w:rPr>
            </w:pPr>
          </w:p>
          <w:p w14:paraId="1E8CA5A5" w14:textId="77777777" w:rsidR="003D3897" w:rsidRPr="003D3897" w:rsidRDefault="003D3897" w:rsidP="001849A7">
            <w:pPr>
              <w:tabs>
                <w:tab w:val="left" w:pos="567"/>
                <w:tab w:val="right" w:pos="9600"/>
              </w:tabs>
              <w:spacing w:before="60" w:after="60"/>
              <w:rPr>
                <w:rStyle w:val="Accentuation"/>
                <w:rFonts w:ascii="Arial" w:eastAsiaTheme="majorEastAsia" w:hAnsi="Arial" w:cs="Arial"/>
                <w:color w:val="000000"/>
                <w:sz w:val="22"/>
                <w:szCs w:val="22"/>
                <w:lang w:val="en-GB"/>
              </w:rPr>
            </w:pPr>
            <w:r w:rsidRPr="003D3897">
              <w:rPr>
                <w:rStyle w:val="Accentuation"/>
                <w:rFonts w:ascii="Arial" w:eastAsiaTheme="majorEastAsia" w:hAnsi="Arial" w:cs="Arial"/>
                <w:color w:val="000000"/>
                <w:sz w:val="22"/>
                <w:szCs w:val="22"/>
                <w:lang w:val="en-GB"/>
              </w:rPr>
              <w:t>The Drafting Group will be invited to d</w:t>
            </w:r>
            <w:r w:rsidRPr="003D3897">
              <w:rPr>
                <w:rStyle w:val="Accentuation"/>
                <w:rFonts w:ascii="Arial" w:eastAsiaTheme="majorEastAsia" w:hAnsi="Arial" w:cs="Arial"/>
                <w:sz w:val="22"/>
                <w:szCs w:val="22"/>
                <w:lang w:val="en-GB"/>
              </w:rPr>
              <w:t xml:space="preserve">iscuss and </w:t>
            </w:r>
            <w:r w:rsidRPr="003D3897">
              <w:rPr>
                <w:rStyle w:val="Accentuation"/>
                <w:rFonts w:ascii="Arial" w:eastAsiaTheme="majorEastAsia" w:hAnsi="Arial" w:cs="Arial"/>
                <w:color w:val="000000"/>
                <w:sz w:val="22"/>
                <w:szCs w:val="22"/>
                <w:lang w:val="en-GB"/>
              </w:rPr>
              <w:t>take all the necessary decisions regarding the organisation of its future work.</w:t>
            </w:r>
          </w:p>
          <w:p w14:paraId="14BB664A" w14:textId="77777777" w:rsidR="003D3897" w:rsidRPr="003D3897" w:rsidRDefault="003D3897" w:rsidP="001849A7">
            <w:pPr>
              <w:tabs>
                <w:tab w:val="left" w:pos="567"/>
                <w:tab w:val="right" w:pos="9600"/>
              </w:tabs>
              <w:spacing w:before="60" w:after="60"/>
              <w:rPr>
                <w:rFonts w:ascii="Arial" w:hAnsi="Arial" w:cs="Arial"/>
                <w:b/>
                <w:sz w:val="22"/>
                <w:szCs w:val="22"/>
                <w:lang w:val="en-GB"/>
              </w:rPr>
            </w:pPr>
          </w:p>
        </w:tc>
        <w:tc>
          <w:tcPr>
            <w:tcW w:w="2830" w:type="dxa"/>
            <w:tcBorders>
              <w:top w:val="single" w:sz="4" w:space="0" w:color="BFBFBF" w:themeColor="background1" w:themeShade="BF"/>
              <w:bottom w:val="single" w:sz="4" w:space="0" w:color="BFBFBF" w:themeColor="background1" w:themeShade="BF"/>
            </w:tcBorders>
            <w:vAlign w:val="center"/>
          </w:tcPr>
          <w:p w14:paraId="744FD2F6" w14:textId="77777777" w:rsidR="003D3897" w:rsidRPr="003B2B4F" w:rsidRDefault="003D3897" w:rsidP="001849A7">
            <w:pPr>
              <w:tabs>
                <w:tab w:val="left" w:pos="567"/>
                <w:tab w:val="right" w:pos="9600"/>
              </w:tabs>
              <w:rPr>
                <w:rFonts w:ascii="Arial" w:hAnsi="Arial" w:cs="Arial"/>
                <w:color w:val="0000FF"/>
              </w:rPr>
            </w:pPr>
            <w:r w:rsidRPr="003B2B4F">
              <w:rPr>
                <w:rFonts w:ascii="Arial" w:hAnsi="Arial" w:cs="Arial"/>
                <w:color w:val="000000" w:themeColor="text1"/>
              </w:rPr>
              <w:t>DH-SYSC-</w:t>
            </w:r>
            <w:r>
              <w:rPr>
                <w:rFonts w:ascii="Arial" w:hAnsi="Arial" w:cs="Arial"/>
                <w:color w:val="000000" w:themeColor="text1"/>
              </w:rPr>
              <w:t>I</w:t>
            </w:r>
            <w:r w:rsidRPr="003B2B4F">
              <w:rPr>
                <w:rFonts w:ascii="Arial" w:hAnsi="Arial" w:cs="Arial"/>
                <w:color w:val="000000" w:themeColor="text1"/>
              </w:rPr>
              <w:t>V(2020)03REV</w:t>
            </w:r>
            <w:r>
              <w:rPr>
                <w:rFonts w:ascii="Arial" w:hAnsi="Arial" w:cs="Arial"/>
                <w:color w:val="000000" w:themeColor="text1"/>
              </w:rPr>
              <w:t>4</w:t>
            </w:r>
          </w:p>
        </w:tc>
      </w:tr>
      <w:tr w:rsidR="003D3897" w:rsidRPr="00E731EA" w14:paraId="4288A152" w14:textId="77777777" w:rsidTr="003D3897">
        <w:trPr>
          <w:trHeight w:val="556"/>
          <w:jc w:val="center"/>
        </w:trPr>
        <w:tc>
          <w:tcPr>
            <w:tcW w:w="417" w:type="dxa"/>
            <w:tcBorders>
              <w:top w:val="single" w:sz="4" w:space="0" w:color="BFBFBF" w:themeColor="background1" w:themeShade="BF"/>
              <w:bottom w:val="single" w:sz="4" w:space="0" w:color="BFBFBF" w:themeColor="background1" w:themeShade="BF"/>
            </w:tcBorders>
            <w:vAlign w:val="center"/>
          </w:tcPr>
          <w:p w14:paraId="50179121" w14:textId="77777777" w:rsidR="003D3897" w:rsidRDefault="003D3897" w:rsidP="001849A7">
            <w:pPr>
              <w:tabs>
                <w:tab w:val="left" w:pos="567"/>
                <w:tab w:val="right" w:pos="9600"/>
              </w:tabs>
              <w:rPr>
                <w:rFonts w:ascii="Arial" w:hAnsi="Arial" w:cs="Arial"/>
                <w:b/>
              </w:rPr>
            </w:pPr>
            <w:r>
              <w:rPr>
                <w:rFonts w:ascii="Arial" w:hAnsi="Arial" w:cs="Arial"/>
                <w:b/>
              </w:rPr>
              <w:t>6.</w:t>
            </w:r>
          </w:p>
        </w:tc>
        <w:tc>
          <w:tcPr>
            <w:tcW w:w="6818" w:type="dxa"/>
            <w:tcBorders>
              <w:top w:val="single" w:sz="4" w:space="0" w:color="BFBFBF" w:themeColor="background1" w:themeShade="BF"/>
              <w:bottom w:val="single" w:sz="4" w:space="0" w:color="BFBFBF" w:themeColor="background1" w:themeShade="BF"/>
            </w:tcBorders>
            <w:vAlign w:val="center"/>
          </w:tcPr>
          <w:p w14:paraId="3327868A" w14:textId="77777777" w:rsidR="003D3897" w:rsidRPr="00E93EDB" w:rsidRDefault="003D3897" w:rsidP="001849A7">
            <w:pPr>
              <w:tabs>
                <w:tab w:val="left" w:pos="567"/>
                <w:tab w:val="right" w:pos="9600"/>
              </w:tabs>
              <w:spacing w:before="60" w:after="60"/>
              <w:rPr>
                <w:rFonts w:ascii="Arial" w:hAnsi="Arial" w:cs="Arial"/>
                <w:b/>
                <w:sz w:val="22"/>
                <w:szCs w:val="22"/>
              </w:rPr>
            </w:pPr>
            <w:proofErr w:type="spellStart"/>
            <w:r w:rsidRPr="00E93EDB">
              <w:rPr>
                <w:rFonts w:ascii="Arial" w:hAnsi="Arial" w:cs="Arial"/>
                <w:b/>
                <w:sz w:val="22"/>
                <w:szCs w:val="22"/>
              </w:rPr>
              <w:t>Any</w:t>
            </w:r>
            <w:proofErr w:type="spellEnd"/>
            <w:r w:rsidRPr="00E93EDB">
              <w:rPr>
                <w:rFonts w:ascii="Arial" w:hAnsi="Arial" w:cs="Arial"/>
                <w:b/>
                <w:sz w:val="22"/>
                <w:szCs w:val="22"/>
              </w:rPr>
              <w:t xml:space="preserve"> </w:t>
            </w:r>
            <w:proofErr w:type="spellStart"/>
            <w:r w:rsidRPr="00E93EDB">
              <w:rPr>
                <w:rFonts w:ascii="Arial" w:hAnsi="Arial" w:cs="Arial"/>
                <w:b/>
                <w:sz w:val="22"/>
                <w:szCs w:val="22"/>
              </w:rPr>
              <w:t>other</w:t>
            </w:r>
            <w:proofErr w:type="spellEnd"/>
            <w:r w:rsidRPr="00E93EDB">
              <w:rPr>
                <w:rFonts w:ascii="Arial" w:hAnsi="Arial" w:cs="Arial"/>
                <w:b/>
                <w:sz w:val="22"/>
                <w:szCs w:val="22"/>
              </w:rPr>
              <w:t xml:space="preserve"> business</w:t>
            </w:r>
          </w:p>
        </w:tc>
        <w:tc>
          <w:tcPr>
            <w:tcW w:w="2830" w:type="dxa"/>
            <w:tcBorders>
              <w:top w:val="single" w:sz="4" w:space="0" w:color="BFBFBF" w:themeColor="background1" w:themeShade="BF"/>
              <w:bottom w:val="single" w:sz="4" w:space="0" w:color="BFBFBF" w:themeColor="background1" w:themeShade="BF"/>
            </w:tcBorders>
            <w:vAlign w:val="center"/>
          </w:tcPr>
          <w:p w14:paraId="0E613706" w14:textId="77777777" w:rsidR="003D3897" w:rsidRPr="00E93EDB" w:rsidRDefault="003D3897" w:rsidP="001849A7">
            <w:pPr>
              <w:tabs>
                <w:tab w:val="left" w:pos="567"/>
                <w:tab w:val="right" w:pos="9600"/>
              </w:tabs>
              <w:rPr>
                <w:rFonts w:ascii="Arial" w:hAnsi="Arial" w:cs="Arial"/>
                <w:color w:val="0000FF"/>
                <w:sz w:val="22"/>
                <w:szCs w:val="22"/>
              </w:rPr>
            </w:pPr>
          </w:p>
        </w:tc>
      </w:tr>
      <w:tr w:rsidR="003D3897" w:rsidRPr="008A1DD5" w14:paraId="6ED37136" w14:textId="77777777" w:rsidTr="003D3897">
        <w:trPr>
          <w:trHeight w:val="556"/>
          <w:jc w:val="center"/>
        </w:trPr>
        <w:tc>
          <w:tcPr>
            <w:tcW w:w="417" w:type="dxa"/>
            <w:tcBorders>
              <w:top w:val="single" w:sz="4" w:space="0" w:color="BFBFBF" w:themeColor="background1" w:themeShade="BF"/>
              <w:bottom w:val="single" w:sz="4" w:space="0" w:color="BFBFBF" w:themeColor="background1" w:themeShade="BF"/>
            </w:tcBorders>
            <w:vAlign w:val="center"/>
          </w:tcPr>
          <w:p w14:paraId="0EA18CDA" w14:textId="77777777" w:rsidR="003D3897" w:rsidRDefault="003D3897" w:rsidP="001849A7">
            <w:pPr>
              <w:tabs>
                <w:tab w:val="left" w:pos="567"/>
                <w:tab w:val="right" w:pos="9600"/>
              </w:tabs>
              <w:rPr>
                <w:rFonts w:ascii="Arial" w:hAnsi="Arial" w:cs="Arial"/>
                <w:b/>
              </w:rPr>
            </w:pPr>
            <w:r>
              <w:rPr>
                <w:rFonts w:ascii="Arial" w:hAnsi="Arial" w:cs="Arial"/>
                <w:b/>
              </w:rPr>
              <w:t>7.</w:t>
            </w:r>
          </w:p>
        </w:tc>
        <w:tc>
          <w:tcPr>
            <w:tcW w:w="6818" w:type="dxa"/>
            <w:tcBorders>
              <w:top w:val="single" w:sz="4" w:space="0" w:color="BFBFBF" w:themeColor="background1" w:themeShade="BF"/>
              <w:bottom w:val="single" w:sz="4" w:space="0" w:color="BFBFBF" w:themeColor="background1" w:themeShade="BF"/>
            </w:tcBorders>
            <w:vAlign w:val="center"/>
          </w:tcPr>
          <w:p w14:paraId="66A5344D" w14:textId="77777777" w:rsidR="003D3897" w:rsidRPr="003D3897" w:rsidRDefault="003D3897" w:rsidP="001849A7">
            <w:pPr>
              <w:tabs>
                <w:tab w:val="left" w:pos="567"/>
                <w:tab w:val="right" w:pos="9600"/>
              </w:tabs>
              <w:spacing w:before="60" w:after="60"/>
              <w:rPr>
                <w:rFonts w:ascii="Arial" w:hAnsi="Arial" w:cs="Arial"/>
                <w:b/>
                <w:sz w:val="22"/>
                <w:szCs w:val="22"/>
                <w:lang w:val="en-GB"/>
              </w:rPr>
            </w:pPr>
            <w:r w:rsidRPr="003D3897">
              <w:rPr>
                <w:rFonts w:ascii="Arial" w:hAnsi="Arial" w:cs="Arial"/>
                <w:b/>
                <w:sz w:val="22"/>
                <w:szCs w:val="22"/>
                <w:lang w:val="en-GB"/>
              </w:rPr>
              <w:t>Approval of the meeting report</w:t>
            </w:r>
          </w:p>
        </w:tc>
        <w:tc>
          <w:tcPr>
            <w:tcW w:w="2830" w:type="dxa"/>
            <w:tcBorders>
              <w:top w:val="single" w:sz="4" w:space="0" w:color="BFBFBF" w:themeColor="background1" w:themeShade="BF"/>
              <w:bottom w:val="single" w:sz="4" w:space="0" w:color="BFBFBF" w:themeColor="background1" w:themeShade="BF"/>
            </w:tcBorders>
            <w:vAlign w:val="center"/>
          </w:tcPr>
          <w:p w14:paraId="6AD45526" w14:textId="77777777" w:rsidR="003D3897" w:rsidRPr="003B2B4F" w:rsidRDefault="003D3897" w:rsidP="001849A7">
            <w:pPr>
              <w:tabs>
                <w:tab w:val="left" w:pos="567"/>
                <w:tab w:val="right" w:pos="9600"/>
              </w:tabs>
              <w:rPr>
                <w:rFonts w:ascii="Arial" w:hAnsi="Arial" w:cs="Arial"/>
                <w:color w:val="0000FF"/>
              </w:rPr>
            </w:pPr>
            <w:r w:rsidRPr="003B2B4F">
              <w:rPr>
                <w:rFonts w:ascii="Arial" w:hAnsi="Arial" w:cs="Arial"/>
              </w:rPr>
              <w:t>DH-SYS-IV(2021)R4</w:t>
            </w:r>
          </w:p>
        </w:tc>
      </w:tr>
      <w:bookmarkEnd w:id="2"/>
    </w:tbl>
    <w:p w14:paraId="40AB1FBA" w14:textId="77777777" w:rsidR="003D3897" w:rsidRDefault="003D3897" w:rsidP="003D3897"/>
    <w:p w14:paraId="7FECE6D4" w14:textId="77777777" w:rsidR="003D3897" w:rsidRDefault="003D3897" w:rsidP="003D3897">
      <w:pPr>
        <w:rPr>
          <w:rFonts w:ascii="Arial" w:hAnsi="Arial" w:cs="Arial"/>
          <w:b/>
          <w:bCs/>
        </w:rPr>
      </w:pPr>
      <w:r>
        <w:rPr>
          <w:rFonts w:ascii="Arial" w:hAnsi="Arial" w:cs="Arial"/>
          <w:b/>
          <w:bCs/>
        </w:rPr>
        <w:br w:type="page"/>
      </w:r>
    </w:p>
    <w:p w14:paraId="3E603F10" w14:textId="77777777" w:rsidR="003D3897" w:rsidRPr="00152670" w:rsidRDefault="003D3897" w:rsidP="003D3897">
      <w:r w:rsidRPr="000F5B60">
        <w:rPr>
          <w:rFonts w:ascii="Arial" w:hAnsi="Arial" w:cs="Arial"/>
          <w:b/>
          <w:bCs/>
        </w:rPr>
        <w:lastRenderedPageBreak/>
        <w:t>Reference documents</w:t>
      </w:r>
    </w:p>
    <w:tbl>
      <w:tblPr>
        <w:tblW w:w="9322" w:type="dxa"/>
        <w:tblCellMar>
          <w:left w:w="0" w:type="dxa"/>
          <w:right w:w="0" w:type="dxa"/>
        </w:tblCellMar>
        <w:tblLook w:val="04A0" w:firstRow="1" w:lastRow="0" w:firstColumn="1" w:lastColumn="0" w:noHBand="0" w:noVBand="1"/>
      </w:tblPr>
      <w:tblGrid>
        <w:gridCol w:w="5303"/>
        <w:gridCol w:w="4019"/>
      </w:tblGrid>
      <w:tr w:rsidR="003D3897" w:rsidRPr="00C0713A" w14:paraId="6B9728EE" w14:textId="77777777" w:rsidTr="001849A7">
        <w:trPr>
          <w:trHeight w:val="455"/>
        </w:trPr>
        <w:tc>
          <w:tcPr>
            <w:tcW w:w="5303" w:type="dxa"/>
            <w:tcMar>
              <w:top w:w="113" w:type="dxa"/>
              <w:left w:w="108" w:type="dxa"/>
              <w:bottom w:w="113" w:type="dxa"/>
              <w:right w:w="108" w:type="dxa"/>
            </w:tcMar>
            <w:hideMark/>
          </w:tcPr>
          <w:p w14:paraId="0D601FF5" w14:textId="77777777" w:rsidR="003D3897" w:rsidRPr="003D3897" w:rsidRDefault="003D3897" w:rsidP="001849A7">
            <w:pPr>
              <w:jc w:val="both"/>
              <w:rPr>
                <w:rFonts w:ascii="Arial Narrow" w:hAnsi="Arial Narrow" w:cs="Arial"/>
                <w:color w:val="000000"/>
                <w:lang w:val="en-GB"/>
              </w:rPr>
            </w:pPr>
            <w:r w:rsidRPr="003D3897">
              <w:rPr>
                <w:rFonts w:ascii="Arial Narrow" w:hAnsi="Arial Narrow" w:cs="Arial"/>
                <w:color w:val="000000"/>
                <w:lang w:val="en-GB"/>
              </w:rPr>
              <w:t xml:space="preserve">Terms of reference of the DH-SYSC-IV </w:t>
            </w:r>
          </w:p>
        </w:tc>
        <w:tc>
          <w:tcPr>
            <w:tcW w:w="4019" w:type="dxa"/>
            <w:tcMar>
              <w:top w:w="113" w:type="dxa"/>
              <w:left w:w="108" w:type="dxa"/>
              <w:bottom w:w="113" w:type="dxa"/>
              <w:right w:w="108" w:type="dxa"/>
            </w:tcMar>
            <w:hideMark/>
          </w:tcPr>
          <w:p w14:paraId="3BB6B6FF" w14:textId="77777777" w:rsidR="003D3897" w:rsidRPr="00F36332" w:rsidRDefault="00276E8F" w:rsidP="001849A7">
            <w:pPr>
              <w:ind w:left="720"/>
              <w:jc w:val="right"/>
              <w:rPr>
                <w:rFonts w:ascii="Arial Narrow" w:hAnsi="Arial Narrow" w:cs="Arial"/>
              </w:rPr>
            </w:pPr>
            <w:hyperlink r:id="rId11" w:history="1">
              <w:r w:rsidR="003D3897" w:rsidRPr="00F36332">
                <w:rPr>
                  <w:rStyle w:val="Lienhypertexte"/>
                  <w:rFonts w:ascii="Arial Narrow" w:eastAsiaTheme="majorEastAsia" w:hAnsi="Arial Narrow" w:cs="Arial"/>
                </w:rPr>
                <w:t>DH-SYSC-IV(2020)01</w:t>
              </w:r>
            </w:hyperlink>
          </w:p>
        </w:tc>
      </w:tr>
      <w:tr w:rsidR="003D3897" w:rsidRPr="00C0713A" w14:paraId="1EEF44FB" w14:textId="77777777" w:rsidTr="001849A7">
        <w:trPr>
          <w:trHeight w:val="455"/>
        </w:trPr>
        <w:tc>
          <w:tcPr>
            <w:tcW w:w="5303" w:type="dxa"/>
            <w:tcMar>
              <w:top w:w="113" w:type="dxa"/>
              <w:left w:w="108" w:type="dxa"/>
              <w:bottom w:w="113" w:type="dxa"/>
              <w:right w:w="108" w:type="dxa"/>
            </w:tcMar>
          </w:tcPr>
          <w:p w14:paraId="210A1991" w14:textId="77777777" w:rsidR="003D3897" w:rsidRPr="003D3897" w:rsidRDefault="003D3897" w:rsidP="001849A7">
            <w:pPr>
              <w:jc w:val="both"/>
              <w:rPr>
                <w:rFonts w:ascii="Arial Narrow" w:hAnsi="Arial Narrow" w:cs="Arial"/>
                <w:color w:val="000000"/>
                <w:lang w:val="en-GB"/>
              </w:rPr>
            </w:pPr>
            <w:r w:rsidRPr="003D3897">
              <w:rPr>
                <w:rFonts w:ascii="Arial Narrow" w:hAnsi="Arial Narrow"/>
                <w:lang w:val="en-GB"/>
              </w:rPr>
              <w:t xml:space="preserve">Resolution </w:t>
            </w:r>
            <w:bookmarkStart w:id="3" w:name="_ML_000000000002_VALID"/>
            <w:r w:rsidRPr="00D51295">
              <w:rPr>
                <w:rFonts w:ascii="Arial Narrow" w:hAnsi="Arial Narrow"/>
                <w:color w:val="1F497D" w:themeColor="text2"/>
                <w:lang w:val="en-US"/>
              </w:rPr>
              <w:fldChar w:fldCharType="begin"/>
            </w:r>
            <w:r w:rsidRPr="00D51295">
              <w:rPr>
                <w:rFonts w:ascii="Arial Narrow" w:hAnsi="Arial Narrow"/>
                <w:color w:val="1F497D" w:themeColor="text2"/>
                <w:lang w:val="en-US"/>
              </w:rPr>
              <w:instrText>HYPERLINK "https://search.coe.int/cm/Pages/result_details.aspx?Reference=CM/Res(2011)24" \o "Resolution on intergovernmental committees and subordinate bodies, their terms of reference and working methods (Adopted by the Committee of Ministers on 9 November 2011 at the 1125th meeting of the Ministers' Deputies)"</w:instrText>
            </w:r>
            <w:r w:rsidRPr="00D51295">
              <w:rPr>
                <w:rFonts w:ascii="Arial Narrow" w:hAnsi="Arial Narrow"/>
                <w:color w:val="1F497D" w:themeColor="text2"/>
                <w:lang w:val="en-US"/>
              </w:rPr>
              <w:fldChar w:fldCharType="separate"/>
            </w:r>
            <w:bookmarkEnd w:id="3"/>
            <w:r w:rsidRPr="00D51295">
              <w:rPr>
                <w:rStyle w:val="Lienhypertexte"/>
                <w:rFonts w:ascii="Arial Narrow" w:eastAsiaTheme="majorEastAsia" w:hAnsi="Arial Narrow"/>
                <w:color w:val="1F497D" w:themeColor="text2"/>
                <w:lang w:val="en-US"/>
              </w:rPr>
              <w:t>CM/Res(2011)24</w:t>
            </w:r>
            <w:r w:rsidRPr="00D51295">
              <w:rPr>
                <w:rFonts w:ascii="Arial Narrow" w:hAnsi="Arial Narrow"/>
                <w:color w:val="1F497D" w:themeColor="text2"/>
                <w:lang w:val="en-US"/>
              </w:rPr>
              <w:fldChar w:fldCharType="end"/>
            </w:r>
            <w:r w:rsidRPr="003D3897">
              <w:rPr>
                <w:rFonts w:ascii="Arial Narrow" w:hAnsi="Arial Narrow"/>
                <w:lang w:val="en-GB"/>
              </w:rPr>
              <w:t xml:space="preserve"> on committees and subordinate bodies, their terms of reference and working methods (to be replaced as of 1 January 2022 by </w:t>
            </w:r>
            <w:bookmarkStart w:id="4" w:name="_Hlk71708440"/>
            <w:r w:rsidRPr="003D3897">
              <w:rPr>
                <w:rFonts w:ascii="Arial Narrow" w:hAnsi="Arial Narrow" w:cs="Arial"/>
                <w:bCs/>
                <w:lang w:val="en-GB"/>
              </w:rPr>
              <w:t xml:space="preserve">Resolution </w:t>
            </w:r>
            <w:hyperlink r:id="rId12" w:history="1">
              <w:r w:rsidRPr="003D3897">
                <w:rPr>
                  <w:rStyle w:val="Lienhypertexte"/>
                  <w:rFonts w:ascii="Arial Narrow" w:eastAsiaTheme="majorEastAsia" w:hAnsi="Arial Narrow" w:cs="Arial"/>
                  <w:shd w:val="clear" w:color="auto" w:fill="FFFFFF"/>
                  <w:lang w:val="en-GB"/>
                </w:rPr>
                <w:t>CM/Res(2021)3</w:t>
              </w:r>
            </w:hyperlink>
            <w:bookmarkEnd w:id="4"/>
            <w:r w:rsidRPr="003D3897">
              <w:rPr>
                <w:rFonts w:ascii="Arial Narrow" w:hAnsi="Arial Narrow" w:cs="Arial"/>
                <w:bCs/>
                <w:lang w:val="en-GB"/>
              </w:rPr>
              <w:t xml:space="preserve"> on intergovernmental committees and subordinate bodies, their terms of reference and working methods)</w:t>
            </w:r>
          </w:p>
        </w:tc>
        <w:tc>
          <w:tcPr>
            <w:tcW w:w="4019" w:type="dxa"/>
            <w:tcMar>
              <w:top w:w="113" w:type="dxa"/>
              <w:left w:w="108" w:type="dxa"/>
              <w:bottom w:w="113" w:type="dxa"/>
              <w:right w:w="108" w:type="dxa"/>
            </w:tcMar>
          </w:tcPr>
          <w:p w14:paraId="1B8380C2" w14:textId="77777777" w:rsidR="003D3897" w:rsidRPr="00F36332" w:rsidRDefault="00276E8F" w:rsidP="001849A7">
            <w:pPr>
              <w:ind w:left="720"/>
              <w:jc w:val="right"/>
              <w:rPr>
                <w:rFonts w:ascii="Arial Narrow" w:hAnsi="Arial Narrow"/>
              </w:rPr>
            </w:pPr>
            <w:hyperlink r:id="rId13" w:tooltip="Resolution on intergovernmental committees and subordinate bodies, their terms of reference and working methods (Adopted by the Committee of Ministers on 9 November 2011 at the 1125th meeting of the Ministers' Deputies)" w:history="1">
              <w:r w:rsidR="003D3897" w:rsidRPr="00F36332">
                <w:rPr>
                  <w:rStyle w:val="Lienhypertexte"/>
                  <w:rFonts w:ascii="Arial Narrow" w:eastAsiaTheme="majorEastAsia" w:hAnsi="Arial Narrow"/>
                  <w:color w:val="000000"/>
                  <w:lang w:val="en-US"/>
                </w:rPr>
                <w:t>CM/Res(2011)24</w:t>
              </w:r>
            </w:hyperlink>
          </w:p>
        </w:tc>
      </w:tr>
      <w:tr w:rsidR="003D3897" w:rsidRPr="00C0713A" w14:paraId="4CBC26BB" w14:textId="77777777" w:rsidTr="001849A7">
        <w:trPr>
          <w:trHeight w:val="455"/>
        </w:trPr>
        <w:tc>
          <w:tcPr>
            <w:tcW w:w="5303" w:type="dxa"/>
            <w:tcMar>
              <w:top w:w="113" w:type="dxa"/>
              <w:left w:w="108" w:type="dxa"/>
              <w:bottom w:w="113" w:type="dxa"/>
              <w:right w:w="108" w:type="dxa"/>
            </w:tcMar>
          </w:tcPr>
          <w:p w14:paraId="5C3614FE" w14:textId="77777777" w:rsidR="003D3897" w:rsidRPr="003D3897" w:rsidRDefault="003D3897" w:rsidP="001849A7">
            <w:pPr>
              <w:tabs>
                <w:tab w:val="left" w:pos="3675"/>
              </w:tabs>
              <w:jc w:val="both"/>
              <w:rPr>
                <w:rFonts w:ascii="Arial Narrow" w:hAnsi="Arial Narrow"/>
                <w:lang w:val="en-GB"/>
              </w:rPr>
            </w:pPr>
            <w:r w:rsidRPr="003D3897">
              <w:rPr>
                <w:rFonts w:ascii="Arial Narrow" w:hAnsi="Arial Narrow"/>
                <w:lang w:val="en-GB"/>
              </w:rPr>
              <w:t>Report of the 94</w:t>
            </w:r>
            <w:r w:rsidRPr="003D3897">
              <w:rPr>
                <w:rFonts w:ascii="Arial Narrow" w:hAnsi="Arial Narrow"/>
                <w:vertAlign w:val="superscript"/>
                <w:lang w:val="en-GB"/>
              </w:rPr>
              <w:t>th</w:t>
            </w:r>
            <w:r w:rsidRPr="003D3897">
              <w:rPr>
                <w:rFonts w:ascii="Arial Narrow" w:hAnsi="Arial Narrow"/>
                <w:lang w:val="en-GB"/>
              </w:rPr>
              <w:t xml:space="preserve"> meeting of the CDDH (15-18 June 2021)</w:t>
            </w:r>
          </w:p>
        </w:tc>
        <w:tc>
          <w:tcPr>
            <w:tcW w:w="4019" w:type="dxa"/>
            <w:tcMar>
              <w:top w:w="113" w:type="dxa"/>
              <w:left w:w="108" w:type="dxa"/>
              <w:bottom w:w="113" w:type="dxa"/>
              <w:right w:w="108" w:type="dxa"/>
            </w:tcMar>
          </w:tcPr>
          <w:p w14:paraId="21D03CE0" w14:textId="77777777" w:rsidR="003D3897" w:rsidRPr="002A4003" w:rsidRDefault="00276E8F" w:rsidP="001849A7">
            <w:pPr>
              <w:ind w:left="720"/>
              <w:jc w:val="right"/>
              <w:rPr>
                <w:rFonts w:ascii="Arial" w:hAnsi="Arial" w:cs="Arial"/>
                <w:sz w:val="20"/>
                <w:szCs w:val="20"/>
              </w:rPr>
            </w:pPr>
            <w:hyperlink r:id="rId14" w:history="1">
              <w:r w:rsidR="003D3897" w:rsidRPr="002A4003">
                <w:rPr>
                  <w:rStyle w:val="Lienhypertexte"/>
                  <w:rFonts w:ascii="Arial" w:eastAsiaTheme="majorEastAsia" w:hAnsi="Arial" w:cs="Arial"/>
                  <w:sz w:val="20"/>
                  <w:szCs w:val="20"/>
                </w:rPr>
                <w:t>CDDH(2021)R94</w:t>
              </w:r>
            </w:hyperlink>
          </w:p>
        </w:tc>
      </w:tr>
      <w:tr w:rsidR="003D3897" w:rsidRPr="00C0713A" w14:paraId="21BD5B11" w14:textId="77777777" w:rsidTr="001849A7">
        <w:trPr>
          <w:trHeight w:val="625"/>
        </w:trPr>
        <w:tc>
          <w:tcPr>
            <w:tcW w:w="5303" w:type="dxa"/>
            <w:tcMar>
              <w:top w:w="113" w:type="dxa"/>
              <w:left w:w="108" w:type="dxa"/>
              <w:bottom w:w="113" w:type="dxa"/>
              <w:right w:w="108" w:type="dxa"/>
            </w:tcMar>
          </w:tcPr>
          <w:p w14:paraId="6926A71A" w14:textId="77777777" w:rsidR="003D3897" w:rsidRPr="003D3897" w:rsidRDefault="003D3897" w:rsidP="001849A7">
            <w:pPr>
              <w:jc w:val="both"/>
              <w:rPr>
                <w:rFonts w:ascii="Arial Narrow" w:hAnsi="Arial Narrow" w:cs="Arial"/>
                <w:color w:val="000000"/>
                <w:lang w:val="en-GB"/>
              </w:rPr>
            </w:pPr>
            <w:r w:rsidRPr="003D3897">
              <w:rPr>
                <w:rFonts w:ascii="Arial Narrow" w:hAnsi="Arial Narrow" w:cs="Arial"/>
                <w:color w:val="000000"/>
                <w:lang w:val="en-GB"/>
              </w:rPr>
              <w:t>Report of the 93</w:t>
            </w:r>
            <w:r w:rsidRPr="003D3897">
              <w:rPr>
                <w:rFonts w:ascii="Arial Narrow" w:hAnsi="Arial Narrow" w:cs="Arial"/>
                <w:color w:val="000000"/>
                <w:vertAlign w:val="superscript"/>
                <w:lang w:val="en-GB"/>
              </w:rPr>
              <w:t>rd</w:t>
            </w:r>
            <w:r w:rsidRPr="003D3897">
              <w:rPr>
                <w:rFonts w:ascii="Arial Narrow" w:hAnsi="Arial Narrow" w:cs="Arial"/>
                <w:color w:val="000000"/>
                <w:lang w:val="en-GB"/>
              </w:rPr>
              <w:t xml:space="preserve"> meeting of the CDDH (14-16 December 2020)</w:t>
            </w:r>
          </w:p>
        </w:tc>
        <w:tc>
          <w:tcPr>
            <w:tcW w:w="4019" w:type="dxa"/>
            <w:tcMar>
              <w:top w:w="113" w:type="dxa"/>
              <w:left w:w="108" w:type="dxa"/>
              <w:bottom w:w="113" w:type="dxa"/>
              <w:right w:w="108" w:type="dxa"/>
            </w:tcMar>
          </w:tcPr>
          <w:p w14:paraId="0AE5821D" w14:textId="77777777" w:rsidR="003D3897" w:rsidRPr="00F36332" w:rsidRDefault="00276E8F" w:rsidP="001849A7">
            <w:pPr>
              <w:ind w:left="720"/>
              <w:jc w:val="right"/>
              <w:rPr>
                <w:rFonts w:ascii="Arial Narrow" w:hAnsi="Arial Narrow" w:cs="Arial"/>
              </w:rPr>
            </w:pPr>
            <w:hyperlink r:id="rId15" w:history="1">
              <w:r w:rsidR="003D3897" w:rsidRPr="00F36332">
                <w:rPr>
                  <w:rStyle w:val="Lienhypertexte"/>
                  <w:rFonts w:ascii="Arial Narrow" w:eastAsiaTheme="majorEastAsia" w:hAnsi="Arial Narrow" w:cs="Arial"/>
                </w:rPr>
                <w:t>CDDH(2020)R93</w:t>
              </w:r>
            </w:hyperlink>
          </w:p>
        </w:tc>
      </w:tr>
      <w:tr w:rsidR="003D3897" w:rsidRPr="00C0713A" w14:paraId="54CEFAC9" w14:textId="77777777" w:rsidTr="001849A7">
        <w:trPr>
          <w:trHeight w:val="455"/>
        </w:trPr>
        <w:tc>
          <w:tcPr>
            <w:tcW w:w="5303" w:type="dxa"/>
            <w:tcMar>
              <w:top w:w="113" w:type="dxa"/>
              <w:left w:w="108" w:type="dxa"/>
              <w:bottom w:w="113" w:type="dxa"/>
              <w:right w:w="108" w:type="dxa"/>
            </w:tcMar>
          </w:tcPr>
          <w:p w14:paraId="785B6E6B" w14:textId="77777777" w:rsidR="003D3897" w:rsidRPr="003D3897" w:rsidRDefault="003D3897" w:rsidP="001849A7">
            <w:pPr>
              <w:jc w:val="both"/>
              <w:rPr>
                <w:rFonts w:ascii="Arial Narrow" w:hAnsi="Arial Narrow" w:cs="Arial"/>
                <w:color w:val="000000"/>
                <w:lang w:val="en-GB"/>
              </w:rPr>
            </w:pPr>
            <w:r w:rsidRPr="003D3897">
              <w:rPr>
                <w:rFonts w:ascii="Arial Narrow" w:hAnsi="Arial Narrow" w:cs="Arial"/>
                <w:color w:val="000000"/>
                <w:lang w:val="en-GB"/>
              </w:rPr>
              <w:t xml:space="preserve">Draft CDDH report on the effective processing and resolution of cases relating to inter-state disputes </w:t>
            </w:r>
          </w:p>
        </w:tc>
        <w:tc>
          <w:tcPr>
            <w:tcW w:w="4019" w:type="dxa"/>
            <w:tcMar>
              <w:top w:w="113" w:type="dxa"/>
              <w:left w:w="108" w:type="dxa"/>
              <w:bottom w:w="113" w:type="dxa"/>
              <w:right w:w="108" w:type="dxa"/>
            </w:tcMar>
          </w:tcPr>
          <w:p w14:paraId="66A7F781" w14:textId="77777777" w:rsidR="003D3897" w:rsidRPr="00F36332" w:rsidRDefault="00276E8F" w:rsidP="001849A7">
            <w:pPr>
              <w:ind w:left="720"/>
              <w:jc w:val="right"/>
              <w:rPr>
                <w:rFonts w:ascii="Arial Narrow" w:hAnsi="Arial Narrow" w:cs="Arial"/>
              </w:rPr>
            </w:pPr>
            <w:hyperlink r:id="rId16" w:history="1">
              <w:r w:rsidR="003D3897" w:rsidRPr="00455BB7">
                <w:rPr>
                  <w:rStyle w:val="Lienhypertexte"/>
                  <w:rFonts w:ascii="Arial Narrow" w:eastAsiaTheme="majorEastAsia" w:hAnsi="Arial Narrow" w:cs="Arial"/>
                </w:rPr>
                <w:t>DH-SYSC-IV(2020)04REV2</w:t>
              </w:r>
            </w:hyperlink>
          </w:p>
        </w:tc>
      </w:tr>
      <w:tr w:rsidR="003D3897" w:rsidRPr="00C0713A" w14:paraId="241FDA59" w14:textId="77777777" w:rsidTr="001849A7">
        <w:trPr>
          <w:trHeight w:val="625"/>
        </w:trPr>
        <w:tc>
          <w:tcPr>
            <w:tcW w:w="5303" w:type="dxa"/>
            <w:tcMar>
              <w:top w:w="113" w:type="dxa"/>
              <w:left w:w="108" w:type="dxa"/>
              <w:bottom w:w="113" w:type="dxa"/>
              <w:right w:w="108" w:type="dxa"/>
            </w:tcMar>
          </w:tcPr>
          <w:p w14:paraId="2377D294" w14:textId="77777777" w:rsidR="003D3897" w:rsidRPr="003D3897" w:rsidRDefault="003D3897" w:rsidP="001849A7">
            <w:pPr>
              <w:jc w:val="both"/>
              <w:rPr>
                <w:rFonts w:ascii="Arial Narrow" w:hAnsi="Arial Narrow" w:cs="Arial"/>
                <w:color w:val="000000"/>
                <w:lang w:val="en-GB"/>
              </w:rPr>
            </w:pPr>
            <w:r w:rsidRPr="003D3897">
              <w:rPr>
                <w:rFonts w:ascii="Arial Narrow" w:hAnsi="Arial Narrow" w:cs="Arial"/>
                <w:lang w:val="en-GB"/>
              </w:rPr>
              <w:t>Report of the 3</w:t>
            </w:r>
            <w:r w:rsidRPr="003D3897">
              <w:rPr>
                <w:rFonts w:ascii="Arial Narrow" w:hAnsi="Arial Narrow" w:cs="Arial"/>
                <w:vertAlign w:val="superscript"/>
                <w:lang w:val="en-GB"/>
              </w:rPr>
              <w:t>rd</w:t>
            </w:r>
            <w:r w:rsidRPr="003D3897">
              <w:rPr>
                <w:rFonts w:ascii="Arial Narrow" w:hAnsi="Arial Narrow" w:cs="Arial"/>
                <w:lang w:val="en-GB"/>
              </w:rPr>
              <w:t xml:space="preserve"> meeting of DH-SYSC-IV (14-16 April 2021)</w:t>
            </w:r>
          </w:p>
        </w:tc>
        <w:tc>
          <w:tcPr>
            <w:tcW w:w="4019" w:type="dxa"/>
            <w:tcMar>
              <w:top w:w="113" w:type="dxa"/>
              <w:left w:w="108" w:type="dxa"/>
              <w:bottom w:w="113" w:type="dxa"/>
              <w:right w:w="108" w:type="dxa"/>
            </w:tcMar>
          </w:tcPr>
          <w:p w14:paraId="46D63E46" w14:textId="77777777" w:rsidR="003D3897" w:rsidRPr="00F36332" w:rsidRDefault="00276E8F" w:rsidP="001849A7">
            <w:pPr>
              <w:ind w:left="720"/>
              <w:jc w:val="right"/>
              <w:rPr>
                <w:rFonts w:ascii="Arial Narrow" w:hAnsi="Arial Narrow" w:cs="Arial"/>
              </w:rPr>
            </w:pPr>
            <w:hyperlink r:id="rId17" w:history="1">
              <w:r w:rsidR="003D3897" w:rsidRPr="00F36332">
                <w:rPr>
                  <w:rStyle w:val="Lienhypertexte"/>
                  <w:rFonts w:ascii="Arial Narrow" w:hAnsi="Arial Narrow" w:cs="Arial"/>
                  <w:bCs/>
                  <w:kern w:val="36"/>
                </w:rPr>
                <w:t>DH-SYSC-IV(2020)R</w:t>
              </w:r>
            </w:hyperlink>
            <w:r w:rsidR="003D3897" w:rsidRPr="00F36332">
              <w:rPr>
                <w:rStyle w:val="Lienhypertexte"/>
                <w:rFonts w:ascii="Arial Narrow" w:hAnsi="Arial Narrow" w:cs="Arial"/>
                <w:bCs/>
                <w:kern w:val="36"/>
              </w:rPr>
              <w:t>3</w:t>
            </w:r>
          </w:p>
        </w:tc>
      </w:tr>
      <w:tr w:rsidR="003D3897" w:rsidRPr="00C0713A" w14:paraId="0AE93E31" w14:textId="77777777" w:rsidTr="001849A7">
        <w:trPr>
          <w:trHeight w:val="455"/>
        </w:trPr>
        <w:tc>
          <w:tcPr>
            <w:tcW w:w="5303" w:type="dxa"/>
            <w:tcMar>
              <w:top w:w="113" w:type="dxa"/>
              <w:left w:w="108" w:type="dxa"/>
              <w:bottom w:w="113" w:type="dxa"/>
              <w:right w:w="108" w:type="dxa"/>
            </w:tcMar>
          </w:tcPr>
          <w:p w14:paraId="750856C7" w14:textId="77777777" w:rsidR="003D3897" w:rsidRPr="003D3897" w:rsidRDefault="003D3897" w:rsidP="001849A7">
            <w:pPr>
              <w:jc w:val="both"/>
              <w:rPr>
                <w:rFonts w:ascii="Arial Narrow" w:hAnsi="Arial Narrow" w:cs="Arial"/>
                <w:lang w:val="en-GB"/>
              </w:rPr>
            </w:pPr>
            <w:r w:rsidRPr="003D3897">
              <w:rPr>
                <w:rFonts w:ascii="Arial Narrow" w:hAnsi="Arial Narrow" w:cs="Arial"/>
                <w:lang w:val="en-GB"/>
              </w:rPr>
              <w:t>Report of the 2</w:t>
            </w:r>
            <w:r w:rsidRPr="003D3897">
              <w:rPr>
                <w:rFonts w:ascii="Arial Narrow" w:hAnsi="Arial Narrow" w:cs="Arial"/>
                <w:vertAlign w:val="superscript"/>
                <w:lang w:val="en-GB"/>
              </w:rPr>
              <w:t>nd</w:t>
            </w:r>
            <w:r w:rsidRPr="003D3897">
              <w:rPr>
                <w:rFonts w:ascii="Arial Narrow" w:hAnsi="Arial Narrow" w:cs="Arial"/>
                <w:lang w:val="en-GB"/>
              </w:rPr>
              <w:t xml:space="preserve"> meeting of DH-SYSC-IV (9-11 September 2020)</w:t>
            </w:r>
          </w:p>
        </w:tc>
        <w:tc>
          <w:tcPr>
            <w:tcW w:w="4019" w:type="dxa"/>
            <w:tcMar>
              <w:top w:w="113" w:type="dxa"/>
              <w:left w:w="108" w:type="dxa"/>
              <w:bottom w:w="113" w:type="dxa"/>
              <w:right w:w="108" w:type="dxa"/>
            </w:tcMar>
          </w:tcPr>
          <w:p w14:paraId="5BF61750" w14:textId="77777777" w:rsidR="003D3897" w:rsidRPr="00F36332" w:rsidRDefault="00276E8F" w:rsidP="001849A7">
            <w:pPr>
              <w:ind w:left="720"/>
              <w:jc w:val="right"/>
              <w:rPr>
                <w:rFonts w:ascii="Arial Narrow" w:hAnsi="Arial Narrow"/>
              </w:rPr>
            </w:pPr>
            <w:hyperlink r:id="rId18" w:history="1">
              <w:r w:rsidR="003D3897" w:rsidRPr="00F36332">
                <w:rPr>
                  <w:rStyle w:val="Lienhypertexte"/>
                  <w:rFonts w:ascii="Arial Narrow" w:hAnsi="Arial Narrow" w:cs="Arial"/>
                  <w:bCs/>
                  <w:kern w:val="36"/>
                </w:rPr>
                <w:t>DH-SYSC-IV(2020)R2</w:t>
              </w:r>
            </w:hyperlink>
          </w:p>
        </w:tc>
      </w:tr>
      <w:tr w:rsidR="003D3897" w:rsidRPr="00C0713A" w14:paraId="4E000E5D" w14:textId="77777777" w:rsidTr="001849A7">
        <w:trPr>
          <w:trHeight w:val="455"/>
        </w:trPr>
        <w:tc>
          <w:tcPr>
            <w:tcW w:w="5303" w:type="dxa"/>
            <w:tcMar>
              <w:top w:w="113" w:type="dxa"/>
              <w:left w:w="108" w:type="dxa"/>
              <w:bottom w:w="113" w:type="dxa"/>
              <w:right w:w="108" w:type="dxa"/>
            </w:tcMar>
          </w:tcPr>
          <w:p w14:paraId="3103A762" w14:textId="77777777" w:rsidR="003D3897" w:rsidRPr="003D3897" w:rsidRDefault="003D3897" w:rsidP="001849A7">
            <w:pPr>
              <w:jc w:val="both"/>
              <w:rPr>
                <w:rFonts w:ascii="Arial Narrow" w:hAnsi="Arial Narrow" w:cs="Arial"/>
                <w:lang w:val="en-GB"/>
              </w:rPr>
            </w:pPr>
            <w:r w:rsidRPr="003D3897">
              <w:rPr>
                <w:rFonts w:ascii="Arial Narrow" w:hAnsi="Arial Narrow" w:cs="Arial"/>
                <w:lang w:val="en-GB"/>
              </w:rPr>
              <w:t>Report of the 1</w:t>
            </w:r>
            <w:r w:rsidRPr="003D3897">
              <w:rPr>
                <w:rFonts w:ascii="Arial Narrow" w:hAnsi="Arial Narrow" w:cs="Arial"/>
                <w:vertAlign w:val="superscript"/>
                <w:lang w:val="en-GB"/>
              </w:rPr>
              <w:t>st</w:t>
            </w:r>
            <w:r w:rsidRPr="003D3897">
              <w:rPr>
                <w:rFonts w:ascii="Arial Narrow" w:hAnsi="Arial Narrow" w:cs="Arial"/>
                <w:lang w:val="en-GB"/>
              </w:rPr>
              <w:t xml:space="preserve"> meeting of DH-SYSC-IV (19-21 February 2020)</w:t>
            </w:r>
          </w:p>
        </w:tc>
        <w:tc>
          <w:tcPr>
            <w:tcW w:w="4019" w:type="dxa"/>
            <w:tcMar>
              <w:top w:w="113" w:type="dxa"/>
              <w:left w:w="108" w:type="dxa"/>
              <w:bottom w:w="113" w:type="dxa"/>
              <w:right w:w="108" w:type="dxa"/>
            </w:tcMar>
          </w:tcPr>
          <w:p w14:paraId="74391C50" w14:textId="77777777" w:rsidR="003D3897" w:rsidRPr="00F36332" w:rsidRDefault="00276E8F" w:rsidP="001849A7">
            <w:pPr>
              <w:ind w:left="720"/>
              <w:jc w:val="right"/>
              <w:rPr>
                <w:rFonts w:ascii="Arial Narrow" w:hAnsi="Arial Narrow"/>
              </w:rPr>
            </w:pPr>
            <w:hyperlink r:id="rId19" w:history="1">
              <w:r w:rsidR="003D3897" w:rsidRPr="00BD19A1">
                <w:rPr>
                  <w:rStyle w:val="Lienhypertexte"/>
                  <w:rFonts w:ascii="Arial Narrow" w:hAnsi="Arial Narrow" w:cs="Arial"/>
                  <w:bCs/>
                  <w:kern w:val="36"/>
                </w:rPr>
                <w:t>DH-SYSC-IV(2020)R1</w:t>
              </w:r>
            </w:hyperlink>
          </w:p>
        </w:tc>
      </w:tr>
      <w:tr w:rsidR="003D3897" w:rsidRPr="00C0713A" w14:paraId="0F72B14A" w14:textId="77777777" w:rsidTr="001849A7">
        <w:trPr>
          <w:trHeight w:val="455"/>
        </w:trPr>
        <w:tc>
          <w:tcPr>
            <w:tcW w:w="5303" w:type="dxa"/>
            <w:tcMar>
              <w:top w:w="113" w:type="dxa"/>
              <w:left w:w="108" w:type="dxa"/>
              <w:bottom w:w="113" w:type="dxa"/>
              <w:right w:w="108" w:type="dxa"/>
            </w:tcMar>
          </w:tcPr>
          <w:p w14:paraId="7333F5CD" w14:textId="77777777" w:rsidR="003D3897" w:rsidRPr="003D3897" w:rsidRDefault="003D3897" w:rsidP="001849A7">
            <w:pPr>
              <w:jc w:val="both"/>
              <w:rPr>
                <w:rFonts w:ascii="Arial Narrow" w:hAnsi="Arial Narrow" w:cs="Arial"/>
                <w:lang w:val="en-GB"/>
              </w:rPr>
            </w:pPr>
            <w:r w:rsidRPr="003D3897">
              <w:rPr>
                <w:rFonts w:ascii="Arial Narrow" w:hAnsi="Arial Narrow" w:cs="Arial"/>
                <w:lang w:val="en-GB"/>
              </w:rPr>
              <w:t>Compilation of comments by member States on the Draft Activity Report 2020-2021 (document DH-SYSC-IV(2021)02)</w:t>
            </w:r>
          </w:p>
        </w:tc>
        <w:tc>
          <w:tcPr>
            <w:tcW w:w="4019" w:type="dxa"/>
            <w:tcMar>
              <w:top w:w="113" w:type="dxa"/>
              <w:left w:w="108" w:type="dxa"/>
              <w:bottom w:w="113" w:type="dxa"/>
              <w:right w:w="108" w:type="dxa"/>
            </w:tcMar>
          </w:tcPr>
          <w:p w14:paraId="2B69A885" w14:textId="77777777" w:rsidR="003D3897" w:rsidRPr="00F36332" w:rsidRDefault="003D3897" w:rsidP="001849A7">
            <w:pPr>
              <w:ind w:left="720"/>
              <w:jc w:val="right"/>
              <w:rPr>
                <w:rFonts w:ascii="Arial Narrow" w:hAnsi="Arial Narrow" w:cs="Arial"/>
                <w:bCs/>
                <w:kern w:val="36"/>
              </w:rPr>
            </w:pPr>
            <w:r>
              <w:rPr>
                <w:rFonts w:ascii="Arial Narrow" w:hAnsi="Arial Narrow" w:cs="Arial"/>
              </w:rPr>
              <w:t>DH-SYSC-IV(2021)03</w:t>
            </w:r>
          </w:p>
        </w:tc>
      </w:tr>
      <w:tr w:rsidR="003D3897" w:rsidRPr="00C0713A" w14:paraId="783178D7" w14:textId="77777777" w:rsidTr="001849A7">
        <w:trPr>
          <w:trHeight w:val="455"/>
        </w:trPr>
        <w:tc>
          <w:tcPr>
            <w:tcW w:w="5303" w:type="dxa"/>
            <w:tcMar>
              <w:top w:w="113" w:type="dxa"/>
              <w:left w:w="108" w:type="dxa"/>
              <w:bottom w:w="113" w:type="dxa"/>
              <w:right w:w="108" w:type="dxa"/>
            </w:tcMar>
          </w:tcPr>
          <w:p w14:paraId="3E08157C" w14:textId="77777777" w:rsidR="003D3897" w:rsidRPr="003D3897" w:rsidRDefault="003D3897" w:rsidP="001849A7">
            <w:pPr>
              <w:jc w:val="both"/>
              <w:rPr>
                <w:rFonts w:ascii="Arial Narrow" w:hAnsi="Arial Narrow" w:cs="Arial"/>
                <w:lang w:val="en-GB"/>
              </w:rPr>
            </w:pPr>
            <w:r w:rsidRPr="003D3897">
              <w:rPr>
                <w:rFonts w:ascii="Arial Narrow" w:hAnsi="Arial Narrow" w:cs="Arial"/>
                <w:lang w:val="en-GB"/>
              </w:rPr>
              <w:t>Compilation of comments by member States on the Draft CDDH report on the effective processing and resolution of cases relating to inter-State disputes (document DH-SYSC-IV(2020)04REV2)</w:t>
            </w:r>
          </w:p>
        </w:tc>
        <w:tc>
          <w:tcPr>
            <w:tcW w:w="4019" w:type="dxa"/>
            <w:tcMar>
              <w:top w:w="113" w:type="dxa"/>
              <w:left w:w="108" w:type="dxa"/>
              <w:bottom w:w="113" w:type="dxa"/>
              <w:right w:w="108" w:type="dxa"/>
            </w:tcMar>
          </w:tcPr>
          <w:p w14:paraId="572D1953" w14:textId="77777777" w:rsidR="003D3897" w:rsidRPr="00F36332" w:rsidRDefault="003D3897" w:rsidP="001849A7">
            <w:pPr>
              <w:ind w:left="720"/>
              <w:jc w:val="right"/>
              <w:rPr>
                <w:rFonts w:ascii="Arial Narrow" w:hAnsi="Arial Narrow" w:cs="Arial"/>
                <w:bCs/>
                <w:kern w:val="36"/>
              </w:rPr>
            </w:pPr>
            <w:r w:rsidRPr="00F36332">
              <w:rPr>
                <w:rFonts w:ascii="Arial Narrow" w:hAnsi="Arial Narrow" w:cs="Arial"/>
              </w:rPr>
              <w:t>DH-SYSC-IV(2021)01REV</w:t>
            </w:r>
            <w:r>
              <w:rPr>
                <w:rFonts w:ascii="Arial Narrow" w:hAnsi="Arial Narrow" w:cs="Arial"/>
              </w:rPr>
              <w:t>3</w:t>
            </w:r>
          </w:p>
        </w:tc>
      </w:tr>
      <w:tr w:rsidR="003D3897" w:rsidRPr="00C0713A" w14:paraId="668F7C62" w14:textId="77777777" w:rsidTr="001849A7">
        <w:trPr>
          <w:trHeight w:val="455"/>
        </w:trPr>
        <w:tc>
          <w:tcPr>
            <w:tcW w:w="5303" w:type="dxa"/>
            <w:tcMar>
              <w:top w:w="113" w:type="dxa"/>
              <w:left w:w="108" w:type="dxa"/>
              <w:bottom w:w="113" w:type="dxa"/>
              <w:right w:w="108" w:type="dxa"/>
            </w:tcMar>
          </w:tcPr>
          <w:p w14:paraId="1CF5BB55" w14:textId="77777777" w:rsidR="003D3897" w:rsidRPr="003D3897" w:rsidRDefault="003D3897" w:rsidP="001849A7">
            <w:pPr>
              <w:jc w:val="both"/>
              <w:rPr>
                <w:rFonts w:ascii="Arial Narrow" w:hAnsi="Arial Narrow" w:cs="Arial"/>
                <w:color w:val="000000"/>
                <w:lang w:val="en-GB"/>
              </w:rPr>
            </w:pPr>
            <w:r w:rsidRPr="003D3897">
              <w:rPr>
                <w:rFonts w:ascii="Arial Narrow" w:hAnsi="Arial Narrow" w:cs="Arial"/>
                <w:color w:val="000000"/>
                <w:lang w:val="en-GB"/>
              </w:rPr>
              <w:t xml:space="preserve">Compilation of comments received following the 2nd meeting of DH-SYS-IV (9-11 September 2020) on the Draft CDDH report on the effective processing and resolution of cases relating to inter-State disputes </w:t>
            </w:r>
            <w:r w:rsidRPr="003D3897">
              <w:rPr>
                <w:rFonts w:ascii="Arial Narrow" w:hAnsi="Arial Narrow" w:cs="Arial"/>
                <w:lang w:val="en-GB"/>
              </w:rPr>
              <w:t>(document DH-SYSC-IV(2020)04REV)</w:t>
            </w:r>
          </w:p>
        </w:tc>
        <w:tc>
          <w:tcPr>
            <w:tcW w:w="4019" w:type="dxa"/>
            <w:tcMar>
              <w:top w:w="113" w:type="dxa"/>
              <w:left w:w="108" w:type="dxa"/>
              <w:bottom w:w="113" w:type="dxa"/>
              <w:right w:w="108" w:type="dxa"/>
            </w:tcMar>
          </w:tcPr>
          <w:p w14:paraId="1A205CA9" w14:textId="77777777" w:rsidR="003D3897" w:rsidRPr="00F36332" w:rsidRDefault="00276E8F" w:rsidP="001849A7">
            <w:pPr>
              <w:ind w:left="720"/>
              <w:jc w:val="right"/>
              <w:rPr>
                <w:rFonts w:ascii="Arial Narrow" w:hAnsi="Arial Narrow" w:cs="Arial"/>
              </w:rPr>
            </w:pPr>
            <w:hyperlink r:id="rId20" w:history="1">
              <w:r w:rsidR="003D3897" w:rsidRPr="00F36332">
                <w:rPr>
                  <w:rStyle w:val="Lienhypertexte"/>
                  <w:rFonts w:ascii="Arial Narrow" w:eastAsiaTheme="majorEastAsia" w:hAnsi="Arial Narrow" w:cs="Arial"/>
                </w:rPr>
                <w:t>DH-SYSC-IV(2020)06REV</w:t>
              </w:r>
            </w:hyperlink>
          </w:p>
        </w:tc>
      </w:tr>
      <w:tr w:rsidR="003D3897" w:rsidRPr="00C0713A" w14:paraId="2D617BB5" w14:textId="77777777" w:rsidTr="001849A7">
        <w:trPr>
          <w:trHeight w:val="455"/>
        </w:trPr>
        <w:tc>
          <w:tcPr>
            <w:tcW w:w="5303" w:type="dxa"/>
            <w:tcMar>
              <w:top w:w="113" w:type="dxa"/>
              <w:left w:w="108" w:type="dxa"/>
              <w:bottom w:w="113" w:type="dxa"/>
              <w:right w:w="108" w:type="dxa"/>
            </w:tcMar>
          </w:tcPr>
          <w:p w14:paraId="29A3B643" w14:textId="77777777" w:rsidR="003D3897" w:rsidRPr="003D3897" w:rsidRDefault="003D3897" w:rsidP="001849A7">
            <w:pPr>
              <w:jc w:val="both"/>
              <w:rPr>
                <w:rFonts w:ascii="Arial Narrow" w:hAnsi="Arial Narrow" w:cs="Arial"/>
                <w:color w:val="000000"/>
                <w:lang w:val="en-GB"/>
              </w:rPr>
            </w:pPr>
            <w:r w:rsidRPr="003D3897">
              <w:rPr>
                <w:rFonts w:ascii="Arial Narrow" w:hAnsi="Arial Narrow" w:cs="Arial"/>
                <w:lang w:val="en-GB"/>
              </w:rPr>
              <w:t>Compilation of comments by member States on the Draft CDDH report on the effective processing and resolution of cases relating to inter-State disputes(document DH-SYSC-IV(2020)04)</w:t>
            </w:r>
          </w:p>
        </w:tc>
        <w:tc>
          <w:tcPr>
            <w:tcW w:w="4019" w:type="dxa"/>
            <w:tcMar>
              <w:top w:w="113" w:type="dxa"/>
              <w:left w:w="108" w:type="dxa"/>
              <w:bottom w:w="113" w:type="dxa"/>
              <w:right w:w="108" w:type="dxa"/>
            </w:tcMar>
          </w:tcPr>
          <w:p w14:paraId="0893E915" w14:textId="77777777" w:rsidR="003D3897" w:rsidRPr="00F36332" w:rsidRDefault="00276E8F" w:rsidP="001849A7">
            <w:pPr>
              <w:ind w:left="720"/>
              <w:jc w:val="right"/>
              <w:rPr>
                <w:rFonts w:ascii="Arial Narrow" w:hAnsi="Arial Narrow" w:cs="Arial"/>
              </w:rPr>
            </w:pPr>
            <w:hyperlink r:id="rId21" w:history="1">
              <w:r w:rsidR="003D3897" w:rsidRPr="00BD19A1">
                <w:rPr>
                  <w:rStyle w:val="Lienhypertexte"/>
                  <w:rFonts w:ascii="Arial Narrow" w:eastAsiaTheme="majorEastAsia" w:hAnsi="Arial Narrow" w:cs="Arial"/>
                </w:rPr>
                <w:t>DH-SYSC-IV(2020)05Rev</w:t>
              </w:r>
            </w:hyperlink>
          </w:p>
        </w:tc>
      </w:tr>
      <w:tr w:rsidR="003D3897" w:rsidRPr="00C0713A" w14:paraId="2E50C3A4" w14:textId="77777777" w:rsidTr="001849A7">
        <w:trPr>
          <w:trHeight w:val="455"/>
        </w:trPr>
        <w:tc>
          <w:tcPr>
            <w:tcW w:w="5303" w:type="dxa"/>
            <w:tcMar>
              <w:top w:w="113" w:type="dxa"/>
              <w:left w:w="108" w:type="dxa"/>
              <w:bottom w:w="113" w:type="dxa"/>
              <w:right w:w="108" w:type="dxa"/>
            </w:tcMar>
          </w:tcPr>
          <w:p w14:paraId="0FD3A79F" w14:textId="77777777" w:rsidR="003D3897" w:rsidRPr="003D3897" w:rsidRDefault="003D3897" w:rsidP="001849A7">
            <w:pPr>
              <w:jc w:val="both"/>
              <w:rPr>
                <w:rFonts w:ascii="Arial Narrow" w:hAnsi="Arial Narrow" w:cs="Arial"/>
                <w:color w:val="000000"/>
                <w:lang w:val="en-GB"/>
              </w:rPr>
            </w:pPr>
            <w:r w:rsidRPr="003D3897">
              <w:rPr>
                <w:rFonts w:ascii="Arial Narrow" w:hAnsi="Arial Narrow" w:cs="Arial"/>
                <w:color w:val="000000"/>
                <w:lang w:val="en-GB"/>
              </w:rPr>
              <w:t>Questions regarding the scope of the DH-SYSC-IV’s terms of reference</w:t>
            </w:r>
          </w:p>
        </w:tc>
        <w:tc>
          <w:tcPr>
            <w:tcW w:w="4019" w:type="dxa"/>
            <w:tcMar>
              <w:top w:w="113" w:type="dxa"/>
              <w:left w:w="108" w:type="dxa"/>
              <w:bottom w:w="113" w:type="dxa"/>
              <w:right w:w="108" w:type="dxa"/>
            </w:tcMar>
          </w:tcPr>
          <w:p w14:paraId="45D24292" w14:textId="77777777" w:rsidR="003D3897" w:rsidRPr="00F36332" w:rsidRDefault="00276E8F" w:rsidP="001849A7">
            <w:pPr>
              <w:ind w:left="720"/>
              <w:jc w:val="right"/>
              <w:rPr>
                <w:rFonts w:ascii="Arial Narrow" w:hAnsi="Arial Narrow" w:cs="Arial"/>
              </w:rPr>
            </w:pPr>
            <w:hyperlink r:id="rId22" w:history="1">
              <w:r w:rsidR="003D3897" w:rsidRPr="00F36332">
                <w:rPr>
                  <w:rStyle w:val="Lienhypertexte"/>
                  <w:rFonts w:ascii="Arial Narrow" w:eastAsiaTheme="majorEastAsia" w:hAnsi="Arial Narrow" w:cs="Arial"/>
                </w:rPr>
                <w:t>DH-SYSC-IV(2020)07Rev</w:t>
              </w:r>
            </w:hyperlink>
          </w:p>
        </w:tc>
      </w:tr>
      <w:tr w:rsidR="003D3897" w:rsidRPr="006E03F8" w14:paraId="763D4416" w14:textId="77777777" w:rsidTr="001849A7">
        <w:tc>
          <w:tcPr>
            <w:tcW w:w="5303" w:type="dxa"/>
            <w:tcMar>
              <w:top w:w="113" w:type="dxa"/>
              <w:left w:w="108" w:type="dxa"/>
              <w:bottom w:w="113" w:type="dxa"/>
              <w:right w:w="108" w:type="dxa"/>
            </w:tcMar>
          </w:tcPr>
          <w:p w14:paraId="6B6E33EE" w14:textId="77777777" w:rsidR="003D3897" w:rsidRPr="003D3897" w:rsidRDefault="003D3897" w:rsidP="001849A7">
            <w:pPr>
              <w:jc w:val="both"/>
              <w:rPr>
                <w:rFonts w:ascii="Arial Narrow" w:hAnsi="Arial Narrow" w:cs="Arial"/>
                <w:color w:val="000000"/>
                <w:lang w:val="en-GB"/>
              </w:rPr>
            </w:pPr>
            <w:r w:rsidRPr="003D3897">
              <w:rPr>
                <w:rFonts w:ascii="Arial Narrow" w:hAnsi="Arial Narrow" w:cs="Arial"/>
                <w:lang w:val="en-GB"/>
              </w:rPr>
              <w:lastRenderedPageBreak/>
              <w:t xml:space="preserve">Report by the Plenary Court on “Proposals for a more efficient processing of inter-State cases” submitted to the CDDH </w:t>
            </w:r>
          </w:p>
        </w:tc>
        <w:tc>
          <w:tcPr>
            <w:tcW w:w="4019" w:type="dxa"/>
            <w:tcMar>
              <w:top w:w="113" w:type="dxa"/>
              <w:left w:w="108" w:type="dxa"/>
              <w:bottom w:w="113" w:type="dxa"/>
              <w:right w:w="108" w:type="dxa"/>
            </w:tcMar>
          </w:tcPr>
          <w:p w14:paraId="7DCB2AFE" w14:textId="77777777" w:rsidR="003D3897" w:rsidRPr="00F36332" w:rsidRDefault="00276E8F" w:rsidP="001849A7">
            <w:pPr>
              <w:ind w:left="720"/>
              <w:jc w:val="right"/>
              <w:rPr>
                <w:rStyle w:val="Lienhypertexte"/>
                <w:rFonts w:ascii="Arial Narrow" w:eastAsiaTheme="majorEastAsia" w:hAnsi="Arial Narrow" w:cs="Arial"/>
                <w:color w:val="000000"/>
              </w:rPr>
            </w:pPr>
            <w:hyperlink r:id="rId23" w:history="1">
              <w:r w:rsidR="003D3897" w:rsidRPr="00F36332">
                <w:rPr>
                  <w:rStyle w:val="Lienhypertexte"/>
                  <w:rFonts w:ascii="Arial Narrow" w:eastAsiaTheme="majorEastAsia" w:hAnsi="Arial Narrow" w:cs="Arial"/>
                </w:rPr>
                <w:t>CDDH(2019)22</w:t>
              </w:r>
            </w:hyperlink>
          </w:p>
        </w:tc>
      </w:tr>
      <w:tr w:rsidR="003D3897" w14:paraId="356A4AD0" w14:textId="77777777" w:rsidTr="001849A7">
        <w:tc>
          <w:tcPr>
            <w:tcW w:w="5303" w:type="dxa"/>
            <w:tcMar>
              <w:top w:w="113" w:type="dxa"/>
              <w:left w:w="108" w:type="dxa"/>
              <w:bottom w:w="113" w:type="dxa"/>
              <w:right w:w="108" w:type="dxa"/>
            </w:tcMar>
          </w:tcPr>
          <w:p w14:paraId="2769FCE6" w14:textId="77777777" w:rsidR="003D3897" w:rsidRPr="003D3897" w:rsidRDefault="003D3897" w:rsidP="001849A7">
            <w:pPr>
              <w:jc w:val="both"/>
              <w:rPr>
                <w:rFonts w:ascii="Arial Narrow" w:hAnsi="Arial Narrow" w:cs="Arial"/>
                <w:color w:val="000000"/>
                <w:lang w:val="en-GB"/>
              </w:rPr>
            </w:pPr>
            <w:r w:rsidRPr="003D3897">
              <w:rPr>
                <w:rFonts w:ascii="Arial Narrow" w:hAnsi="Arial Narrow" w:cs="Arial"/>
                <w:lang w:val="en-GB"/>
              </w:rPr>
              <w:t>Overview of inter-State cases before the European Court of Human Rights</w:t>
            </w:r>
          </w:p>
        </w:tc>
        <w:tc>
          <w:tcPr>
            <w:tcW w:w="4019" w:type="dxa"/>
            <w:tcMar>
              <w:top w:w="113" w:type="dxa"/>
              <w:left w:w="108" w:type="dxa"/>
              <w:bottom w:w="113" w:type="dxa"/>
              <w:right w:w="108" w:type="dxa"/>
            </w:tcMar>
          </w:tcPr>
          <w:p w14:paraId="2817D59A" w14:textId="77777777" w:rsidR="003D3897" w:rsidRPr="00F36332" w:rsidRDefault="00276E8F" w:rsidP="001849A7">
            <w:pPr>
              <w:ind w:left="720"/>
              <w:jc w:val="right"/>
              <w:rPr>
                <w:rFonts w:ascii="Arial Narrow" w:hAnsi="Arial Narrow" w:cs="Arial"/>
                <w:color w:val="000000"/>
                <w:u w:val="single"/>
              </w:rPr>
            </w:pPr>
            <w:hyperlink r:id="rId24" w:history="1">
              <w:proofErr w:type="spellStart"/>
              <w:r w:rsidR="003D3897" w:rsidRPr="00F36332">
                <w:rPr>
                  <w:rStyle w:val="Lienhypertexte"/>
                  <w:rFonts w:ascii="Arial Narrow" w:eastAsiaTheme="majorEastAsia" w:hAnsi="Arial Narrow" w:cs="Arial"/>
                </w:rPr>
                <w:t>Non-paper</w:t>
              </w:r>
              <w:proofErr w:type="spellEnd"/>
            </w:hyperlink>
          </w:p>
        </w:tc>
      </w:tr>
      <w:tr w:rsidR="003D3897" w14:paraId="1BAC32C8" w14:textId="77777777" w:rsidTr="001849A7">
        <w:tc>
          <w:tcPr>
            <w:tcW w:w="5303" w:type="dxa"/>
            <w:tcMar>
              <w:top w:w="113" w:type="dxa"/>
              <w:left w:w="108" w:type="dxa"/>
              <w:bottom w:w="113" w:type="dxa"/>
              <w:right w:w="108" w:type="dxa"/>
            </w:tcMar>
          </w:tcPr>
          <w:p w14:paraId="49C4ED8C" w14:textId="77777777" w:rsidR="003D3897" w:rsidRPr="003D3897" w:rsidRDefault="003D3897" w:rsidP="001849A7">
            <w:pPr>
              <w:jc w:val="both"/>
              <w:rPr>
                <w:rFonts w:ascii="Arial Narrow" w:hAnsi="Arial Narrow" w:cs="Arial"/>
                <w:color w:val="000000"/>
                <w:lang w:val="en-GB"/>
              </w:rPr>
            </w:pPr>
            <w:r w:rsidRPr="003D3897">
              <w:rPr>
                <w:rFonts w:ascii="Arial Narrow" w:hAnsi="Arial Narrow" w:cs="Arial"/>
                <w:color w:val="000000"/>
                <w:lang w:val="en-GB"/>
              </w:rPr>
              <w:t>CDDH Report on the place of the European Convention on Human Rights in the European and international legal order</w:t>
            </w:r>
          </w:p>
        </w:tc>
        <w:tc>
          <w:tcPr>
            <w:tcW w:w="4019" w:type="dxa"/>
            <w:tcMar>
              <w:top w:w="113" w:type="dxa"/>
              <w:left w:w="108" w:type="dxa"/>
              <w:bottom w:w="113" w:type="dxa"/>
              <w:right w:w="108" w:type="dxa"/>
            </w:tcMar>
          </w:tcPr>
          <w:p w14:paraId="22D9E17D" w14:textId="77777777" w:rsidR="003D3897" w:rsidRPr="00F36332" w:rsidRDefault="00276E8F" w:rsidP="001849A7">
            <w:pPr>
              <w:ind w:left="720"/>
              <w:jc w:val="right"/>
              <w:rPr>
                <w:rFonts w:ascii="Arial Narrow" w:hAnsi="Arial Narrow" w:cs="Arial"/>
                <w:color w:val="000000"/>
                <w:u w:val="single"/>
              </w:rPr>
            </w:pPr>
            <w:hyperlink r:id="rId25" w:history="1">
              <w:r w:rsidR="003D3897" w:rsidRPr="00F36332">
                <w:rPr>
                  <w:rStyle w:val="Lienhypertexte"/>
                  <w:rFonts w:ascii="Arial Narrow" w:eastAsiaTheme="majorEastAsia" w:hAnsi="Arial Narrow" w:cs="Arial"/>
                </w:rPr>
                <w:t>CDDH(2019)R92Addendum1</w:t>
              </w:r>
            </w:hyperlink>
          </w:p>
        </w:tc>
      </w:tr>
    </w:tbl>
    <w:p w14:paraId="1D38F4DF" w14:textId="3C75A034" w:rsidR="00DC51E6" w:rsidRPr="00120775" w:rsidRDefault="00DC51E6" w:rsidP="00120775">
      <w:pPr>
        <w:spacing w:after="200" w:line="276" w:lineRule="auto"/>
        <w:rPr>
          <w:rFonts w:ascii="Arial" w:hAnsi="Arial" w:cs="Arial"/>
          <w:b/>
          <w:sz w:val="22"/>
          <w:szCs w:val="22"/>
          <w:lang w:val="en-GB" w:eastAsia="en-GB"/>
        </w:rPr>
      </w:pPr>
    </w:p>
    <w:p w14:paraId="472FB46F" w14:textId="77777777" w:rsidR="003C6F63" w:rsidRDefault="003C6F63">
      <w:pPr>
        <w:spacing w:after="200" w:line="276" w:lineRule="auto"/>
        <w:rPr>
          <w:rFonts w:ascii="Arial" w:hAnsi="Arial" w:cs="Arial"/>
          <w:sz w:val="22"/>
          <w:szCs w:val="22"/>
          <w:u w:val="single"/>
          <w:lang w:val="en-US" w:eastAsia="en-GB"/>
        </w:rPr>
      </w:pPr>
      <w:r>
        <w:rPr>
          <w:rFonts w:ascii="Arial" w:hAnsi="Arial" w:cs="Arial"/>
          <w:sz w:val="22"/>
          <w:szCs w:val="22"/>
          <w:u w:val="single"/>
          <w:lang w:val="en-US" w:eastAsia="en-GB"/>
        </w:rPr>
        <w:br w:type="page"/>
      </w:r>
    </w:p>
    <w:p w14:paraId="3936B719" w14:textId="143EC59C" w:rsidR="00DC51E6" w:rsidRPr="002F3485" w:rsidRDefault="00DC51E6" w:rsidP="00DC51E6">
      <w:pPr>
        <w:jc w:val="center"/>
        <w:rPr>
          <w:rFonts w:ascii="Arial" w:hAnsi="Arial" w:cs="Arial"/>
          <w:sz w:val="22"/>
          <w:szCs w:val="22"/>
          <w:u w:val="single"/>
          <w:lang w:val="en-US" w:eastAsia="en-GB"/>
        </w:rPr>
      </w:pPr>
      <w:r w:rsidRPr="002F3485">
        <w:rPr>
          <w:rFonts w:ascii="Arial" w:hAnsi="Arial" w:cs="Arial"/>
          <w:sz w:val="22"/>
          <w:szCs w:val="22"/>
          <w:u w:val="single"/>
          <w:lang w:val="en-US" w:eastAsia="en-GB"/>
        </w:rPr>
        <w:lastRenderedPageBreak/>
        <w:t>Appendix III</w:t>
      </w:r>
    </w:p>
    <w:p w14:paraId="031B13DA" w14:textId="77777777" w:rsidR="00DC51E6" w:rsidRPr="002F3485" w:rsidRDefault="00DC51E6" w:rsidP="00DC51E6">
      <w:pPr>
        <w:tabs>
          <w:tab w:val="left" w:pos="0"/>
        </w:tabs>
        <w:autoSpaceDE w:val="0"/>
        <w:autoSpaceDN w:val="0"/>
        <w:adjustRightInd w:val="0"/>
        <w:jc w:val="center"/>
        <w:rPr>
          <w:rFonts w:ascii="Arial" w:hAnsi="Arial" w:cs="Arial"/>
          <w:b/>
          <w:sz w:val="22"/>
          <w:szCs w:val="22"/>
          <w:lang w:val="en-GB" w:eastAsia="en-GB"/>
        </w:rPr>
      </w:pPr>
    </w:p>
    <w:p w14:paraId="40D53689" w14:textId="3A9D29B5" w:rsidR="00DC51E6" w:rsidRDefault="00DC51E6" w:rsidP="00DC51E6">
      <w:pPr>
        <w:jc w:val="center"/>
        <w:rPr>
          <w:rFonts w:ascii="Arial" w:hAnsi="Arial" w:cs="Arial"/>
          <w:b/>
          <w:bCs/>
          <w:sz w:val="22"/>
          <w:szCs w:val="22"/>
          <w:lang w:val="en-GB"/>
        </w:rPr>
      </w:pPr>
      <w:r w:rsidRPr="002F3485">
        <w:rPr>
          <w:rFonts w:ascii="Arial" w:hAnsi="Arial" w:cs="Arial"/>
          <w:b/>
          <w:bCs/>
          <w:sz w:val="22"/>
          <w:szCs w:val="22"/>
          <w:lang w:val="en-GB"/>
        </w:rPr>
        <w:t>Order of business</w:t>
      </w:r>
    </w:p>
    <w:p w14:paraId="3A55D108" w14:textId="0940F64D" w:rsidR="003C6F63" w:rsidRDefault="003C6F63" w:rsidP="00DC51E6">
      <w:pPr>
        <w:jc w:val="center"/>
        <w:rPr>
          <w:rFonts w:ascii="Arial" w:hAnsi="Arial" w:cs="Arial"/>
          <w:b/>
          <w:bCs/>
          <w:sz w:val="22"/>
          <w:szCs w:val="22"/>
          <w:lang w:val="en-GB"/>
        </w:rPr>
      </w:pPr>
    </w:p>
    <w:p w14:paraId="52149FDE" w14:textId="3E0EA8CF" w:rsidR="003C6F63" w:rsidRDefault="003C6F63" w:rsidP="003C6F63">
      <w:pPr>
        <w:jc w:val="both"/>
        <w:rPr>
          <w:rFonts w:ascii="Arial" w:hAnsi="Arial" w:cs="Arial"/>
          <w:b/>
          <w:bCs/>
          <w:sz w:val="22"/>
          <w:szCs w:val="22"/>
          <w:u w:val="single"/>
          <w:lang w:val="en-US"/>
        </w:rPr>
      </w:pPr>
      <w:r w:rsidRPr="003C6F63">
        <w:rPr>
          <w:rFonts w:ascii="Arial" w:hAnsi="Arial" w:cs="Arial"/>
          <w:b/>
          <w:bCs/>
          <w:sz w:val="22"/>
          <w:szCs w:val="22"/>
          <w:u w:val="single"/>
          <w:lang w:val="en-US"/>
        </w:rPr>
        <w:t>Wednesday 22 September 2021</w:t>
      </w:r>
    </w:p>
    <w:p w14:paraId="536EE816" w14:textId="77777777" w:rsidR="003C6F63" w:rsidRPr="003C6F63" w:rsidRDefault="003C6F63" w:rsidP="003C6F63">
      <w:pPr>
        <w:jc w:val="both"/>
        <w:rPr>
          <w:rFonts w:ascii="Arial" w:hAnsi="Arial" w:cs="Arial"/>
          <w:b/>
          <w:bCs/>
          <w:sz w:val="22"/>
          <w:szCs w:val="22"/>
          <w:u w:val="single"/>
          <w:lang w:val="en-US"/>
        </w:rPr>
      </w:pPr>
    </w:p>
    <w:p w14:paraId="7C45EB00" w14:textId="77777777" w:rsidR="003C6F63" w:rsidRPr="003C6F63" w:rsidRDefault="003C6F63" w:rsidP="003C6F63">
      <w:pPr>
        <w:ind w:left="2126" w:hanging="2126"/>
        <w:jc w:val="both"/>
        <w:rPr>
          <w:rFonts w:ascii="Arial" w:hAnsi="Arial" w:cs="Arial"/>
          <w:b/>
          <w:bCs/>
          <w:sz w:val="22"/>
          <w:szCs w:val="22"/>
          <w:lang w:val="en-US"/>
        </w:rPr>
      </w:pPr>
      <w:r w:rsidRPr="003C6F63">
        <w:rPr>
          <w:rFonts w:ascii="Arial" w:hAnsi="Arial" w:cs="Arial"/>
          <w:bCs/>
          <w:sz w:val="22"/>
          <w:szCs w:val="22"/>
          <w:lang w:val="en-US"/>
        </w:rPr>
        <w:t xml:space="preserve">10:00 – 10:30 </w:t>
      </w:r>
      <w:r w:rsidRPr="003C6F63">
        <w:rPr>
          <w:rFonts w:ascii="Arial" w:hAnsi="Arial" w:cs="Arial"/>
          <w:bCs/>
          <w:sz w:val="22"/>
          <w:szCs w:val="22"/>
          <w:lang w:val="en-US"/>
        </w:rPr>
        <w:tab/>
      </w:r>
      <w:r w:rsidRPr="003C6F63">
        <w:rPr>
          <w:rFonts w:ascii="Arial" w:hAnsi="Arial" w:cs="Arial"/>
          <w:b/>
          <w:bCs/>
          <w:sz w:val="22"/>
          <w:szCs w:val="22"/>
          <w:lang w:val="en-US"/>
        </w:rPr>
        <w:t>Items 1 and 2:</w:t>
      </w:r>
      <w:r w:rsidRPr="003C6F63">
        <w:rPr>
          <w:rFonts w:ascii="Arial" w:hAnsi="Arial" w:cs="Arial"/>
          <w:b/>
          <w:bCs/>
          <w:sz w:val="22"/>
          <w:szCs w:val="22"/>
          <w:lang w:val="en-US"/>
        </w:rPr>
        <w:tab/>
        <w:t xml:space="preserve"> Opening of the meeting, adoption of the agenda and of the order of business</w:t>
      </w:r>
    </w:p>
    <w:p w14:paraId="215559A9" w14:textId="77777777" w:rsidR="003C6F63" w:rsidRPr="003C6F63" w:rsidRDefault="003C6F63" w:rsidP="003C6F63">
      <w:pPr>
        <w:ind w:left="2138" w:hanging="1418"/>
        <w:jc w:val="both"/>
        <w:rPr>
          <w:rFonts w:ascii="Arial" w:hAnsi="Arial" w:cs="Arial"/>
          <w:bCs/>
          <w:sz w:val="22"/>
          <w:szCs w:val="22"/>
          <w:lang w:val="en-US"/>
        </w:rPr>
      </w:pPr>
    </w:p>
    <w:p w14:paraId="625D6935" w14:textId="77777777" w:rsidR="003C6F63" w:rsidRPr="003C6F63" w:rsidRDefault="003C6F63" w:rsidP="003C6F63">
      <w:pPr>
        <w:spacing w:before="60" w:after="60"/>
        <w:rPr>
          <w:rFonts w:ascii="Arial" w:hAnsi="Arial" w:cs="Arial"/>
          <w:b/>
          <w:sz w:val="22"/>
          <w:szCs w:val="22"/>
          <w:lang w:val="en-US"/>
        </w:rPr>
      </w:pPr>
      <w:r w:rsidRPr="003C6F63">
        <w:rPr>
          <w:rFonts w:ascii="Arial" w:hAnsi="Arial" w:cs="Arial"/>
          <w:bCs/>
          <w:sz w:val="22"/>
          <w:szCs w:val="22"/>
          <w:lang w:val="en-US"/>
        </w:rPr>
        <w:t>10:30 – 12:30</w:t>
      </w:r>
      <w:r w:rsidRPr="003C6F63">
        <w:rPr>
          <w:rFonts w:ascii="Arial" w:hAnsi="Arial" w:cs="Arial"/>
          <w:bCs/>
          <w:sz w:val="22"/>
          <w:szCs w:val="22"/>
          <w:lang w:val="en-US"/>
        </w:rPr>
        <w:tab/>
      </w:r>
      <w:r w:rsidRPr="003C6F63">
        <w:rPr>
          <w:bCs/>
          <w:sz w:val="22"/>
          <w:szCs w:val="22"/>
          <w:lang w:val="en-US"/>
        </w:rPr>
        <w:tab/>
      </w:r>
      <w:r w:rsidRPr="003C6F63">
        <w:rPr>
          <w:rFonts w:ascii="Arial" w:hAnsi="Arial" w:cs="Arial"/>
          <w:b/>
          <w:sz w:val="22"/>
          <w:szCs w:val="22"/>
          <w:lang w:val="en-US"/>
        </w:rPr>
        <w:t>Item 3</w:t>
      </w:r>
      <w:r w:rsidRPr="003C6F63">
        <w:rPr>
          <w:bCs/>
          <w:sz w:val="22"/>
          <w:szCs w:val="22"/>
          <w:lang w:val="en-US"/>
        </w:rPr>
        <w:t xml:space="preserve">: </w:t>
      </w:r>
      <w:r w:rsidRPr="003C6F63">
        <w:rPr>
          <w:rFonts w:ascii="Arial" w:hAnsi="Arial" w:cs="Arial"/>
          <w:b/>
          <w:sz w:val="22"/>
          <w:szCs w:val="22"/>
          <w:lang w:val="en-US"/>
        </w:rPr>
        <w:t>Draft Activity Report 2020-2021</w:t>
      </w:r>
    </w:p>
    <w:p w14:paraId="3499F4AA" w14:textId="77777777" w:rsidR="003C6F63" w:rsidRPr="003C6F63" w:rsidRDefault="003C6F63" w:rsidP="003C6F63">
      <w:pPr>
        <w:autoSpaceDE w:val="0"/>
        <w:autoSpaceDN w:val="0"/>
        <w:adjustRightInd w:val="0"/>
        <w:ind w:left="2126" w:right="6"/>
        <w:rPr>
          <w:rFonts w:ascii="Arial" w:hAnsi="Arial" w:cs="Arial"/>
          <w:color w:val="000000"/>
          <w:sz w:val="22"/>
          <w:szCs w:val="22"/>
          <w:lang w:val="en-US"/>
        </w:rPr>
      </w:pPr>
      <w:r w:rsidRPr="003C6F63">
        <w:rPr>
          <w:rFonts w:ascii="Arial" w:hAnsi="Arial" w:cs="Arial"/>
          <w:color w:val="000000"/>
          <w:sz w:val="22"/>
          <w:szCs w:val="22"/>
          <w:lang w:val="en-US"/>
        </w:rPr>
        <w:t>Discussion of amendment proposals and comments regarding Chapter I-III– document DH-SYSC-IV(2021)02.</w:t>
      </w:r>
    </w:p>
    <w:p w14:paraId="114BF281" w14:textId="77777777" w:rsidR="003C6F63" w:rsidRPr="003C6F63" w:rsidRDefault="003C6F63" w:rsidP="003C6F63">
      <w:pPr>
        <w:pStyle w:val="Paragraphedeliste"/>
        <w:tabs>
          <w:tab w:val="left" w:pos="2694"/>
        </w:tabs>
        <w:spacing w:after="0" w:line="240" w:lineRule="auto"/>
        <w:ind w:left="2694"/>
        <w:jc w:val="both"/>
        <w:rPr>
          <w:rFonts w:ascii="Arial" w:hAnsi="Arial" w:cs="Arial"/>
          <w:bCs/>
          <w:sz w:val="20"/>
          <w:szCs w:val="20"/>
          <w:lang w:val="en-US"/>
        </w:rPr>
      </w:pPr>
    </w:p>
    <w:p w14:paraId="29A3030D" w14:textId="77777777" w:rsidR="003C6F63" w:rsidRPr="003C6F63" w:rsidRDefault="003C6F63" w:rsidP="003C6F63">
      <w:pPr>
        <w:tabs>
          <w:tab w:val="left" w:pos="2127"/>
        </w:tabs>
        <w:jc w:val="both"/>
        <w:rPr>
          <w:rFonts w:ascii="Arial" w:hAnsi="Arial" w:cs="Arial"/>
          <w:bCs/>
          <w:sz w:val="22"/>
          <w:szCs w:val="22"/>
          <w:lang w:val="en-US"/>
        </w:rPr>
      </w:pPr>
      <w:r w:rsidRPr="003C6F63">
        <w:rPr>
          <w:rFonts w:ascii="Arial" w:hAnsi="Arial" w:cs="Arial"/>
          <w:bCs/>
          <w:sz w:val="22"/>
          <w:szCs w:val="22"/>
          <w:lang w:val="en-US"/>
        </w:rPr>
        <w:t>12:30 – 14:00</w:t>
      </w:r>
      <w:r w:rsidRPr="003C6F63">
        <w:rPr>
          <w:rFonts w:ascii="Arial" w:hAnsi="Arial" w:cs="Arial"/>
          <w:bCs/>
          <w:sz w:val="22"/>
          <w:szCs w:val="22"/>
          <w:lang w:val="en-US"/>
        </w:rPr>
        <w:tab/>
      </w:r>
      <w:r w:rsidRPr="003C6F63">
        <w:rPr>
          <w:rFonts w:ascii="Arial" w:hAnsi="Arial" w:cs="Arial"/>
          <w:bCs/>
          <w:i/>
          <w:sz w:val="22"/>
          <w:szCs w:val="22"/>
          <w:lang w:val="en-US"/>
        </w:rPr>
        <w:t>Lunch break</w:t>
      </w:r>
    </w:p>
    <w:p w14:paraId="6DB8C86F" w14:textId="77777777" w:rsidR="003C6F63" w:rsidRPr="003C6F63" w:rsidRDefault="003C6F63" w:rsidP="003C6F63">
      <w:pPr>
        <w:ind w:left="1418" w:hanging="1418"/>
        <w:jc w:val="both"/>
        <w:rPr>
          <w:rFonts w:ascii="Arial" w:hAnsi="Arial" w:cs="Arial"/>
          <w:b/>
          <w:bCs/>
          <w:sz w:val="22"/>
          <w:szCs w:val="22"/>
          <w:u w:val="single"/>
          <w:lang w:val="en-US"/>
        </w:rPr>
      </w:pPr>
    </w:p>
    <w:p w14:paraId="64EE4BCC" w14:textId="77777777" w:rsidR="003C6F63" w:rsidRPr="003C6F63" w:rsidRDefault="003C6F63" w:rsidP="003C6F63">
      <w:pPr>
        <w:tabs>
          <w:tab w:val="left" w:pos="2694"/>
        </w:tabs>
        <w:jc w:val="both"/>
        <w:rPr>
          <w:rFonts w:ascii="Arial" w:hAnsi="Arial" w:cs="Arial"/>
          <w:bCs/>
          <w:sz w:val="22"/>
          <w:szCs w:val="22"/>
          <w:lang w:val="en-US"/>
        </w:rPr>
      </w:pPr>
      <w:r w:rsidRPr="003C6F63">
        <w:rPr>
          <w:rFonts w:ascii="Arial" w:hAnsi="Arial" w:cs="Arial"/>
          <w:sz w:val="22"/>
          <w:szCs w:val="22"/>
          <w:lang w:val="en-US"/>
        </w:rPr>
        <w:t xml:space="preserve">14:00 </w:t>
      </w:r>
      <w:r w:rsidRPr="003C6F63">
        <w:rPr>
          <w:rFonts w:ascii="Arial" w:hAnsi="Arial" w:cs="Arial"/>
          <w:bCs/>
          <w:sz w:val="22"/>
          <w:szCs w:val="22"/>
          <w:lang w:val="en-US"/>
        </w:rPr>
        <w:t xml:space="preserve">– </w:t>
      </w:r>
      <w:r w:rsidRPr="003C6F63">
        <w:rPr>
          <w:rFonts w:ascii="Arial" w:hAnsi="Arial" w:cs="Arial"/>
          <w:sz w:val="22"/>
          <w:szCs w:val="22"/>
          <w:lang w:val="en-US"/>
        </w:rPr>
        <w:t>16:30</w:t>
      </w:r>
      <w:r w:rsidRPr="003C6F63">
        <w:rPr>
          <w:rFonts w:ascii="Arial" w:hAnsi="Arial" w:cs="Arial"/>
          <w:bCs/>
          <w:sz w:val="22"/>
          <w:szCs w:val="22"/>
          <w:lang w:val="en-US"/>
        </w:rPr>
        <w:t xml:space="preserve">             </w:t>
      </w:r>
      <w:r w:rsidRPr="003C6F63">
        <w:rPr>
          <w:rFonts w:ascii="Arial" w:hAnsi="Arial" w:cs="Arial"/>
          <w:b/>
          <w:bCs/>
          <w:sz w:val="22"/>
          <w:szCs w:val="22"/>
          <w:lang w:val="en-US"/>
        </w:rPr>
        <w:t>Item 3:</w:t>
      </w:r>
      <w:r w:rsidRPr="003C6F63">
        <w:rPr>
          <w:rFonts w:ascii="Arial" w:hAnsi="Arial" w:cs="Arial"/>
          <w:b/>
          <w:bCs/>
          <w:sz w:val="22"/>
          <w:szCs w:val="22"/>
          <w:lang w:val="en-US"/>
        </w:rPr>
        <w:tab/>
        <w:t xml:space="preserve"> </w:t>
      </w:r>
      <w:r w:rsidRPr="003C6F63">
        <w:rPr>
          <w:rFonts w:ascii="Arial" w:hAnsi="Arial" w:cs="Arial"/>
          <w:i/>
          <w:sz w:val="22"/>
          <w:szCs w:val="22"/>
          <w:lang w:val="en-US"/>
        </w:rPr>
        <w:t>Continued</w:t>
      </w:r>
    </w:p>
    <w:p w14:paraId="24DECC85" w14:textId="77777777" w:rsidR="003C6F63" w:rsidRPr="003C6F63" w:rsidRDefault="003C6F63" w:rsidP="003C6F63">
      <w:pPr>
        <w:tabs>
          <w:tab w:val="left" w:pos="2694"/>
        </w:tabs>
        <w:jc w:val="both"/>
        <w:rPr>
          <w:rFonts w:ascii="Arial" w:hAnsi="Arial" w:cs="Arial"/>
          <w:bCs/>
          <w:sz w:val="22"/>
          <w:szCs w:val="22"/>
          <w:lang w:val="en-US"/>
        </w:rPr>
      </w:pPr>
      <w:r w:rsidRPr="003C6F63">
        <w:rPr>
          <w:rFonts w:ascii="Arial" w:hAnsi="Arial" w:cs="Arial"/>
          <w:bCs/>
          <w:sz w:val="22"/>
          <w:szCs w:val="22"/>
          <w:lang w:val="en-US"/>
        </w:rPr>
        <w:t xml:space="preserve">                                   </w:t>
      </w:r>
    </w:p>
    <w:p w14:paraId="1258C404" w14:textId="77777777" w:rsidR="003C6F63" w:rsidRPr="003C6F63" w:rsidRDefault="003C6F63" w:rsidP="003C6F63">
      <w:pPr>
        <w:autoSpaceDE w:val="0"/>
        <w:autoSpaceDN w:val="0"/>
        <w:adjustRightInd w:val="0"/>
        <w:ind w:left="2126" w:right="6"/>
        <w:rPr>
          <w:rFonts w:ascii="Arial" w:hAnsi="Arial" w:cs="Arial"/>
          <w:color w:val="000000"/>
          <w:sz w:val="22"/>
          <w:szCs w:val="22"/>
          <w:lang w:val="en-US"/>
        </w:rPr>
      </w:pPr>
      <w:r w:rsidRPr="003C6F63">
        <w:rPr>
          <w:rFonts w:ascii="Arial" w:hAnsi="Arial" w:cs="Arial"/>
          <w:color w:val="000000"/>
          <w:sz w:val="22"/>
          <w:szCs w:val="22"/>
          <w:lang w:val="en-US"/>
        </w:rPr>
        <w:t>Discussion of amendment proposals and comments regarding Chapter III– document DH-SYSC-IV(2021)02.</w:t>
      </w:r>
    </w:p>
    <w:p w14:paraId="72647BAE" w14:textId="77777777" w:rsidR="003C6F63" w:rsidRPr="003C6F63" w:rsidRDefault="003C6F63" w:rsidP="003C6F63">
      <w:pPr>
        <w:ind w:left="1418" w:hanging="1418"/>
        <w:jc w:val="both"/>
        <w:rPr>
          <w:rFonts w:ascii="Arial" w:hAnsi="Arial" w:cs="Arial"/>
          <w:sz w:val="22"/>
          <w:szCs w:val="22"/>
          <w:lang w:val="en-US"/>
        </w:rPr>
      </w:pPr>
    </w:p>
    <w:p w14:paraId="13E9C530" w14:textId="77777777" w:rsidR="003C6F63" w:rsidRPr="003C6F63" w:rsidRDefault="003C6F63" w:rsidP="003C6F63">
      <w:pPr>
        <w:ind w:left="1418" w:hanging="1418"/>
        <w:jc w:val="both"/>
        <w:rPr>
          <w:rFonts w:ascii="Arial" w:hAnsi="Arial" w:cs="Arial"/>
          <w:b/>
          <w:bCs/>
          <w:sz w:val="22"/>
          <w:szCs w:val="22"/>
          <w:u w:val="single"/>
          <w:lang w:val="en-US"/>
        </w:rPr>
      </w:pPr>
      <w:r w:rsidRPr="003C6F63">
        <w:rPr>
          <w:rFonts w:ascii="Arial" w:hAnsi="Arial" w:cs="Arial"/>
          <w:b/>
          <w:bCs/>
          <w:sz w:val="22"/>
          <w:szCs w:val="22"/>
          <w:u w:val="single"/>
          <w:lang w:val="en-US"/>
        </w:rPr>
        <w:t>Thursday 23 September 2021</w:t>
      </w:r>
    </w:p>
    <w:p w14:paraId="0A3E8966" w14:textId="77777777" w:rsidR="003C6F63" w:rsidRPr="003C6F63" w:rsidRDefault="003C6F63" w:rsidP="003C6F63">
      <w:pPr>
        <w:jc w:val="both"/>
        <w:rPr>
          <w:rFonts w:ascii="Arial" w:hAnsi="Arial" w:cs="Arial"/>
          <w:bCs/>
          <w:sz w:val="22"/>
          <w:szCs w:val="22"/>
          <w:lang w:val="en-US"/>
        </w:rPr>
      </w:pPr>
    </w:p>
    <w:p w14:paraId="1C29C20F" w14:textId="77777777" w:rsidR="003C6F63" w:rsidRPr="003C6F63" w:rsidRDefault="003C6F63" w:rsidP="003C6F63">
      <w:pPr>
        <w:ind w:left="2126" w:hanging="2126"/>
        <w:jc w:val="both"/>
        <w:rPr>
          <w:rFonts w:ascii="Arial" w:hAnsi="Arial" w:cs="Arial"/>
          <w:bCs/>
          <w:sz w:val="22"/>
          <w:szCs w:val="22"/>
          <w:lang w:val="en-US"/>
        </w:rPr>
      </w:pPr>
      <w:r w:rsidRPr="003C6F63">
        <w:rPr>
          <w:rFonts w:ascii="Arial" w:hAnsi="Arial" w:cs="Arial"/>
          <w:bCs/>
          <w:sz w:val="22"/>
          <w:szCs w:val="22"/>
          <w:lang w:val="en-US"/>
        </w:rPr>
        <w:t>10:00 – 12:30</w:t>
      </w:r>
      <w:r w:rsidRPr="003C6F63">
        <w:rPr>
          <w:rFonts w:ascii="Arial" w:hAnsi="Arial" w:cs="Arial"/>
          <w:bCs/>
          <w:sz w:val="22"/>
          <w:szCs w:val="22"/>
          <w:lang w:val="en-US"/>
        </w:rPr>
        <w:tab/>
      </w:r>
      <w:r w:rsidRPr="003C6F63">
        <w:rPr>
          <w:rFonts w:ascii="Arial" w:hAnsi="Arial" w:cs="Arial"/>
          <w:b/>
          <w:bCs/>
          <w:sz w:val="22"/>
          <w:szCs w:val="22"/>
          <w:lang w:val="en-US"/>
        </w:rPr>
        <w:t>Item 3:</w:t>
      </w:r>
      <w:r w:rsidRPr="003C6F63">
        <w:rPr>
          <w:rFonts w:ascii="Arial" w:hAnsi="Arial" w:cs="Arial"/>
          <w:bCs/>
          <w:sz w:val="22"/>
          <w:szCs w:val="22"/>
          <w:lang w:val="en-US"/>
        </w:rPr>
        <w:tab/>
      </w:r>
      <w:r w:rsidRPr="003C6F63">
        <w:rPr>
          <w:rFonts w:ascii="Arial" w:hAnsi="Arial" w:cs="Arial"/>
          <w:bCs/>
          <w:i/>
          <w:sz w:val="22"/>
          <w:szCs w:val="22"/>
          <w:lang w:val="en-US"/>
        </w:rPr>
        <w:t>Continued</w:t>
      </w:r>
    </w:p>
    <w:p w14:paraId="09066F2D" w14:textId="77777777" w:rsidR="003C6F63" w:rsidRPr="003C6F63" w:rsidRDefault="003C6F63" w:rsidP="003C6F63">
      <w:pPr>
        <w:autoSpaceDE w:val="0"/>
        <w:autoSpaceDN w:val="0"/>
        <w:adjustRightInd w:val="0"/>
        <w:ind w:left="2126" w:right="6"/>
        <w:rPr>
          <w:rFonts w:ascii="Arial" w:hAnsi="Arial" w:cs="Arial"/>
          <w:color w:val="000000"/>
          <w:sz w:val="22"/>
          <w:szCs w:val="22"/>
          <w:lang w:val="en-US"/>
        </w:rPr>
      </w:pPr>
    </w:p>
    <w:p w14:paraId="56E3CDE3" w14:textId="77777777" w:rsidR="003C6F63" w:rsidRPr="003C6F63" w:rsidRDefault="003C6F63" w:rsidP="003C6F63">
      <w:pPr>
        <w:autoSpaceDE w:val="0"/>
        <w:autoSpaceDN w:val="0"/>
        <w:adjustRightInd w:val="0"/>
        <w:ind w:left="2126" w:right="6"/>
        <w:rPr>
          <w:rFonts w:ascii="Arial" w:hAnsi="Arial" w:cs="Arial"/>
          <w:color w:val="000000"/>
          <w:sz w:val="22"/>
          <w:szCs w:val="22"/>
          <w:lang w:val="en-US"/>
        </w:rPr>
      </w:pPr>
      <w:r w:rsidRPr="003C6F63">
        <w:rPr>
          <w:rFonts w:ascii="Arial" w:hAnsi="Arial" w:cs="Arial"/>
          <w:color w:val="000000"/>
          <w:sz w:val="22"/>
          <w:szCs w:val="22"/>
          <w:lang w:val="en-US"/>
        </w:rPr>
        <w:t>Discussion of amendment proposals and comments regarding Chapters IV and V – document DH-SYSC-IV(2021)02.</w:t>
      </w:r>
    </w:p>
    <w:p w14:paraId="7C5E74AC" w14:textId="77777777" w:rsidR="003C6F63" w:rsidRPr="003C6F63" w:rsidRDefault="003C6F63" w:rsidP="003C6F63">
      <w:pPr>
        <w:tabs>
          <w:tab w:val="left" w:pos="2694"/>
        </w:tabs>
        <w:jc w:val="both"/>
        <w:rPr>
          <w:rFonts w:ascii="Arial" w:hAnsi="Arial" w:cs="Arial"/>
          <w:bCs/>
          <w:sz w:val="22"/>
          <w:szCs w:val="22"/>
          <w:lang w:val="en-US"/>
        </w:rPr>
      </w:pPr>
    </w:p>
    <w:p w14:paraId="4EAEEA50" w14:textId="77777777" w:rsidR="003C6F63" w:rsidRPr="003C6F63" w:rsidRDefault="003C6F63" w:rsidP="003C6F63">
      <w:pPr>
        <w:jc w:val="both"/>
        <w:rPr>
          <w:rFonts w:ascii="Arial" w:hAnsi="Arial" w:cs="Arial"/>
          <w:bCs/>
          <w:sz w:val="22"/>
          <w:szCs w:val="22"/>
          <w:lang w:val="en-US"/>
        </w:rPr>
      </w:pPr>
    </w:p>
    <w:p w14:paraId="275FD468" w14:textId="77777777" w:rsidR="003C6F63" w:rsidRPr="003C6F63" w:rsidRDefault="003C6F63" w:rsidP="003C6F63">
      <w:pPr>
        <w:jc w:val="both"/>
        <w:rPr>
          <w:rFonts w:ascii="Arial" w:hAnsi="Arial" w:cs="Arial"/>
          <w:bCs/>
          <w:sz w:val="22"/>
          <w:szCs w:val="22"/>
          <w:lang w:val="en-US"/>
        </w:rPr>
      </w:pPr>
      <w:r w:rsidRPr="003C6F63">
        <w:rPr>
          <w:rFonts w:ascii="Arial" w:hAnsi="Arial" w:cs="Arial"/>
          <w:bCs/>
          <w:sz w:val="22"/>
          <w:szCs w:val="22"/>
          <w:lang w:val="en-US"/>
        </w:rPr>
        <w:t>12:30 – 14:00</w:t>
      </w:r>
      <w:r w:rsidRPr="003C6F63">
        <w:rPr>
          <w:rFonts w:ascii="Arial" w:hAnsi="Arial" w:cs="Arial"/>
          <w:bCs/>
          <w:sz w:val="22"/>
          <w:szCs w:val="22"/>
          <w:lang w:val="en-US"/>
        </w:rPr>
        <w:tab/>
      </w:r>
      <w:r w:rsidRPr="003C6F63">
        <w:rPr>
          <w:rFonts w:ascii="Arial" w:hAnsi="Arial" w:cs="Arial"/>
          <w:bCs/>
          <w:sz w:val="22"/>
          <w:szCs w:val="22"/>
          <w:lang w:val="en-US"/>
        </w:rPr>
        <w:tab/>
      </w:r>
      <w:r w:rsidRPr="003C6F63">
        <w:rPr>
          <w:rFonts w:ascii="Arial" w:hAnsi="Arial" w:cs="Arial"/>
          <w:bCs/>
          <w:i/>
          <w:sz w:val="22"/>
          <w:szCs w:val="22"/>
          <w:lang w:val="en-US"/>
        </w:rPr>
        <w:t>Lunch break</w:t>
      </w:r>
    </w:p>
    <w:p w14:paraId="22646F5A" w14:textId="77777777" w:rsidR="003C6F63" w:rsidRPr="003C6F63" w:rsidRDefault="003C6F63" w:rsidP="003C6F63">
      <w:pPr>
        <w:jc w:val="both"/>
        <w:rPr>
          <w:rFonts w:ascii="Arial" w:hAnsi="Arial" w:cs="Arial"/>
          <w:bCs/>
          <w:sz w:val="22"/>
          <w:szCs w:val="22"/>
          <w:lang w:val="en-US"/>
        </w:rPr>
      </w:pPr>
    </w:p>
    <w:p w14:paraId="021093CF" w14:textId="77777777" w:rsidR="003C6F63" w:rsidRPr="003C6F63" w:rsidRDefault="003C6F63" w:rsidP="003C6F63">
      <w:pPr>
        <w:jc w:val="both"/>
        <w:rPr>
          <w:rFonts w:ascii="Arial" w:hAnsi="Arial" w:cs="Arial"/>
          <w:bCs/>
          <w:i/>
          <w:sz w:val="22"/>
          <w:szCs w:val="22"/>
          <w:lang w:val="en-US"/>
        </w:rPr>
      </w:pPr>
      <w:r w:rsidRPr="003C6F63">
        <w:rPr>
          <w:rFonts w:ascii="Arial" w:hAnsi="Arial" w:cs="Arial"/>
          <w:bCs/>
          <w:sz w:val="22"/>
          <w:szCs w:val="22"/>
          <w:lang w:val="en-US"/>
        </w:rPr>
        <w:t>14:00 – 16:30</w:t>
      </w:r>
      <w:r w:rsidRPr="003C6F63">
        <w:rPr>
          <w:rFonts w:ascii="Arial" w:hAnsi="Arial" w:cs="Arial"/>
          <w:bCs/>
          <w:sz w:val="22"/>
          <w:szCs w:val="22"/>
          <w:lang w:val="en-US"/>
        </w:rPr>
        <w:tab/>
      </w:r>
      <w:r w:rsidRPr="003C6F63">
        <w:rPr>
          <w:rFonts w:ascii="Arial" w:hAnsi="Arial" w:cs="Arial"/>
          <w:bCs/>
          <w:sz w:val="22"/>
          <w:szCs w:val="22"/>
          <w:lang w:val="en-US"/>
        </w:rPr>
        <w:tab/>
      </w:r>
      <w:r w:rsidRPr="003C6F63">
        <w:rPr>
          <w:rFonts w:ascii="Arial" w:hAnsi="Arial" w:cs="Arial"/>
          <w:b/>
          <w:bCs/>
          <w:sz w:val="22"/>
          <w:szCs w:val="22"/>
          <w:lang w:val="en-US"/>
        </w:rPr>
        <w:t xml:space="preserve">Item 3: </w:t>
      </w:r>
      <w:r w:rsidRPr="003C6F63">
        <w:rPr>
          <w:rFonts w:ascii="Arial" w:hAnsi="Arial" w:cs="Arial"/>
          <w:bCs/>
          <w:i/>
          <w:sz w:val="22"/>
          <w:szCs w:val="22"/>
          <w:lang w:val="en-US"/>
        </w:rPr>
        <w:t>Continued</w:t>
      </w:r>
    </w:p>
    <w:p w14:paraId="510323F2" w14:textId="77777777" w:rsidR="003C6F63" w:rsidRPr="003C6F63" w:rsidRDefault="003C6F63" w:rsidP="003C6F63">
      <w:pPr>
        <w:jc w:val="both"/>
        <w:rPr>
          <w:rFonts w:ascii="Arial" w:hAnsi="Arial" w:cs="Arial"/>
          <w:bCs/>
          <w:i/>
          <w:sz w:val="22"/>
          <w:szCs w:val="22"/>
          <w:lang w:val="en-US"/>
        </w:rPr>
      </w:pPr>
      <w:r w:rsidRPr="003C6F63">
        <w:rPr>
          <w:rFonts w:ascii="Arial" w:hAnsi="Arial" w:cs="Arial"/>
          <w:bCs/>
          <w:i/>
          <w:sz w:val="22"/>
          <w:szCs w:val="22"/>
          <w:u w:val="single"/>
          <w:lang w:val="en-US"/>
        </w:rPr>
        <w:t xml:space="preserve"> </w:t>
      </w:r>
    </w:p>
    <w:p w14:paraId="0086DA28" w14:textId="77777777" w:rsidR="003C6F63" w:rsidRPr="003C6F63" w:rsidRDefault="003C6F63" w:rsidP="003C6F63">
      <w:pPr>
        <w:tabs>
          <w:tab w:val="left" w:pos="2694"/>
        </w:tabs>
        <w:ind w:left="2160"/>
        <w:jc w:val="both"/>
        <w:rPr>
          <w:rFonts w:ascii="Arial" w:hAnsi="Arial" w:cs="Arial"/>
          <w:color w:val="000000"/>
          <w:sz w:val="22"/>
          <w:szCs w:val="22"/>
          <w:lang w:val="en-US"/>
        </w:rPr>
      </w:pPr>
      <w:r w:rsidRPr="003C6F63">
        <w:rPr>
          <w:rFonts w:ascii="Arial" w:hAnsi="Arial" w:cs="Arial"/>
          <w:color w:val="000000"/>
          <w:sz w:val="22"/>
          <w:szCs w:val="22"/>
          <w:lang w:val="en-US"/>
        </w:rPr>
        <w:t>Discussion of amendment proposals and comments regarding Chapter VI – document DH-SYSC-IV(2021)02.</w:t>
      </w:r>
    </w:p>
    <w:p w14:paraId="506BCF7A" w14:textId="77777777" w:rsidR="003C6F63" w:rsidRPr="003C6F63" w:rsidRDefault="003C6F63" w:rsidP="003C6F63">
      <w:pPr>
        <w:tabs>
          <w:tab w:val="left" w:pos="2694"/>
        </w:tabs>
        <w:jc w:val="both"/>
        <w:rPr>
          <w:rFonts w:ascii="Arial" w:hAnsi="Arial" w:cs="Arial"/>
          <w:color w:val="000000"/>
          <w:sz w:val="22"/>
          <w:szCs w:val="22"/>
          <w:lang w:val="en-US"/>
        </w:rPr>
      </w:pPr>
    </w:p>
    <w:p w14:paraId="530355D6" w14:textId="77777777" w:rsidR="003C6F63" w:rsidRPr="003C6F63" w:rsidRDefault="003C6F63" w:rsidP="003C6F63">
      <w:pPr>
        <w:ind w:left="1418" w:hanging="1418"/>
        <w:jc w:val="both"/>
        <w:rPr>
          <w:rFonts w:ascii="Arial" w:hAnsi="Arial" w:cs="Arial"/>
          <w:b/>
          <w:bCs/>
          <w:sz w:val="22"/>
          <w:szCs w:val="22"/>
          <w:u w:val="single"/>
          <w:lang w:val="en-US"/>
        </w:rPr>
      </w:pPr>
      <w:r w:rsidRPr="003C6F63">
        <w:rPr>
          <w:rFonts w:ascii="Arial" w:hAnsi="Arial" w:cs="Arial"/>
          <w:b/>
          <w:bCs/>
          <w:sz w:val="22"/>
          <w:szCs w:val="22"/>
          <w:u w:val="single"/>
          <w:lang w:val="en-US"/>
        </w:rPr>
        <w:t>Friday 24 September 2021</w:t>
      </w:r>
    </w:p>
    <w:p w14:paraId="4200C1DE" w14:textId="77777777" w:rsidR="003C6F63" w:rsidRPr="003C6F63" w:rsidRDefault="003C6F63" w:rsidP="003C6F63">
      <w:pPr>
        <w:ind w:left="1418" w:hanging="1418"/>
        <w:jc w:val="both"/>
        <w:rPr>
          <w:rFonts w:ascii="Arial" w:hAnsi="Arial" w:cs="Arial"/>
          <w:b/>
          <w:bCs/>
          <w:sz w:val="22"/>
          <w:szCs w:val="22"/>
          <w:u w:val="single"/>
          <w:lang w:val="en-US"/>
        </w:rPr>
      </w:pPr>
    </w:p>
    <w:p w14:paraId="321A344C" w14:textId="77777777" w:rsidR="003C6F63" w:rsidRPr="003C6F63" w:rsidRDefault="003C6F63" w:rsidP="003C6F63">
      <w:pPr>
        <w:ind w:left="2126" w:hanging="2126"/>
        <w:jc w:val="both"/>
        <w:rPr>
          <w:rFonts w:ascii="Arial" w:hAnsi="Arial" w:cs="Arial"/>
          <w:bCs/>
          <w:i/>
          <w:sz w:val="22"/>
          <w:szCs w:val="22"/>
          <w:lang w:val="en-US"/>
        </w:rPr>
      </w:pPr>
      <w:r w:rsidRPr="003C6F63">
        <w:rPr>
          <w:rFonts w:ascii="Arial" w:hAnsi="Arial" w:cs="Arial"/>
          <w:bCs/>
          <w:sz w:val="22"/>
          <w:szCs w:val="22"/>
          <w:lang w:val="en-US"/>
        </w:rPr>
        <w:t>10:00 – 12:30</w:t>
      </w:r>
      <w:r w:rsidRPr="003C6F63">
        <w:rPr>
          <w:rFonts w:ascii="Arial" w:hAnsi="Arial" w:cs="Arial"/>
          <w:bCs/>
          <w:sz w:val="22"/>
          <w:szCs w:val="22"/>
          <w:lang w:val="en-US"/>
        </w:rPr>
        <w:tab/>
      </w:r>
      <w:r w:rsidRPr="003C6F63">
        <w:rPr>
          <w:rFonts w:ascii="Arial" w:hAnsi="Arial" w:cs="Arial"/>
          <w:b/>
          <w:bCs/>
          <w:sz w:val="22"/>
          <w:szCs w:val="22"/>
          <w:lang w:val="en-US"/>
        </w:rPr>
        <w:t xml:space="preserve">Item 3: </w:t>
      </w:r>
      <w:r w:rsidRPr="003C6F63">
        <w:rPr>
          <w:rFonts w:ascii="Arial" w:hAnsi="Arial" w:cs="Arial"/>
          <w:bCs/>
          <w:i/>
          <w:sz w:val="22"/>
          <w:szCs w:val="22"/>
          <w:lang w:val="en-US"/>
        </w:rPr>
        <w:t>Continued</w:t>
      </w:r>
    </w:p>
    <w:p w14:paraId="32550880" w14:textId="77777777" w:rsidR="003C6F63" w:rsidRPr="003C6F63" w:rsidRDefault="003C6F63" w:rsidP="003C6F63">
      <w:pPr>
        <w:ind w:left="2126" w:hanging="2126"/>
        <w:jc w:val="both"/>
        <w:rPr>
          <w:rFonts w:ascii="Arial" w:hAnsi="Arial" w:cs="Arial"/>
          <w:bCs/>
          <w:i/>
          <w:sz w:val="22"/>
          <w:szCs w:val="22"/>
          <w:lang w:val="en-US"/>
        </w:rPr>
      </w:pPr>
    </w:p>
    <w:p w14:paraId="0333D585" w14:textId="77777777" w:rsidR="003C6F63" w:rsidRPr="003C6F63" w:rsidRDefault="003C6F63" w:rsidP="003C6F63">
      <w:pPr>
        <w:tabs>
          <w:tab w:val="left" w:pos="2694"/>
        </w:tabs>
        <w:ind w:left="2160"/>
        <w:jc w:val="both"/>
        <w:rPr>
          <w:rFonts w:ascii="Arial" w:hAnsi="Arial" w:cs="Arial"/>
          <w:color w:val="000000"/>
          <w:sz w:val="22"/>
          <w:szCs w:val="22"/>
          <w:lang w:val="en-US"/>
        </w:rPr>
      </w:pPr>
      <w:r w:rsidRPr="003C6F63">
        <w:rPr>
          <w:rFonts w:ascii="Arial" w:hAnsi="Arial" w:cs="Arial"/>
          <w:color w:val="000000"/>
          <w:sz w:val="22"/>
          <w:szCs w:val="22"/>
          <w:lang w:val="en-US"/>
        </w:rPr>
        <w:t>Discussion of amendment proposals and comments regarding Chapter VII-IX – document DH-SYSC-IV(2021)02.</w:t>
      </w:r>
    </w:p>
    <w:p w14:paraId="7692F993" w14:textId="77777777" w:rsidR="003C6F63" w:rsidRPr="003C6F63" w:rsidRDefault="003C6F63" w:rsidP="003C6F63">
      <w:pPr>
        <w:ind w:left="2126" w:hanging="2126"/>
        <w:jc w:val="both"/>
        <w:rPr>
          <w:rFonts w:ascii="Arial" w:hAnsi="Arial" w:cs="Arial"/>
          <w:color w:val="000000"/>
          <w:sz w:val="22"/>
          <w:szCs w:val="22"/>
          <w:lang w:val="en-US"/>
        </w:rPr>
      </w:pPr>
    </w:p>
    <w:p w14:paraId="7F7D6753" w14:textId="77777777" w:rsidR="003C6F63" w:rsidRPr="003C6F63" w:rsidRDefault="003C6F63" w:rsidP="003C6F63">
      <w:pPr>
        <w:jc w:val="both"/>
        <w:rPr>
          <w:rFonts w:ascii="Arial" w:hAnsi="Arial" w:cs="Arial"/>
          <w:bCs/>
          <w:sz w:val="22"/>
          <w:szCs w:val="22"/>
          <w:lang w:val="en-US"/>
        </w:rPr>
      </w:pPr>
      <w:r w:rsidRPr="003C6F63">
        <w:rPr>
          <w:rFonts w:ascii="Arial" w:hAnsi="Arial" w:cs="Arial"/>
          <w:bCs/>
          <w:sz w:val="22"/>
          <w:szCs w:val="22"/>
          <w:lang w:val="en-US"/>
        </w:rPr>
        <w:t>12:30 – 14:00</w:t>
      </w:r>
      <w:r w:rsidRPr="003C6F63">
        <w:rPr>
          <w:rFonts w:ascii="Arial" w:hAnsi="Arial" w:cs="Arial"/>
          <w:bCs/>
          <w:sz w:val="22"/>
          <w:szCs w:val="22"/>
          <w:lang w:val="en-US"/>
        </w:rPr>
        <w:tab/>
      </w:r>
      <w:r w:rsidRPr="003C6F63">
        <w:rPr>
          <w:rFonts w:ascii="Arial" w:hAnsi="Arial" w:cs="Arial"/>
          <w:bCs/>
          <w:sz w:val="22"/>
          <w:szCs w:val="22"/>
          <w:lang w:val="en-US"/>
        </w:rPr>
        <w:tab/>
      </w:r>
      <w:r w:rsidRPr="003C6F63">
        <w:rPr>
          <w:rFonts w:ascii="Arial" w:hAnsi="Arial" w:cs="Arial"/>
          <w:bCs/>
          <w:i/>
          <w:sz w:val="22"/>
          <w:szCs w:val="22"/>
          <w:lang w:val="en-US"/>
        </w:rPr>
        <w:t>Lunch break</w:t>
      </w:r>
    </w:p>
    <w:p w14:paraId="08F1D3B7" w14:textId="77777777" w:rsidR="003C6F63" w:rsidRPr="003C6F63" w:rsidRDefault="003C6F63" w:rsidP="003C6F63">
      <w:pPr>
        <w:ind w:left="2126" w:hanging="2126"/>
        <w:jc w:val="both"/>
        <w:rPr>
          <w:rFonts w:ascii="Arial" w:hAnsi="Arial" w:cs="Arial"/>
          <w:bCs/>
          <w:sz w:val="22"/>
          <w:szCs w:val="22"/>
          <w:lang w:val="en-US"/>
        </w:rPr>
      </w:pPr>
    </w:p>
    <w:p w14:paraId="4053D0FF" w14:textId="77777777" w:rsidR="003C6F63" w:rsidRPr="003C6F63" w:rsidRDefault="003C6F63" w:rsidP="003C6F63">
      <w:pPr>
        <w:ind w:left="2160" w:hanging="2160"/>
        <w:jc w:val="both"/>
        <w:rPr>
          <w:rFonts w:ascii="Arial" w:hAnsi="Arial" w:cs="Arial"/>
          <w:bCs/>
          <w:sz w:val="22"/>
          <w:szCs w:val="22"/>
          <w:lang w:val="en-US"/>
        </w:rPr>
      </w:pPr>
      <w:r w:rsidRPr="003C6F63">
        <w:rPr>
          <w:rFonts w:ascii="Arial" w:hAnsi="Arial" w:cs="Arial"/>
          <w:bCs/>
          <w:sz w:val="22"/>
          <w:szCs w:val="22"/>
          <w:lang w:val="en-US"/>
        </w:rPr>
        <w:t>14:00 – 14:30</w:t>
      </w:r>
      <w:r w:rsidRPr="003C6F63">
        <w:rPr>
          <w:rFonts w:ascii="Arial" w:hAnsi="Arial" w:cs="Arial"/>
          <w:bCs/>
          <w:sz w:val="22"/>
          <w:szCs w:val="22"/>
          <w:lang w:val="en-US"/>
        </w:rPr>
        <w:tab/>
      </w:r>
      <w:r w:rsidRPr="003C6F63">
        <w:rPr>
          <w:rFonts w:ascii="Arial" w:hAnsi="Arial" w:cs="Arial"/>
          <w:b/>
          <w:sz w:val="22"/>
          <w:szCs w:val="22"/>
          <w:lang w:val="en-US"/>
        </w:rPr>
        <w:t>Item 4:</w:t>
      </w:r>
      <w:r w:rsidRPr="003C6F63">
        <w:rPr>
          <w:rFonts w:ascii="Arial" w:hAnsi="Arial" w:cs="Arial"/>
          <w:bCs/>
          <w:sz w:val="22"/>
          <w:szCs w:val="22"/>
          <w:lang w:val="en-US"/>
        </w:rPr>
        <w:t xml:space="preserve"> Gender equality</w:t>
      </w:r>
    </w:p>
    <w:p w14:paraId="6A85A558" w14:textId="77777777" w:rsidR="003C6F63" w:rsidRPr="003C6F63" w:rsidRDefault="003C6F63" w:rsidP="003C6F63">
      <w:pPr>
        <w:ind w:left="2160" w:hanging="2160"/>
        <w:jc w:val="both"/>
        <w:rPr>
          <w:rFonts w:ascii="Arial" w:hAnsi="Arial" w:cs="Arial"/>
          <w:bCs/>
          <w:sz w:val="22"/>
          <w:szCs w:val="22"/>
          <w:lang w:val="en-US"/>
        </w:rPr>
      </w:pPr>
    </w:p>
    <w:p w14:paraId="24251197" w14:textId="77777777" w:rsidR="003C6F63" w:rsidRPr="003C6F63" w:rsidRDefault="003C6F63" w:rsidP="003C6F63">
      <w:pPr>
        <w:ind w:left="2160" w:hanging="2160"/>
        <w:jc w:val="both"/>
        <w:rPr>
          <w:rFonts w:ascii="Arial" w:hAnsi="Arial" w:cs="Arial"/>
          <w:b/>
          <w:bCs/>
          <w:sz w:val="22"/>
          <w:szCs w:val="22"/>
          <w:lang w:val="en-US"/>
        </w:rPr>
      </w:pPr>
      <w:r w:rsidRPr="003C6F63">
        <w:rPr>
          <w:rFonts w:ascii="Arial" w:hAnsi="Arial" w:cs="Arial"/>
          <w:bCs/>
          <w:sz w:val="22"/>
          <w:szCs w:val="22"/>
          <w:lang w:val="en-US"/>
        </w:rPr>
        <w:t xml:space="preserve">14:30 – 15:00 </w:t>
      </w:r>
      <w:r w:rsidRPr="003C6F63">
        <w:rPr>
          <w:rFonts w:ascii="Arial" w:hAnsi="Arial" w:cs="Arial"/>
          <w:bCs/>
          <w:sz w:val="22"/>
          <w:szCs w:val="22"/>
          <w:lang w:val="en-US"/>
        </w:rPr>
        <w:tab/>
      </w:r>
      <w:r w:rsidRPr="003C6F63">
        <w:rPr>
          <w:rFonts w:ascii="Arial" w:hAnsi="Arial" w:cs="Arial"/>
          <w:b/>
          <w:sz w:val="22"/>
          <w:szCs w:val="22"/>
          <w:lang w:val="en-US"/>
        </w:rPr>
        <w:t>Items 5-6:</w:t>
      </w:r>
      <w:r w:rsidRPr="003C6F63">
        <w:rPr>
          <w:rFonts w:ascii="Arial" w:hAnsi="Arial" w:cs="Arial"/>
          <w:bCs/>
          <w:sz w:val="22"/>
          <w:szCs w:val="22"/>
          <w:lang w:val="en-US"/>
        </w:rPr>
        <w:t xml:space="preserve"> </w:t>
      </w:r>
      <w:proofErr w:type="spellStart"/>
      <w:r w:rsidRPr="003C6F63">
        <w:rPr>
          <w:rFonts w:ascii="Arial" w:hAnsi="Arial" w:cs="Arial"/>
          <w:b/>
          <w:bCs/>
          <w:sz w:val="22"/>
          <w:szCs w:val="22"/>
          <w:lang w:val="en-US"/>
        </w:rPr>
        <w:t>Organisation</w:t>
      </w:r>
      <w:proofErr w:type="spellEnd"/>
      <w:r w:rsidRPr="003C6F63">
        <w:rPr>
          <w:rFonts w:ascii="Arial" w:hAnsi="Arial" w:cs="Arial"/>
          <w:b/>
          <w:bCs/>
          <w:sz w:val="22"/>
          <w:szCs w:val="22"/>
          <w:lang w:val="en-US"/>
        </w:rPr>
        <w:t xml:space="preserve"> of future work and any other business</w:t>
      </w:r>
    </w:p>
    <w:p w14:paraId="3D20818E" w14:textId="77777777" w:rsidR="003C6F63" w:rsidRPr="003C6F63" w:rsidRDefault="003C6F63" w:rsidP="003C6F63">
      <w:pPr>
        <w:ind w:left="2126" w:hanging="2126"/>
        <w:jc w:val="both"/>
        <w:rPr>
          <w:rFonts w:ascii="Arial" w:hAnsi="Arial" w:cs="Arial"/>
          <w:b/>
          <w:bCs/>
          <w:sz w:val="22"/>
          <w:szCs w:val="22"/>
          <w:lang w:val="en-US"/>
        </w:rPr>
      </w:pPr>
    </w:p>
    <w:p w14:paraId="23170B2A" w14:textId="77777777" w:rsidR="003C6F63" w:rsidRPr="003C6F63" w:rsidRDefault="003C6F63" w:rsidP="003C6F63">
      <w:pPr>
        <w:pStyle w:val="Default"/>
        <w:ind w:left="2160"/>
        <w:jc w:val="both"/>
        <w:rPr>
          <w:sz w:val="20"/>
          <w:szCs w:val="20"/>
          <w:lang w:val="en-GB"/>
        </w:rPr>
      </w:pPr>
      <w:r w:rsidRPr="003C6F63">
        <w:rPr>
          <w:bCs/>
          <w:sz w:val="20"/>
          <w:szCs w:val="20"/>
          <w:lang w:val="en-GB"/>
        </w:rPr>
        <w:t>Discussion if further work needs to be done after the 4</w:t>
      </w:r>
      <w:r w:rsidRPr="003C6F63">
        <w:rPr>
          <w:bCs/>
          <w:sz w:val="20"/>
          <w:szCs w:val="20"/>
          <w:vertAlign w:val="superscript"/>
          <w:lang w:val="en-GB"/>
        </w:rPr>
        <w:t>th</w:t>
      </w:r>
      <w:r w:rsidRPr="003C6F63">
        <w:rPr>
          <w:bCs/>
          <w:sz w:val="20"/>
          <w:szCs w:val="20"/>
          <w:lang w:val="en-GB"/>
        </w:rPr>
        <w:t xml:space="preserve"> meeting of the Drafting Group</w:t>
      </w:r>
      <w:r w:rsidRPr="003C6F63">
        <w:rPr>
          <w:sz w:val="20"/>
          <w:szCs w:val="20"/>
          <w:lang w:val="en-GB"/>
        </w:rPr>
        <w:t xml:space="preserve"> during the 2020-2021 biennium – document </w:t>
      </w:r>
      <w:r w:rsidRPr="003C6F63">
        <w:rPr>
          <w:color w:val="000000" w:themeColor="text1"/>
          <w:sz w:val="20"/>
          <w:szCs w:val="20"/>
          <w:lang w:val="en-GB"/>
        </w:rPr>
        <w:t>DH-SYSC-IV(2020)03REV4</w:t>
      </w:r>
    </w:p>
    <w:p w14:paraId="46141749" w14:textId="77777777" w:rsidR="003C6F63" w:rsidRPr="003C6F63" w:rsidRDefault="003C6F63" w:rsidP="003C6F63">
      <w:pPr>
        <w:ind w:left="2160"/>
        <w:jc w:val="both"/>
        <w:rPr>
          <w:rFonts w:ascii="Arial" w:hAnsi="Arial" w:cs="Arial"/>
          <w:sz w:val="22"/>
          <w:szCs w:val="22"/>
          <w:lang w:val="en-US"/>
        </w:rPr>
      </w:pPr>
    </w:p>
    <w:p w14:paraId="0BCE1ADF" w14:textId="77777777" w:rsidR="003C6F63" w:rsidRPr="003C6F63" w:rsidRDefault="003C6F63" w:rsidP="003C6F63">
      <w:pPr>
        <w:ind w:left="2160"/>
        <w:jc w:val="both"/>
        <w:rPr>
          <w:rFonts w:ascii="Arial" w:hAnsi="Arial" w:cs="Arial"/>
          <w:bCs/>
          <w:sz w:val="22"/>
          <w:szCs w:val="22"/>
          <w:lang w:val="en-US"/>
        </w:rPr>
      </w:pPr>
    </w:p>
    <w:p w14:paraId="758E4E0C" w14:textId="52CA2032" w:rsidR="00120775" w:rsidRPr="003C6F63" w:rsidRDefault="003C6F63" w:rsidP="003C6F63">
      <w:pPr>
        <w:jc w:val="both"/>
        <w:rPr>
          <w:sz w:val="22"/>
          <w:szCs w:val="22"/>
          <w:lang w:val="en-US"/>
        </w:rPr>
      </w:pPr>
      <w:r w:rsidRPr="003C6F63">
        <w:rPr>
          <w:rFonts w:ascii="Arial" w:hAnsi="Arial" w:cs="Arial"/>
          <w:b/>
          <w:sz w:val="22"/>
          <w:szCs w:val="22"/>
          <w:lang w:val="en-US"/>
        </w:rPr>
        <w:t>15:00-16:30</w:t>
      </w:r>
      <w:r w:rsidRPr="003C6F63">
        <w:rPr>
          <w:rFonts w:ascii="Arial" w:hAnsi="Arial" w:cs="Arial"/>
          <w:b/>
          <w:sz w:val="22"/>
          <w:szCs w:val="22"/>
          <w:lang w:val="en-US"/>
        </w:rPr>
        <w:tab/>
      </w:r>
      <w:r w:rsidRPr="003C6F63">
        <w:rPr>
          <w:rFonts w:ascii="Arial" w:hAnsi="Arial" w:cs="Arial"/>
          <w:b/>
          <w:sz w:val="22"/>
          <w:szCs w:val="22"/>
          <w:lang w:val="en-US"/>
        </w:rPr>
        <w:tab/>
        <w:t>Item 7:</w:t>
      </w:r>
      <w:r w:rsidRPr="003C6F63">
        <w:rPr>
          <w:rFonts w:ascii="Arial" w:hAnsi="Arial" w:cs="Arial"/>
          <w:bCs/>
          <w:sz w:val="22"/>
          <w:szCs w:val="22"/>
          <w:lang w:val="en-US"/>
        </w:rPr>
        <w:tab/>
        <w:t xml:space="preserve"> </w:t>
      </w:r>
      <w:r w:rsidRPr="003C6F63">
        <w:rPr>
          <w:rFonts w:ascii="Arial" w:hAnsi="Arial" w:cs="Arial"/>
          <w:b/>
          <w:bCs/>
          <w:sz w:val="22"/>
          <w:szCs w:val="22"/>
          <w:lang w:val="en-US"/>
        </w:rPr>
        <w:t>Approval of the meeting report</w:t>
      </w:r>
    </w:p>
    <w:p w14:paraId="1D5919A4" w14:textId="31B13014" w:rsidR="00DC51E6" w:rsidRPr="00B079E9" w:rsidRDefault="00DC51E6" w:rsidP="00DC51E6">
      <w:pPr>
        <w:jc w:val="center"/>
        <w:rPr>
          <w:rFonts w:ascii="Arial" w:hAnsi="Arial" w:cs="Arial"/>
          <w:bCs/>
          <w:sz w:val="20"/>
          <w:szCs w:val="20"/>
          <w:lang w:val="en-GB"/>
        </w:rPr>
      </w:pPr>
      <w:r w:rsidRPr="00B079E9">
        <w:rPr>
          <w:rFonts w:ascii="Arial" w:hAnsi="Arial" w:cs="Arial"/>
          <w:sz w:val="22"/>
          <w:szCs w:val="22"/>
          <w:u w:val="single"/>
          <w:lang w:val="en-GB"/>
        </w:rPr>
        <w:lastRenderedPageBreak/>
        <w:t>Appendix IV</w:t>
      </w:r>
    </w:p>
    <w:p w14:paraId="7E397C7F" w14:textId="77777777" w:rsidR="00DC51E6" w:rsidRPr="004D724B" w:rsidRDefault="00DC51E6" w:rsidP="00DC51E6">
      <w:pPr>
        <w:pStyle w:val="Sansinterligne"/>
        <w:jc w:val="center"/>
        <w:rPr>
          <w:rFonts w:ascii="Arial" w:hAnsi="Arial" w:cs="Arial"/>
          <w:lang w:val="en-GB"/>
        </w:rPr>
      </w:pPr>
    </w:p>
    <w:p w14:paraId="21AA7D69" w14:textId="7D458701" w:rsidR="002218C4" w:rsidRDefault="00DC51E6" w:rsidP="002218C4">
      <w:pPr>
        <w:pStyle w:val="Abstract"/>
        <w:rPr>
          <w:rFonts w:ascii="Arial" w:hAnsi="Arial" w:cs="Arial"/>
          <w:b/>
          <w:bCs/>
          <w:sz w:val="22"/>
          <w:szCs w:val="18"/>
          <w:lang w:val="en-GB"/>
        </w:rPr>
      </w:pPr>
      <w:r w:rsidRPr="00DC12ED">
        <w:rPr>
          <w:rFonts w:ascii="Arial" w:hAnsi="Arial" w:cs="Arial"/>
          <w:b/>
          <w:bCs/>
          <w:sz w:val="22"/>
          <w:szCs w:val="18"/>
          <w:lang w:val="en-GB"/>
        </w:rPr>
        <w:t xml:space="preserve">Activity Report </w:t>
      </w:r>
      <w:bookmarkStart w:id="5" w:name="_Toc45123270"/>
      <w:r w:rsidRPr="00DC12ED">
        <w:rPr>
          <w:rFonts w:ascii="Arial" w:hAnsi="Arial" w:cs="Arial"/>
          <w:b/>
          <w:bCs/>
          <w:sz w:val="22"/>
          <w:szCs w:val="18"/>
          <w:lang w:val="en-GB"/>
        </w:rPr>
        <w:t>2020-2021</w:t>
      </w:r>
    </w:p>
    <w:p w14:paraId="236308ED" w14:textId="77777777" w:rsidR="002218C4" w:rsidRPr="00080BB7" w:rsidRDefault="002218C4" w:rsidP="002218C4">
      <w:pPr>
        <w:pStyle w:val="Titre1"/>
        <w:numPr>
          <w:ilvl w:val="0"/>
          <w:numId w:val="16"/>
        </w:numPr>
        <w:spacing w:before="480"/>
        <w:rPr>
          <w:rFonts w:ascii="Arial" w:hAnsi="Arial" w:cs="Arial"/>
          <w:b/>
          <w:bCs/>
          <w:sz w:val="24"/>
          <w:szCs w:val="24"/>
        </w:rPr>
      </w:pPr>
      <w:r w:rsidRPr="00080BB7">
        <w:rPr>
          <w:rFonts w:ascii="Arial" w:hAnsi="Arial" w:cs="Arial"/>
          <w:b/>
          <w:bCs/>
          <w:sz w:val="24"/>
          <w:szCs w:val="24"/>
        </w:rPr>
        <w:t>EXECUTIVE SUMMARY</w:t>
      </w:r>
    </w:p>
    <w:p w14:paraId="295A1F47" w14:textId="77777777" w:rsidR="002218C4" w:rsidRDefault="002218C4" w:rsidP="002218C4"/>
    <w:p w14:paraId="016E9C98" w14:textId="77777777" w:rsidR="002218C4" w:rsidRPr="00E06877" w:rsidRDefault="002218C4" w:rsidP="002218C4">
      <w:pPr>
        <w:pStyle w:val="ECHRParaSpaced"/>
        <w:ind w:firstLine="360"/>
        <w:rPr>
          <w:rFonts w:ascii="Arial" w:hAnsi="Arial" w:cs="Arial"/>
        </w:rPr>
      </w:pPr>
      <w:bookmarkStart w:id="6" w:name="_Hlk54189322"/>
      <w:r w:rsidRPr="00E06877">
        <w:rPr>
          <w:rFonts w:ascii="Arial" w:hAnsi="Arial" w:cs="Arial"/>
        </w:rPr>
        <w:t xml:space="preserve">1. This </w:t>
      </w:r>
      <w:r>
        <w:rPr>
          <w:rFonts w:ascii="Arial" w:hAnsi="Arial" w:cs="Arial"/>
        </w:rPr>
        <w:t>r</w:t>
      </w:r>
      <w:r w:rsidRPr="00E06877">
        <w:rPr>
          <w:rFonts w:ascii="Arial" w:hAnsi="Arial" w:cs="Arial"/>
        </w:rPr>
        <w:t xml:space="preserve">eport reflects the work carried out by the DH-SYSC-IV pursuant to its mandate during the biennium 2020-2021. It contains the analysis of the Drafting Group of the issues tabled by various delegations regarding the processing and resolution of cases relating to inter-State disputes and identifies questions that will need to be </w:t>
      </w:r>
      <w:r>
        <w:rPr>
          <w:rFonts w:ascii="Arial" w:hAnsi="Arial" w:cs="Arial"/>
        </w:rPr>
        <w:t xml:space="preserve">examined </w:t>
      </w:r>
      <w:r w:rsidRPr="00E06877">
        <w:rPr>
          <w:rFonts w:ascii="Arial" w:hAnsi="Arial" w:cs="Arial"/>
        </w:rPr>
        <w:t xml:space="preserve">further. The fundamental premise of this </w:t>
      </w:r>
      <w:r>
        <w:rPr>
          <w:rFonts w:ascii="Arial" w:hAnsi="Arial" w:cs="Arial"/>
        </w:rPr>
        <w:t>r</w:t>
      </w:r>
      <w:r w:rsidRPr="00E06877">
        <w:rPr>
          <w:rFonts w:ascii="Arial" w:hAnsi="Arial" w:cs="Arial"/>
        </w:rPr>
        <w:t xml:space="preserve">eport is that a high number of inter-State applications and individual applications related to inter-State disputes are pending before the European Court of Human Rights (the Court). Their processing raises exceptional challenges for the Court and </w:t>
      </w:r>
      <w:r>
        <w:rPr>
          <w:rFonts w:ascii="Arial" w:hAnsi="Arial" w:cs="Arial"/>
        </w:rPr>
        <w:t xml:space="preserve">the </w:t>
      </w:r>
      <w:r w:rsidRPr="00E06877">
        <w:rPr>
          <w:rFonts w:ascii="Arial" w:hAnsi="Arial" w:cs="Arial"/>
        </w:rPr>
        <w:t xml:space="preserve">State Parties in these cases. </w:t>
      </w:r>
    </w:p>
    <w:bookmarkEnd w:id="6"/>
    <w:p w14:paraId="0B7A36BC" w14:textId="77777777" w:rsidR="002218C4" w:rsidRDefault="002218C4" w:rsidP="002218C4">
      <w:pPr>
        <w:pStyle w:val="ECHRParaSpaced"/>
        <w:ind w:firstLine="360"/>
        <w:rPr>
          <w:rFonts w:ascii="Arial" w:hAnsi="Arial" w:cs="Arial"/>
        </w:rPr>
      </w:pPr>
      <w:r w:rsidRPr="00E06877">
        <w:rPr>
          <w:rFonts w:ascii="Arial" w:hAnsi="Arial" w:cs="Arial"/>
        </w:rPr>
        <w:t xml:space="preserve">2. It is widely recognised that the right of an individual application is </w:t>
      </w:r>
      <w:r>
        <w:rPr>
          <w:rFonts w:ascii="Arial" w:hAnsi="Arial" w:cs="Arial"/>
        </w:rPr>
        <w:t>the</w:t>
      </w:r>
      <w:r w:rsidRPr="00E06877">
        <w:rPr>
          <w:rFonts w:ascii="Arial" w:hAnsi="Arial" w:cs="Arial"/>
        </w:rPr>
        <w:t xml:space="preserve"> cornerstone of the system </w:t>
      </w:r>
      <w:r>
        <w:rPr>
          <w:rFonts w:ascii="Arial" w:hAnsi="Arial" w:cs="Arial"/>
        </w:rPr>
        <w:t>of protection of</w:t>
      </w:r>
      <w:r w:rsidRPr="00E06877">
        <w:rPr>
          <w:rFonts w:ascii="Arial" w:hAnsi="Arial" w:cs="Arial"/>
        </w:rPr>
        <w:t xml:space="preserve"> the rights and freedoms set forth in the European Convention on Human Rights (the Convention). The inter-State application</w:t>
      </w:r>
      <w:r>
        <w:rPr>
          <w:rFonts w:ascii="Arial" w:hAnsi="Arial" w:cs="Arial"/>
        </w:rPr>
        <w:t xml:space="preserve"> is predicated on the legitimacy of States Parties action to bring before the Court any alleged breach of the Convention not only to protect the right and freedoms of individuals but also to vindicate the public order of Europe. </w:t>
      </w:r>
      <w:r w:rsidRPr="00E06877">
        <w:rPr>
          <w:rFonts w:ascii="Arial" w:hAnsi="Arial" w:cs="Arial"/>
        </w:rPr>
        <w:t xml:space="preserve">The subject-matter of inter-State applications </w:t>
      </w:r>
      <w:r>
        <w:rPr>
          <w:rFonts w:ascii="Arial" w:hAnsi="Arial" w:cs="Arial"/>
        </w:rPr>
        <w:t xml:space="preserve">before the Court </w:t>
      </w:r>
      <w:r w:rsidRPr="00E06877">
        <w:rPr>
          <w:rFonts w:ascii="Arial" w:hAnsi="Arial" w:cs="Arial"/>
        </w:rPr>
        <w:t xml:space="preserve">relates, albeit not exclusively, to particularly serious situations often involving allegations of largescale violations of the Convention. Through its case-law the Court has played a prominent role in guaranteeing a peaceful public order in Europe and addressing the responsibility of States, </w:t>
      </w:r>
      <w:r>
        <w:rPr>
          <w:rFonts w:ascii="Arial" w:hAnsi="Arial" w:cs="Arial"/>
        </w:rPr>
        <w:t>within the framework of the</w:t>
      </w:r>
      <w:r w:rsidRPr="00E06877">
        <w:rPr>
          <w:rFonts w:ascii="Arial" w:hAnsi="Arial" w:cs="Arial"/>
        </w:rPr>
        <w:t xml:space="preserve"> Convention. The Court’s case-law in inter-State cases is notable for being more extensive than </w:t>
      </w:r>
      <w:r>
        <w:rPr>
          <w:rFonts w:ascii="Arial" w:hAnsi="Arial" w:cs="Arial"/>
        </w:rPr>
        <w:t>the case-law</w:t>
      </w:r>
      <w:r w:rsidRPr="00E06877">
        <w:rPr>
          <w:rFonts w:ascii="Arial" w:hAnsi="Arial" w:cs="Arial"/>
        </w:rPr>
        <w:t xml:space="preserve"> under other human rights instruments. Hence, preserving the smooth functioning of the inter-State application as a distinct mode of Convention proceedings constitutes an intrinsic part of the shared responsibility of the States and of the Court to ensure the effective implementation of the Convention as well as the </w:t>
      </w:r>
      <w:r>
        <w:rPr>
          <w:rFonts w:ascii="Arial" w:hAnsi="Arial" w:cs="Arial"/>
        </w:rPr>
        <w:t>proper functioning</w:t>
      </w:r>
      <w:r w:rsidRPr="00E06877">
        <w:rPr>
          <w:rFonts w:ascii="Arial" w:hAnsi="Arial" w:cs="Arial"/>
        </w:rPr>
        <w:t xml:space="preserve"> of the system of the Convention.</w:t>
      </w:r>
    </w:p>
    <w:p w14:paraId="6A9270A9" w14:textId="77777777" w:rsidR="002218C4" w:rsidRPr="00A4296E" w:rsidRDefault="002218C4" w:rsidP="002218C4">
      <w:pPr>
        <w:pStyle w:val="ECHRParaSpaced"/>
        <w:ind w:firstLine="360"/>
        <w:rPr>
          <w:rFonts w:ascii="Arial" w:hAnsi="Arial" w:cs="Arial"/>
          <w:lang w:val="en-US"/>
        </w:rPr>
      </w:pPr>
      <w:r w:rsidRPr="00E06877">
        <w:rPr>
          <w:rFonts w:ascii="Arial" w:hAnsi="Arial" w:cs="Arial"/>
        </w:rPr>
        <w:t>3. In analysing questions</w:t>
      </w:r>
      <w:r>
        <w:rPr>
          <w:rFonts w:ascii="Arial" w:hAnsi="Arial" w:cs="Arial"/>
        </w:rPr>
        <w:t xml:space="preserve"> that have been</w:t>
      </w:r>
      <w:r w:rsidRPr="00E06877">
        <w:rPr>
          <w:rFonts w:ascii="Arial" w:hAnsi="Arial" w:cs="Arial"/>
        </w:rPr>
        <w:t xml:space="preserve"> raised regarding the processing in parallel of inter-State applications and individual applications related to inter-State cases or conflicts</w:t>
      </w:r>
      <w:r>
        <w:rPr>
          <w:rFonts w:ascii="Arial" w:hAnsi="Arial" w:cs="Arial"/>
        </w:rPr>
        <w:t>,</w:t>
      </w:r>
      <w:r w:rsidRPr="00E06877">
        <w:rPr>
          <w:rFonts w:ascii="Arial" w:hAnsi="Arial" w:cs="Arial"/>
        </w:rPr>
        <w:t xml:space="preserve"> this report takes a close look at the differences in </w:t>
      </w:r>
      <w:r>
        <w:rPr>
          <w:rFonts w:ascii="Arial" w:hAnsi="Arial" w:cs="Arial"/>
        </w:rPr>
        <w:t xml:space="preserve">admissibility </w:t>
      </w:r>
      <w:r w:rsidRPr="00E06877">
        <w:rPr>
          <w:rFonts w:ascii="Arial" w:hAnsi="Arial" w:cs="Arial"/>
        </w:rPr>
        <w:t xml:space="preserve">requirements applicable to these two types of applications. While noting that the </w:t>
      </w:r>
      <w:r w:rsidRPr="00E06877">
        <w:rPr>
          <w:rFonts w:ascii="Arial" w:hAnsi="Arial" w:cs="Arial"/>
          <w:lang w:val="en-US"/>
        </w:rPr>
        <w:t>Convention does not specifically deal with the issue of the correlation between inter-State applications and individual applications</w:t>
      </w:r>
      <w:r>
        <w:rPr>
          <w:rFonts w:ascii="Arial" w:hAnsi="Arial" w:cs="Arial"/>
          <w:lang w:val="en-US"/>
        </w:rPr>
        <w:t>, the</w:t>
      </w:r>
      <w:r w:rsidRPr="00E06877">
        <w:rPr>
          <w:rFonts w:ascii="Arial" w:hAnsi="Arial" w:cs="Arial"/>
          <w:lang w:val="en-US"/>
        </w:rPr>
        <w:t xml:space="preserve"> </w:t>
      </w:r>
      <w:r w:rsidRPr="00E06877">
        <w:rPr>
          <w:rFonts w:ascii="Arial" w:hAnsi="Arial" w:cs="Arial"/>
        </w:rPr>
        <w:t>report</w:t>
      </w:r>
      <w:r w:rsidRPr="00E06877">
        <w:rPr>
          <w:rFonts w:ascii="Arial" w:hAnsi="Arial" w:cs="Arial"/>
          <w:lang w:val="en-US"/>
        </w:rPr>
        <w:t xml:space="preserve"> emphasizes that t</w:t>
      </w:r>
      <w:r w:rsidRPr="00E06877">
        <w:rPr>
          <w:rFonts w:ascii="Arial" w:hAnsi="Arial" w:cs="Arial"/>
        </w:rPr>
        <w:t xml:space="preserve">he lower admissibility requirements applicable to the inter-State application reflect the distinct features of this application which are enshrined in the Convention and recognised by the Court in its case-law. This part of the </w:t>
      </w:r>
      <w:r>
        <w:rPr>
          <w:rFonts w:ascii="Arial" w:hAnsi="Arial" w:cs="Arial"/>
        </w:rPr>
        <w:t>r</w:t>
      </w:r>
      <w:r w:rsidRPr="00E06877">
        <w:rPr>
          <w:rFonts w:ascii="Arial" w:hAnsi="Arial" w:cs="Arial"/>
        </w:rPr>
        <w:t>eport also highlights the Court’s practice</w:t>
      </w:r>
      <w:r>
        <w:rPr>
          <w:rFonts w:ascii="Arial" w:hAnsi="Arial" w:cs="Arial"/>
        </w:rPr>
        <w:t>s</w:t>
      </w:r>
      <w:r w:rsidRPr="00E06877">
        <w:rPr>
          <w:rFonts w:ascii="Arial" w:hAnsi="Arial" w:cs="Arial"/>
        </w:rPr>
        <w:t xml:space="preserve"> of prioritising inter-State applications without putting aside the examination of individual applications</w:t>
      </w:r>
      <w:r>
        <w:rPr>
          <w:rFonts w:ascii="Arial" w:hAnsi="Arial" w:cs="Arial"/>
        </w:rPr>
        <w:t xml:space="preserve">. It also </w:t>
      </w:r>
      <w:r w:rsidRPr="00E06877">
        <w:rPr>
          <w:rFonts w:ascii="Arial" w:hAnsi="Arial" w:cs="Arial"/>
        </w:rPr>
        <w:t>provides an overview of how the Court addresses the relationship between inter-State cases and individual cases on a substantive level, notably in respect of establishing the existence of an administrative practice in contravention of the Convention.</w:t>
      </w:r>
    </w:p>
    <w:p w14:paraId="0EF8E8BD" w14:textId="77777777" w:rsidR="002218C4" w:rsidRPr="00E06877" w:rsidRDefault="002218C4" w:rsidP="002218C4">
      <w:pPr>
        <w:pStyle w:val="ECHRParaSpaced"/>
        <w:ind w:firstLine="360"/>
        <w:rPr>
          <w:rFonts w:ascii="Arial" w:hAnsi="Arial" w:cs="Arial"/>
          <w:bCs/>
          <w:color w:val="000000"/>
          <w:lang w:val="en-US"/>
        </w:rPr>
      </w:pPr>
      <w:r w:rsidRPr="00A4296E">
        <w:rPr>
          <w:rFonts w:ascii="Arial" w:hAnsi="Arial" w:cs="Arial"/>
          <w:lang w:val="en-US"/>
        </w:rPr>
        <w:t xml:space="preserve">4. The examination of inter-State applications or individual applications relating to inter-State cases or conflicts in parallel by the Court and other international bodies may potentially lead to </w:t>
      </w:r>
      <w:r w:rsidRPr="00EF3AFD">
        <w:rPr>
          <w:rFonts w:ascii="Arial" w:hAnsi="Arial" w:cs="Arial"/>
          <w:lang w:val="en-US"/>
        </w:rPr>
        <w:t>contradictory results concerning human rights</w:t>
      </w:r>
      <w:r w:rsidRPr="00A4296E">
        <w:rPr>
          <w:rFonts w:ascii="Arial" w:hAnsi="Arial" w:cs="Arial"/>
          <w:lang w:val="en-US"/>
        </w:rPr>
        <w:t xml:space="preserve"> obligations set forth in the Convention and obligations arising from other international human rights instruments. Ultimately this could create legal uncertainty for States as to how they can respect their international </w:t>
      </w:r>
      <w:r w:rsidRPr="00E06877">
        <w:rPr>
          <w:rFonts w:ascii="Arial" w:hAnsi="Arial" w:cs="Arial"/>
          <w:color w:val="000000"/>
          <w:lang w:val="en-US"/>
        </w:rPr>
        <w:t xml:space="preserve">human rights obligations and for individuals as regards the exact scope of their rights. It may also potentially threaten the coherence of human rights law and the credibility of human rights institutions. While the analysis of the relevant case-law of the Court </w:t>
      </w:r>
      <w:r w:rsidRPr="00E06877">
        <w:rPr>
          <w:rFonts w:ascii="Arial" w:hAnsi="Arial" w:cs="Arial"/>
        </w:rPr>
        <w:t xml:space="preserve">reveals that few cases relating to inter-State disputes and concerning the same events or subject-matter have been </w:t>
      </w:r>
      <w:r w:rsidRPr="00E06877">
        <w:rPr>
          <w:rFonts w:ascii="Arial" w:hAnsi="Arial" w:cs="Arial"/>
        </w:rPr>
        <w:lastRenderedPageBreak/>
        <w:t xml:space="preserve">brought in parallel before the Court and other international bodies or have in fact led to diverging or conflicting decisions, the </w:t>
      </w:r>
      <w:r>
        <w:rPr>
          <w:rFonts w:ascii="Arial" w:hAnsi="Arial" w:cs="Arial"/>
        </w:rPr>
        <w:t>risk</w:t>
      </w:r>
      <w:r w:rsidRPr="00E06877">
        <w:rPr>
          <w:rFonts w:ascii="Arial" w:hAnsi="Arial" w:cs="Arial"/>
        </w:rPr>
        <w:t xml:space="preserve"> of such decisions is not to be excluded</w:t>
      </w:r>
      <w:r>
        <w:rPr>
          <w:rFonts w:ascii="Arial" w:hAnsi="Arial" w:cs="Arial"/>
        </w:rPr>
        <w:t>.</w:t>
      </w:r>
    </w:p>
    <w:p w14:paraId="7E0554A7" w14:textId="77777777" w:rsidR="002218C4" w:rsidRPr="00E06877" w:rsidRDefault="002218C4" w:rsidP="002218C4">
      <w:pPr>
        <w:pStyle w:val="Sansinterligne"/>
        <w:ind w:firstLine="360"/>
        <w:jc w:val="both"/>
        <w:rPr>
          <w:rFonts w:ascii="Arial" w:hAnsi="Arial" w:cs="Arial"/>
          <w:sz w:val="22"/>
          <w:szCs w:val="22"/>
          <w:lang w:val="en-US"/>
        </w:rPr>
      </w:pPr>
      <w:r w:rsidRPr="0031685F">
        <w:rPr>
          <w:rFonts w:ascii="Arial" w:hAnsi="Arial" w:cs="Arial"/>
          <w:sz w:val="22"/>
          <w:szCs w:val="22"/>
          <w:lang w:val="en-GB"/>
        </w:rPr>
        <w:t xml:space="preserve">5. </w:t>
      </w:r>
      <w:r>
        <w:rPr>
          <w:rFonts w:ascii="Arial" w:hAnsi="Arial" w:cs="Arial"/>
          <w:sz w:val="22"/>
          <w:szCs w:val="22"/>
          <w:lang w:val="en-GB"/>
        </w:rPr>
        <w:t>The</w:t>
      </w:r>
      <w:r w:rsidRPr="0031685F">
        <w:rPr>
          <w:rFonts w:ascii="Arial" w:hAnsi="Arial" w:cs="Arial"/>
          <w:sz w:val="22"/>
          <w:szCs w:val="22"/>
          <w:lang w:val="en-GB"/>
        </w:rPr>
        <w:t xml:space="preserve"> report </w:t>
      </w:r>
      <w:r>
        <w:rPr>
          <w:rFonts w:ascii="Arial" w:hAnsi="Arial" w:cs="Arial"/>
          <w:sz w:val="22"/>
          <w:szCs w:val="22"/>
          <w:lang w:val="en-GB"/>
        </w:rPr>
        <w:t>focuses in particular on</w:t>
      </w:r>
      <w:r w:rsidRPr="0031685F">
        <w:rPr>
          <w:rFonts w:ascii="Arial" w:hAnsi="Arial" w:cs="Arial"/>
          <w:sz w:val="22"/>
          <w:szCs w:val="22"/>
          <w:lang w:val="en-GB"/>
        </w:rPr>
        <w:t xml:space="preserve"> a number of challenges relating to the establishment of the facts which are specific to the processing and resolution of inter-State cases and related individual applications. These challenges relate to the obtaining of necessary evidence </w:t>
      </w:r>
      <w:r w:rsidRPr="0031685F">
        <w:rPr>
          <w:rFonts w:ascii="Arial" w:hAnsi="Arial" w:cs="Arial"/>
          <w:i/>
          <w:sz w:val="22"/>
          <w:szCs w:val="22"/>
          <w:lang w:val="en-GB"/>
        </w:rPr>
        <w:t>inter alia</w:t>
      </w:r>
      <w:r w:rsidRPr="0031685F">
        <w:rPr>
          <w:rFonts w:ascii="Arial" w:hAnsi="Arial" w:cs="Arial"/>
          <w:sz w:val="22"/>
          <w:szCs w:val="22"/>
          <w:lang w:val="en-GB"/>
        </w:rPr>
        <w:t xml:space="preserve"> by fact-finding missions, witness hearings and a variety of different sources of information as well as the assessment of the evidence before the Court. The analysis of the case-law of the Court with regard to the standard of proof and its fact-finding functions emphasises the principle that issues of admissibility of evidence and the establishment of the facts remain exclusively within the competence of the Court. On the other hand, States should </w:t>
      </w:r>
      <w:proofErr w:type="gramStart"/>
      <w:r w:rsidRPr="0031685F">
        <w:rPr>
          <w:rFonts w:ascii="Arial" w:hAnsi="Arial" w:cs="Arial"/>
          <w:sz w:val="22"/>
          <w:szCs w:val="22"/>
          <w:lang w:val="en-GB"/>
        </w:rPr>
        <w:t>give consideration to</w:t>
      </w:r>
      <w:proofErr w:type="gramEnd"/>
      <w:r w:rsidRPr="0031685F">
        <w:rPr>
          <w:rFonts w:ascii="Arial" w:hAnsi="Arial" w:cs="Arial"/>
          <w:sz w:val="22"/>
          <w:szCs w:val="22"/>
          <w:lang w:val="en-GB"/>
        </w:rPr>
        <w:t xml:space="preserve"> the question </w:t>
      </w:r>
      <w:r>
        <w:rPr>
          <w:rFonts w:ascii="Arial" w:hAnsi="Arial" w:cs="Arial"/>
          <w:sz w:val="22"/>
          <w:szCs w:val="22"/>
          <w:lang w:val="en-GB"/>
        </w:rPr>
        <w:t xml:space="preserve">of </w:t>
      </w:r>
      <w:r w:rsidRPr="0031685F">
        <w:rPr>
          <w:rFonts w:ascii="Arial" w:hAnsi="Arial" w:cs="Arial"/>
          <w:sz w:val="22"/>
          <w:szCs w:val="22"/>
          <w:lang w:val="en-GB"/>
        </w:rPr>
        <w:t xml:space="preserve">how to enhance the ways they fulfil their obligation to co-operate with the Court, notably as regards facilitating the Court’s on-the-spot investigations and ensuring witnesses’ attendance of Court hearings. </w:t>
      </w:r>
    </w:p>
    <w:p w14:paraId="2D8D7B23" w14:textId="77777777" w:rsidR="002218C4" w:rsidRPr="00E06877" w:rsidRDefault="002218C4" w:rsidP="002218C4">
      <w:pPr>
        <w:pStyle w:val="ECHRParaSpaced"/>
        <w:ind w:firstLine="360"/>
        <w:rPr>
          <w:rStyle w:val="sb8d990e2"/>
          <w:rFonts w:ascii="Arial" w:hAnsi="Arial" w:cs="Arial"/>
        </w:rPr>
      </w:pPr>
      <w:r w:rsidRPr="00E06877">
        <w:rPr>
          <w:rFonts w:ascii="Arial" w:hAnsi="Arial" w:cs="Arial"/>
        </w:rPr>
        <w:t xml:space="preserve">6. </w:t>
      </w:r>
      <w:r w:rsidRPr="00E06877">
        <w:rPr>
          <w:rFonts w:ascii="Arial" w:hAnsi="Arial" w:cs="Arial"/>
          <w:bCs/>
        </w:rPr>
        <w:t xml:space="preserve">Article 41 of the Convention provides that just satisfaction is afforded to the injured </w:t>
      </w:r>
      <w:r w:rsidRPr="00C2630F">
        <w:rPr>
          <w:rFonts w:ascii="Arial" w:hAnsi="Arial" w:cs="Arial"/>
          <w:bCs/>
        </w:rPr>
        <w:t>pa</w:t>
      </w:r>
      <w:r w:rsidRPr="00C2630F">
        <w:rPr>
          <w:rStyle w:val="sb8d990e2"/>
          <w:rFonts w:ascii="Arial" w:hAnsi="Arial" w:cs="Arial"/>
        </w:rPr>
        <w:t>rty. According</w:t>
      </w:r>
      <w:r w:rsidRPr="00E06877">
        <w:rPr>
          <w:rStyle w:val="sb8d990e2"/>
          <w:rFonts w:ascii="Arial" w:hAnsi="Arial" w:cs="Arial"/>
        </w:rPr>
        <w:t xml:space="preserve"> to the case-law of the Court in inter-State cases, it is the individual, and not the State, who is directly or indirectly harmed and primarily injured by a violation of one or several Convention rights. Practical difficulties encountered by the Court </w:t>
      </w:r>
      <w:r>
        <w:rPr>
          <w:rStyle w:val="sb8d990e2"/>
          <w:rFonts w:ascii="Arial" w:hAnsi="Arial" w:cs="Arial"/>
        </w:rPr>
        <w:t xml:space="preserve">in the context of awarding just satisfaction </w:t>
      </w:r>
      <w:r w:rsidRPr="00E06877">
        <w:rPr>
          <w:rStyle w:val="sb8d990e2"/>
          <w:rFonts w:ascii="Arial" w:hAnsi="Arial" w:cs="Arial"/>
        </w:rPr>
        <w:t xml:space="preserve">relate to the identification of victims when </w:t>
      </w:r>
      <w:r w:rsidRPr="00E06877">
        <w:rPr>
          <w:rStyle w:val="sb8d990e2"/>
          <w:rFonts w:ascii="Arial" w:hAnsi="Arial" w:cs="Arial"/>
          <w:bCs/>
        </w:rPr>
        <w:t>a large number of individuals is</w:t>
      </w:r>
      <w:r w:rsidRPr="00E06877">
        <w:rPr>
          <w:rStyle w:val="sb8d990e2"/>
          <w:rFonts w:ascii="Arial" w:hAnsi="Arial" w:cs="Arial"/>
        </w:rPr>
        <w:t xml:space="preserve"> involved, which in turn increases the risk of awarding just satisfaction to individuals who may not be eligible for such an award. Questions are also raised regarding potential double recovery when inter-State applications and related individual applications are processed in parallel. </w:t>
      </w:r>
      <w:r w:rsidRPr="00E06877">
        <w:rPr>
          <w:rFonts w:ascii="Arial" w:hAnsi="Arial" w:cs="Arial"/>
        </w:rPr>
        <w:t xml:space="preserve">Moreover, there is often a time gap between the judgment on the merits and the one on just satisfaction. The </w:t>
      </w:r>
      <w:r>
        <w:rPr>
          <w:rFonts w:ascii="Arial" w:hAnsi="Arial" w:cs="Arial"/>
        </w:rPr>
        <w:t>r</w:t>
      </w:r>
      <w:r w:rsidRPr="00E06877">
        <w:rPr>
          <w:rFonts w:ascii="Arial" w:hAnsi="Arial" w:cs="Arial"/>
        </w:rPr>
        <w:t xml:space="preserve">eport addresses these questions from the perspective of </w:t>
      </w:r>
      <w:r>
        <w:rPr>
          <w:rFonts w:ascii="Arial" w:hAnsi="Arial" w:cs="Arial"/>
        </w:rPr>
        <w:t xml:space="preserve">the </w:t>
      </w:r>
      <w:r w:rsidRPr="00E06877">
        <w:rPr>
          <w:rFonts w:ascii="Arial" w:hAnsi="Arial" w:cs="Arial"/>
        </w:rPr>
        <w:t xml:space="preserve">Court’s relevant case law and its practice. </w:t>
      </w:r>
      <w:r w:rsidRPr="00E06877">
        <w:rPr>
          <w:rStyle w:val="sb8d990e2"/>
          <w:rFonts w:ascii="Arial" w:hAnsi="Arial" w:cs="Arial"/>
        </w:rPr>
        <w:t xml:space="preserve">  </w:t>
      </w:r>
    </w:p>
    <w:p w14:paraId="27B9B9EB" w14:textId="77777777" w:rsidR="002218C4" w:rsidRPr="00E06877" w:rsidRDefault="002218C4" w:rsidP="002218C4">
      <w:pPr>
        <w:pStyle w:val="ECHRParaSpaced"/>
        <w:ind w:firstLine="360"/>
        <w:rPr>
          <w:rFonts w:ascii="Arial" w:hAnsi="Arial" w:cs="Arial"/>
          <w:shd w:val="clear" w:color="auto" w:fill="FFFFFF" w:themeFill="background1"/>
          <w:lang w:val="en-US"/>
        </w:rPr>
      </w:pPr>
      <w:r w:rsidRPr="00E06877">
        <w:rPr>
          <w:rStyle w:val="sb8d990e2"/>
          <w:rFonts w:ascii="Arial" w:hAnsi="Arial" w:cs="Arial"/>
        </w:rPr>
        <w:t xml:space="preserve">7. </w:t>
      </w:r>
      <w:r>
        <w:rPr>
          <w:rStyle w:val="sb8d990e2"/>
          <w:rFonts w:ascii="Arial" w:hAnsi="Arial" w:cs="Arial"/>
        </w:rPr>
        <w:t>Finally, t</w:t>
      </w:r>
      <w:r w:rsidRPr="00E06877">
        <w:rPr>
          <w:rStyle w:val="sb8d990e2"/>
          <w:rFonts w:ascii="Arial" w:hAnsi="Arial" w:cs="Arial"/>
        </w:rPr>
        <w:t xml:space="preserve">he report </w:t>
      </w:r>
      <w:r>
        <w:rPr>
          <w:rStyle w:val="sb8d990e2"/>
          <w:rFonts w:ascii="Arial" w:hAnsi="Arial" w:cs="Arial"/>
        </w:rPr>
        <w:t xml:space="preserve">also </w:t>
      </w:r>
      <w:r w:rsidRPr="00E06877">
        <w:rPr>
          <w:rStyle w:val="sb8d990e2"/>
          <w:rFonts w:ascii="Arial" w:hAnsi="Arial" w:cs="Arial"/>
        </w:rPr>
        <w:t>looks at friendly settlement as a possible mechanism for resolving inter-State cases. While the Court’s practice in this respect is</w:t>
      </w:r>
      <w:r>
        <w:rPr>
          <w:rStyle w:val="sb8d990e2"/>
          <w:rFonts w:ascii="Arial" w:hAnsi="Arial" w:cs="Arial"/>
        </w:rPr>
        <w:t xml:space="preserve"> </w:t>
      </w:r>
      <w:r w:rsidRPr="00F72000">
        <w:rPr>
          <w:rStyle w:val="sb8d990e2"/>
          <w:rFonts w:ascii="Arial" w:hAnsi="Arial" w:cs="Arial"/>
        </w:rPr>
        <w:t>scarce</w:t>
      </w:r>
      <w:r>
        <w:rPr>
          <w:rStyle w:val="sb8d990e2"/>
          <w:rFonts w:ascii="Arial" w:hAnsi="Arial" w:cs="Arial"/>
        </w:rPr>
        <w:t>,</w:t>
      </w:r>
      <w:r w:rsidRPr="00E06877">
        <w:rPr>
          <w:rStyle w:val="sb8d990e2"/>
          <w:rFonts w:ascii="Arial" w:hAnsi="Arial" w:cs="Arial"/>
        </w:rPr>
        <w:t xml:space="preserve"> the friendly settlement of individual applications has grown and shown some positive results in the last couple of years. This experience reveals distinct features of the mechanism such as its consensual approach and the confidential nature of negotiations which may offer </w:t>
      </w:r>
      <w:r w:rsidRPr="00E06877">
        <w:rPr>
          <w:rFonts w:ascii="Arial" w:hAnsi="Arial" w:cs="Arial"/>
          <w:shd w:val="clear" w:color="auto" w:fill="FFFFFF" w:themeFill="background1"/>
          <w:lang w:val="en-US"/>
        </w:rPr>
        <w:t xml:space="preserve">opportunities not only for adopting a large variety of measures to remedy the alleged violations of the Convention and provide redress to the victims but also for taking measures that may have a wide impact on society in terms of effecting change and promoting compliance with the Convention. </w:t>
      </w:r>
    </w:p>
    <w:p w14:paraId="1B1E3BCC" w14:textId="77777777" w:rsidR="002218C4" w:rsidRPr="00080BB7" w:rsidRDefault="002218C4" w:rsidP="002218C4">
      <w:pPr>
        <w:pStyle w:val="Titre1"/>
        <w:numPr>
          <w:ilvl w:val="0"/>
          <w:numId w:val="16"/>
        </w:numPr>
        <w:spacing w:before="480"/>
        <w:rPr>
          <w:rFonts w:ascii="Arial" w:hAnsi="Arial" w:cs="Arial"/>
          <w:b/>
          <w:bCs/>
          <w:sz w:val="24"/>
          <w:szCs w:val="24"/>
          <w:lang w:val="en-GB"/>
        </w:rPr>
      </w:pPr>
      <w:bookmarkStart w:id="7" w:name="_Toc45123252"/>
      <w:bookmarkStart w:id="8" w:name="_Toc83293360"/>
      <w:r w:rsidRPr="00080BB7">
        <w:rPr>
          <w:rFonts w:ascii="Arial" w:hAnsi="Arial" w:cs="Arial"/>
          <w:b/>
          <w:bCs/>
          <w:sz w:val="24"/>
          <w:szCs w:val="24"/>
          <w:lang w:val="en-GB"/>
        </w:rPr>
        <w:t>THE MANDATE OF DH-SYSC-IV</w:t>
      </w:r>
      <w:bookmarkEnd w:id="7"/>
      <w:bookmarkEnd w:id="8"/>
    </w:p>
    <w:p w14:paraId="71E8C943" w14:textId="77777777" w:rsidR="002218C4" w:rsidRPr="00565B1D" w:rsidRDefault="002218C4" w:rsidP="002218C4">
      <w:pPr>
        <w:pStyle w:val="Sansinterligne"/>
        <w:rPr>
          <w:lang w:val="en-GB"/>
        </w:rPr>
      </w:pPr>
    </w:p>
    <w:p w14:paraId="0A7E0C79" w14:textId="77777777" w:rsidR="002218C4" w:rsidRDefault="002218C4" w:rsidP="002218C4">
      <w:pPr>
        <w:pStyle w:val="ECHRParaSpaced"/>
        <w:ind w:firstLine="360"/>
        <w:rPr>
          <w:rFonts w:ascii="Arial" w:eastAsia="Calibri" w:hAnsi="Arial" w:cs="Arial"/>
          <w:bCs/>
        </w:rPr>
      </w:pPr>
      <w:r w:rsidRPr="00E06877">
        <w:rPr>
          <w:rFonts w:ascii="Arial" w:eastAsia="Calibri" w:hAnsi="Arial" w:cs="Arial"/>
          <w:bCs/>
        </w:rPr>
        <w:t>8. Following the Declaration adopted by the</w:t>
      </w:r>
      <w:r w:rsidRPr="00E06877">
        <w:rPr>
          <w:rFonts w:ascii="Arial" w:hAnsi="Arial" w:cs="Arial"/>
        </w:rPr>
        <w:t xml:space="preserve"> High Level Conference meeting in Copenhagen (12 and 13 April 2018, the </w:t>
      </w:r>
      <w:hyperlink r:id="rId26" w:history="1">
        <w:r w:rsidRPr="00E06877">
          <w:rPr>
            <w:rStyle w:val="Lienhypertexte"/>
            <w:rFonts w:ascii="Arial" w:hAnsi="Arial" w:cs="Arial"/>
          </w:rPr>
          <w:t>Copenhagen Declaration</w:t>
        </w:r>
      </w:hyperlink>
      <w:r w:rsidRPr="00E06877">
        <w:rPr>
          <w:rStyle w:val="Lienhypertexte"/>
          <w:rFonts w:ascii="Arial" w:hAnsi="Arial" w:cs="Arial"/>
        </w:rPr>
        <w:t>)</w:t>
      </w:r>
      <w:r w:rsidRPr="00E06877">
        <w:rPr>
          <w:rFonts w:ascii="Arial" w:eastAsia="Calibri" w:hAnsi="Arial" w:cs="Arial"/>
          <w:bCs/>
        </w:rPr>
        <w:t>, the Ministers’ Deputies, at their 1317</w:t>
      </w:r>
      <w:r w:rsidRPr="00E06877">
        <w:rPr>
          <w:rFonts w:ascii="Arial" w:eastAsia="Calibri" w:hAnsi="Arial" w:cs="Arial"/>
          <w:bCs/>
          <w:vertAlign w:val="superscript"/>
        </w:rPr>
        <w:t>th</w:t>
      </w:r>
      <w:r w:rsidRPr="00E06877">
        <w:rPr>
          <w:rFonts w:ascii="Arial" w:eastAsia="Calibri" w:hAnsi="Arial" w:cs="Arial"/>
          <w:bCs/>
        </w:rPr>
        <w:t xml:space="preserve"> meeting (30 May 2018), invited the CDDH to include in its report </w:t>
      </w:r>
      <w:bookmarkStart w:id="9" w:name="_Toc532314089"/>
      <w:r w:rsidRPr="00E06877">
        <w:rPr>
          <w:rFonts w:ascii="Arial" w:eastAsia="Calibri" w:hAnsi="Arial" w:cs="Arial"/>
          <w:bCs/>
        </w:rPr>
        <w:t>“Contribution to the evaluation provided for by the Interlaken Declaration</w:t>
      </w:r>
      <w:bookmarkEnd w:id="9"/>
      <w:r w:rsidRPr="00E06877">
        <w:rPr>
          <w:rFonts w:ascii="Arial" w:eastAsia="Calibri" w:hAnsi="Arial" w:cs="Arial"/>
          <w:bCs/>
        </w:rPr>
        <w:t>”</w:t>
      </w:r>
      <w:r w:rsidRPr="00E06877">
        <w:rPr>
          <w:rStyle w:val="Appelnotedebasdep"/>
          <w:rFonts w:ascii="Arial" w:eastAsia="Calibri" w:hAnsi="Arial" w:cs="Arial"/>
          <w:bCs/>
        </w:rPr>
        <w:footnoteReference w:id="1"/>
      </w:r>
      <w:r w:rsidRPr="00E06877">
        <w:rPr>
          <w:rFonts w:ascii="Arial" w:eastAsia="Calibri" w:hAnsi="Arial" w:cs="Arial"/>
          <w:bCs/>
        </w:rPr>
        <w:t xml:space="preserve"> among other elements “proposals on how to handle more effectively cases related to inter-State disputes, as well as individual applications arising from situations of conflict between States, without thereby limiting the jurisdiction of the Court, taking into account the specific features of these categories of cases, </w:t>
      </w:r>
      <w:r w:rsidRPr="00E06877">
        <w:rPr>
          <w:rFonts w:ascii="Arial" w:eastAsia="Calibri" w:hAnsi="Arial" w:cs="Arial"/>
          <w:bCs/>
          <w:i/>
          <w:iCs/>
        </w:rPr>
        <w:t>inter alia</w:t>
      </w:r>
      <w:r w:rsidRPr="00E06877">
        <w:rPr>
          <w:rFonts w:ascii="Arial" w:eastAsia="Calibri" w:hAnsi="Arial" w:cs="Arial"/>
          <w:bCs/>
        </w:rPr>
        <w:t xml:space="preserve"> regarding the establishment of facts”.</w:t>
      </w:r>
      <w:r w:rsidRPr="00E06877">
        <w:rPr>
          <w:rStyle w:val="Appelnotedebasdep"/>
          <w:rFonts w:ascii="Arial" w:eastAsia="Calibri" w:hAnsi="Arial" w:cs="Arial"/>
          <w:bCs/>
        </w:rPr>
        <w:footnoteReference w:id="2"/>
      </w:r>
      <w:r w:rsidRPr="00E06877">
        <w:rPr>
          <w:rFonts w:ascii="Arial" w:eastAsia="Calibri" w:hAnsi="Arial" w:cs="Arial"/>
          <w:bCs/>
        </w:rPr>
        <w:t xml:space="preserve"> </w:t>
      </w:r>
    </w:p>
    <w:p w14:paraId="20B13E9F" w14:textId="77777777" w:rsidR="002218C4" w:rsidRPr="00E06877" w:rsidRDefault="002218C4" w:rsidP="002218C4">
      <w:pPr>
        <w:pStyle w:val="ECHRParaSpaced"/>
        <w:ind w:firstLine="360"/>
        <w:rPr>
          <w:rFonts w:ascii="Arial" w:eastAsia="Calibri" w:hAnsi="Arial" w:cs="Arial"/>
          <w:bCs/>
        </w:rPr>
      </w:pPr>
      <w:r w:rsidRPr="00E06877">
        <w:rPr>
          <w:rFonts w:ascii="Arial" w:eastAsia="Calibri" w:hAnsi="Arial" w:cs="Arial"/>
          <w:bCs/>
        </w:rPr>
        <w:t xml:space="preserve">9. </w:t>
      </w:r>
      <w:r w:rsidRPr="00E06877">
        <w:rPr>
          <w:rFonts w:ascii="Arial" w:hAnsi="Arial" w:cs="Arial"/>
          <w:bCs/>
        </w:rPr>
        <w:t>At its 91</w:t>
      </w:r>
      <w:r w:rsidRPr="00E06877">
        <w:rPr>
          <w:rFonts w:ascii="Arial" w:hAnsi="Arial" w:cs="Arial"/>
          <w:bCs/>
          <w:vertAlign w:val="superscript"/>
        </w:rPr>
        <w:t>st</w:t>
      </w:r>
      <w:r w:rsidRPr="00E06877">
        <w:rPr>
          <w:rFonts w:ascii="Arial" w:hAnsi="Arial" w:cs="Arial"/>
          <w:bCs/>
        </w:rPr>
        <w:t xml:space="preserve"> meeting (18-21 June 2019), the CDDH had an in-depth exchange of views on the </w:t>
      </w:r>
      <w:r w:rsidRPr="00E06877">
        <w:rPr>
          <w:rFonts w:ascii="Arial" w:hAnsi="Arial" w:cs="Arial"/>
        </w:rPr>
        <w:t xml:space="preserve">Draft elements resulting from the Copenhagen Declaration concerning inter-State applications which were reflected in the </w:t>
      </w:r>
      <w:r w:rsidRPr="00E06877">
        <w:rPr>
          <w:rFonts w:ascii="Arial" w:hAnsi="Arial" w:cs="Arial"/>
          <w:i/>
          <w:iCs/>
        </w:rPr>
        <w:t xml:space="preserve">Contribution of the CDDH to the evaluation provided </w:t>
      </w:r>
      <w:r w:rsidRPr="00E06877">
        <w:rPr>
          <w:rFonts w:ascii="Arial" w:hAnsi="Arial" w:cs="Arial"/>
          <w:i/>
          <w:iCs/>
        </w:rPr>
        <w:lastRenderedPageBreak/>
        <w:t>for in the Interlaken Declaration</w:t>
      </w:r>
      <w:r w:rsidRPr="00E06877">
        <w:rPr>
          <w:rFonts w:ascii="Arial" w:hAnsi="Arial" w:cs="Arial"/>
          <w:bCs/>
          <w:vertAlign w:val="superscript"/>
        </w:rPr>
        <w:footnoteReference w:id="3"/>
      </w:r>
      <w:r w:rsidRPr="00E06877">
        <w:rPr>
          <w:rFonts w:ascii="Arial" w:hAnsi="Arial" w:cs="Arial"/>
          <w:bCs/>
        </w:rPr>
        <w:t xml:space="preserve"> on the basis of a (</w:t>
      </w:r>
      <w:proofErr w:type="spellStart"/>
      <w:r w:rsidRPr="00E06877">
        <w:rPr>
          <w:rFonts w:ascii="Arial" w:hAnsi="Arial" w:cs="Arial"/>
          <w:bCs/>
        </w:rPr>
        <w:t>i</w:t>
      </w:r>
      <w:proofErr w:type="spellEnd"/>
      <w:r w:rsidRPr="00E06877">
        <w:rPr>
          <w:rFonts w:ascii="Arial" w:hAnsi="Arial" w:cs="Arial"/>
          <w:bCs/>
        </w:rPr>
        <w:t>) document prepared by its Bureau</w:t>
      </w:r>
      <w:r w:rsidRPr="00E06877">
        <w:rPr>
          <w:rFonts w:ascii="Arial" w:hAnsi="Arial" w:cs="Arial"/>
          <w:bCs/>
          <w:vertAlign w:val="superscript"/>
        </w:rPr>
        <w:footnoteReference w:id="4"/>
      </w:r>
      <w:r w:rsidRPr="00E06877">
        <w:rPr>
          <w:rFonts w:ascii="Arial" w:hAnsi="Arial" w:cs="Arial"/>
          <w:bCs/>
        </w:rPr>
        <w:t xml:space="preserve"> (ii) contributions made by the member States prior to this meeting,</w:t>
      </w:r>
      <w:r w:rsidRPr="00E06877">
        <w:rPr>
          <w:rFonts w:ascii="Arial" w:hAnsi="Arial" w:cs="Arial"/>
          <w:bCs/>
          <w:vertAlign w:val="superscript"/>
        </w:rPr>
        <w:footnoteReference w:id="5"/>
      </w:r>
      <w:r w:rsidRPr="00E06877">
        <w:rPr>
          <w:rFonts w:ascii="Arial" w:hAnsi="Arial" w:cs="Arial"/>
          <w:bCs/>
        </w:rPr>
        <w:t xml:space="preserve"> and (iii) a report by the Plenary Court </w:t>
      </w:r>
      <w:r w:rsidRPr="00E06877">
        <w:rPr>
          <w:rFonts w:ascii="Arial" w:hAnsi="Arial" w:cs="Arial"/>
          <w:bCs/>
          <w:iCs/>
        </w:rPr>
        <w:t>on “Proposals for a more efficient processing of inter-State cases” submitted to the CDDH.</w:t>
      </w:r>
      <w:r w:rsidRPr="00E06877">
        <w:rPr>
          <w:rFonts w:ascii="Arial" w:hAnsi="Arial" w:cs="Arial"/>
          <w:bCs/>
          <w:iCs/>
          <w:vertAlign w:val="superscript"/>
        </w:rPr>
        <w:footnoteReference w:id="6"/>
      </w:r>
      <w:r w:rsidRPr="00E06877">
        <w:rPr>
          <w:rFonts w:ascii="Arial" w:hAnsi="Arial" w:cs="Arial"/>
          <w:bCs/>
          <w:iCs/>
        </w:rPr>
        <w:t xml:space="preserve"> The CDDH did not, at that stage, adopt a text on the subject matter.</w:t>
      </w:r>
      <w:r w:rsidRPr="00E06877">
        <w:rPr>
          <w:rFonts w:ascii="Arial" w:hAnsi="Arial" w:cs="Arial"/>
          <w:bCs/>
          <w:iCs/>
          <w:vertAlign w:val="superscript"/>
        </w:rPr>
        <w:footnoteReference w:id="7"/>
      </w:r>
      <w:r w:rsidRPr="00E06877">
        <w:rPr>
          <w:rFonts w:ascii="Arial" w:hAnsi="Arial" w:cs="Arial"/>
          <w:bCs/>
          <w:iCs/>
        </w:rPr>
        <w:t xml:space="preserve">  It decided to take up this point again at its next meeting in the light of the proposals by the Committee of Experts on the System of the European Convention on Human Rights (DH-SYSC).</w:t>
      </w:r>
      <w:r w:rsidRPr="00E06877">
        <w:rPr>
          <w:rFonts w:ascii="Arial" w:hAnsi="Arial" w:cs="Arial"/>
          <w:bCs/>
          <w:vertAlign w:val="superscript"/>
        </w:rPr>
        <w:t xml:space="preserve"> </w:t>
      </w:r>
      <w:r w:rsidRPr="00E06877">
        <w:rPr>
          <w:rFonts w:ascii="Arial" w:hAnsi="Arial" w:cs="Arial"/>
          <w:bCs/>
          <w:vertAlign w:val="superscript"/>
        </w:rPr>
        <w:footnoteReference w:id="8"/>
      </w:r>
      <w:r w:rsidRPr="00E06877">
        <w:rPr>
          <w:rFonts w:ascii="Arial" w:hAnsi="Arial" w:cs="Arial"/>
          <w:bCs/>
          <w:iCs/>
        </w:rPr>
        <w:t xml:space="preserve">  </w:t>
      </w:r>
    </w:p>
    <w:p w14:paraId="4ABC2A3C" w14:textId="77777777" w:rsidR="002218C4" w:rsidRPr="00E06877" w:rsidRDefault="002218C4" w:rsidP="002218C4">
      <w:pPr>
        <w:pStyle w:val="ECHRParaSpaced"/>
        <w:ind w:firstLine="360"/>
        <w:rPr>
          <w:rFonts w:ascii="Arial" w:hAnsi="Arial" w:cs="Arial"/>
          <w:bCs/>
          <w:iCs/>
        </w:rPr>
      </w:pPr>
      <w:r w:rsidRPr="00E06877">
        <w:rPr>
          <w:rFonts w:ascii="Arial" w:hAnsi="Arial" w:cs="Arial"/>
          <w:bCs/>
          <w:iCs/>
        </w:rPr>
        <w:t>10. The Committee of Ministers adopted, at its 1361</w:t>
      </w:r>
      <w:r w:rsidRPr="00E06877">
        <w:rPr>
          <w:rFonts w:ascii="Arial" w:hAnsi="Arial" w:cs="Arial"/>
          <w:bCs/>
          <w:iCs/>
          <w:vertAlign w:val="superscript"/>
        </w:rPr>
        <w:t>st</w:t>
      </w:r>
      <w:r w:rsidRPr="00E06877">
        <w:rPr>
          <w:rFonts w:ascii="Arial" w:hAnsi="Arial" w:cs="Arial"/>
          <w:bCs/>
          <w:iCs/>
        </w:rPr>
        <w:t xml:space="preserve"> meeting (19-21 November 2019), the terms of reference of the DH-SYSC, to operate under the authority of CDDH. The DH-SYSC was given, </w:t>
      </w:r>
      <w:r w:rsidRPr="00E06877">
        <w:rPr>
          <w:rFonts w:ascii="Arial" w:hAnsi="Arial" w:cs="Arial"/>
          <w:bCs/>
          <w:i/>
          <w:iCs/>
        </w:rPr>
        <w:t>inter alia</w:t>
      </w:r>
      <w:r w:rsidRPr="00E06877">
        <w:rPr>
          <w:rFonts w:ascii="Arial" w:hAnsi="Arial" w:cs="Arial"/>
          <w:bCs/>
          <w:iCs/>
        </w:rPr>
        <w:t>, the specific task of developing proposals to improve the effective processing and resolution of cases relating to inter-State disputes in the light of the Committee of Ministers’ decision on the follow-up to the evaluation set out by the Interlaken Declaration.</w:t>
      </w:r>
      <w:r w:rsidRPr="00E06877">
        <w:rPr>
          <w:rStyle w:val="Appelnotedebasdep"/>
          <w:rFonts w:ascii="Arial" w:eastAsia="Calibri" w:hAnsi="Arial" w:cs="Arial"/>
        </w:rPr>
        <w:footnoteReference w:id="9"/>
      </w:r>
    </w:p>
    <w:p w14:paraId="2FAD1CC9" w14:textId="77777777" w:rsidR="002218C4" w:rsidRPr="00E06877" w:rsidRDefault="002218C4" w:rsidP="002218C4">
      <w:pPr>
        <w:pStyle w:val="ECHRParaSpaced"/>
        <w:ind w:firstLine="360"/>
        <w:rPr>
          <w:rFonts w:ascii="Arial" w:hAnsi="Arial" w:cs="Arial"/>
        </w:rPr>
      </w:pPr>
      <w:r w:rsidRPr="00E06877">
        <w:rPr>
          <w:rFonts w:ascii="Arial" w:hAnsi="Arial" w:cs="Arial"/>
          <w:bCs/>
          <w:iCs/>
        </w:rPr>
        <w:t>11. At its 92</w:t>
      </w:r>
      <w:r w:rsidRPr="00E06877">
        <w:rPr>
          <w:rFonts w:ascii="Arial" w:hAnsi="Arial" w:cs="Arial"/>
          <w:bCs/>
          <w:iCs/>
          <w:vertAlign w:val="superscript"/>
        </w:rPr>
        <w:t>nd</w:t>
      </w:r>
      <w:r w:rsidRPr="00E06877">
        <w:rPr>
          <w:rFonts w:ascii="Arial" w:hAnsi="Arial" w:cs="Arial"/>
          <w:bCs/>
          <w:iCs/>
        </w:rPr>
        <w:t xml:space="preserve"> meeting (26-29 November 2019), in the framework of adopting its “</w:t>
      </w:r>
      <w:r w:rsidRPr="00E06877">
        <w:rPr>
          <w:rFonts w:ascii="Arial" w:hAnsi="Arial" w:cs="Arial"/>
          <w:bCs/>
        </w:rPr>
        <w:t>Contribution to the evaluation provided for by the Interlaken Declaration”,</w:t>
      </w:r>
      <w:r w:rsidRPr="00E06877">
        <w:rPr>
          <w:rStyle w:val="Appelnotedebasdep"/>
          <w:rFonts w:ascii="Arial" w:eastAsia="Calibri" w:hAnsi="Arial" w:cs="Arial"/>
        </w:rPr>
        <w:footnoteReference w:id="10"/>
      </w:r>
      <w:r w:rsidRPr="00E06877">
        <w:rPr>
          <w:rFonts w:ascii="Arial" w:hAnsi="Arial" w:cs="Arial"/>
          <w:bCs/>
          <w:iCs/>
        </w:rPr>
        <w:t xml:space="preserve"> the CDDH took the view that questions regarding inter-State applications require a more in-depth examination. Therefore, </w:t>
      </w:r>
      <w:r w:rsidRPr="00E06877">
        <w:rPr>
          <w:rFonts w:ascii="Arial" w:eastAsia="Calibri" w:hAnsi="Arial" w:cs="Arial"/>
        </w:rPr>
        <w:t>the CDDH decided to set up the Drafting Group DH-SYSC-IV to operate under the authority of the DH-SYSC to which it gave the following terms of reference:</w:t>
      </w:r>
      <w:r>
        <w:rPr>
          <w:rFonts w:ascii="Arial" w:eastAsia="Calibri" w:hAnsi="Arial" w:cs="Arial"/>
        </w:rPr>
        <w:t xml:space="preserve"> </w:t>
      </w:r>
      <w:r w:rsidRPr="00E06877">
        <w:rPr>
          <w:rFonts w:ascii="Arial" w:hAnsi="Arial" w:cs="Arial"/>
        </w:rPr>
        <w:t>“In the light, in particular, of the reflections carried out during the elaboration of (</w:t>
      </w:r>
      <w:proofErr w:type="spellStart"/>
      <w:r w:rsidRPr="00E06877">
        <w:rPr>
          <w:rFonts w:ascii="Arial" w:hAnsi="Arial" w:cs="Arial"/>
        </w:rPr>
        <w:t>i</w:t>
      </w:r>
      <w:proofErr w:type="spellEnd"/>
      <w:r w:rsidRPr="00E06877">
        <w:rPr>
          <w:rFonts w:ascii="Arial" w:hAnsi="Arial" w:cs="Arial"/>
        </w:rPr>
        <w:t>) the Contribution of the CDDH to the evaluation provided for by the Interlaken Declaration[</w:t>
      </w:r>
      <w:r w:rsidRPr="00E06877">
        <w:rPr>
          <w:rStyle w:val="Appelnotedebasdep"/>
          <w:rFonts w:ascii="Arial" w:eastAsia="Calibri" w:hAnsi="Arial" w:cs="Arial"/>
        </w:rPr>
        <w:footnoteReference w:id="11"/>
      </w:r>
      <w:r w:rsidRPr="00E06877">
        <w:rPr>
          <w:rFonts w:ascii="Arial" w:hAnsi="Arial" w:cs="Arial"/>
        </w:rPr>
        <w:t>]; (ii) the follow-up given by the CDDH to the relevant paragraphs of the Copenhagen Declaration and (iii) the CDDH Report on the place of the European Convention on Human Rights in the European and international legal order,[</w:t>
      </w:r>
      <w:r w:rsidRPr="00E06877">
        <w:rPr>
          <w:rStyle w:val="Appelnotedebasdep"/>
          <w:rFonts w:ascii="Arial" w:eastAsia="Calibri" w:hAnsi="Arial" w:cs="Arial"/>
        </w:rPr>
        <w:footnoteReference w:id="12"/>
      </w:r>
      <w:r w:rsidRPr="00E06877">
        <w:rPr>
          <w:rFonts w:ascii="Arial" w:hAnsi="Arial" w:cs="Arial"/>
        </w:rPr>
        <w:t xml:space="preserve">] the DH-SYSC Drafting Group on effective processing and resolution of cases relating to inter-State disputes (DH-SYSC-IV) is called upon to elaborate proposals on how to handle more effectively cases related to inter-State disputes, as well as individual applications arising from situations of conflict between States, without thereby limiting the jurisdiction of the Court, taking into account the specific features of these categories of cases, </w:t>
      </w:r>
      <w:r w:rsidRPr="00E06877">
        <w:rPr>
          <w:rFonts w:ascii="Arial" w:hAnsi="Arial" w:cs="Arial"/>
          <w:i/>
        </w:rPr>
        <w:t>inter alia</w:t>
      </w:r>
      <w:r w:rsidRPr="00E06877">
        <w:rPr>
          <w:rFonts w:ascii="Arial" w:hAnsi="Arial" w:cs="Arial"/>
        </w:rPr>
        <w:t xml:space="preserve"> regarding the establishment of facts. In this context and under the supervision of the Committee of Experts on the System of the European Convention on Human Rights (DH-SYSC), the Group is tasked to prepare:</w:t>
      </w:r>
    </w:p>
    <w:p w14:paraId="1F360E75" w14:textId="77777777" w:rsidR="002218C4" w:rsidRDefault="002218C4" w:rsidP="002218C4">
      <w:pPr>
        <w:pStyle w:val="SingleTxtG"/>
        <w:numPr>
          <w:ilvl w:val="0"/>
          <w:numId w:val="40"/>
        </w:numPr>
        <w:spacing w:before="120"/>
        <w:rPr>
          <w:rFonts w:ascii="Arial" w:hAnsi="Arial" w:cs="Arial"/>
          <w:sz w:val="22"/>
          <w:szCs w:val="22"/>
        </w:rPr>
      </w:pPr>
      <w:r w:rsidRPr="00E06877">
        <w:rPr>
          <w:rFonts w:ascii="Arial" w:hAnsi="Arial" w:cs="Arial"/>
          <w:sz w:val="22"/>
          <w:szCs w:val="22"/>
        </w:rPr>
        <w:t>a draft CDDH report to be submitted to the forthcoming high-level expert conference on inter-State disputes in the framework of the ECHR system to be held in spring 2021 under the auspices of the German Chairmanship of the Committee of Ministers (deadline: 15 October 2020);</w:t>
      </w:r>
    </w:p>
    <w:p w14:paraId="77D56442" w14:textId="77777777" w:rsidR="002218C4" w:rsidRDefault="002218C4" w:rsidP="002218C4">
      <w:pPr>
        <w:pStyle w:val="SingleTxtG"/>
        <w:numPr>
          <w:ilvl w:val="0"/>
          <w:numId w:val="40"/>
        </w:numPr>
        <w:spacing w:before="120"/>
        <w:rPr>
          <w:rFonts w:ascii="Arial" w:hAnsi="Arial" w:cs="Arial"/>
          <w:sz w:val="22"/>
          <w:szCs w:val="22"/>
        </w:rPr>
      </w:pPr>
      <w:r w:rsidRPr="00E06877">
        <w:rPr>
          <w:rFonts w:ascii="Arial" w:hAnsi="Arial" w:cs="Arial"/>
          <w:sz w:val="22"/>
          <w:szCs w:val="22"/>
        </w:rPr>
        <w:t>a draft final activity report of the CDDH for the Committee of Ministers containing the reflections and possible proposals of the Steering Committee in this field (deadline: 15 October 2021).”</w:t>
      </w:r>
      <w:bookmarkStart w:id="10" w:name="_Hlk43383744"/>
    </w:p>
    <w:p w14:paraId="50743C4D" w14:textId="77777777" w:rsidR="002218C4" w:rsidRPr="00123939" w:rsidRDefault="002218C4" w:rsidP="002218C4">
      <w:pPr>
        <w:pStyle w:val="ECHRParaSpaced"/>
        <w:ind w:firstLine="357"/>
        <w:rPr>
          <w:rFonts w:ascii="Arial" w:hAnsi="Arial" w:cs="Arial"/>
        </w:rPr>
      </w:pPr>
      <w:r w:rsidRPr="00123939">
        <w:rPr>
          <w:rFonts w:ascii="Arial" w:eastAsia="Calibri" w:hAnsi="Arial" w:cs="Arial"/>
          <w:lang w:eastAsia="zh-CN"/>
        </w:rPr>
        <w:lastRenderedPageBreak/>
        <w:t>1</w:t>
      </w:r>
      <w:r>
        <w:rPr>
          <w:rFonts w:ascii="Arial" w:eastAsia="Calibri" w:hAnsi="Arial" w:cs="Arial"/>
          <w:lang w:eastAsia="zh-CN"/>
        </w:rPr>
        <w:t>2</w:t>
      </w:r>
      <w:r w:rsidRPr="00123939">
        <w:rPr>
          <w:rFonts w:ascii="Arial" w:eastAsia="Calibri" w:hAnsi="Arial" w:cs="Arial"/>
          <w:lang w:eastAsia="zh-CN"/>
        </w:rPr>
        <w:t xml:space="preserve">. On 11 December 2019, the </w:t>
      </w:r>
      <w:r w:rsidRPr="00123939">
        <w:rPr>
          <w:rFonts w:ascii="Arial" w:hAnsi="Arial" w:cs="Arial"/>
        </w:rPr>
        <w:t>Deputies took note of the CDDH report “Contribution to the evaluation foreseen by the Interlaken Declaration” and agreed to transmit it to the Court for information and possible comments.</w:t>
      </w:r>
      <w:r w:rsidRPr="00123939">
        <w:rPr>
          <w:rStyle w:val="Appelnotedebasdep"/>
          <w:rFonts w:ascii="Arial" w:hAnsi="Arial" w:cs="Arial"/>
        </w:rPr>
        <w:footnoteReference w:id="13"/>
      </w:r>
      <w:r w:rsidRPr="00123939">
        <w:rPr>
          <w:rFonts w:ascii="Arial" w:hAnsi="Arial" w:cs="Arial"/>
        </w:rPr>
        <w:t xml:space="preserve"> </w:t>
      </w:r>
    </w:p>
    <w:p w14:paraId="163A276C" w14:textId="77777777" w:rsidR="002218C4" w:rsidRPr="00E06877" w:rsidRDefault="002218C4" w:rsidP="002218C4">
      <w:pPr>
        <w:pStyle w:val="ECHRParaSpaced"/>
        <w:ind w:firstLine="340"/>
        <w:rPr>
          <w:rFonts w:ascii="Arial" w:hAnsi="Arial" w:cs="Arial"/>
        </w:rPr>
      </w:pPr>
      <w:r w:rsidRPr="00E06877">
        <w:rPr>
          <w:rFonts w:ascii="Arial" w:hAnsi="Arial" w:cs="Arial"/>
        </w:rPr>
        <w:t>1</w:t>
      </w:r>
      <w:r>
        <w:rPr>
          <w:rFonts w:ascii="Arial" w:hAnsi="Arial" w:cs="Arial"/>
        </w:rPr>
        <w:t>3</w:t>
      </w:r>
      <w:r w:rsidRPr="00E06877">
        <w:rPr>
          <w:rFonts w:ascii="Arial" w:hAnsi="Arial" w:cs="Arial"/>
        </w:rPr>
        <w:t>. On 11 February 2020 the Court submitted a “Comment on the CDDH contribution to the evaluation of the Interlaken reform process” as it had been adopted by the Plenary Court on 27 January 2020.</w:t>
      </w:r>
      <w:r w:rsidRPr="00E06877">
        <w:rPr>
          <w:rStyle w:val="Appelnotedebasdep"/>
          <w:rFonts w:ascii="Arial" w:hAnsi="Arial" w:cs="Arial"/>
        </w:rPr>
        <w:footnoteReference w:id="14"/>
      </w:r>
      <w:r w:rsidRPr="00E06877">
        <w:rPr>
          <w:rFonts w:ascii="Arial" w:hAnsi="Arial" w:cs="Arial"/>
        </w:rPr>
        <w:t xml:space="preserve"> </w:t>
      </w:r>
    </w:p>
    <w:p w14:paraId="50071EB8" w14:textId="77777777" w:rsidR="002218C4" w:rsidRPr="00E06877" w:rsidRDefault="002218C4" w:rsidP="002218C4">
      <w:pPr>
        <w:pStyle w:val="ECHRParaSpaced"/>
        <w:ind w:firstLine="340"/>
        <w:rPr>
          <w:rFonts w:ascii="Arial" w:hAnsi="Arial" w:cs="Arial"/>
        </w:rPr>
      </w:pPr>
      <w:r w:rsidRPr="00E06877">
        <w:rPr>
          <w:rFonts w:ascii="Arial" w:hAnsi="Arial" w:cs="Arial"/>
        </w:rPr>
        <w:t>1</w:t>
      </w:r>
      <w:r>
        <w:rPr>
          <w:rFonts w:ascii="Arial" w:hAnsi="Arial" w:cs="Arial"/>
        </w:rPr>
        <w:t>4</w:t>
      </w:r>
      <w:r w:rsidRPr="00E06877">
        <w:rPr>
          <w:rFonts w:ascii="Arial" w:hAnsi="Arial" w:cs="Arial"/>
        </w:rPr>
        <w:t>. On 4 November 2020, the Committee of Ministers adopted its decisions</w:t>
      </w:r>
      <w:r w:rsidRPr="00E06877">
        <w:rPr>
          <w:rFonts w:ascii="Arial" w:hAnsi="Arial" w:cs="Arial"/>
          <w:b/>
          <w:bCs/>
        </w:rPr>
        <w:t xml:space="preserve"> “</w:t>
      </w:r>
      <w:r w:rsidRPr="00E06877">
        <w:rPr>
          <w:rStyle w:val="lev"/>
          <w:rFonts w:ascii="Arial" w:eastAsiaTheme="majorEastAsia" w:hAnsi="Arial" w:cs="Arial"/>
          <w:b w:val="0"/>
          <w:bCs w:val="0"/>
          <w:shd w:val="clear" w:color="auto" w:fill="FFFFFF"/>
        </w:rPr>
        <w:t>Securing the long-term effectiveness of the system of the European Convention on Human Rights”.</w:t>
      </w:r>
      <w:r w:rsidRPr="00E06877">
        <w:rPr>
          <w:rStyle w:val="Appelnotedebasdep"/>
          <w:rFonts w:ascii="Arial" w:eastAsiaTheme="majorEastAsia" w:hAnsi="Arial" w:cs="Arial"/>
          <w:b/>
          <w:bCs/>
          <w:shd w:val="clear" w:color="auto" w:fill="FFFFFF"/>
        </w:rPr>
        <w:footnoteReference w:id="15"/>
      </w:r>
      <w:r w:rsidRPr="00E06877">
        <w:rPr>
          <w:rFonts w:ascii="Arial" w:hAnsi="Arial" w:cs="Arial"/>
          <w:b/>
          <w:bCs/>
        </w:rPr>
        <w:t xml:space="preserve"> </w:t>
      </w:r>
      <w:r w:rsidRPr="00E06877">
        <w:rPr>
          <w:rFonts w:ascii="Arial" w:hAnsi="Arial" w:cs="Arial"/>
        </w:rPr>
        <w:t>The Committee of Ministers resolved to ensure the continued effectiveness of the Convention system. In this connection, it “agreed [</w:t>
      </w:r>
      <w:r w:rsidRPr="00E06877">
        <w:rPr>
          <w:rFonts w:ascii="Arial" w:hAnsi="Arial" w:cs="Arial"/>
          <w:i/>
          <w:iCs/>
        </w:rPr>
        <w:t>inter alia</w:t>
      </w:r>
      <w:r w:rsidRPr="00E06877">
        <w:rPr>
          <w:rFonts w:ascii="Arial" w:hAnsi="Arial" w:cs="Arial"/>
        </w:rPr>
        <w:t>] that, whilst no comprehensive reform of the Convention machinery is now needed, further efforts should be pursued by the Council of Europe as a whole to ensure that the Convention system can continue to respond effectively to the numerous human rights challenges Europe faces, including through the efficient response of the Court to pending applications”.</w:t>
      </w:r>
      <w:r w:rsidRPr="00E06877">
        <w:rPr>
          <w:rStyle w:val="Appelnotedebasdep"/>
          <w:rFonts w:ascii="Arial" w:eastAsiaTheme="majorEastAsia" w:hAnsi="Arial" w:cs="Arial"/>
          <w:shd w:val="clear" w:color="auto" w:fill="FFFFFF"/>
        </w:rPr>
        <w:t xml:space="preserve"> </w:t>
      </w:r>
      <w:r w:rsidRPr="00E06877">
        <w:rPr>
          <w:rStyle w:val="Appelnotedebasdep"/>
          <w:rFonts w:ascii="Arial" w:eastAsiaTheme="majorEastAsia" w:hAnsi="Arial" w:cs="Arial"/>
          <w:shd w:val="clear" w:color="auto" w:fill="FFFFFF"/>
        </w:rPr>
        <w:footnoteReference w:id="16"/>
      </w:r>
    </w:p>
    <w:p w14:paraId="3C32536F" w14:textId="77777777" w:rsidR="002218C4" w:rsidRPr="00080BB7" w:rsidRDefault="002218C4" w:rsidP="002218C4">
      <w:pPr>
        <w:pStyle w:val="Titre1"/>
        <w:rPr>
          <w:rFonts w:ascii="Arial" w:hAnsi="Arial" w:cs="Arial"/>
          <w:b/>
          <w:bCs/>
          <w:sz w:val="24"/>
          <w:szCs w:val="24"/>
          <w:lang w:val="en-GB"/>
        </w:rPr>
      </w:pPr>
      <w:bookmarkStart w:id="11" w:name="_Toc45123253"/>
      <w:bookmarkStart w:id="12" w:name="_Toc83293361"/>
      <w:bookmarkEnd w:id="10"/>
      <w:r w:rsidRPr="00080BB7">
        <w:rPr>
          <w:rFonts w:ascii="Arial" w:hAnsi="Arial" w:cs="Arial"/>
          <w:b/>
          <w:bCs/>
          <w:sz w:val="24"/>
          <w:szCs w:val="24"/>
          <w:lang w:val="en-GB"/>
        </w:rPr>
        <w:t>III. INTRODUCTION</w:t>
      </w:r>
      <w:bookmarkEnd w:id="11"/>
      <w:bookmarkEnd w:id="12"/>
    </w:p>
    <w:p w14:paraId="71B793F3" w14:textId="77777777" w:rsidR="002218C4" w:rsidRDefault="002218C4" w:rsidP="002218C4">
      <w:pPr>
        <w:pStyle w:val="Sansinterligne"/>
        <w:rPr>
          <w:lang w:val="en-GB"/>
        </w:rPr>
      </w:pPr>
    </w:p>
    <w:p w14:paraId="2AB3CE2F" w14:textId="77777777" w:rsidR="002218C4" w:rsidRPr="00123939" w:rsidRDefault="002218C4" w:rsidP="002218C4">
      <w:pPr>
        <w:pStyle w:val="ECHRParaSpaced"/>
        <w:ind w:firstLine="340"/>
        <w:rPr>
          <w:rFonts w:ascii="Arial" w:hAnsi="Arial" w:cs="Arial"/>
        </w:rPr>
      </w:pPr>
      <w:r w:rsidRPr="00123939">
        <w:rPr>
          <w:rFonts w:ascii="Arial" w:hAnsi="Arial" w:cs="Arial"/>
          <w:lang w:val="en-US"/>
        </w:rPr>
        <w:t>1</w:t>
      </w:r>
      <w:r>
        <w:rPr>
          <w:rFonts w:ascii="Arial" w:hAnsi="Arial" w:cs="Arial"/>
          <w:lang w:val="en-US"/>
        </w:rPr>
        <w:t>5</w:t>
      </w:r>
      <w:r w:rsidRPr="00123939">
        <w:rPr>
          <w:rFonts w:ascii="Arial" w:hAnsi="Arial" w:cs="Arial"/>
          <w:lang w:val="en-US"/>
        </w:rPr>
        <w:t>. S</w:t>
      </w:r>
      <w:r w:rsidRPr="00123939">
        <w:rPr>
          <w:rFonts w:ascii="Arial" w:hAnsi="Arial" w:cs="Arial"/>
        </w:rPr>
        <w:t>tarting from the 7</w:t>
      </w:r>
      <w:r w:rsidRPr="00123939">
        <w:rPr>
          <w:rFonts w:ascii="Arial" w:hAnsi="Arial" w:cs="Arial"/>
          <w:vertAlign w:val="superscript"/>
        </w:rPr>
        <w:t>th</w:t>
      </w:r>
      <w:r w:rsidRPr="00123939">
        <w:rPr>
          <w:rFonts w:ascii="Arial" w:hAnsi="Arial" w:cs="Arial"/>
        </w:rPr>
        <w:t xml:space="preserve"> of May 1956 when the first inter-State application was introduced</w:t>
      </w:r>
      <w:r>
        <w:rPr>
          <w:rFonts w:ascii="Arial" w:hAnsi="Arial" w:cs="Arial"/>
        </w:rPr>
        <w:t>,</w:t>
      </w:r>
      <w:r w:rsidRPr="00123939">
        <w:rPr>
          <w:rFonts w:ascii="Arial" w:hAnsi="Arial" w:cs="Arial"/>
        </w:rPr>
        <w:t xml:space="preserve"> 18 inter-State cases have been resolved by the European Commission of Human Rights and the Court. These cases, which form a basis of interpretation of the Court’s practice in the field, are:</w:t>
      </w:r>
    </w:p>
    <w:p w14:paraId="4EF9B31F" w14:textId="77777777" w:rsidR="002218C4" w:rsidRPr="00123939" w:rsidRDefault="002218C4" w:rsidP="002218C4">
      <w:pPr>
        <w:pStyle w:val="SingleTxtG"/>
        <w:numPr>
          <w:ilvl w:val="0"/>
          <w:numId w:val="40"/>
        </w:numPr>
        <w:spacing w:before="120"/>
        <w:rPr>
          <w:rFonts w:ascii="Arial" w:hAnsi="Arial" w:cs="Arial"/>
          <w:sz w:val="22"/>
          <w:szCs w:val="22"/>
        </w:rPr>
      </w:pPr>
      <w:r w:rsidRPr="00123939">
        <w:rPr>
          <w:rFonts w:ascii="Arial" w:hAnsi="Arial" w:cs="Arial"/>
          <w:sz w:val="22"/>
          <w:szCs w:val="22"/>
        </w:rPr>
        <w:t>Greece v. United-Kingdom (I) (no. 176/56, reports of the Commission 26.09.1958 (Vol I) 26.09.1958 (Vol II));</w:t>
      </w:r>
    </w:p>
    <w:p w14:paraId="5C598221" w14:textId="77777777" w:rsidR="002218C4" w:rsidRPr="00123939" w:rsidRDefault="002218C4" w:rsidP="002218C4">
      <w:pPr>
        <w:pStyle w:val="SingleTxtG"/>
        <w:numPr>
          <w:ilvl w:val="0"/>
          <w:numId w:val="40"/>
        </w:numPr>
        <w:spacing w:before="120"/>
        <w:rPr>
          <w:rFonts w:ascii="Arial" w:hAnsi="Arial" w:cs="Arial"/>
          <w:sz w:val="22"/>
          <w:szCs w:val="22"/>
        </w:rPr>
      </w:pPr>
      <w:r w:rsidRPr="00123939">
        <w:rPr>
          <w:rFonts w:ascii="Arial" w:hAnsi="Arial" w:cs="Arial"/>
          <w:sz w:val="22"/>
          <w:szCs w:val="22"/>
        </w:rPr>
        <w:t>Greece v. United-Kingdom (II) (no. 299/57, report of the Commission 26.09.1959);</w:t>
      </w:r>
    </w:p>
    <w:p w14:paraId="70E20BF8" w14:textId="77777777" w:rsidR="002218C4" w:rsidRPr="00123939" w:rsidRDefault="002218C4" w:rsidP="002218C4">
      <w:pPr>
        <w:pStyle w:val="SingleTxtG"/>
        <w:numPr>
          <w:ilvl w:val="0"/>
          <w:numId w:val="40"/>
        </w:numPr>
        <w:spacing w:before="120"/>
        <w:rPr>
          <w:rFonts w:ascii="Arial" w:hAnsi="Arial" w:cs="Arial"/>
          <w:sz w:val="22"/>
          <w:szCs w:val="22"/>
        </w:rPr>
      </w:pPr>
      <w:r w:rsidRPr="00123939">
        <w:rPr>
          <w:rFonts w:ascii="Arial" w:hAnsi="Arial" w:cs="Arial"/>
          <w:sz w:val="22"/>
          <w:szCs w:val="22"/>
        </w:rPr>
        <w:t>Austria v. Italy (no.788/60, report of the Commission 30.03.1963);</w:t>
      </w:r>
    </w:p>
    <w:p w14:paraId="2AF21D16" w14:textId="77777777" w:rsidR="002218C4" w:rsidRPr="00123939" w:rsidRDefault="002218C4" w:rsidP="002218C4">
      <w:pPr>
        <w:pStyle w:val="SingleTxtG"/>
        <w:numPr>
          <w:ilvl w:val="0"/>
          <w:numId w:val="40"/>
        </w:numPr>
        <w:spacing w:before="120"/>
        <w:rPr>
          <w:rFonts w:ascii="Arial" w:hAnsi="Arial" w:cs="Arial"/>
          <w:sz w:val="22"/>
          <w:szCs w:val="22"/>
        </w:rPr>
      </w:pPr>
      <w:r w:rsidRPr="00123939">
        <w:rPr>
          <w:rFonts w:ascii="Arial" w:hAnsi="Arial" w:cs="Arial"/>
          <w:sz w:val="22"/>
          <w:szCs w:val="22"/>
        </w:rPr>
        <w:t>Denmark, Norway, Sweden &amp; the Netherlands v. Greece (I) (nos. 3321/67 to 3323/67 &amp; 3344/67, report of the Commission 05.11.1969);</w:t>
      </w:r>
    </w:p>
    <w:p w14:paraId="25528F5D" w14:textId="77777777" w:rsidR="002218C4" w:rsidRPr="00123939" w:rsidRDefault="002218C4" w:rsidP="002218C4">
      <w:pPr>
        <w:pStyle w:val="SingleTxtG"/>
        <w:numPr>
          <w:ilvl w:val="0"/>
          <w:numId w:val="40"/>
        </w:numPr>
        <w:spacing w:before="120"/>
        <w:rPr>
          <w:rFonts w:ascii="Arial" w:hAnsi="Arial" w:cs="Arial"/>
          <w:sz w:val="22"/>
          <w:szCs w:val="22"/>
        </w:rPr>
      </w:pPr>
      <w:r w:rsidRPr="00123939">
        <w:rPr>
          <w:rFonts w:ascii="Arial" w:hAnsi="Arial" w:cs="Arial"/>
          <w:sz w:val="22"/>
          <w:szCs w:val="22"/>
        </w:rPr>
        <w:t xml:space="preserve">Denmark, Norway and Sweden v. Greece (II) (no. 4448/70, reports of the Commission 05.10.1970; 04.10.1976); </w:t>
      </w:r>
    </w:p>
    <w:p w14:paraId="6B52A95E" w14:textId="77777777" w:rsidR="002218C4" w:rsidRPr="00123939" w:rsidRDefault="002218C4" w:rsidP="002218C4">
      <w:pPr>
        <w:pStyle w:val="SingleTxtG"/>
        <w:numPr>
          <w:ilvl w:val="0"/>
          <w:numId w:val="40"/>
        </w:numPr>
        <w:spacing w:before="120"/>
        <w:rPr>
          <w:rFonts w:ascii="Arial" w:hAnsi="Arial" w:cs="Arial"/>
          <w:sz w:val="22"/>
          <w:szCs w:val="22"/>
        </w:rPr>
      </w:pPr>
      <w:r w:rsidRPr="00123939">
        <w:rPr>
          <w:rFonts w:ascii="Arial" w:hAnsi="Arial" w:cs="Arial"/>
          <w:sz w:val="22"/>
          <w:szCs w:val="22"/>
        </w:rPr>
        <w:t>Ireland v. United-Kingdom (I) (no.5310/71, 18.01.1978 Revision: 20.03.2018);</w:t>
      </w:r>
    </w:p>
    <w:p w14:paraId="5D385908" w14:textId="77777777" w:rsidR="002218C4" w:rsidRPr="00123939" w:rsidRDefault="002218C4" w:rsidP="002218C4">
      <w:pPr>
        <w:pStyle w:val="SingleTxtG"/>
        <w:numPr>
          <w:ilvl w:val="0"/>
          <w:numId w:val="40"/>
        </w:numPr>
        <w:spacing w:before="120"/>
        <w:rPr>
          <w:rFonts w:ascii="Arial" w:hAnsi="Arial" w:cs="Arial"/>
          <w:sz w:val="22"/>
          <w:szCs w:val="22"/>
        </w:rPr>
      </w:pPr>
      <w:r w:rsidRPr="00123939">
        <w:rPr>
          <w:rFonts w:ascii="Arial" w:hAnsi="Arial" w:cs="Arial"/>
          <w:sz w:val="22"/>
          <w:szCs w:val="22"/>
        </w:rPr>
        <w:t>Ireland v. United-Kingdom (II) (no.5451/72, struck off the list 01/10.1972);</w:t>
      </w:r>
    </w:p>
    <w:p w14:paraId="55BC78AC" w14:textId="77777777" w:rsidR="002218C4" w:rsidRPr="00123939" w:rsidRDefault="002218C4" w:rsidP="002218C4">
      <w:pPr>
        <w:pStyle w:val="SingleTxtG"/>
        <w:numPr>
          <w:ilvl w:val="0"/>
          <w:numId w:val="40"/>
        </w:numPr>
        <w:spacing w:before="120"/>
        <w:rPr>
          <w:rFonts w:ascii="Arial" w:hAnsi="Arial" w:cs="Arial"/>
          <w:sz w:val="22"/>
          <w:szCs w:val="22"/>
        </w:rPr>
      </w:pPr>
      <w:r w:rsidRPr="00123939">
        <w:rPr>
          <w:rFonts w:ascii="Arial" w:hAnsi="Arial" w:cs="Arial"/>
          <w:sz w:val="22"/>
          <w:szCs w:val="22"/>
        </w:rPr>
        <w:t>Cyprus v. Turkey (I) and (II) (no. 6780/74 &amp; 6950/75, report of the Commission 10.07.1976: Vol. I; Vol. II);</w:t>
      </w:r>
    </w:p>
    <w:p w14:paraId="3A6E467C" w14:textId="77777777" w:rsidR="002218C4" w:rsidRPr="00123939" w:rsidRDefault="002218C4" w:rsidP="002218C4">
      <w:pPr>
        <w:pStyle w:val="SingleTxtG"/>
        <w:numPr>
          <w:ilvl w:val="0"/>
          <w:numId w:val="40"/>
        </w:numPr>
        <w:spacing w:before="120"/>
        <w:rPr>
          <w:rFonts w:ascii="Arial" w:hAnsi="Arial" w:cs="Arial"/>
          <w:sz w:val="22"/>
          <w:szCs w:val="22"/>
        </w:rPr>
      </w:pPr>
      <w:r w:rsidRPr="00123939">
        <w:rPr>
          <w:rFonts w:ascii="Arial" w:hAnsi="Arial" w:cs="Arial"/>
          <w:sz w:val="22"/>
          <w:szCs w:val="22"/>
        </w:rPr>
        <w:t>Cyprus v. Turkey (III) (no. 8007/77, reports of the Commission 12.07.1980 (Conf.) (Interim), 04.10.1983 (Art.31));</w:t>
      </w:r>
    </w:p>
    <w:p w14:paraId="3392E162" w14:textId="77777777" w:rsidR="002218C4" w:rsidRPr="00123939" w:rsidRDefault="002218C4" w:rsidP="002218C4">
      <w:pPr>
        <w:pStyle w:val="ECHRParaSpaced"/>
        <w:numPr>
          <w:ilvl w:val="0"/>
          <w:numId w:val="40"/>
        </w:numPr>
        <w:rPr>
          <w:rFonts w:ascii="Arial" w:hAnsi="Arial" w:cs="Arial"/>
        </w:rPr>
      </w:pPr>
      <w:r w:rsidRPr="00123939">
        <w:rPr>
          <w:rFonts w:ascii="Arial" w:hAnsi="Arial" w:cs="Arial"/>
        </w:rPr>
        <w:t>Denmark, France, Norway, Sweden &amp; the Netherlands v. Turkey (nos. 9940/82 to 9944/82, report of the Commission 07.12.1985);</w:t>
      </w:r>
    </w:p>
    <w:p w14:paraId="24DD3A61" w14:textId="77777777" w:rsidR="002218C4" w:rsidRPr="00123939" w:rsidRDefault="002218C4" w:rsidP="002218C4">
      <w:pPr>
        <w:pStyle w:val="ECHRParaSpaced"/>
        <w:numPr>
          <w:ilvl w:val="0"/>
          <w:numId w:val="40"/>
        </w:numPr>
        <w:rPr>
          <w:rFonts w:ascii="Arial" w:hAnsi="Arial" w:cs="Arial"/>
        </w:rPr>
      </w:pPr>
      <w:r w:rsidRPr="00123939">
        <w:rPr>
          <w:rFonts w:ascii="Arial" w:hAnsi="Arial" w:cs="Arial"/>
        </w:rPr>
        <w:lastRenderedPageBreak/>
        <w:t>Cyprus v. Turkey (IV) (no.25781/94, 10.05.2001; 12.05.2014 (just satisfaction));</w:t>
      </w:r>
    </w:p>
    <w:p w14:paraId="5615638B" w14:textId="77777777" w:rsidR="002218C4" w:rsidRPr="00123939" w:rsidRDefault="002218C4" w:rsidP="002218C4">
      <w:pPr>
        <w:pStyle w:val="ECHRParaSpaced"/>
        <w:numPr>
          <w:ilvl w:val="0"/>
          <w:numId w:val="40"/>
        </w:numPr>
        <w:rPr>
          <w:rFonts w:ascii="Arial" w:hAnsi="Arial" w:cs="Arial"/>
        </w:rPr>
      </w:pPr>
      <w:r w:rsidRPr="00123939">
        <w:rPr>
          <w:rFonts w:ascii="Arial" w:hAnsi="Arial" w:cs="Arial"/>
        </w:rPr>
        <w:t>Denmark v. Turkey (no. 34382/97, 05.04.2000);</w:t>
      </w:r>
    </w:p>
    <w:p w14:paraId="0D98B034" w14:textId="77777777" w:rsidR="002218C4" w:rsidRPr="00123939" w:rsidRDefault="002218C4" w:rsidP="002218C4">
      <w:pPr>
        <w:pStyle w:val="ECHRParaSpaced"/>
        <w:numPr>
          <w:ilvl w:val="0"/>
          <w:numId w:val="40"/>
        </w:numPr>
        <w:rPr>
          <w:rFonts w:ascii="Arial" w:hAnsi="Arial" w:cs="Arial"/>
        </w:rPr>
      </w:pPr>
      <w:r w:rsidRPr="00123939">
        <w:rPr>
          <w:rFonts w:ascii="Arial" w:hAnsi="Arial" w:cs="Arial"/>
        </w:rPr>
        <w:t xml:space="preserve">Georgia v. Russian Federation (I) (no.13255/07, 03.07.2014; 31.01.2019 (just satisfaction)); </w:t>
      </w:r>
    </w:p>
    <w:p w14:paraId="35AC732A" w14:textId="77777777" w:rsidR="002218C4" w:rsidRPr="00123939" w:rsidRDefault="002218C4" w:rsidP="002218C4">
      <w:pPr>
        <w:pStyle w:val="ECHRParaSpaced"/>
        <w:numPr>
          <w:ilvl w:val="0"/>
          <w:numId w:val="40"/>
        </w:numPr>
        <w:rPr>
          <w:rFonts w:ascii="Arial" w:hAnsi="Arial" w:cs="Arial"/>
        </w:rPr>
      </w:pPr>
      <w:r w:rsidRPr="00123939">
        <w:rPr>
          <w:rFonts w:ascii="Arial" w:hAnsi="Arial" w:cs="Arial"/>
        </w:rPr>
        <w:t>Georgia v. Russian Federation (II) (no.38263/08, 12.08.2008 (merits));</w:t>
      </w:r>
    </w:p>
    <w:p w14:paraId="33CAD58B" w14:textId="77777777" w:rsidR="002218C4" w:rsidRPr="00123939" w:rsidRDefault="002218C4" w:rsidP="002218C4">
      <w:pPr>
        <w:pStyle w:val="ECHRParaSpaced"/>
        <w:numPr>
          <w:ilvl w:val="0"/>
          <w:numId w:val="40"/>
        </w:numPr>
        <w:rPr>
          <w:rFonts w:ascii="Arial" w:hAnsi="Arial" w:cs="Arial"/>
        </w:rPr>
      </w:pPr>
      <w:r w:rsidRPr="00123939">
        <w:rPr>
          <w:rFonts w:ascii="Arial" w:hAnsi="Arial" w:cs="Arial"/>
        </w:rPr>
        <w:t>Georgia v. Russian Federation (III) (no.61186/09, struck of the list 16.03.2010);</w:t>
      </w:r>
    </w:p>
    <w:p w14:paraId="076F13AF" w14:textId="77777777" w:rsidR="002218C4" w:rsidRPr="00123939" w:rsidRDefault="002218C4" w:rsidP="002218C4">
      <w:pPr>
        <w:pStyle w:val="ECHRParaSpaced"/>
        <w:numPr>
          <w:ilvl w:val="0"/>
          <w:numId w:val="40"/>
        </w:numPr>
        <w:rPr>
          <w:rFonts w:ascii="Arial" w:hAnsi="Arial" w:cs="Arial"/>
          <w:color w:val="000000" w:themeColor="text1"/>
        </w:rPr>
      </w:pPr>
      <w:r w:rsidRPr="00123939">
        <w:rPr>
          <w:rFonts w:ascii="Arial" w:hAnsi="Arial" w:cs="Arial"/>
          <w:color w:val="000000" w:themeColor="text1"/>
        </w:rPr>
        <w:t>Ukraine v. Russian Federation (III) (no.49537/14, struck off the list 01.09.2015);</w:t>
      </w:r>
    </w:p>
    <w:p w14:paraId="4B52E06A" w14:textId="77777777" w:rsidR="002218C4" w:rsidRDefault="002218C4" w:rsidP="002218C4">
      <w:pPr>
        <w:pStyle w:val="ECHRParaSpaced"/>
        <w:numPr>
          <w:ilvl w:val="0"/>
          <w:numId w:val="40"/>
        </w:numPr>
        <w:rPr>
          <w:rFonts w:ascii="Arial" w:hAnsi="Arial" w:cs="Arial"/>
          <w:color w:val="000000" w:themeColor="text1"/>
        </w:rPr>
      </w:pPr>
      <w:r w:rsidRPr="00123939">
        <w:rPr>
          <w:rFonts w:ascii="Arial" w:hAnsi="Arial" w:cs="Arial"/>
          <w:color w:val="000000" w:themeColor="text1"/>
        </w:rPr>
        <w:t>Slovenia v. Croatia (no. 54155/16, 18.11.2020)</w:t>
      </w:r>
      <w:r>
        <w:rPr>
          <w:rFonts w:ascii="Arial" w:hAnsi="Arial" w:cs="Arial"/>
          <w:color w:val="000000" w:themeColor="text1"/>
        </w:rPr>
        <w:t>;</w:t>
      </w:r>
    </w:p>
    <w:p w14:paraId="4578130E" w14:textId="77777777" w:rsidR="002218C4" w:rsidRPr="00123939" w:rsidRDefault="002218C4" w:rsidP="002218C4">
      <w:pPr>
        <w:pStyle w:val="ECHRParaSpaced"/>
        <w:numPr>
          <w:ilvl w:val="0"/>
          <w:numId w:val="40"/>
        </w:numPr>
        <w:rPr>
          <w:rFonts w:ascii="Arial" w:hAnsi="Arial" w:cs="Arial"/>
          <w:color w:val="000000" w:themeColor="text1"/>
        </w:rPr>
      </w:pPr>
      <w:r w:rsidRPr="00123939">
        <w:rPr>
          <w:rFonts w:ascii="Arial" w:hAnsi="Arial" w:cs="Arial"/>
          <w:color w:val="000000" w:themeColor="text1"/>
        </w:rPr>
        <w:t>Latvia v. Denmark (9717/20, struck off the list 16.06.2020).</w:t>
      </w:r>
    </w:p>
    <w:p w14:paraId="2A7FE40B" w14:textId="77777777" w:rsidR="002218C4" w:rsidRPr="00F72000" w:rsidRDefault="002218C4" w:rsidP="002218C4">
      <w:pPr>
        <w:pStyle w:val="ECHRParaSpaced"/>
      </w:pPr>
      <w:r>
        <w:rPr>
          <w:rFonts w:ascii="Arial" w:hAnsi="Arial" w:cs="Arial"/>
        </w:rPr>
        <w:t xml:space="preserve">16. </w:t>
      </w:r>
      <w:r w:rsidRPr="00F72000">
        <w:rPr>
          <w:rFonts w:ascii="Arial" w:hAnsi="Arial" w:cs="Arial"/>
        </w:rPr>
        <w:t>There are currently 12 inter-State cases pending before the Court with a great majority linked to situations of conflict between member States.</w:t>
      </w:r>
      <w:r w:rsidRPr="00F72000">
        <w:rPr>
          <w:vertAlign w:val="superscript"/>
        </w:rPr>
        <w:footnoteReference w:id="17"/>
      </w:r>
      <w:r w:rsidRPr="00F72000">
        <w:rPr>
          <w:rFonts w:ascii="Arial" w:hAnsi="Arial" w:cs="Arial"/>
          <w:vertAlign w:val="superscript"/>
        </w:rPr>
        <w:t xml:space="preserve"> </w:t>
      </w:r>
    </w:p>
    <w:p w14:paraId="075C3950" w14:textId="77777777" w:rsidR="002218C4" w:rsidRPr="00123939" w:rsidRDefault="002218C4" w:rsidP="002218C4">
      <w:pPr>
        <w:pStyle w:val="ECHRParaSpaced"/>
        <w:ind w:firstLine="340"/>
        <w:rPr>
          <w:rFonts w:ascii="Arial" w:hAnsi="Arial" w:cs="Arial"/>
        </w:rPr>
      </w:pPr>
      <w:r w:rsidRPr="00123939">
        <w:rPr>
          <w:rFonts w:ascii="Arial" w:hAnsi="Arial" w:cs="Arial"/>
        </w:rPr>
        <w:t>1</w:t>
      </w:r>
      <w:r>
        <w:rPr>
          <w:rFonts w:ascii="Arial" w:hAnsi="Arial" w:cs="Arial"/>
        </w:rPr>
        <w:t>7</w:t>
      </w:r>
      <w:r w:rsidRPr="00123939">
        <w:rPr>
          <w:rFonts w:ascii="Arial" w:hAnsi="Arial" w:cs="Arial"/>
        </w:rPr>
        <w:t xml:space="preserve">. Thousands of individual applications relating to inter-State disputes have also been decided by the Court and/or the </w:t>
      </w:r>
      <w:r w:rsidRPr="00123939">
        <w:rPr>
          <w:rFonts w:ascii="Arial" w:hAnsi="Arial" w:cs="Arial"/>
          <w:color w:val="000000" w:themeColor="text1"/>
        </w:rPr>
        <w:t xml:space="preserve">European Commission of Human Rights </w:t>
      </w:r>
      <w:r w:rsidRPr="00123939">
        <w:rPr>
          <w:rFonts w:ascii="Arial" w:hAnsi="Arial" w:cs="Arial"/>
        </w:rPr>
        <w:t xml:space="preserve">throughout the years. There are also high numbers of related pending individual </w:t>
      </w:r>
      <w:r w:rsidRPr="00F72000">
        <w:rPr>
          <w:rFonts w:ascii="Arial" w:hAnsi="Arial" w:cs="Arial"/>
        </w:rPr>
        <w:t>applications</w:t>
      </w:r>
      <w:r>
        <w:rPr>
          <w:rFonts w:ascii="Arial" w:hAnsi="Arial" w:cs="Arial"/>
        </w:rPr>
        <w:t xml:space="preserve"> (</w:t>
      </w:r>
      <w:r w:rsidRPr="00F72000">
        <w:rPr>
          <w:rFonts w:ascii="Arial" w:hAnsi="Arial" w:cs="Arial"/>
        </w:rPr>
        <w:t>see Appendix</w:t>
      </w:r>
      <w:r>
        <w:rPr>
          <w:rFonts w:ascii="Arial" w:hAnsi="Arial" w:cs="Arial"/>
        </w:rPr>
        <w:t>)</w:t>
      </w:r>
      <w:r w:rsidRPr="00F72000">
        <w:rPr>
          <w:rFonts w:ascii="Arial" w:hAnsi="Arial" w:cs="Arial"/>
        </w:rPr>
        <w:t xml:space="preserve">. </w:t>
      </w:r>
    </w:p>
    <w:p w14:paraId="780F7831" w14:textId="77777777" w:rsidR="002218C4" w:rsidRDefault="002218C4" w:rsidP="002218C4">
      <w:pPr>
        <w:pStyle w:val="ECHRParaSpaced"/>
        <w:ind w:firstLine="340"/>
        <w:rPr>
          <w:rFonts w:ascii="Arial" w:hAnsi="Arial" w:cs="Arial"/>
        </w:rPr>
      </w:pPr>
      <w:r w:rsidRPr="00123939">
        <w:rPr>
          <w:rFonts w:ascii="Arial" w:hAnsi="Arial" w:cs="Arial"/>
          <w:lang w:val="en-US"/>
        </w:rPr>
        <w:t>1</w:t>
      </w:r>
      <w:r>
        <w:rPr>
          <w:rFonts w:ascii="Arial" w:hAnsi="Arial" w:cs="Arial"/>
          <w:lang w:val="en-US"/>
        </w:rPr>
        <w:t>8</w:t>
      </w:r>
      <w:r w:rsidRPr="00123939">
        <w:rPr>
          <w:rFonts w:ascii="Arial" w:hAnsi="Arial" w:cs="Arial"/>
          <w:lang w:val="en-US"/>
        </w:rPr>
        <w:t>. Processing inter-State cases and the high number of related individual applications as reflected in the appendix,</w:t>
      </w:r>
      <w:r>
        <w:rPr>
          <w:rStyle w:val="Appelnotedebasdep"/>
          <w:rFonts w:ascii="Arial" w:hAnsi="Arial" w:cs="Arial"/>
          <w:lang w:val="en-US"/>
        </w:rPr>
        <w:footnoteReference w:id="18"/>
      </w:r>
      <w:r w:rsidRPr="00123939">
        <w:rPr>
          <w:rFonts w:ascii="Arial" w:hAnsi="Arial" w:cs="Arial"/>
          <w:lang w:val="en-US"/>
        </w:rPr>
        <w:t xml:space="preserve"> raises exceptional challenges for the Court</w:t>
      </w:r>
      <w:r w:rsidRPr="00123939">
        <w:rPr>
          <w:rStyle w:val="Appelnotedebasdep"/>
          <w:rFonts w:ascii="Arial" w:hAnsi="Arial" w:cs="Arial"/>
          <w:color w:val="000000" w:themeColor="text1"/>
          <w:lang w:val="en-US"/>
        </w:rPr>
        <w:footnoteReference w:id="19"/>
      </w:r>
      <w:r w:rsidRPr="00123939">
        <w:rPr>
          <w:rFonts w:ascii="Arial" w:hAnsi="Arial" w:cs="Arial"/>
          <w:lang w:val="en-US"/>
        </w:rPr>
        <w:t xml:space="preserve"> and the State Parties to the cases because such cases are particularly time-consuming and complex </w:t>
      </w:r>
      <w:proofErr w:type="gramStart"/>
      <w:r w:rsidRPr="00123939">
        <w:rPr>
          <w:rFonts w:ascii="Arial" w:hAnsi="Arial" w:cs="Arial"/>
          <w:lang w:val="en-US"/>
        </w:rPr>
        <w:t>as a result of</w:t>
      </w:r>
      <w:proofErr w:type="gramEnd"/>
      <w:r w:rsidRPr="00123939">
        <w:rPr>
          <w:rFonts w:ascii="Arial" w:hAnsi="Arial" w:cs="Arial"/>
          <w:lang w:val="en-US"/>
        </w:rPr>
        <w:t xml:space="preserve"> their nature and dimension. It should be recalled that t</w:t>
      </w:r>
      <w:r w:rsidRPr="00123939">
        <w:rPr>
          <w:rFonts w:ascii="Arial" w:hAnsi="Arial" w:cs="Arial"/>
        </w:rPr>
        <w:t>he concern about the high number of applications brought before the Court has been the central focus of the process of reforming the system of the Convention from the outset. As stated in the Copenhagen Declaration, improving the Convention system’s ability to deal with the increasing number of applications has been a principal aim of the current reform process from the very beginning. It is in connection with the need for further action to address the caseload challenges that the Copenhagen Declaration stated that “[t]he challenges posed to the Convention system by situations of conflict and crisis in Europe must also be acknowledged”.</w:t>
      </w:r>
      <w:r w:rsidRPr="00123939">
        <w:rPr>
          <w:rStyle w:val="Appelnotedebasdep"/>
          <w:rFonts w:ascii="Arial" w:hAnsi="Arial" w:cs="Arial"/>
        </w:rPr>
        <w:footnoteReference w:id="20"/>
      </w:r>
    </w:p>
    <w:p w14:paraId="0482F09B" w14:textId="77777777" w:rsidR="002218C4" w:rsidRPr="00123939" w:rsidRDefault="002218C4" w:rsidP="002218C4">
      <w:pPr>
        <w:pStyle w:val="ECHRParaSpaced"/>
        <w:ind w:firstLine="340"/>
        <w:rPr>
          <w:rFonts w:ascii="Arial" w:hAnsi="Arial" w:cs="Arial"/>
        </w:rPr>
      </w:pPr>
      <w:r w:rsidRPr="00123939">
        <w:rPr>
          <w:rFonts w:ascii="Arial" w:hAnsi="Arial" w:cs="Arial"/>
        </w:rPr>
        <w:t>1</w:t>
      </w:r>
      <w:r>
        <w:rPr>
          <w:rFonts w:ascii="Arial" w:hAnsi="Arial" w:cs="Arial"/>
        </w:rPr>
        <w:t>9</w:t>
      </w:r>
      <w:r w:rsidRPr="00123939">
        <w:rPr>
          <w:rFonts w:ascii="Arial" w:hAnsi="Arial" w:cs="Arial"/>
        </w:rPr>
        <w:t>.  One of the greatest challenges in inter-State cases is the establishment of facts</w:t>
      </w:r>
      <w:r>
        <w:rPr>
          <w:rFonts w:ascii="Arial" w:hAnsi="Arial" w:cs="Arial"/>
        </w:rPr>
        <w:t>,</w:t>
      </w:r>
      <w:r w:rsidRPr="00123939">
        <w:rPr>
          <w:rFonts w:ascii="Arial" w:hAnsi="Arial" w:cs="Arial"/>
        </w:rPr>
        <w:t xml:space="preserve"> in particular</w:t>
      </w:r>
      <w:r>
        <w:rPr>
          <w:rFonts w:ascii="Arial" w:hAnsi="Arial" w:cs="Arial"/>
        </w:rPr>
        <w:t>,</w:t>
      </w:r>
      <w:r w:rsidRPr="00123939">
        <w:rPr>
          <w:rFonts w:ascii="Arial" w:hAnsi="Arial" w:cs="Arial"/>
        </w:rPr>
        <w:t xml:space="preserve"> when the Court has to act as a court of first instance </w:t>
      </w:r>
      <w:r>
        <w:rPr>
          <w:rFonts w:ascii="Arial" w:hAnsi="Arial" w:cs="Arial"/>
        </w:rPr>
        <w:t>as the result of the</w:t>
      </w:r>
      <w:r w:rsidRPr="00123939">
        <w:rPr>
          <w:rFonts w:ascii="Arial" w:hAnsi="Arial" w:cs="Arial"/>
        </w:rPr>
        <w:t xml:space="preserve"> lack of prior examination of the cases by the national courts.</w:t>
      </w:r>
      <w:r w:rsidRPr="00123939">
        <w:rPr>
          <w:rStyle w:val="Appelnotedebasdep"/>
          <w:rFonts w:ascii="Arial" w:hAnsi="Arial" w:cs="Arial"/>
        </w:rPr>
        <w:footnoteReference w:id="21"/>
      </w:r>
      <w:r w:rsidRPr="00123939">
        <w:rPr>
          <w:rFonts w:ascii="Arial" w:hAnsi="Arial" w:cs="Arial"/>
        </w:rPr>
        <w:t xml:space="preserve"> These challenges relate particularly to the obtaining of the necessary evidence </w:t>
      </w:r>
      <w:r w:rsidRPr="00123939">
        <w:rPr>
          <w:rFonts w:ascii="Arial" w:hAnsi="Arial" w:cs="Arial"/>
          <w:i/>
        </w:rPr>
        <w:t>inter alia</w:t>
      </w:r>
      <w:r w:rsidRPr="00123939">
        <w:rPr>
          <w:rFonts w:ascii="Arial" w:hAnsi="Arial" w:cs="Arial"/>
        </w:rPr>
        <w:t xml:space="preserve"> by fact-finding missions, witness hearings, the different sources of information as well as the assessment of evidence before the Court.</w:t>
      </w:r>
      <w:r w:rsidRPr="00123939">
        <w:rPr>
          <w:rStyle w:val="Appelnotedebasdep"/>
          <w:rFonts w:ascii="Arial" w:hAnsi="Arial" w:cs="Arial"/>
        </w:rPr>
        <w:footnoteReference w:id="22"/>
      </w:r>
      <w:r w:rsidRPr="00123939">
        <w:rPr>
          <w:rFonts w:ascii="Arial" w:hAnsi="Arial" w:cs="Arial"/>
        </w:rPr>
        <w:t xml:space="preserve">  </w:t>
      </w:r>
    </w:p>
    <w:p w14:paraId="2E552714" w14:textId="77777777" w:rsidR="002218C4" w:rsidRPr="00123939" w:rsidRDefault="002218C4" w:rsidP="002218C4">
      <w:pPr>
        <w:pStyle w:val="ECHRParaSpaced"/>
        <w:ind w:firstLine="340"/>
        <w:rPr>
          <w:rFonts w:ascii="Arial" w:hAnsi="Arial" w:cs="Arial"/>
        </w:rPr>
      </w:pPr>
      <w:r>
        <w:rPr>
          <w:rFonts w:ascii="Arial" w:hAnsi="Arial" w:cs="Arial"/>
        </w:rPr>
        <w:t>20</w:t>
      </w:r>
      <w:r w:rsidRPr="00123939">
        <w:rPr>
          <w:rFonts w:ascii="Arial" w:hAnsi="Arial" w:cs="Arial"/>
        </w:rPr>
        <w:t>. Moreover, the processing in parallel of, on the one hand, inter-State cases and, on the other hand, a high number of individual applications relating to</w:t>
      </w:r>
      <w:r>
        <w:rPr>
          <w:rFonts w:ascii="Arial" w:hAnsi="Arial" w:cs="Arial"/>
        </w:rPr>
        <w:t xml:space="preserve"> </w:t>
      </w:r>
      <w:r w:rsidRPr="00F72000">
        <w:rPr>
          <w:rFonts w:ascii="Arial" w:hAnsi="Arial" w:cs="Arial"/>
        </w:rPr>
        <w:t>inter-State cases or conflicts</w:t>
      </w:r>
      <w:r>
        <w:rPr>
          <w:rFonts w:ascii="Arial" w:hAnsi="Arial" w:cs="Arial"/>
        </w:rPr>
        <w:t>,</w:t>
      </w:r>
      <w:r w:rsidRPr="00123939">
        <w:rPr>
          <w:rFonts w:ascii="Arial" w:hAnsi="Arial" w:cs="Arial"/>
        </w:rPr>
        <w:t xml:space="preserve"> raises questions regarding their prioritisation as well as in terms of avoiding inconsistencies and duplications. </w:t>
      </w:r>
      <w:r w:rsidRPr="00123939">
        <w:rPr>
          <w:rFonts w:ascii="Arial" w:hAnsi="Arial" w:cs="Arial"/>
          <w:lang w:val="en-US"/>
        </w:rPr>
        <w:t xml:space="preserve">The Convention does not specifically deal with the issue of the correlation between interstate cases and individual applications. Even though the Court has developed its practice and established guiding principles, State Parties still experience </w:t>
      </w:r>
      <w:r w:rsidRPr="00123939">
        <w:rPr>
          <w:rFonts w:ascii="Arial" w:hAnsi="Arial" w:cs="Arial"/>
          <w:lang w:val="en-US"/>
        </w:rPr>
        <w:lastRenderedPageBreak/>
        <w:t xml:space="preserve">practical difficulties. </w:t>
      </w:r>
      <w:r w:rsidRPr="00123939">
        <w:rPr>
          <w:rFonts w:ascii="Arial" w:hAnsi="Arial" w:cs="Arial"/>
        </w:rPr>
        <w:t>This is compounded by the possibility of parallel proceedings in other international bodies in respect of inter-State complaints or individual applications linked to the inter-State cases or related individual applications pending before the Court.</w:t>
      </w:r>
    </w:p>
    <w:p w14:paraId="13C8E9A8" w14:textId="77777777" w:rsidR="002218C4" w:rsidRPr="00123939" w:rsidRDefault="002218C4" w:rsidP="002218C4">
      <w:pPr>
        <w:pStyle w:val="ECHRParaSpaced"/>
        <w:ind w:firstLine="340"/>
        <w:rPr>
          <w:rFonts w:ascii="Arial" w:hAnsi="Arial" w:cs="Arial"/>
        </w:rPr>
      </w:pPr>
      <w:r w:rsidRPr="00123939">
        <w:rPr>
          <w:rFonts w:ascii="Arial" w:hAnsi="Arial" w:cs="Arial"/>
        </w:rPr>
        <w:t>2</w:t>
      </w:r>
      <w:r>
        <w:rPr>
          <w:rFonts w:ascii="Arial" w:hAnsi="Arial" w:cs="Arial"/>
        </w:rPr>
        <w:t>1</w:t>
      </w:r>
      <w:r w:rsidRPr="00123939">
        <w:rPr>
          <w:rFonts w:ascii="Arial" w:hAnsi="Arial" w:cs="Arial"/>
        </w:rPr>
        <w:t>. The sensitive and political nature of inter-State cases makes their friendly settlement according to Article 39 complex and difficult.</w:t>
      </w:r>
    </w:p>
    <w:p w14:paraId="1DB89F23" w14:textId="77777777" w:rsidR="002218C4" w:rsidRPr="00123939" w:rsidRDefault="002218C4" w:rsidP="002218C4">
      <w:pPr>
        <w:pStyle w:val="ECHRParaSpaced"/>
        <w:ind w:firstLine="340"/>
        <w:rPr>
          <w:rFonts w:ascii="Arial" w:hAnsi="Arial" w:cs="Arial"/>
        </w:rPr>
      </w:pPr>
      <w:r w:rsidRPr="00123939">
        <w:rPr>
          <w:rFonts w:ascii="Arial" w:hAnsi="Arial" w:cs="Arial"/>
        </w:rPr>
        <w:t>2</w:t>
      </w:r>
      <w:r>
        <w:rPr>
          <w:rFonts w:ascii="Arial" w:hAnsi="Arial" w:cs="Arial"/>
        </w:rPr>
        <w:t>2</w:t>
      </w:r>
      <w:r w:rsidRPr="00123939">
        <w:rPr>
          <w:rFonts w:ascii="Arial" w:hAnsi="Arial" w:cs="Arial"/>
        </w:rPr>
        <w:t>. The Court has observed that the Article 41 procedure is normally very complex. “It is important to ask the applicant Government from the outset to submit lists of clearly identifiable individuals."</w:t>
      </w:r>
      <w:r w:rsidRPr="00123939">
        <w:rPr>
          <w:rStyle w:val="Appelnotedebasdep"/>
          <w:rFonts w:ascii="Arial" w:hAnsi="Arial" w:cs="Arial"/>
        </w:rPr>
        <w:footnoteReference w:id="23"/>
      </w:r>
      <w:r w:rsidRPr="00123939">
        <w:rPr>
          <w:rFonts w:ascii="Arial" w:hAnsi="Arial" w:cs="Arial"/>
        </w:rPr>
        <w:t xml:space="preserve"> This</w:t>
      </w:r>
      <w:r w:rsidRPr="00123939">
        <w:rPr>
          <w:rFonts w:ascii="Arial" w:hAnsi="Arial" w:cs="Arial"/>
          <w:b/>
          <w:bCs/>
        </w:rPr>
        <w:t xml:space="preserve"> </w:t>
      </w:r>
      <w:r w:rsidRPr="00123939">
        <w:rPr>
          <w:rFonts w:ascii="Arial" w:hAnsi="Arial" w:cs="Arial"/>
        </w:rPr>
        <w:t>has led to practical questions being raised in terms of awarding just satisfaction in inter-State cases</w:t>
      </w:r>
      <w:r>
        <w:rPr>
          <w:rFonts w:ascii="Arial" w:hAnsi="Arial" w:cs="Arial"/>
        </w:rPr>
        <w:t xml:space="preserve"> </w:t>
      </w:r>
      <w:r w:rsidRPr="00F72000">
        <w:rPr>
          <w:rFonts w:ascii="Arial" w:hAnsi="Arial" w:cs="Arial"/>
        </w:rPr>
        <w:t xml:space="preserve">for the benefit of </w:t>
      </w:r>
      <w:r w:rsidRPr="00123939">
        <w:rPr>
          <w:rFonts w:ascii="Arial" w:hAnsi="Arial" w:cs="Arial"/>
        </w:rPr>
        <w:t>individual victims</w:t>
      </w:r>
      <w:r w:rsidRPr="00123939">
        <w:rPr>
          <w:rFonts w:ascii="Arial" w:hAnsi="Arial" w:cs="Arial"/>
          <w:i/>
        </w:rPr>
        <w:t>.</w:t>
      </w:r>
    </w:p>
    <w:p w14:paraId="4EBDB1AB" w14:textId="77777777" w:rsidR="002218C4" w:rsidRDefault="002218C4" w:rsidP="002218C4">
      <w:pPr>
        <w:pStyle w:val="ECHRParaSpaced"/>
        <w:ind w:firstLine="340"/>
        <w:rPr>
          <w:rFonts w:ascii="Arial" w:hAnsi="Arial" w:cs="Arial"/>
        </w:rPr>
      </w:pPr>
      <w:r w:rsidRPr="00123939">
        <w:rPr>
          <w:rFonts w:ascii="Arial" w:hAnsi="Arial" w:cs="Arial"/>
        </w:rPr>
        <w:t>2</w:t>
      </w:r>
      <w:r>
        <w:rPr>
          <w:rFonts w:ascii="Arial" w:hAnsi="Arial" w:cs="Arial"/>
        </w:rPr>
        <w:t>3</w:t>
      </w:r>
      <w:r w:rsidRPr="00123939">
        <w:rPr>
          <w:rFonts w:ascii="Arial" w:hAnsi="Arial" w:cs="Arial"/>
        </w:rPr>
        <w:t xml:space="preserve">. </w:t>
      </w:r>
      <w:bookmarkStart w:id="13" w:name="_Hlk52447997"/>
      <w:r w:rsidRPr="00123939">
        <w:rPr>
          <w:rFonts w:ascii="Arial" w:hAnsi="Arial" w:cs="Arial"/>
        </w:rPr>
        <w:t xml:space="preserve">This </w:t>
      </w:r>
      <w:r w:rsidRPr="00BA2568">
        <w:rPr>
          <w:rFonts w:ascii="Arial" w:hAnsi="Arial" w:cs="Arial"/>
        </w:rPr>
        <w:t>report approaches these issues from the perspective of the requirements of the Convention</w:t>
      </w:r>
      <w:r w:rsidRPr="00BA2568">
        <w:rPr>
          <w:rFonts w:ascii="Arial" w:hAnsi="Arial" w:cs="Arial"/>
          <w:color w:val="FF0000"/>
        </w:rPr>
        <w:t xml:space="preserve"> </w:t>
      </w:r>
      <w:r w:rsidRPr="00BA2568">
        <w:rPr>
          <w:rFonts w:ascii="Arial" w:hAnsi="Arial" w:cs="Arial"/>
        </w:rPr>
        <w:t>and the Rules of the Court as well as the relevant principles established by the Court in its case-law, including in respect of the application of general international law</w:t>
      </w:r>
      <w:bookmarkEnd w:id="13"/>
      <w:r w:rsidRPr="00BA2568">
        <w:rPr>
          <w:rFonts w:ascii="Arial" w:hAnsi="Arial" w:cs="Arial"/>
        </w:rPr>
        <w:t>. The States’ duty to co-operate with the Court in the examination of inter-State and related</w:t>
      </w:r>
      <w:r w:rsidRPr="00123939">
        <w:rPr>
          <w:rFonts w:ascii="Arial" w:hAnsi="Arial" w:cs="Arial"/>
        </w:rPr>
        <w:t xml:space="preserve"> individual applications is underlined wherever applicable and constitutes a transversal thread in this analysis. </w:t>
      </w:r>
    </w:p>
    <w:p w14:paraId="5E55D08D" w14:textId="77777777" w:rsidR="002218C4" w:rsidRDefault="002218C4" w:rsidP="002218C4">
      <w:pPr>
        <w:pStyle w:val="ECHRParaSpaced"/>
        <w:ind w:firstLine="340"/>
        <w:rPr>
          <w:rFonts w:ascii="Arial" w:hAnsi="Arial" w:cs="Arial"/>
        </w:rPr>
      </w:pPr>
      <w:r w:rsidRPr="00911AA0">
        <w:rPr>
          <w:rFonts w:ascii="Arial" w:hAnsi="Arial" w:cs="Arial"/>
          <w:lang w:val="en-US"/>
        </w:rPr>
        <w:t>2</w:t>
      </w:r>
      <w:r>
        <w:rPr>
          <w:rFonts w:ascii="Arial" w:hAnsi="Arial" w:cs="Arial"/>
          <w:lang w:val="en-US"/>
        </w:rPr>
        <w:t>4</w:t>
      </w:r>
      <w:r w:rsidRPr="00911AA0">
        <w:rPr>
          <w:rFonts w:ascii="Arial" w:hAnsi="Arial" w:cs="Arial"/>
          <w:lang w:val="en-US"/>
        </w:rPr>
        <w:t xml:space="preserve">. In the view of one delegation, “[a] fundamental challenge lies in the discrepancies between the case-law of the Court and other international courts and tribunals, such as the International Court of Justice, with regard to rules on establishing a State’s responsibility for violation of its international obligations.” </w:t>
      </w:r>
      <w:r w:rsidRPr="006F560A">
        <w:rPr>
          <w:rFonts w:ascii="Arial" w:hAnsi="Arial" w:cs="Arial"/>
        </w:rPr>
        <w:t>On this view, “[a]s an example, in some of its decisions – though not in others – the Court adopted less stringent criteria of responsibility, such as the degree of control which must be exercised in order for the conduct of a group of persons to be attributable to the State, than those used under the case-law of the ICJ and other international courts (tribunals), as well as those in the Articles on Responsibility of States for Internationally Wrongful Acts adopted by the International law Commission.</w:t>
      </w:r>
      <w:r w:rsidRPr="006F560A">
        <w:rPr>
          <w:rFonts w:ascii="Arial" w:hAnsi="Arial" w:cs="Arial"/>
          <w:bCs/>
        </w:rPr>
        <w:t xml:space="preserve"> This creates legal uncertainty </w:t>
      </w:r>
      <w:r w:rsidRPr="006F560A">
        <w:rPr>
          <w:rFonts w:ascii="Arial" w:hAnsi="Arial" w:cs="Arial"/>
          <w:bCs/>
          <w:i/>
        </w:rPr>
        <w:t xml:space="preserve">vis-à-vis </w:t>
      </w:r>
      <w:r w:rsidRPr="006F560A">
        <w:rPr>
          <w:rFonts w:ascii="Arial" w:hAnsi="Arial" w:cs="Arial"/>
          <w:bCs/>
        </w:rPr>
        <w:t>both general international law and the Court’s own (inconsistent) practice.</w:t>
      </w:r>
      <w:r w:rsidRPr="006F560A">
        <w:rPr>
          <w:rFonts w:ascii="Arial" w:hAnsi="Arial" w:cs="Arial"/>
        </w:rPr>
        <w:t>”</w:t>
      </w:r>
      <w:r w:rsidRPr="006F560A">
        <w:rPr>
          <w:rStyle w:val="Appelnotedebasdep"/>
          <w:rFonts w:ascii="Arial" w:hAnsi="Arial" w:cs="Arial"/>
        </w:rPr>
        <w:footnoteReference w:id="24"/>
      </w:r>
      <w:r w:rsidRPr="006F560A">
        <w:rPr>
          <w:rFonts w:ascii="Arial" w:hAnsi="Arial" w:cs="Arial"/>
        </w:rPr>
        <w:t xml:space="preserve"> Also, on this view, reference is made to the </w:t>
      </w:r>
      <w:r w:rsidRPr="006F560A">
        <w:rPr>
          <w:rFonts w:ascii="Arial" w:hAnsi="Arial" w:cs="Arial"/>
          <w:bCs/>
        </w:rPr>
        <w:t xml:space="preserve">CDDH Report on the place of the European Convention on Human Rights in the European and international legal order, (CDDH(2019)R92 Addendum 1), in particular to paragraphs </w:t>
      </w:r>
      <w:r w:rsidRPr="006F560A">
        <w:rPr>
          <w:rFonts w:ascii="Arial" w:hAnsi="Arial" w:cs="Arial"/>
          <w:lang w:val="en-US"/>
        </w:rPr>
        <w:t>164-167, 189, 193-199.</w:t>
      </w:r>
      <w:r w:rsidRPr="00955952">
        <w:rPr>
          <w:rFonts w:ascii="Arial" w:hAnsi="Arial" w:cs="Arial"/>
          <w:b/>
          <w:i/>
          <w:highlight w:val="yellow"/>
          <w:lang w:val="en-US"/>
        </w:rPr>
        <w:t xml:space="preserve"> </w:t>
      </w:r>
    </w:p>
    <w:p w14:paraId="1D2E8C7D" w14:textId="77777777" w:rsidR="002218C4" w:rsidRPr="00680B23" w:rsidRDefault="002218C4" w:rsidP="002218C4">
      <w:pPr>
        <w:pStyle w:val="ECHRParaSpaced"/>
        <w:ind w:firstLine="340"/>
        <w:rPr>
          <w:rFonts w:ascii="Arial" w:hAnsi="Arial" w:cs="Arial"/>
        </w:rPr>
      </w:pPr>
      <w:r w:rsidRPr="006F560A">
        <w:rPr>
          <w:rFonts w:ascii="Arial" w:hAnsi="Arial" w:cs="Arial"/>
        </w:rPr>
        <w:t>2</w:t>
      </w:r>
      <w:r>
        <w:rPr>
          <w:rFonts w:ascii="Arial" w:hAnsi="Arial" w:cs="Arial"/>
        </w:rPr>
        <w:t>5</w:t>
      </w:r>
      <w:r w:rsidRPr="006F560A">
        <w:rPr>
          <w:rFonts w:ascii="Arial" w:hAnsi="Arial" w:cs="Arial"/>
        </w:rPr>
        <w:t>. The DH-SYSC-IV might wish to consider in the future examining the relevance of these questions in respect of cases relating to inter-State disputes bearing in mind the conclusions and the instruction given by the CDDH</w:t>
      </w:r>
      <w:r w:rsidRPr="006F560A">
        <w:rPr>
          <w:rFonts w:ascii="Arial" w:hAnsi="Arial" w:cs="Arial"/>
          <w:color w:val="000000"/>
        </w:rPr>
        <w:t xml:space="preserve"> at its 93</w:t>
      </w:r>
      <w:r w:rsidRPr="006F560A">
        <w:rPr>
          <w:rFonts w:ascii="Arial" w:hAnsi="Arial" w:cs="Arial"/>
          <w:color w:val="000000"/>
          <w:vertAlign w:val="superscript"/>
        </w:rPr>
        <w:t>rd</w:t>
      </w:r>
      <w:r w:rsidRPr="006F560A">
        <w:rPr>
          <w:rFonts w:ascii="Arial" w:hAnsi="Arial" w:cs="Arial"/>
          <w:color w:val="000000"/>
        </w:rPr>
        <w:t xml:space="preserve"> meeting (14-16 December 2020)</w:t>
      </w:r>
      <w:r w:rsidRPr="006F560A">
        <w:rPr>
          <w:rFonts w:ascii="Arial" w:hAnsi="Arial" w:cs="Arial"/>
        </w:rPr>
        <w:t xml:space="preserve">. </w:t>
      </w:r>
      <w:r w:rsidRPr="006F560A">
        <w:rPr>
          <w:rStyle w:val="Appelnotedebasdep"/>
          <w:rFonts w:ascii="Arial" w:hAnsi="Arial" w:cs="Arial"/>
        </w:rPr>
        <w:footnoteReference w:id="25"/>
      </w:r>
    </w:p>
    <w:p w14:paraId="1DD05408" w14:textId="77777777" w:rsidR="002218C4" w:rsidRPr="00D7090E" w:rsidRDefault="002218C4" w:rsidP="002218C4">
      <w:pPr>
        <w:pStyle w:val="Titre1"/>
        <w:rPr>
          <w:rFonts w:ascii="Arial" w:hAnsi="Arial" w:cs="Arial"/>
          <w:b/>
          <w:bCs/>
          <w:sz w:val="24"/>
          <w:szCs w:val="24"/>
          <w:lang w:val="en-GB"/>
        </w:rPr>
      </w:pPr>
      <w:bookmarkStart w:id="15" w:name="_Toc45123256"/>
      <w:bookmarkStart w:id="16" w:name="_Toc83293362"/>
      <w:r w:rsidRPr="00D7090E">
        <w:rPr>
          <w:rFonts w:ascii="Arial" w:hAnsi="Arial" w:cs="Arial"/>
          <w:b/>
          <w:bCs/>
          <w:sz w:val="24"/>
          <w:szCs w:val="24"/>
          <w:lang w:val="en-GB"/>
        </w:rPr>
        <w:t>IV. QUESTIONS REGARDING THE PARALLEL PROCESSING OF RELATED INTER-STATE AND INDIVIDUAL APPLICATIONS</w:t>
      </w:r>
      <w:bookmarkEnd w:id="15"/>
      <w:bookmarkEnd w:id="16"/>
      <w:r w:rsidRPr="00D7090E">
        <w:rPr>
          <w:rFonts w:ascii="Arial" w:hAnsi="Arial" w:cs="Arial"/>
          <w:b/>
          <w:bCs/>
          <w:sz w:val="24"/>
          <w:szCs w:val="24"/>
          <w:lang w:val="en-GB"/>
        </w:rPr>
        <w:t xml:space="preserve"> </w:t>
      </w:r>
    </w:p>
    <w:p w14:paraId="5C34685C" w14:textId="77777777" w:rsidR="002218C4" w:rsidRPr="00A4296E" w:rsidRDefault="002218C4" w:rsidP="002218C4">
      <w:pPr>
        <w:rPr>
          <w:lang w:val="en-GB"/>
        </w:rPr>
      </w:pPr>
    </w:p>
    <w:p w14:paraId="619466C3" w14:textId="77777777" w:rsidR="002218C4" w:rsidRDefault="002218C4" w:rsidP="002218C4">
      <w:pPr>
        <w:pStyle w:val="Sansinterligne"/>
        <w:ind w:firstLine="340"/>
        <w:rPr>
          <w:rFonts w:ascii="Arial" w:hAnsi="Arial" w:cs="Arial"/>
          <w:sz w:val="22"/>
          <w:szCs w:val="22"/>
          <w:lang w:val="en-GB"/>
        </w:rPr>
      </w:pPr>
      <w:r w:rsidRPr="006E1FBB">
        <w:rPr>
          <w:rFonts w:ascii="Arial" w:hAnsi="Arial" w:cs="Arial"/>
          <w:sz w:val="22"/>
          <w:szCs w:val="22"/>
          <w:lang w:val="en-GB"/>
        </w:rPr>
        <w:t>2</w:t>
      </w:r>
      <w:r>
        <w:rPr>
          <w:rFonts w:ascii="Arial" w:hAnsi="Arial" w:cs="Arial"/>
          <w:sz w:val="22"/>
          <w:szCs w:val="22"/>
          <w:lang w:val="en-GB"/>
        </w:rPr>
        <w:t>6</w:t>
      </w:r>
      <w:r w:rsidRPr="006E1FBB">
        <w:rPr>
          <w:rFonts w:ascii="Arial" w:hAnsi="Arial" w:cs="Arial"/>
          <w:sz w:val="22"/>
          <w:szCs w:val="22"/>
          <w:lang w:val="en-GB"/>
        </w:rPr>
        <w:t xml:space="preserve">. </w:t>
      </w:r>
      <w:r>
        <w:rPr>
          <w:rFonts w:ascii="Arial" w:hAnsi="Arial" w:cs="Arial"/>
          <w:sz w:val="22"/>
          <w:szCs w:val="22"/>
          <w:lang w:val="en-GB"/>
        </w:rPr>
        <w:t>A</w:t>
      </w:r>
      <w:r w:rsidRPr="006E1FBB">
        <w:rPr>
          <w:rFonts w:ascii="Arial" w:hAnsi="Arial" w:cs="Arial"/>
          <w:sz w:val="22"/>
          <w:szCs w:val="22"/>
          <w:lang w:val="en-GB"/>
        </w:rPr>
        <w:t xml:space="preserve"> considerable number of </w:t>
      </w:r>
      <w:r>
        <w:rPr>
          <w:rFonts w:ascii="Arial" w:hAnsi="Arial" w:cs="Arial"/>
          <w:sz w:val="22"/>
          <w:szCs w:val="22"/>
          <w:lang w:val="en-GB"/>
        </w:rPr>
        <w:t xml:space="preserve">pending </w:t>
      </w:r>
      <w:r w:rsidRPr="006E1FBB">
        <w:rPr>
          <w:rFonts w:ascii="Arial" w:hAnsi="Arial" w:cs="Arial"/>
          <w:sz w:val="22"/>
          <w:szCs w:val="22"/>
          <w:lang w:val="en-GB"/>
        </w:rPr>
        <w:t xml:space="preserve">individual applications </w:t>
      </w:r>
      <w:r>
        <w:rPr>
          <w:rFonts w:ascii="Arial" w:hAnsi="Arial" w:cs="Arial"/>
          <w:sz w:val="22"/>
          <w:szCs w:val="22"/>
          <w:lang w:val="en-GB"/>
        </w:rPr>
        <w:t xml:space="preserve">that </w:t>
      </w:r>
      <w:r w:rsidRPr="006E1FBB">
        <w:rPr>
          <w:rFonts w:ascii="Arial" w:hAnsi="Arial" w:cs="Arial"/>
          <w:sz w:val="22"/>
          <w:szCs w:val="22"/>
          <w:lang w:val="en-GB"/>
        </w:rPr>
        <w:t xml:space="preserve">relate to inter-State </w:t>
      </w:r>
      <w:r w:rsidRPr="00F72000">
        <w:rPr>
          <w:rFonts w:ascii="Arial" w:hAnsi="Arial" w:cs="Arial"/>
          <w:sz w:val="22"/>
          <w:szCs w:val="22"/>
          <w:lang w:val="en-GB"/>
        </w:rPr>
        <w:t xml:space="preserve">disputes </w:t>
      </w:r>
      <w:r w:rsidRPr="006E1FBB">
        <w:rPr>
          <w:rFonts w:ascii="Arial" w:hAnsi="Arial" w:cs="Arial"/>
          <w:sz w:val="22"/>
          <w:szCs w:val="22"/>
          <w:lang w:val="en-GB"/>
        </w:rPr>
        <w:t>or inter-State applications</w:t>
      </w:r>
      <w:r>
        <w:rPr>
          <w:rFonts w:ascii="Arial" w:hAnsi="Arial" w:cs="Arial"/>
          <w:sz w:val="22"/>
          <w:szCs w:val="22"/>
          <w:lang w:val="en-GB"/>
        </w:rPr>
        <w:t xml:space="preserve"> is</w:t>
      </w:r>
      <w:r w:rsidRPr="006E1FBB">
        <w:rPr>
          <w:rFonts w:ascii="Arial" w:hAnsi="Arial" w:cs="Arial"/>
          <w:sz w:val="22"/>
          <w:szCs w:val="22"/>
          <w:lang w:val="en-GB"/>
        </w:rPr>
        <w:t xml:space="preserve"> </w:t>
      </w:r>
      <w:r>
        <w:rPr>
          <w:rFonts w:ascii="Arial" w:hAnsi="Arial" w:cs="Arial"/>
          <w:sz w:val="22"/>
          <w:szCs w:val="22"/>
          <w:lang w:val="en-GB"/>
        </w:rPr>
        <w:t xml:space="preserve">also </w:t>
      </w:r>
      <w:r w:rsidRPr="006E1FBB">
        <w:rPr>
          <w:rFonts w:ascii="Arial" w:hAnsi="Arial" w:cs="Arial"/>
          <w:sz w:val="22"/>
          <w:szCs w:val="22"/>
          <w:lang w:val="en-GB"/>
        </w:rPr>
        <w:t xml:space="preserve">pending before the Court. This report </w:t>
      </w:r>
      <w:r>
        <w:rPr>
          <w:rFonts w:ascii="Arial" w:hAnsi="Arial" w:cs="Arial"/>
          <w:sz w:val="22"/>
          <w:szCs w:val="22"/>
          <w:lang w:val="en-GB"/>
        </w:rPr>
        <w:t xml:space="preserve">takes the view that the link between such </w:t>
      </w:r>
      <w:r w:rsidRPr="006E1FBB">
        <w:rPr>
          <w:rFonts w:ascii="Arial" w:hAnsi="Arial" w:cs="Arial"/>
          <w:sz w:val="22"/>
          <w:szCs w:val="22"/>
          <w:lang w:val="en-GB"/>
        </w:rPr>
        <w:t>applications</w:t>
      </w:r>
      <w:r>
        <w:rPr>
          <w:rFonts w:ascii="Arial" w:hAnsi="Arial" w:cs="Arial"/>
          <w:sz w:val="22"/>
          <w:szCs w:val="22"/>
          <w:lang w:val="en-GB"/>
        </w:rPr>
        <w:t xml:space="preserve"> for purposes of their processing is established by the Court</w:t>
      </w:r>
      <w:r w:rsidRPr="006E1FBB">
        <w:rPr>
          <w:rFonts w:ascii="Arial" w:hAnsi="Arial" w:cs="Arial"/>
          <w:sz w:val="22"/>
          <w:szCs w:val="22"/>
          <w:lang w:val="en-GB"/>
        </w:rPr>
        <w:t xml:space="preserve">. </w:t>
      </w:r>
      <w:bookmarkStart w:id="17" w:name="_Toc45123257"/>
    </w:p>
    <w:p w14:paraId="153742C6" w14:textId="77777777" w:rsidR="002218C4" w:rsidRPr="006E1FBB" w:rsidRDefault="002218C4" w:rsidP="002218C4">
      <w:pPr>
        <w:pStyle w:val="Sansinterligne"/>
        <w:rPr>
          <w:rFonts w:eastAsiaTheme="majorEastAsia"/>
          <w:color w:val="4F81BD" w:themeColor="accent1"/>
          <w:sz w:val="22"/>
          <w:szCs w:val="22"/>
          <w:lang w:val="en-GB"/>
        </w:rPr>
      </w:pPr>
    </w:p>
    <w:p w14:paraId="04096A0B" w14:textId="77777777" w:rsidR="002218C4" w:rsidRPr="00D7090E" w:rsidRDefault="002218C4" w:rsidP="002218C4">
      <w:pPr>
        <w:pStyle w:val="Titre2"/>
        <w:ind w:left="720"/>
        <w:rPr>
          <w:rFonts w:ascii="Arial" w:hAnsi="Arial" w:cs="Arial"/>
          <w:b/>
          <w:i/>
          <w:lang w:val="en-GB"/>
        </w:rPr>
      </w:pPr>
      <w:bookmarkStart w:id="18" w:name="_Toc83293363"/>
      <w:r w:rsidRPr="00565B1D">
        <w:rPr>
          <w:rFonts w:ascii="Arial" w:hAnsi="Arial" w:cs="Arial"/>
          <w:i/>
          <w:lang w:val="en-GB"/>
        </w:rPr>
        <w:t>1. Specific features and categories of inter-State applications</w:t>
      </w:r>
      <w:bookmarkEnd w:id="17"/>
      <w:bookmarkEnd w:id="18"/>
    </w:p>
    <w:p w14:paraId="7835DFBD" w14:textId="77777777" w:rsidR="002218C4" w:rsidRPr="00123939" w:rsidRDefault="002218C4" w:rsidP="002218C4">
      <w:pPr>
        <w:pStyle w:val="ECHRParaSpaced"/>
        <w:ind w:firstLine="340"/>
        <w:rPr>
          <w:rStyle w:val="sb8d990e2"/>
          <w:rFonts w:ascii="Arial" w:hAnsi="Arial" w:cs="Arial"/>
        </w:rPr>
      </w:pPr>
      <w:r w:rsidRPr="00123939">
        <w:rPr>
          <w:rFonts w:ascii="Arial" w:hAnsi="Arial" w:cs="Arial"/>
        </w:rPr>
        <w:t>2</w:t>
      </w:r>
      <w:r>
        <w:rPr>
          <w:rFonts w:ascii="Arial" w:hAnsi="Arial" w:cs="Arial"/>
        </w:rPr>
        <w:t>7</w:t>
      </w:r>
      <w:r w:rsidRPr="00123939">
        <w:rPr>
          <w:rFonts w:ascii="Arial" w:hAnsi="Arial" w:cs="Arial"/>
        </w:rPr>
        <w:t xml:space="preserve">. </w:t>
      </w:r>
      <w:r w:rsidRPr="00123939">
        <w:rPr>
          <w:rFonts w:ascii="Arial" w:hAnsi="Arial" w:cs="Arial"/>
          <w:shd w:val="clear" w:color="auto" w:fill="FFFFFF" w:themeFill="background1"/>
        </w:rPr>
        <w:t xml:space="preserve">This section highlights the specific features of the </w:t>
      </w:r>
      <w:r w:rsidRPr="00123939">
        <w:rPr>
          <w:rFonts w:ascii="Arial" w:hAnsi="Arial" w:cs="Arial"/>
          <w:b/>
          <w:shd w:val="clear" w:color="auto" w:fill="FFFFFF" w:themeFill="background1"/>
        </w:rPr>
        <w:t>scope and contents</w:t>
      </w:r>
      <w:r w:rsidRPr="00123939">
        <w:rPr>
          <w:rFonts w:ascii="Arial" w:hAnsi="Arial" w:cs="Arial"/>
          <w:shd w:val="clear" w:color="auto" w:fill="FFFFFF" w:themeFill="background1"/>
        </w:rPr>
        <w:t xml:space="preserve"> of inter-state applications which distinguish them from individual applications</w:t>
      </w:r>
      <w:r w:rsidRPr="00123939">
        <w:rPr>
          <w:rFonts w:ascii="Arial" w:hAnsi="Arial" w:cs="Arial"/>
        </w:rPr>
        <w:t>. Article 33 of the Convention lays down, in unqualified terms, the right of any High Contracting Party to refer any alleged breach of the Convention and the Protocols thereto</w:t>
      </w:r>
      <w:r w:rsidRPr="00123939">
        <w:rPr>
          <w:rFonts w:ascii="Arial" w:hAnsi="Arial" w:cs="Arial"/>
          <w:b/>
        </w:rPr>
        <w:t xml:space="preserve"> </w:t>
      </w:r>
      <w:r w:rsidRPr="00123939">
        <w:rPr>
          <w:rFonts w:ascii="Arial" w:hAnsi="Arial" w:cs="Arial"/>
        </w:rPr>
        <w:t>by another High Contracting Party to the Court.</w:t>
      </w:r>
      <w:r w:rsidRPr="00123939">
        <w:rPr>
          <w:rStyle w:val="Appelnotedebasdep"/>
          <w:rFonts w:ascii="Arial" w:hAnsi="Arial" w:cs="Arial"/>
        </w:rPr>
        <w:t xml:space="preserve"> </w:t>
      </w:r>
      <w:r w:rsidRPr="00123939">
        <w:rPr>
          <w:rStyle w:val="Appelnotedebasdep"/>
          <w:rFonts w:ascii="Arial" w:hAnsi="Arial" w:cs="Arial"/>
        </w:rPr>
        <w:footnoteReference w:id="26"/>
      </w:r>
      <w:r w:rsidRPr="00123939">
        <w:rPr>
          <w:rFonts w:ascii="Arial" w:hAnsi="Arial" w:cs="Arial"/>
        </w:rPr>
        <w:t xml:space="preserve"> The European Commission of Human Rights characterised this right as an </w:t>
      </w:r>
      <w:r w:rsidRPr="00123939">
        <w:rPr>
          <w:rFonts w:ascii="Arial" w:hAnsi="Arial" w:cs="Arial"/>
        </w:rPr>
        <w:lastRenderedPageBreak/>
        <w:t>expression of the system of collective guarantee enshrined in the Convention rather than a mechanism for inter-State dispute resolution or to enforce the rights of States.</w:t>
      </w:r>
      <w:r w:rsidRPr="00123939">
        <w:rPr>
          <w:rStyle w:val="Appelnotedebasdep"/>
          <w:rFonts w:ascii="Arial" w:hAnsi="Arial" w:cs="Arial"/>
        </w:rPr>
        <w:footnoteReference w:id="27"/>
      </w:r>
      <w:r w:rsidRPr="00123939">
        <w:rPr>
          <w:rFonts w:ascii="Arial" w:hAnsi="Arial" w:cs="Arial"/>
        </w:rPr>
        <w:t xml:space="preserve"> On this view, the obligations undertaken by the High Contracting Parties in the Convention are designed to protect the fundamental rights of individual human beings from infringement by any of the High Contracting Parties rather than to create subjective and reciprocal rights for the High Contracting Parties themselves.</w:t>
      </w:r>
      <w:r w:rsidRPr="00123939">
        <w:rPr>
          <w:rStyle w:val="Appelnotedebasdep"/>
          <w:rFonts w:ascii="Arial" w:hAnsi="Arial" w:cs="Arial"/>
        </w:rPr>
        <w:footnoteReference w:id="28"/>
      </w:r>
      <w:r w:rsidRPr="00123939">
        <w:rPr>
          <w:rFonts w:ascii="Arial" w:hAnsi="Arial" w:cs="Arial"/>
        </w:rPr>
        <w:t xml:space="preserve"> Thus, when a High Contracting Party refers an alleged breach of the Convention, this is not to be regarded as exercising a right of action for the purpose of enforcing its own rights, but rather as bringing before the Court an alleged violation of the public order of Europe.</w:t>
      </w:r>
      <w:r w:rsidRPr="00123939">
        <w:rPr>
          <w:rStyle w:val="Appelnotedebasdep"/>
          <w:rFonts w:ascii="Arial" w:hAnsi="Arial" w:cs="Arial"/>
        </w:rPr>
        <w:footnoteReference w:id="29"/>
      </w:r>
      <w:r w:rsidRPr="00123939">
        <w:rPr>
          <w:rFonts w:ascii="Arial" w:hAnsi="Arial" w:cs="Arial"/>
        </w:rPr>
        <w:t xml:space="preserve"> </w:t>
      </w:r>
      <w:r>
        <w:rPr>
          <w:rFonts w:ascii="Arial" w:hAnsi="Arial" w:cs="Arial"/>
        </w:rPr>
        <w:t>While t</w:t>
      </w:r>
      <w:r w:rsidRPr="00123939">
        <w:rPr>
          <w:rFonts w:ascii="Arial" w:hAnsi="Arial" w:cs="Arial"/>
        </w:rPr>
        <w:t>he right of an individual application to the Court pursuant to Article 34 of the Convention is considered as a cornerstone of the system for protecting the rights and freedoms set forth in the Convention</w:t>
      </w:r>
      <w:r w:rsidRPr="00123939">
        <w:rPr>
          <w:rStyle w:val="Appelnotedebasdep"/>
          <w:rFonts w:ascii="Arial" w:hAnsi="Arial" w:cs="Arial"/>
        </w:rPr>
        <w:footnoteReference w:id="30"/>
      </w:r>
      <w:r w:rsidRPr="00123939">
        <w:rPr>
          <w:rFonts w:ascii="Arial" w:hAnsi="Arial" w:cs="Arial"/>
        </w:rPr>
        <w:t xml:space="preserve"> the inter-State application provides an additional pathway to ensure the protection of the rights of individuals.</w:t>
      </w:r>
    </w:p>
    <w:p w14:paraId="45D55B42" w14:textId="77777777" w:rsidR="002218C4" w:rsidRPr="00123939" w:rsidRDefault="002218C4" w:rsidP="002218C4">
      <w:pPr>
        <w:pStyle w:val="ECHRParaSpaced"/>
        <w:ind w:firstLine="340"/>
        <w:rPr>
          <w:rFonts w:ascii="Arial" w:hAnsi="Arial" w:cs="Arial"/>
        </w:rPr>
      </w:pPr>
      <w:r w:rsidRPr="00123939">
        <w:rPr>
          <w:rStyle w:val="sb8d990e2"/>
          <w:rFonts w:ascii="Arial" w:hAnsi="Arial" w:cs="Arial"/>
        </w:rPr>
        <w:t>2</w:t>
      </w:r>
      <w:r>
        <w:rPr>
          <w:rStyle w:val="sb8d990e2"/>
          <w:rFonts w:ascii="Arial" w:hAnsi="Arial" w:cs="Arial"/>
        </w:rPr>
        <w:t>8</w:t>
      </w:r>
      <w:r w:rsidRPr="00123939">
        <w:rPr>
          <w:rStyle w:val="sb8d990e2"/>
          <w:rFonts w:ascii="Arial" w:hAnsi="Arial" w:cs="Arial"/>
        </w:rPr>
        <w:t>.</w:t>
      </w:r>
      <w:r w:rsidRPr="00123939">
        <w:rPr>
          <w:rStyle w:val="sb8d990e2"/>
          <w:rFonts w:ascii="Arial" w:hAnsi="Arial" w:cs="Arial"/>
          <w:b/>
          <w:bCs/>
          <w:color w:val="FF0000"/>
        </w:rPr>
        <w:t xml:space="preserve"> </w:t>
      </w:r>
      <w:r w:rsidRPr="00123939">
        <w:rPr>
          <w:rFonts w:ascii="Arial" w:hAnsi="Arial" w:cs="Arial"/>
        </w:rPr>
        <w:t xml:space="preserve">The Court distinguishes inter-State applications whose purpose is not to seek individual findings of violations and just satisfaction but rather to invoke the jurisdiction of the Court to establish the existence of the pattern of violations alleged by the applicant </w:t>
      </w:r>
      <w:r w:rsidRPr="00F72000">
        <w:rPr>
          <w:rFonts w:ascii="Arial" w:hAnsi="Arial" w:cs="Arial"/>
        </w:rPr>
        <w:t xml:space="preserve">State </w:t>
      </w:r>
      <w:r w:rsidRPr="00123939">
        <w:rPr>
          <w:rFonts w:ascii="Arial" w:hAnsi="Arial" w:cs="Arial"/>
        </w:rPr>
        <w:t>and to put an end to them and prevent their recurrence.</w:t>
      </w:r>
      <w:r w:rsidRPr="00123939">
        <w:rPr>
          <w:rStyle w:val="Appelnotedebasdep"/>
          <w:rFonts w:ascii="Arial" w:hAnsi="Arial" w:cs="Arial"/>
        </w:rPr>
        <w:footnoteReference w:id="31"/>
      </w:r>
      <w:r w:rsidRPr="00123939">
        <w:rPr>
          <w:rFonts w:ascii="Arial" w:hAnsi="Arial" w:cs="Arial"/>
        </w:rPr>
        <w:t xml:space="preserve"> By asking the Court not to give a decision on any individual case in support of the alleged pattern of violations, the applicant Government limits the scope of its complaint before the Court to the alleged </w:t>
      </w:r>
      <w:r w:rsidRPr="00123939">
        <w:rPr>
          <w:rFonts w:ascii="Arial" w:hAnsi="Arial" w:cs="Arial"/>
          <w:b/>
          <w:bCs/>
          <w:i/>
          <w:iCs/>
        </w:rPr>
        <w:t>administrative practice of human rights violations</w:t>
      </w:r>
      <w:r w:rsidRPr="00123939">
        <w:rPr>
          <w:rFonts w:ascii="Arial" w:hAnsi="Arial" w:cs="Arial"/>
        </w:rPr>
        <w:t xml:space="preserve"> as such.</w:t>
      </w:r>
      <w:r w:rsidRPr="00123939">
        <w:rPr>
          <w:rStyle w:val="Appelnotedebasdep"/>
          <w:rFonts w:ascii="Arial" w:hAnsi="Arial" w:cs="Arial"/>
        </w:rPr>
        <w:footnoteReference w:id="32"/>
      </w:r>
      <w:r w:rsidRPr="00123939">
        <w:rPr>
          <w:rFonts w:ascii="Arial" w:hAnsi="Arial" w:cs="Arial"/>
        </w:rPr>
        <w:t xml:space="preserve"> When the applicant Government asks the Court to determine the compatibility of the alleged administrative practices with the provisions of the Convention but does not invite the Court to make findings in respect of each alleged individual violation – which are advanced as illustrations of the alleged administrative practices – the Court considers that the claim is to prevent the repetition of such practices by the respondent State and to prevent the violations that are ongoing.</w:t>
      </w:r>
      <w:r w:rsidRPr="00123939">
        <w:rPr>
          <w:rStyle w:val="Appelnotedebasdep"/>
          <w:rFonts w:ascii="Arial" w:hAnsi="Arial" w:cs="Arial"/>
        </w:rPr>
        <w:footnoteReference w:id="33"/>
      </w:r>
      <w:r w:rsidRPr="00123939">
        <w:rPr>
          <w:rFonts w:ascii="Arial" w:hAnsi="Arial" w:cs="Arial"/>
        </w:rPr>
        <w:t xml:space="preserve"> Therefore, the Court is called upon to examine whether or not there existed administrative practices incompatible with the Articles of the Convention allegedly breached.</w:t>
      </w:r>
      <w:r w:rsidRPr="00123939">
        <w:rPr>
          <w:rStyle w:val="Appelnotedebasdep"/>
          <w:rFonts w:ascii="Arial" w:hAnsi="Arial" w:cs="Arial"/>
        </w:rPr>
        <w:footnoteReference w:id="34"/>
      </w:r>
      <w:r w:rsidRPr="00123939">
        <w:rPr>
          <w:rFonts w:ascii="Arial" w:hAnsi="Arial" w:cs="Arial"/>
        </w:rPr>
        <w:t xml:space="preserve">  </w:t>
      </w:r>
    </w:p>
    <w:p w14:paraId="251AC7B9" w14:textId="77777777" w:rsidR="002218C4" w:rsidRPr="00123939" w:rsidRDefault="002218C4" w:rsidP="002218C4">
      <w:pPr>
        <w:pStyle w:val="ECHRParaSpaced"/>
        <w:ind w:firstLine="340"/>
        <w:rPr>
          <w:rFonts w:ascii="Arial" w:hAnsi="Arial" w:cs="Arial"/>
        </w:rPr>
      </w:pPr>
      <w:r>
        <w:rPr>
          <w:rFonts w:ascii="Arial" w:hAnsi="Arial" w:cs="Arial"/>
        </w:rPr>
        <w:t>29</w:t>
      </w:r>
      <w:r w:rsidRPr="00123939">
        <w:rPr>
          <w:rFonts w:ascii="Arial" w:hAnsi="Arial" w:cs="Arial"/>
        </w:rPr>
        <w:t>. The Court defines administrative practice as comprising two elements: the repetition of acts and official tolerance. As to the repetition of acts, the Court describes these as an accumulation of identical or analogous breaches which are sufficiently numerous and inter-connected not to amount to merely isolated incidents or exceptions but to a pattern or system. By official tolerance is meant that illegal acts are tolerated in that the superiors of those immediately responsible, though cognisant of such acts, take no action to punish them or to prevent their repetition; or that a higher authority, in face of numerous allegations, manifests indifference by refusing any adequate investigation of their truth or falsity, or that in judicial proceedings a fair hearing of such complaints is denied. Any action taken by the higher authority must be on a scale which is sufficient to put an end to the repetition of acts or to interrupt the</w:t>
      </w:r>
      <w:r w:rsidRPr="00123939">
        <w:rPr>
          <w:rFonts w:ascii="Arial" w:hAnsi="Arial" w:cs="Arial"/>
          <w:b/>
          <w:bCs/>
        </w:rPr>
        <w:t xml:space="preserve"> </w:t>
      </w:r>
      <w:r w:rsidRPr="00123939">
        <w:rPr>
          <w:rFonts w:ascii="Arial" w:hAnsi="Arial" w:cs="Arial"/>
        </w:rPr>
        <w:t>pattern or system. It is inconceivable that the higher authorities of a State should be, or at least should be entitled to be, unaware of the existence of such a practice. Furthermore, under the Convention those authorities are strictly liable for the conduct of their subordinates; they are under a duty to impose their will on subordinates and cannot shelter behind their inability to ensure that it is respected.</w:t>
      </w:r>
      <w:r w:rsidRPr="00123939">
        <w:rPr>
          <w:rStyle w:val="Appelnotedebasdep"/>
          <w:rFonts w:ascii="Arial" w:hAnsi="Arial" w:cs="Arial"/>
        </w:rPr>
        <w:footnoteReference w:id="35"/>
      </w:r>
      <w:r w:rsidRPr="00123939">
        <w:rPr>
          <w:rFonts w:ascii="Arial" w:hAnsi="Arial" w:cs="Arial"/>
        </w:rPr>
        <w:t xml:space="preserve"> While these criteria define a general </w:t>
      </w:r>
      <w:r w:rsidRPr="00123939">
        <w:rPr>
          <w:rFonts w:ascii="Arial" w:hAnsi="Arial" w:cs="Arial"/>
        </w:rPr>
        <w:lastRenderedPageBreak/>
        <w:t>framework</w:t>
      </w:r>
      <w:r>
        <w:rPr>
          <w:rFonts w:ascii="Arial" w:hAnsi="Arial" w:cs="Arial"/>
        </w:rPr>
        <w:t>,</w:t>
      </w:r>
      <w:r w:rsidRPr="00123939">
        <w:rPr>
          <w:rFonts w:ascii="Arial" w:hAnsi="Arial" w:cs="Arial"/>
        </w:rPr>
        <w:t xml:space="preserve"> they do not indicate the number of incidents required in order to be able to conclude that an administrative practice existed, which is a question left to the Court to assess having regard to the particular circumstances of each case.</w:t>
      </w:r>
      <w:r w:rsidRPr="00123939">
        <w:rPr>
          <w:rStyle w:val="Appelnotedebasdep"/>
          <w:rFonts w:ascii="Arial" w:hAnsi="Arial" w:cs="Arial"/>
        </w:rPr>
        <w:footnoteReference w:id="36"/>
      </w:r>
      <w:r w:rsidRPr="00123939">
        <w:rPr>
          <w:rFonts w:ascii="Arial" w:hAnsi="Arial" w:cs="Arial"/>
        </w:rPr>
        <w:t xml:space="preserve"> </w:t>
      </w:r>
    </w:p>
    <w:p w14:paraId="0F6CC865" w14:textId="77777777" w:rsidR="002218C4" w:rsidRPr="00123939" w:rsidRDefault="002218C4" w:rsidP="002218C4">
      <w:pPr>
        <w:pStyle w:val="ECHRParaSpaced"/>
        <w:ind w:firstLine="340"/>
        <w:rPr>
          <w:rFonts w:ascii="Arial" w:hAnsi="Arial" w:cs="Arial"/>
        </w:rPr>
      </w:pPr>
      <w:r>
        <w:rPr>
          <w:rFonts w:ascii="Arial" w:hAnsi="Arial" w:cs="Arial"/>
        </w:rPr>
        <w:t>30</w:t>
      </w:r>
      <w:r w:rsidRPr="00123939">
        <w:rPr>
          <w:rFonts w:ascii="Arial" w:hAnsi="Arial" w:cs="Arial"/>
        </w:rPr>
        <w:t>. The Court’s acknowledgement at the stage of admissibility that the scope of an inter-State application is limited to specific allegations of an administrative practice amounting to violations of the Convention has a close relationship with the Court’s evaluation of the requirement of exhaustion of domestic remedies under Article 35 § 1 of the Convention (procedural admissibility, see also paragraphs 36-40 below) as well as implications for the substantive admissibility of the alleged breach of the provisions of the Convention under Article 33 of the Convention (see also paragraphs 42-44 below).</w:t>
      </w:r>
      <w:r w:rsidRPr="00123939">
        <w:rPr>
          <w:rStyle w:val="Appelnotedebasdep"/>
          <w:rFonts w:ascii="Arial" w:hAnsi="Arial" w:cs="Arial"/>
        </w:rPr>
        <w:footnoteReference w:id="37"/>
      </w:r>
    </w:p>
    <w:p w14:paraId="5B508968" w14:textId="77777777" w:rsidR="002218C4" w:rsidRPr="00123939" w:rsidRDefault="002218C4" w:rsidP="002218C4">
      <w:pPr>
        <w:pStyle w:val="ECHRParaSpaced"/>
        <w:ind w:firstLine="340"/>
        <w:rPr>
          <w:rFonts w:ascii="Arial" w:hAnsi="Arial" w:cs="Arial"/>
        </w:rPr>
      </w:pPr>
      <w:r>
        <w:rPr>
          <w:rFonts w:ascii="Arial" w:hAnsi="Arial" w:cs="Arial"/>
        </w:rPr>
        <w:t>31</w:t>
      </w:r>
      <w:r w:rsidRPr="00123939">
        <w:rPr>
          <w:rFonts w:ascii="Arial" w:hAnsi="Arial" w:cs="Arial"/>
        </w:rPr>
        <w:t xml:space="preserve">. In the context of the application of Article 41 of the Convention to inter-State cases, notably when addressing the question whether granting just satisfaction to an applicant State is justified, </w:t>
      </w:r>
      <w:r w:rsidRPr="00123939">
        <w:rPr>
          <w:rStyle w:val="sb8d990e2"/>
          <w:rFonts w:ascii="Arial" w:hAnsi="Arial" w:cs="Arial"/>
        </w:rPr>
        <w:t>the Court acknowledges that an application brought before it under Article 33 of the Convention may contain different types of complaints pursuing different goals.</w:t>
      </w:r>
      <w:r w:rsidRPr="00123939">
        <w:rPr>
          <w:rFonts w:ascii="Arial" w:hAnsi="Arial" w:cs="Arial"/>
        </w:rPr>
        <w:t xml:space="preserve"> Accordingly, two main categories of complaints can be distinguished. </w:t>
      </w:r>
    </w:p>
    <w:p w14:paraId="3BB435E5" w14:textId="77777777" w:rsidR="002218C4" w:rsidRPr="00123939" w:rsidRDefault="002218C4" w:rsidP="002218C4">
      <w:pPr>
        <w:pStyle w:val="ECHRParaSpaced"/>
        <w:ind w:firstLine="340"/>
        <w:rPr>
          <w:rFonts w:ascii="Arial" w:hAnsi="Arial" w:cs="Arial"/>
        </w:rPr>
      </w:pPr>
      <w:r w:rsidRPr="00123939">
        <w:rPr>
          <w:rFonts w:ascii="Arial" w:hAnsi="Arial" w:cs="Arial"/>
        </w:rPr>
        <w:t>3</w:t>
      </w:r>
      <w:r>
        <w:rPr>
          <w:rFonts w:ascii="Arial" w:hAnsi="Arial" w:cs="Arial"/>
        </w:rPr>
        <w:t>2</w:t>
      </w:r>
      <w:r w:rsidRPr="00123939">
        <w:rPr>
          <w:rFonts w:ascii="Arial" w:hAnsi="Arial" w:cs="Arial"/>
        </w:rPr>
        <w:t>. First, a</w:t>
      </w:r>
      <w:r w:rsidRPr="00123939">
        <w:rPr>
          <w:rStyle w:val="sb8d990e2"/>
          <w:rFonts w:ascii="Arial" w:hAnsi="Arial" w:cs="Arial"/>
        </w:rPr>
        <w:t xml:space="preserve">n applicant State Party may complain about general issues (systemic problems and shortcomings, administrative practices, etc.) in another State Party. </w:t>
      </w:r>
      <w:r w:rsidRPr="00123939">
        <w:rPr>
          <w:rFonts w:ascii="Arial" w:hAnsi="Arial" w:cs="Arial"/>
        </w:rPr>
        <w:t>Article 33 empowers the Contracting Parties to bring an inter-State application before the Court regardless of whether the victims of the alleged breach are nationals of the applicant State.</w:t>
      </w:r>
      <w:bookmarkStart w:id="21" w:name="_Hlk54346016"/>
      <w:r w:rsidRPr="00123939">
        <w:rPr>
          <w:rStyle w:val="Appelnotedebasdep"/>
          <w:rFonts w:ascii="Arial" w:hAnsi="Arial" w:cs="Arial"/>
        </w:rPr>
        <w:footnoteReference w:id="38"/>
      </w:r>
      <w:bookmarkEnd w:id="21"/>
      <w:r w:rsidRPr="00123939">
        <w:rPr>
          <w:rFonts w:ascii="Arial" w:hAnsi="Arial" w:cs="Arial"/>
        </w:rPr>
        <w:t xml:space="preserve"> </w:t>
      </w:r>
      <w:r w:rsidRPr="00123939">
        <w:rPr>
          <w:rStyle w:val="sb8d990e2"/>
          <w:rFonts w:ascii="Arial" w:hAnsi="Arial" w:cs="Arial"/>
        </w:rPr>
        <w:t xml:space="preserve">In such cases the primary goal of the applicant Government is that of </w:t>
      </w:r>
      <w:r w:rsidRPr="00123939">
        <w:rPr>
          <w:rStyle w:val="sb8d990e2"/>
          <w:rFonts w:ascii="Arial" w:hAnsi="Arial" w:cs="Arial"/>
          <w:b/>
          <w:bCs/>
          <w:i/>
          <w:iCs/>
        </w:rPr>
        <w:t>protecting the</w:t>
      </w:r>
      <w:r w:rsidRPr="00123939">
        <w:rPr>
          <w:rStyle w:val="sb8d990e2"/>
          <w:rFonts w:ascii="Arial" w:hAnsi="Arial" w:cs="Arial"/>
        </w:rPr>
        <w:t xml:space="preserve"> </w:t>
      </w:r>
      <w:r w:rsidRPr="00123939">
        <w:rPr>
          <w:rStyle w:val="sb8d990e2"/>
          <w:rFonts w:ascii="Arial" w:hAnsi="Arial" w:cs="Arial"/>
          <w:b/>
          <w:bCs/>
          <w:i/>
          <w:iCs/>
        </w:rPr>
        <w:t>public order of Europe</w:t>
      </w:r>
      <w:r w:rsidRPr="00123939">
        <w:rPr>
          <w:rStyle w:val="sb8d990e2"/>
          <w:rFonts w:ascii="Arial" w:hAnsi="Arial" w:cs="Arial"/>
        </w:rPr>
        <w:t xml:space="preserve"> within the framework of collective responsibility</w:t>
      </w:r>
      <w:r w:rsidRPr="00123939">
        <w:rPr>
          <w:rStyle w:val="sb8d990e2"/>
          <w:rFonts w:ascii="Arial" w:hAnsi="Arial" w:cs="Arial"/>
          <w:color w:val="FF0000"/>
        </w:rPr>
        <w:t xml:space="preserve"> </w:t>
      </w:r>
      <w:r w:rsidRPr="00123939">
        <w:rPr>
          <w:rStyle w:val="sb8d990e2"/>
          <w:rFonts w:ascii="Arial" w:hAnsi="Arial" w:cs="Arial"/>
        </w:rPr>
        <w:t>under the Convention even if the State’s own nationals are not concerned.</w:t>
      </w:r>
      <w:bookmarkStart w:id="22" w:name="_Hlk54346045"/>
      <w:r w:rsidRPr="00123939">
        <w:rPr>
          <w:rStyle w:val="Appelnotedebasdep"/>
          <w:rFonts w:ascii="Arial" w:hAnsi="Arial" w:cs="Arial"/>
        </w:rPr>
        <w:footnoteReference w:id="39"/>
      </w:r>
      <w:r w:rsidRPr="00123939">
        <w:rPr>
          <w:rFonts w:ascii="Arial" w:hAnsi="Arial" w:cs="Arial"/>
        </w:rPr>
        <w:t xml:space="preserve"> </w:t>
      </w:r>
      <w:bookmarkStart w:id="23" w:name="_Hlk54346068"/>
      <w:bookmarkEnd w:id="22"/>
      <w:r w:rsidRPr="00123939">
        <w:rPr>
          <w:rFonts w:ascii="Arial" w:hAnsi="Arial" w:cs="Arial"/>
        </w:rPr>
        <w:t xml:space="preserve">The Court’s judgments with regard to such claims may serve </w:t>
      </w:r>
      <w:r w:rsidRPr="00123939">
        <w:rPr>
          <w:rStyle w:val="sb8d990e2"/>
          <w:rFonts w:ascii="Arial" w:hAnsi="Arial" w:cs="Arial"/>
        </w:rPr>
        <w:t>to elucidate, safeguard and develop the rules instituted by the Convention, thereby contributing to the observance by the States of the engagements undertaken by them as Contracting Parties</w:t>
      </w:r>
      <w:r w:rsidRPr="00123939">
        <w:rPr>
          <w:rFonts w:ascii="Arial" w:hAnsi="Arial" w:cs="Arial"/>
        </w:rPr>
        <w:t>.</w:t>
      </w:r>
      <w:r w:rsidRPr="00123939">
        <w:rPr>
          <w:rStyle w:val="Appelnotedebasdep"/>
          <w:rFonts w:ascii="Arial" w:hAnsi="Arial" w:cs="Arial"/>
        </w:rPr>
        <w:footnoteReference w:id="40"/>
      </w:r>
      <w:bookmarkEnd w:id="23"/>
      <w:r w:rsidRPr="00123939">
        <w:rPr>
          <w:rFonts w:ascii="Arial" w:hAnsi="Arial" w:cs="Arial"/>
        </w:rPr>
        <w:t xml:space="preserve"> </w:t>
      </w:r>
    </w:p>
    <w:p w14:paraId="0B84673D" w14:textId="77777777" w:rsidR="002218C4" w:rsidRPr="00123939" w:rsidRDefault="002218C4" w:rsidP="002218C4">
      <w:pPr>
        <w:pStyle w:val="ECHRParaSpaced"/>
        <w:ind w:firstLine="340"/>
        <w:rPr>
          <w:rFonts w:ascii="Arial" w:hAnsi="Arial" w:cs="Arial"/>
        </w:rPr>
      </w:pPr>
      <w:r w:rsidRPr="00123939">
        <w:rPr>
          <w:rFonts w:ascii="Arial" w:hAnsi="Arial" w:cs="Arial"/>
        </w:rPr>
        <w:t>3</w:t>
      </w:r>
      <w:r>
        <w:rPr>
          <w:rFonts w:ascii="Arial" w:hAnsi="Arial" w:cs="Arial"/>
        </w:rPr>
        <w:t>3</w:t>
      </w:r>
      <w:r w:rsidRPr="00123939">
        <w:rPr>
          <w:rFonts w:ascii="Arial" w:hAnsi="Arial" w:cs="Arial"/>
        </w:rPr>
        <w:t>. The second category of inter-State cases involves</w:t>
      </w:r>
      <w:r w:rsidRPr="00123939">
        <w:rPr>
          <w:rStyle w:val="sb8d990e2"/>
          <w:rFonts w:ascii="Arial" w:hAnsi="Arial" w:cs="Arial"/>
        </w:rPr>
        <w:t xml:space="preserve"> complaints where the applicant State denounces systemic violations by another State Party of the basic human rights of its nationals. </w:t>
      </w:r>
      <w:r w:rsidRPr="00D7090E">
        <w:rPr>
          <w:rStyle w:val="sb8d990e2"/>
          <w:rFonts w:ascii="Arial" w:hAnsi="Arial" w:cs="Arial"/>
          <w:sz w:val="24"/>
          <w:szCs w:val="24"/>
        </w:rPr>
        <w:t>“</w:t>
      </w:r>
      <w:r w:rsidRPr="00D7090E">
        <w:rPr>
          <w:rStyle w:val="sb8d990e2"/>
          <w:rFonts w:ascii="Arial" w:hAnsi="Arial" w:cs="Arial"/>
        </w:rPr>
        <w:t>In</w:t>
      </w:r>
      <w:r w:rsidRPr="00123939">
        <w:rPr>
          <w:rStyle w:val="sb8d990e2"/>
          <w:rFonts w:ascii="Arial" w:hAnsi="Arial" w:cs="Arial"/>
        </w:rPr>
        <w:t xml:space="preserve"> fact such claims</w:t>
      </w:r>
      <w:r>
        <w:rPr>
          <w:rStyle w:val="sb8d990e2"/>
          <w:rFonts w:ascii="Arial" w:hAnsi="Arial" w:cs="Arial"/>
        </w:rPr>
        <w:t xml:space="preserve"> </w:t>
      </w:r>
      <w:r w:rsidRPr="00216608">
        <w:rPr>
          <w:rStyle w:val="sb8d990e2"/>
          <w:rFonts w:ascii="Arial" w:hAnsi="Arial" w:cs="Arial"/>
          <w:color w:val="000000" w:themeColor="text1"/>
        </w:rPr>
        <w:t>are</w:t>
      </w:r>
      <w:r w:rsidRPr="00216608">
        <w:rPr>
          <w:rStyle w:val="sb8d990e2"/>
          <w:rFonts w:ascii="Arial" w:hAnsi="Arial" w:cs="Arial"/>
          <w:b/>
          <w:bCs/>
          <w:color w:val="000000" w:themeColor="text1"/>
        </w:rPr>
        <w:t xml:space="preserve"> </w:t>
      </w:r>
      <w:r w:rsidRPr="00216608">
        <w:rPr>
          <w:rStyle w:val="sb8d990e2"/>
          <w:rFonts w:ascii="Arial" w:hAnsi="Arial" w:cs="Arial"/>
          <w:color w:val="000000" w:themeColor="text1"/>
        </w:rPr>
        <w:t xml:space="preserve">substantially </w:t>
      </w:r>
      <w:r w:rsidRPr="00216608">
        <w:rPr>
          <w:rStyle w:val="sb8d990e2"/>
          <w:rFonts w:ascii="Arial" w:hAnsi="Arial" w:cs="Arial"/>
        </w:rPr>
        <w:t>similar not</w:t>
      </w:r>
      <w:r w:rsidRPr="00123939">
        <w:rPr>
          <w:rStyle w:val="sb8d990e2"/>
          <w:rFonts w:ascii="Arial" w:hAnsi="Arial" w:cs="Arial"/>
        </w:rPr>
        <w:t xml:space="preserve"> only to those made in an individual application under Article 34 of the Convention, but also to claims filed in the context of </w:t>
      </w:r>
      <w:r w:rsidRPr="00123939">
        <w:rPr>
          <w:rStyle w:val="sb8d990e2"/>
          <w:rFonts w:ascii="Arial" w:hAnsi="Arial" w:cs="Arial"/>
          <w:b/>
        </w:rPr>
        <w:t>diplomatic protection</w:t>
      </w:r>
      <w:r w:rsidRPr="00123939">
        <w:rPr>
          <w:rStyle w:val="sb8d990e2"/>
          <w:rFonts w:ascii="Arial" w:hAnsi="Arial" w:cs="Arial"/>
        </w:rPr>
        <w:t xml:space="preserve"> that is, invocation by a State, through diplomatic action or other means of peaceful settlement, of the responsibility of another State for an injury caused by an internationally wrongful act of that State to a natural or legal person that is a national of the former State with a view to the implementation of such responsibility”.</w:t>
      </w:r>
      <w:r w:rsidRPr="00123939">
        <w:rPr>
          <w:rStyle w:val="Appelnotedebasdep"/>
          <w:rFonts w:ascii="Arial" w:hAnsi="Arial" w:cs="Arial"/>
        </w:rPr>
        <w:footnoteReference w:id="41"/>
      </w:r>
      <w:r w:rsidRPr="00123939">
        <w:rPr>
          <w:rStyle w:val="sb8d990e2"/>
          <w:rFonts w:ascii="Arial" w:hAnsi="Arial" w:cs="Arial"/>
        </w:rPr>
        <w:t xml:space="preserve"> The Court has recently held that an inter-State application aimed at protecting the interests of one concrete legal</w:t>
      </w:r>
      <w:r>
        <w:rPr>
          <w:rStyle w:val="sb8d990e2"/>
          <w:rFonts w:ascii="Arial" w:hAnsi="Arial" w:cs="Arial"/>
        </w:rPr>
        <w:t xml:space="preserve"> </w:t>
      </w:r>
      <w:r w:rsidRPr="00123939">
        <w:rPr>
          <w:rStyle w:val="sb8d990e2"/>
          <w:rFonts w:ascii="Arial" w:hAnsi="Arial" w:cs="Arial"/>
        </w:rPr>
        <w:t>in precisely circumscribed sets of legal proceedings, and claiming just satisfaction on behalf of it according to Article 41, belongs to this second category of inter-State cases.</w:t>
      </w:r>
      <w:r w:rsidRPr="00123939">
        <w:rPr>
          <w:rStyle w:val="Appelnotedebasdep"/>
          <w:rFonts w:ascii="Arial" w:hAnsi="Arial" w:cs="Arial"/>
        </w:rPr>
        <w:footnoteReference w:id="42"/>
      </w:r>
      <w:r w:rsidRPr="00123939">
        <w:rPr>
          <w:rStyle w:val="sb8d990e2"/>
          <w:rFonts w:ascii="Arial" w:hAnsi="Arial" w:cs="Arial"/>
        </w:rPr>
        <w:t xml:space="preserve"> </w:t>
      </w:r>
    </w:p>
    <w:p w14:paraId="717948DA" w14:textId="77777777" w:rsidR="002218C4" w:rsidRPr="00C5791B" w:rsidRDefault="002218C4" w:rsidP="002218C4">
      <w:pPr>
        <w:pStyle w:val="ECHRParaSpaced"/>
        <w:ind w:firstLine="340"/>
        <w:rPr>
          <w:rFonts w:ascii="Arial" w:hAnsi="Arial" w:cs="Arial"/>
        </w:rPr>
      </w:pPr>
      <w:r w:rsidRPr="00C5791B">
        <w:rPr>
          <w:rFonts w:ascii="Arial" w:hAnsi="Arial" w:cs="Arial"/>
        </w:rPr>
        <w:t>3</w:t>
      </w:r>
      <w:r>
        <w:rPr>
          <w:rFonts w:ascii="Arial" w:hAnsi="Arial" w:cs="Arial"/>
        </w:rPr>
        <w:t>4</w:t>
      </w:r>
      <w:r w:rsidRPr="00C5791B">
        <w:rPr>
          <w:rFonts w:ascii="Arial" w:hAnsi="Arial" w:cs="Arial"/>
        </w:rPr>
        <w:t xml:space="preserve">. Moreover, applications relating to situations of inter-State </w:t>
      </w:r>
      <w:r w:rsidRPr="00F72000">
        <w:rPr>
          <w:rFonts w:ascii="Arial" w:hAnsi="Arial" w:cs="Arial"/>
        </w:rPr>
        <w:t>disputes</w:t>
      </w:r>
      <w:r w:rsidRPr="00C5791B">
        <w:rPr>
          <w:rFonts w:ascii="Arial" w:hAnsi="Arial" w:cs="Arial"/>
        </w:rPr>
        <w:t xml:space="preserve"> have increased since 2007.</w:t>
      </w:r>
    </w:p>
    <w:p w14:paraId="54ECCE27" w14:textId="77777777" w:rsidR="002218C4" w:rsidRPr="00C5791B" w:rsidRDefault="002218C4" w:rsidP="002218C4">
      <w:pPr>
        <w:pStyle w:val="ECHRParaSpaced"/>
        <w:ind w:firstLine="340"/>
        <w:rPr>
          <w:rFonts w:ascii="Arial" w:hAnsi="Arial" w:cs="Arial"/>
        </w:rPr>
      </w:pPr>
      <w:r w:rsidRPr="00C5791B">
        <w:rPr>
          <w:rFonts w:ascii="Arial" w:hAnsi="Arial" w:cs="Arial"/>
        </w:rPr>
        <w:t>3</w:t>
      </w:r>
      <w:r>
        <w:rPr>
          <w:rFonts w:ascii="Arial" w:hAnsi="Arial" w:cs="Arial"/>
        </w:rPr>
        <w:t>5</w:t>
      </w:r>
      <w:r w:rsidRPr="00C5791B">
        <w:rPr>
          <w:rFonts w:ascii="Arial" w:hAnsi="Arial" w:cs="Arial"/>
        </w:rPr>
        <w:t xml:space="preserve">. The requirements regarding the content of an inter-State application are specified in Rule 46 of the Rules of Court. The translation of copies of documents relevant to the object of an inter-State application under Rule 46(g) into one of the official languages of the Court raises significant challenges for the Court as well as for the applicant and respondent States. </w:t>
      </w:r>
    </w:p>
    <w:p w14:paraId="1BAD8ADB" w14:textId="77777777" w:rsidR="002218C4" w:rsidRPr="00C5791B" w:rsidRDefault="002218C4" w:rsidP="002218C4">
      <w:pPr>
        <w:pStyle w:val="ECHRParaSpaced"/>
        <w:spacing w:before="0"/>
        <w:ind w:firstLine="340"/>
        <w:rPr>
          <w:rFonts w:ascii="Arial" w:hAnsi="Arial" w:cs="Arial"/>
        </w:rPr>
      </w:pPr>
      <w:r w:rsidRPr="00C5791B">
        <w:rPr>
          <w:rFonts w:ascii="Arial" w:hAnsi="Arial" w:cs="Arial"/>
        </w:rPr>
        <w:lastRenderedPageBreak/>
        <w:t>3</w:t>
      </w:r>
      <w:r>
        <w:rPr>
          <w:rFonts w:ascii="Arial" w:hAnsi="Arial" w:cs="Arial"/>
        </w:rPr>
        <w:t>6</w:t>
      </w:r>
      <w:r w:rsidRPr="00C5791B">
        <w:rPr>
          <w:rFonts w:ascii="Arial" w:hAnsi="Arial" w:cs="Arial"/>
        </w:rPr>
        <w:t>. In the context of its proposals for a more efficient processing of inter-State cases, the Court has observed that it is appropriate to request at the outset that translations be submitted of all the relevant documents to which the parties refer in their observations (in particular Rule</w:t>
      </w:r>
      <w:r>
        <w:rPr>
          <w:rFonts w:ascii="Arial" w:hAnsi="Arial" w:cs="Arial"/>
        </w:rPr>
        <w:t xml:space="preserve"> </w:t>
      </w:r>
      <w:r w:rsidRPr="00C5791B">
        <w:rPr>
          <w:rFonts w:ascii="Arial" w:hAnsi="Arial" w:cs="Arial"/>
        </w:rPr>
        <w:t>46 (g) as regards the applicant State), in one of the two official languages of the Court, thus saving both time and resources.</w:t>
      </w:r>
      <w:r w:rsidRPr="00555568">
        <w:rPr>
          <w:rStyle w:val="Appelnotedebasdep"/>
          <w:rFonts w:ascii="Arial" w:hAnsi="Arial" w:cs="Arial"/>
        </w:rPr>
        <w:footnoteReference w:id="43"/>
      </w:r>
      <w:r w:rsidRPr="00C5791B">
        <w:rPr>
          <w:rFonts w:ascii="Arial" w:hAnsi="Arial" w:cs="Arial"/>
        </w:rPr>
        <w:t xml:space="preserve"> It has recommended that Rule 46 (g) could thus be amended accordingly, by asking the Rules Committee to come up with a concrete proposal which would help to determine, in particular, which documents should be translated by the parties.</w:t>
      </w:r>
      <w:r w:rsidRPr="00555568">
        <w:rPr>
          <w:rStyle w:val="Appelnotedebasdep"/>
          <w:rFonts w:ascii="Arial" w:hAnsi="Arial" w:cs="Arial"/>
        </w:rPr>
        <w:footnoteReference w:id="44"/>
      </w:r>
      <w:r w:rsidRPr="00555568">
        <w:rPr>
          <w:rStyle w:val="Appelnotedebasdep"/>
          <w:rFonts w:ascii="Arial" w:hAnsi="Arial" w:cs="Arial"/>
        </w:rPr>
        <w:t xml:space="preserve"> </w:t>
      </w:r>
      <w:r w:rsidRPr="00555568">
        <w:rPr>
          <w:rFonts w:ascii="Arial" w:hAnsi="Arial" w:cs="Arial"/>
          <w:vertAlign w:val="superscript"/>
        </w:rPr>
        <w:t xml:space="preserve"> </w:t>
      </w:r>
    </w:p>
    <w:p w14:paraId="6BB4C17B" w14:textId="77777777" w:rsidR="002218C4" w:rsidRPr="00F72000" w:rsidRDefault="002218C4" w:rsidP="002218C4">
      <w:pPr>
        <w:pStyle w:val="ECHRParaSpaced"/>
        <w:ind w:firstLine="340"/>
        <w:rPr>
          <w:rFonts w:ascii="Arial" w:hAnsi="Arial" w:cs="Arial"/>
          <w:lang w:val="en-US"/>
        </w:rPr>
      </w:pPr>
      <w:r w:rsidRPr="00C5791B">
        <w:rPr>
          <w:rFonts w:ascii="Arial" w:hAnsi="Arial" w:cs="Arial"/>
        </w:rPr>
        <w:t>3</w:t>
      </w:r>
      <w:r>
        <w:rPr>
          <w:rFonts w:ascii="Arial" w:hAnsi="Arial" w:cs="Arial"/>
        </w:rPr>
        <w:t>7</w:t>
      </w:r>
      <w:r w:rsidRPr="00C5791B">
        <w:rPr>
          <w:rFonts w:ascii="Arial" w:hAnsi="Arial" w:cs="Arial"/>
        </w:rPr>
        <w:t xml:space="preserve">. While noting that the Court has started to implement </w:t>
      </w:r>
      <w:r>
        <w:rPr>
          <w:rFonts w:ascii="Arial" w:hAnsi="Arial" w:cs="Arial"/>
        </w:rPr>
        <w:t>this</w:t>
      </w:r>
      <w:r w:rsidRPr="00C5791B">
        <w:rPr>
          <w:rFonts w:ascii="Arial" w:hAnsi="Arial" w:cs="Arial"/>
        </w:rPr>
        <w:t xml:space="preserve"> recommendation</w:t>
      </w:r>
      <w:r w:rsidRPr="00555568">
        <w:rPr>
          <w:rStyle w:val="Appelnotedebasdep"/>
          <w:rFonts w:ascii="Arial" w:hAnsi="Arial" w:cs="Arial"/>
        </w:rPr>
        <w:footnoteReference w:id="45"/>
      </w:r>
      <w:r w:rsidRPr="00C5791B">
        <w:rPr>
          <w:rFonts w:ascii="Arial" w:hAnsi="Arial" w:cs="Arial"/>
        </w:rPr>
        <w:t xml:space="preserve"> the review of the Rules of Court could be encouraged with a view to providing predictability as to which documents referred to in the States Parties’ observations should be provided in one </w:t>
      </w:r>
      <w:r>
        <w:rPr>
          <w:rFonts w:ascii="Arial" w:hAnsi="Arial" w:cs="Arial"/>
        </w:rPr>
        <w:t xml:space="preserve">of </w:t>
      </w:r>
      <w:r w:rsidRPr="00C5791B">
        <w:rPr>
          <w:rFonts w:ascii="Arial" w:hAnsi="Arial" w:cs="Arial"/>
        </w:rPr>
        <w:t xml:space="preserve">the official languages of the Court and specifying at which phase of the proceedings should such translations be submitted. </w:t>
      </w:r>
      <w:r>
        <w:rPr>
          <w:rFonts w:ascii="Arial" w:hAnsi="Arial" w:cs="Arial"/>
        </w:rPr>
        <w:t xml:space="preserve">In respect of documents not translated in full, </w:t>
      </w:r>
      <w:r w:rsidRPr="00C5791B">
        <w:rPr>
          <w:rFonts w:ascii="Arial" w:hAnsi="Arial" w:cs="Arial"/>
        </w:rPr>
        <w:t xml:space="preserve">the States Parties </w:t>
      </w:r>
      <w:r>
        <w:rPr>
          <w:rFonts w:ascii="Arial" w:hAnsi="Arial" w:cs="Arial"/>
        </w:rPr>
        <w:t>c</w:t>
      </w:r>
      <w:r w:rsidRPr="00C5791B">
        <w:rPr>
          <w:rFonts w:ascii="Arial" w:hAnsi="Arial" w:cs="Arial"/>
        </w:rPr>
        <w:t>ould provide translated summaries of the documents referred to</w:t>
      </w:r>
      <w:r>
        <w:rPr>
          <w:rFonts w:ascii="Arial" w:hAnsi="Arial" w:cs="Arial"/>
        </w:rPr>
        <w:t xml:space="preserve"> in</w:t>
      </w:r>
      <w:r w:rsidRPr="00C5791B">
        <w:rPr>
          <w:rFonts w:ascii="Arial" w:hAnsi="Arial" w:cs="Arial"/>
        </w:rPr>
        <w:t xml:space="preserve"> </w:t>
      </w:r>
      <w:proofErr w:type="gramStart"/>
      <w:r w:rsidRPr="00C5791B">
        <w:rPr>
          <w:rFonts w:ascii="Arial" w:hAnsi="Arial" w:cs="Arial"/>
        </w:rPr>
        <w:t>their</w:t>
      </w:r>
      <w:proofErr w:type="gramEnd"/>
      <w:r w:rsidRPr="00C5791B">
        <w:rPr>
          <w:rFonts w:ascii="Arial" w:hAnsi="Arial" w:cs="Arial"/>
        </w:rPr>
        <w:t xml:space="preserve"> </w:t>
      </w:r>
      <w:r w:rsidRPr="00981FC3">
        <w:rPr>
          <w:rFonts w:ascii="Arial" w:hAnsi="Arial" w:cs="Arial"/>
        </w:rPr>
        <w:t>upon the Court’s request.</w:t>
      </w:r>
    </w:p>
    <w:p w14:paraId="106F884B" w14:textId="77777777" w:rsidR="002218C4" w:rsidRDefault="002218C4" w:rsidP="002218C4">
      <w:pPr>
        <w:pStyle w:val="Sansinterligne"/>
        <w:ind w:firstLine="340"/>
        <w:rPr>
          <w:rFonts w:ascii="Arial" w:hAnsi="Arial" w:cs="Arial"/>
          <w:sz w:val="22"/>
          <w:szCs w:val="22"/>
          <w:lang w:val="en-GB"/>
        </w:rPr>
      </w:pPr>
      <w:bookmarkStart w:id="25" w:name="_Hlk77582013"/>
      <w:r w:rsidRPr="006F560A">
        <w:rPr>
          <w:rFonts w:ascii="Arial" w:hAnsi="Arial" w:cs="Arial"/>
          <w:sz w:val="22"/>
          <w:szCs w:val="22"/>
          <w:lang w:val="en-GB"/>
        </w:rPr>
        <w:t>3</w:t>
      </w:r>
      <w:r>
        <w:rPr>
          <w:rFonts w:ascii="Arial" w:hAnsi="Arial" w:cs="Arial"/>
          <w:sz w:val="22"/>
          <w:szCs w:val="22"/>
          <w:lang w:val="en-GB"/>
        </w:rPr>
        <w:t>8</w:t>
      </w:r>
      <w:r w:rsidRPr="006F560A">
        <w:rPr>
          <w:rFonts w:ascii="Arial" w:hAnsi="Arial" w:cs="Arial"/>
          <w:sz w:val="22"/>
          <w:szCs w:val="22"/>
          <w:lang w:val="en-GB"/>
        </w:rPr>
        <w:t xml:space="preserve">. </w:t>
      </w:r>
      <w:bookmarkStart w:id="26" w:name="_Hlk77582102"/>
      <w:r w:rsidRPr="006F560A">
        <w:rPr>
          <w:rFonts w:ascii="Arial" w:hAnsi="Arial" w:cs="Arial"/>
          <w:sz w:val="22"/>
          <w:szCs w:val="22"/>
          <w:lang w:val="en-GB"/>
        </w:rPr>
        <w:t>Lastly, when looking at inter-State applications and individual applications in parallel, mention can be made of the fact that the vast majority of requests on the basis of Rule 39 of the Rules of Court are usually submitted in the scope of an individual application. Nevertheless, the Court has develop</w:t>
      </w:r>
      <w:r w:rsidRPr="00B5234C">
        <w:rPr>
          <w:rFonts w:ascii="Arial" w:hAnsi="Arial" w:cs="Arial"/>
          <w:sz w:val="22"/>
          <w:szCs w:val="22"/>
          <w:lang w:val="en-GB"/>
        </w:rPr>
        <w:t>ed a practice of indicating interim measures in inter-State cases as well. Since the adoption of the Rules of Court in 1959, the Court examined and decided upon Rule 39 requests in relation to eight inter-State applications concerning mainly situations related to armed conflicts.</w:t>
      </w:r>
      <w:r w:rsidRPr="006F560A">
        <w:rPr>
          <w:rStyle w:val="Appelnotedebasdep"/>
          <w:rFonts w:ascii="Arial" w:hAnsi="Arial" w:cs="Arial"/>
          <w:sz w:val="22"/>
          <w:szCs w:val="22"/>
          <w:lang w:val="en-GB"/>
        </w:rPr>
        <w:footnoteReference w:id="46"/>
      </w:r>
      <w:bookmarkEnd w:id="26"/>
      <w:r w:rsidRPr="0016799E">
        <w:rPr>
          <w:rFonts w:ascii="Arial" w:hAnsi="Arial" w:cs="Arial"/>
          <w:sz w:val="22"/>
          <w:szCs w:val="22"/>
          <w:lang w:val="en-GB"/>
        </w:rPr>
        <w:t xml:space="preserve"> </w:t>
      </w:r>
    </w:p>
    <w:p w14:paraId="21CC5B6C" w14:textId="77777777" w:rsidR="002218C4" w:rsidRPr="0016799E" w:rsidRDefault="002218C4" w:rsidP="002218C4">
      <w:pPr>
        <w:pStyle w:val="Sansinterligne"/>
        <w:ind w:firstLine="340"/>
        <w:rPr>
          <w:rFonts w:ascii="Arial" w:hAnsi="Arial" w:cs="Arial"/>
          <w:sz w:val="22"/>
          <w:szCs w:val="22"/>
          <w:lang w:val="en-GB"/>
        </w:rPr>
      </w:pPr>
    </w:p>
    <w:p w14:paraId="37DBFE39" w14:textId="77777777" w:rsidR="002218C4" w:rsidRPr="00565B1D" w:rsidRDefault="002218C4" w:rsidP="002218C4">
      <w:pPr>
        <w:pStyle w:val="Titre2"/>
        <w:ind w:left="284"/>
        <w:rPr>
          <w:rFonts w:ascii="Arial" w:hAnsi="Arial" w:cs="Arial"/>
          <w:b/>
          <w:i/>
          <w:lang w:val="en-GB"/>
        </w:rPr>
      </w:pPr>
      <w:bookmarkStart w:id="27" w:name="_Toc45123258"/>
      <w:bookmarkStart w:id="28" w:name="_Toc83293364"/>
      <w:bookmarkEnd w:id="25"/>
      <w:r w:rsidRPr="00565B1D">
        <w:rPr>
          <w:rFonts w:ascii="Arial" w:hAnsi="Arial" w:cs="Arial"/>
          <w:i/>
          <w:lang w:val="en-GB"/>
        </w:rPr>
        <w:t>2. The Court’s practice with regard to the admissibility of inter-State applications and individual applications</w:t>
      </w:r>
      <w:bookmarkEnd w:id="27"/>
      <w:bookmarkEnd w:id="28"/>
    </w:p>
    <w:p w14:paraId="0DB4AF32" w14:textId="77777777" w:rsidR="002218C4" w:rsidRDefault="002218C4" w:rsidP="002218C4">
      <w:pPr>
        <w:pStyle w:val="ECHRParaSpaced"/>
        <w:ind w:firstLine="340"/>
        <w:rPr>
          <w:rFonts w:ascii="Arial" w:hAnsi="Arial" w:cs="Arial"/>
        </w:rPr>
      </w:pPr>
    </w:p>
    <w:p w14:paraId="67B1C683" w14:textId="77777777" w:rsidR="002218C4" w:rsidRPr="00C5791B" w:rsidRDefault="002218C4" w:rsidP="002218C4">
      <w:pPr>
        <w:pStyle w:val="ECHRParaSpaced"/>
        <w:ind w:firstLine="340"/>
        <w:rPr>
          <w:rFonts w:ascii="Arial" w:hAnsi="Arial" w:cs="Arial"/>
        </w:rPr>
      </w:pPr>
      <w:r>
        <w:rPr>
          <w:rFonts w:ascii="Arial" w:hAnsi="Arial" w:cs="Arial"/>
        </w:rPr>
        <w:t>39</w:t>
      </w:r>
      <w:r w:rsidRPr="00C5791B">
        <w:rPr>
          <w:rFonts w:ascii="Arial" w:hAnsi="Arial" w:cs="Arial"/>
        </w:rPr>
        <w:t>. Inter-State applications are subject to fewer admissibility requirements than individual applications. While the criteria established in Article 35 § 1 of the Convention apply to both individual and inter-State applications</w:t>
      </w:r>
      <w:r>
        <w:rPr>
          <w:rFonts w:ascii="Arial" w:hAnsi="Arial" w:cs="Arial"/>
        </w:rPr>
        <w:t>,</w:t>
      </w:r>
      <w:r w:rsidRPr="00C5791B">
        <w:rPr>
          <w:rFonts w:ascii="Arial" w:hAnsi="Arial" w:cs="Arial"/>
        </w:rPr>
        <w:t xml:space="preserve"> those set out in paragraphs 2 and 3 of the same provision </w:t>
      </w:r>
      <w:r>
        <w:rPr>
          <w:rFonts w:ascii="Arial" w:hAnsi="Arial" w:cs="Arial"/>
        </w:rPr>
        <w:t xml:space="preserve">only </w:t>
      </w:r>
      <w:r w:rsidRPr="00C5791B">
        <w:rPr>
          <w:rFonts w:ascii="Arial" w:hAnsi="Arial" w:cs="Arial"/>
        </w:rPr>
        <w:t xml:space="preserve">apply to individual applications. </w:t>
      </w:r>
    </w:p>
    <w:p w14:paraId="2A197605" w14:textId="77777777" w:rsidR="002218C4" w:rsidRPr="00C5791B" w:rsidRDefault="002218C4" w:rsidP="002218C4">
      <w:pPr>
        <w:pStyle w:val="ECHRParaSpaced"/>
        <w:ind w:firstLine="340"/>
        <w:rPr>
          <w:rFonts w:ascii="Arial" w:hAnsi="Arial" w:cs="Arial"/>
        </w:rPr>
      </w:pPr>
      <w:r>
        <w:rPr>
          <w:rFonts w:ascii="Arial" w:hAnsi="Arial" w:cs="Arial"/>
        </w:rPr>
        <w:t>40</w:t>
      </w:r>
      <w:r w:rsidRPr="00C5791B">
        <w:rPr>
          <w:rFonts w:ascii="Arial" w:hAnsi="Arial" w:cs="Arial"/>
        </w:rPr>
        <w:t xml:space="preserve">. The </w:t>
      </w:r>
      <w:r>
        <w:rPr>
          <w:rFonts w:ascii="Arial" w:hAnsi="Arial" w:cs="Arial"/>
          <w:b/>
          <w:i/>
        </w:rPr>
        <w:t>four</w:t>
      </w:r>
      <w:r w:rsidRPr="00C5791B">
        <w:rPr>
          <w:rFonts w:ascii="Arial" w:hAnsi="Arial" w:cs="Arial"/>
          <w:b/>
          <w:i/>
        </w:rPr>
        <w:t>-months rule</w:t>
      </w:r>
      <w:r w:rsidRPr="00C5791B">
        <w:rPr>
          <w:rFonts w:ascii="Arial" w:hAnsi="Arial" w:cs="Arial"/>
        </w:rPr>
        <w:t xml:space="preserve"> as stipulated in Article 35 § 1 of the Convention</w:t>
      </w:r>
      <w:r w:rsidRPr="00C5244F">
        <w:rPr>
          <w:rStyle w:val="Appelnotedebasdep"/>
          <w:rFonts w:ascii="Arial" w:hAnsi="Arial" w:cs="Arial"/>
        </w:rPr>
        <w:footnoteReference w:id="47"/>
      </w:r>
      <w:r w:rsidRPr="00C5791B">
        <w:rPr>
          <w:rFonts w:ascii="Arial" w:hAnsi="Arial" w:cs="Arial"/>
        </w:rPr>
        <w:t xml:space="preserve"> applies in the same manner to both types of applications. </w:t>
      </w:r>
    </w:p>
    <w:p w14:paraId="2DD15CE8" w14:textId="77777777" w:rsidR="002218C4" w:rsidRPr="00C5791B" w:rsidRDefault="002218C4" w:rsidP="002218C4">
      <w:pPr>
        <w:pStyle w:val="ECHRParaSpaced"/>
        <w:ind w:firstLine="340"/>
        <w:rPr>
          <w:rFonts w:ascii="Arial" w:hAnsi="Arial" w:cs="Arial"/>
        </w:rPr>
      </w:pPr>
      <w:r>
        <w:rPr>
          <w:rFonts w:ascii="Arial" w:hAnsi="Arial" w:cs="Arial"/>
        </w:rPr>
        <w:t>41</w:t>
      </w:r>
      <w:r w:rsidRPr="00C5791B">
        <w:rPr>
          <w:rFonts w:ascii="Arial" w:hAnsi="Arial" w:cs="Arial"/>
        </w:rPr>
        <w:t xml:space="preserve">. The requirement of </w:t>
      </w:r>
      <w:r w:rsidRPr="00C5791B">
        <w:rPr>
          <w:rFonts w:ascii="Arial" w:hAnsi="Arial" w:cs="Arial"/>
          <w:b/>
          <w:i/>
        </w:rPr>
        <w:t>exhaustion of domestic remedies</w:t>
      </w:r>
      <w:r w:rsidRPr="00C5791B">
        <w:rPr>
          <w:rFonts w:ascii="Arial" w:hAnsi="Arial" w:cs="Arial"/>
        </w:rPr>
        <w:t xml:space="preserve">, </w:t>
      </w:r>
      <w:r>
        <w:rPr>
          <w:rFonts w:ascii="Arial" w:hAnsi="Arial" w:cs="Arial"/>
        </w:rPr>
        <w:t xml:space="preserve">also established in </w:t>
      </w:r>
      <w:r w:rsidRPr="00C5791B">
        <w:rPr>
          <w:rFonts w:ascii="Arial" w:hAnsi="Arial" w:cs="Arial"/>
        </w:rPr>
        <w:t xml:space="preserve">Article 35 § 1 of the Convention, applies to inter-State </w:t>
      </w:r>
      <w:r w:rsidRPr="00D12272">
        <w:rPr>
          <w:rFonts w:ascii="Arial" w:hAnsi="Arial" w:cs="Arial"/>
        </w:rPr>
        <w:t>applications</w:t>
      </w:r>
      <w:r w:rsidRPr="007C422C">
        <w:rPr>
          <w:rFonts w:ascii="Arial" w:hAnsi="Arial" w:cs="Arial"/>
        </w:rPr>
        <w:t xml:space="preserve"> </w:t>
      </w:r>
      <w:r w:rsidRPr="00F72000">
        <w:rPr>
          <w:rFonts w:ascii="Arial" w:hAnsi="Arial" w:cs="Arial"/>
        </w:rPr>
        <w:t>in the same way as it does to individual applications</w:t>
      </w:r>
      <w:r w:rsidRPr="00D12272">
        <w:rPr>
          <w:rFonts w:ascii="Arial" w:hAnsi="Arial" w:cs="Arial"/>
        </w:rPr>
        <w:t>,</w:t>
      </w:r>
      <w:r w:rsidRPr="00C5791B">
        <w:rPr>
          <w:rFonts w:ascii="Arial" w:hAnsi="Arial" w:cs="Arial"/>
        </w:rPr>
        <w:t xml:space="preserve"> when the applicant State does no more than denounce a violation or violations allegedly suffered by individuals whose place, as it were, is taken by the </w:t>
      </w:r>
      <w:r w:rsidRPr="00D12272">
        <w:rPr>
          <w:rFonts w:ascii="Arial" w:hAnsi="Arial" w:cs="Arial"/>
        </w:rPr>
        <w:t>State</w:t>
      </w:r>
      <w:r w:rsidRPr="007C422C">
        <w:rPr>
          <w:rFonts w:ascii="Arial" w:hAnsi="Arial" w:cs="Arial"/>
        </w:rPr>
        <w:t>.</w:t>
      </w:r>
      <w:r w:rsidRPr="00D12272">
        <w:rPr>
          <w:rStyle w:val="Appelnotedebasdep"/>
          <w:rFonts w:ascii="Arial" w:hAnsi="Arial" w:cs="Arial"/>
        </w:rPr>
        <w:footnoteReference w:id="48"/>
      </w:r>
      <w:r>
        <w:rPr>
          <w:rFonts w:ascii="Arial" w:hAnsi="Arial" w:cs="Arial"/>
        </w:rPr>
        <w:t xml:space="preserve"> </w:t>
      </w:r>
      <w:r w:rsidRPr="00C5791B">
        <w:rPr>
          <w:rFonts w:ascii="Arial" w:hAnsi="Arial" w:cs="Arial"/>
        </w:rPr>
        <w:t>In respect of the inter-State application, the Court ascertains whether the persons concerned could have availed themselves of effective remedies to secure redress, having particular regard</w:t>
      </w:r>
      <w:r>
        <w:rPr>
          <w:rFonts w:ascii="Arial" w:hAnsi="Arial" w:cs="Arial"/>
        </w:rPr>
        <w:t xml:space="preserve"> to</w:t>
      </w:r>
      <w:r w:rsidRPr="00C5791B">
        <w:rPr>
          <w:rFonts w:ascii="Arial" w:hAnsi="Arial" w:cs="Arial"/>
        </w:rPr>
        <w:t xml:space="preserve"> whether the </w:t>
      </w:r>
      <w:r w:rsidRPr="00C5791B">
        <w:rPr>
          <w:rFonts w:ascii="Arial" w:hAnsi="Arial" w:cs="Arial"/>
          <w:color w:val="000000"/>
          <w:shd w:val="clear" w:color="auto" w:fill="FFFFFF"/>
        </w:rPr>
        <w:t xml:space="preserve">existence of any remedies is sufficiently certain not only in theory but in practice and whether there are any special circumstances which absolve the persons </w:t>
      </w:r>
      <w:r w:rsidRPr="00C5791B">
        <w:rPr>
          <w:rFonts w:ascii="Arial" w:hAnsi="Arial" w:cs="Arial"/>
          <w:color w:val="000000"/>
          <w:shd w:val="clear" w:color="auto" w:fill="FFFFFF"/>
        </w:rPr>
        <w:lastRenderedPageBreak/>
        <w:t>concerned by the instant application from the obligation to exhaust the remedies.</w:t>
      </w:r>
      <w:r w:rsidRPr="00C5791B">
        <w:rPr>
          <w:rStyle w:val="Appelnotedebasdep"/>
          <w:rFonts w:ascii="Arial" w:hAnsi="Arial" w:cs="Arial"/>
          <w:color w:val="000000"/>
          <w:shd w:val="clear" w:color="auto" w:fill="FFFFFF"/>
        </w:rPr>
        <w:footnoteReference w:id="49"/>
      </w:r>
      <w:r w:rsidRPr="00C5791B">
        <w:rPr>
          <w:rFonts w:ascii="Arial" w:hAnsi="Arial" w:cs="Arial"/>
        </w:rPr>
        <w:t xml:space="preserve"> </w:t>
      </w:r>
      <w:r w:rsidRPr="00F72000">
        <w:rPr>
          <w:rFonts w:ascii="Arial" w:hAnsi="Arial" w:cs="Arial"/>
        </w:rPr>
        <w:t>It may be noted that the Court applies the requirement of exhaustion of domestic remedies in each case having regard to its particular circumstances.</w:t>
      </w:r>
      <w:r>
        <w:rPr>
          <w:rFonts w:ascii="Arial" w:hAnsi="Arial" w:cs="Arial"/>
        </w:rPr>
        <w:t xml:space="preserve"> </w:t>
      </w:r>
    </w:p>
    <w:p w14:paraId="53E607DF" w14:textId="77777777" w:rsidR="002218C4" w:rsidRPr="00C5791B" w:rsidRDefault="002218C4" w:rsidP="002218C4">
      <w:pPr>
        <w:pStyle w:val="ECHRParaSpaced"/>
        <w:ind w:firstLine="340"/>
        <w:rPr>
          <w:rFonts w:ascii="Arial" w:hAnsi="Arial" w:cs="Arial"/>
        </w:rPr>
      </w:pPr>
      <w:r>
        <w:rPr>
          <w:rFonts w:ascii="Arial" w:hAnsi="Arial" w:cs="Arial"/>
        </w:rPr>
        <w:t>42</w:t>
      </w:r>
      <w:r w:rsidRPr="00C5791B">
        <w:rPr>
          <w:rFonts w:ascii="Arial" w:hAnsi="Arial" w:cs="Arial"/>
        </w:rPr>
        <w:t>. In principle, the rule on the exhaustion of domestic remedies does not apply where the applicant State complains of the existence of administrative practice, namely a repetition of acts incompatible with the Convention, and official tolerance by the State (see paragraph 2</w:t>
      </w:r>
      <w:r>
        <w:rPr>
          <w:rFonts w:ascii="Arial" w:hAnsi="Arial" w:cs="Arial"/>
        </w:rPr>
        <w:t>8</w:t>
      </w:r>
      <w:r w:rsidRPr="00C5791B">
        <w:rPr>
          <w:rFonts w:ascii="Arial" w:hAnsi="Arial" w:cs="Arial"/>
        </w:rPr>
        <w:t xml:space="preserve"> above), with the aim of preventing its continuation or recurrence but does not ask the Court to give a decision on each of the cases put forward as proof or illustration of that practice.</w:t>
      </w:r>
      <w:r w:rsidRPr="00C5791B">
        <w:rPr>
          <w:rStyle w:val="Appelnotedebasdep"/>
          <w:rFonts w:ascii="Arial" w:hAnsi="Arial" w:cs="Arial"/>
        </w:rPr>
        <w:footnoteReference w:id="50"/>
      </w:r>
      <w:r w:rsidRPr="00C5791B">
        <w:rPr>
          <w:rStyle w:val="Appelnotedebasdep"/>
          <w:rFonts w:ascii="Arial" w:hAnsi="Arial" w:cs="Arial"/>
        </w:rPr>
        <w:t xml:space="preserve"> </w:t>
      </w:r>
      <w:r w:rsidRPr="00C5791B">
        <w:rPr>
          <w:rFonts w:ascii="Arial" w:hAnsi="Arial" w:cs="Arial"/>
        </w:rPr>
        <w:t>In any event the rule on the exhaustion of domestic remedies does not apply where an administrative practice has been shown to exist and is of such a nature as to make proceedings futile or ineffective.</w:t>
      </w:r>
      <w:r w:rsidRPr="00C5791B">
        <w:rPr>
          <w:rStyle w:val="Appelnotedebasdep"/>
          <w:rFonts w:ascii="Arial" w:hAnsi="Arial" w:cs="Arial"/>
        </w:rPr>
        <w:footnoteReference w:id="51"/>
      </w:r>
      <w:r w:rsidRPr="00C5791B">
        <w:rPr>
          <w:rFonts w:ascii="Arial" w:hAnsi="Arial" w:cs="Arial"/>
        </w:rPr>
        <w:t xml:space="preserve"> </w:t>
      </w:r>
    </w:p>
    <w:p w14:paraId="3AC8DCD0" w14:textId="77777777" w:rsidR="002218C4" w:rsidRPr="00C5791B" w:rsidRDefault="002218C4" w:rsidP="002218C4">
      <w:pPr>
        <w:pStyle w:val="ECHRParaSpaced"/>
        <w:ind w:firstLine="340"/>
        <w:rPr>
          <w:rFonts w:ascii="Arial" w:hAnsi="Arial" w:cs="Arial"/>
        </w:rPr>
      </w:pPr>
      <w:r w:rsidRPr="00C5791B">
        <w:rPr>
          <w:rFonts w:ascii="Arial" w:hAnsi="Arial" w:cs="Arial"/>
        </w:rPr>
        <w:t>4</w:t>
      </w:r>
      <w:r>
        <w:rPr>
          <w:rFonts w:ascii="Arial" w:hAnsi="Arial" w:cs="Arial"/>
        </w:rPr>
        <w:t>3</w:t>
      </w:r>
      <w:r w:rsidRPr="00C5791B">
        <w:rPr>
          <w:rFonts w:ascii="Arial" w:hAnsi="Arial" w:cs="Arial"/>
        </w:rPr>
        <w:t>. The rule of exhaustion of domestic remedies may also be found inapplicable in respect of individual applications where it can be established that an administrative practice existed.</w:t>
      </w:r>
      <w:r w:rsidRPr="00C5791B">
        <w:rPr>
          <w:rStyle w:val="Appelnotedebasdep"/>
          <w:rFonts w:ascii="Arial" w:hAnsi="Arial" w:cs="Arial"/>
        </w:rPr>
        <w:footnoteReference w:id="52"/>
      </w:r>
      <w:r w:rsidRPr="00C5791B">
        <w:rPr>
          <w:rFonts w:ascii="Arial" w:hAnsi="Arial" w:cs="Arial"/>
          <w:color w:val="000000"/>
          <w:shd w:val="clear" w:color="auto" w:fill="FFFFFF"/>
        </w:rPr>
        <w:t> </w:t>
      </w:r>
      <w:r w:rsidRPr="00C5791B">
        <w:rPr>
          <w:rFonts w:ascii="Arial" w:hAnsi="Arial" w:cs="Arial"/>
        </w:rPr>
        <w:t xml:space="preserve">In respect of individual applications, the Court has </w:t>
      </w:r>
      <w:proofErr w:type="gramStart"/>
      <w:r w:rsidRPr="00C5791B">
        <w:rPr>
          <w:rFonts w:ascii="Arial" w:hAnsi="Arial" w:cs="Arial"/>
        </w:rPr>
        <w:t>taken into account</w:t>
      </w:r>
      <w:proofErr w:type="gramEnd"/>
      <w:r w:rsidRPr="00C5791B">
        <w:rPr>
          <w:rFonts w:ascii="Arial" w:hAnsi="Arial" w:cs="Arial"/>
        </w:rPr>
        <w:t xml:space="preserve"> new remedies introduced after the date on which the application is lodged provided that individuals have reasonable time to familiarise themselves with the judicial decision.</w:t>
      </w:r>
      <w:r w:rsidRPr="00C5791B">
        <w:rPr>
          <w:rStyle w:val="Appelnotedebasdep"/>
          <w:rFonts w:ascii="Arial" w:hAnsi="Arial" w:cs="Arial"/>
        </w:rPr>
        <w:footnoteReference w:id="53"/>
      </w:r>
    </w:p>
    <w:p w14:paraId="46CBF97E" w14:textId="77777777" w:rsidR="002218C4" w:rsidRPr="00C5791B" w:rsidRDefault="002218C4" w:rsidP="002218C4">
      <w:pPr>
        <w:pStyle w:val="ECHRParaSpaced"/>
        <w:ind w:firstLine="340"/>
        <w:rPr>
          <w:rStyle w:val="sb8d990e2"/>
          <w:rFonts w:ascii="Arial" w:hAnsi="Arial" w:cs="Arial"/>
          <w:b/>
          <w:bCs/>
          <w:color w:val="FF0000"/>
          <w:shd w:val="clear" w:color="auto" w:fill="D9D9D9" w:themeFill="background1" w:themeFillShade="D9"/>
        </w:rPr>
      </w:pPr>
      <w:r w:rsidRPr="00C5791B">
        <w:rPr>
          <w:rFonts w:ascii="Arial" w:hAnsi="Arial" w:cs="Arial"/>
        </w:rPr>
        <w:t>4</w:t>
      </w:r>
      <w:r>
        <w:rPr>
          <w:rFonts w:ascii="Arial" w:hAnsi="Arial" w:cs="Arial"/>
        </w:rPr>
        <w:t>4</w:t>
      </w:r>
      <w:r w:rsidRPr="00C5791B">
        <w:rPr>
          <w:rFonts w:ascii="Arial" w:hAnsi="Arial" w:cs="Arial"/>
        </w:rPr>
        <w:t xml:space="preserve">. The admissibility criteria set out in Article 35 § 3 (a) and (b) of the Convention do not apply to inter-State applications, which therefore, cannot be declared inadmissible as </w:t>
      </w:r>
      <w:r w:rsidRPr="00C5791B">
        <w:rPr>
          <w:rFonts w:ascii="Arial" w:hAnsi="Arial" w:cs="Arial"/>
          <w:b/>
          <w:i/>
        </w:rPr>
        <w:t>manifestly ill-founded</w:t>
      </w:r>
      <w:r w:rsidRPr="00C5791B">
        <w:rPr>
          <w:rFonts w:ascii="Arial" w:hAnsi="Arial" w:cs="Arial"/>
        </w:rPr>
        <w:t xml:space="preserve"> or as constituting an </w:t>
      </w:r>
      <w:r w:rsidRPr="00C5791B">
        <w:rPr>
          <w:rFonts w:ascii="Arial" w:hAnsi="Arial" w:cs="Arial"/>
          <w:i/>
          <w:iCs/>
        </w:rPr>
        <w:t>abuse of the right of petition</w:t>
      </w:r>
      <w:r w:rsidRPr="00C5791B">
        <w:rPr>
          <w:rFonts w:ascii="Arial" w:hAnsi="Arial" w:cs="Arial"/>
        </w:rPr>
        <w:t>. However, this does not prevent the Court at the admissibility stage from examining the substantive admissibility of the alleged breach of the provisions of the Convention under Article 33.</w:t>
      </w:r>
      <w:r w:rsidRPr="00C5791B">
        <w:rPr>
          <w:rStyle w:val="Appelnotedebasdep"/>
          <w:rFonts w:ascii="Arial" w:hAnsi="Arial" w:cs="Arial"/>
        </w:rPr>
        <w:footnoteReference w:id="54"/>
      </w:r>
      <w:r w:rsidRPr="00C5791B">
        <w:rPr>
          <w:rFonts w:ascii="Arial" w:hAnsi="Arial" w:cs="Arial"/>
        </w:rPr>
        <w:t xml:space="preserve"> The Court can</w:t>
      </w:r>
      <w:r w:rsidRPr="00C5791B">
        <w:rPr>
          <w:rFonts w:ascii="Arial" w:hAnsi="Arial" w:cs="Arial"/>
          <w:color w:val="FF0000"/>
        </w:rPr>
        <w:t xml:space="preserve"> </w:t>
      </w:r>
      <w:r w:rsidRPr="00C5791B">
        <w:rPr>
          <w:rFonts w:ascii="Arial" w:hAnsi="Arial" w:cs="Arial"/>
        </w:rPr>
        <w:t>establish at the admissibility stage</w:t>
      </w:r>
      <w:r w:rsidRPr="00C5791B">
        <w:rPr>
          <w:rFonts w:ascii="Arial" w:hAnsi="Arial" w:cs="Arial"/>
          <w:color w:val="FF0000"/>
        </w:rPr>
        <w:t xml:space="preserve"> </w:t>
      </w:r>
      <w:r w:rsidRPr="00C5791B">
        <w:rPr>
          <w:rFonts w:ascii="Arial" w:hAnsi="Arial" w:cs="Arial"/>
        </w:rPr>
        <w:t>whether it has any competence at all to deal with the matter brought before it, under the general principles governing the exercise of jurisdiction by international tribunals.</w:t>
      </w:r>
      <w:r w:rsidRPr="00C5791B">
        <w:rPr>
          <w:rStyle w:val="Appelnotedebasdep"/>
          <w:rFonts w:ascii="Arial" w:hAnsi="Arial" w:cs="Arial"/>
        </w:rPr>
        <w:footnoteReference w:id="55"/>
      </w:r>
      <w:r w:rsidRPr="00C5791B">
        <w:rPr>
          <w:rFonts w:ascii="Arial" w:hAnsi="Arial" w:cs="Arial"/>
        </w:rPr>
        <w:t xml:space="preserve"> The Court</w:t>
      </w:r>
      <w:r w:rsidRPr="00F72000">
        <w:rPr>
          <w:rFonts w:ascii="Arial" w:hAnsi="Arial" w:cs="Arial"/>
        </w:rPr>
        <w:t xml:space="preserve">, in a few specific cases, has held that it </w:t>
      </w:r>
      <w:r w:rsidRPr="00C5791B">
        <w:rPr>
          <w:rFonts w:ascii="Arial" w:hAnsi="Arial" w:cs="Arial"/>
        </w:rPr>
        <w:t>does not construe the procedural provisions of the Convention in a way which excludes any possibility to carry out a preliminary assessment of the contents of the case outside the framework of Article 35 §1.</w:t>
      </w:r>
      <w:r w:rsidRPr="00C5791B">
        <w:rPr>
          <w:rStyle w:val="Appelnotedebasdep"/>
          <w:rFonts w:ascii="Arial" w:hAnsi="Arial" w:cs="Arial"/>
        </w:rPr>
        <w:footnoteReference w:id="56"/>
      </w:r>
      <w:r w:rsidRPr="00C5791B">
        <w:rPr>
          <w:rFonts w:ascii="Arial" w:hAnsi="Arial" w:cs="Arial"/>
        </w:rPr>
        <w:t xml:space="preserve"> </w:t>
      </w:r>
      <w:r w:rsidRPr="00C5791B">
        <w:rPr>
          <w:rStyle w:val="sb8d990e2"/>
          <w:rFonts w:ascii="Arial" w:hAnsi="Arial" w:cs="Arial"/>
        </w:rPr>
        <w:t>While the wording of Article 35 §§ 2 and 3 makes reference to Article 34, it does not exclude the application of a general rule providing for the possibility of declaring an inter-State</w:t>
      </w:r>
      <w:r>
        <w:rPr>
          <w:rStyle w:val="sb8d990e2"/>
          <w:rFonts w:ascii="Arial" w:hAnsi="Arial" w:cs="Arial"/>
        </w:rPr>
        <w:t xml:space="preserve"> </w:t>
      </w:r>
      <w:r w:rsidRPr="00C5791B">
        <w:rPr>
          <w:rStyle w:val="sb8d990e2"/>
          <w:rFonts w:ascii="Arial" w:hAnsi="Arial" w:cs="Arial"/>
        </w:rPr>
        <w:t xml:space="preserve">application inadmissible, if it is clear, from the outset, that it is wholly </w:t>
      </w:r>
      <w:r w:rsidRPr="00C5791B">
        <w:rPr>
          <w:rStyle w:val="sb8d990e2"/>
          <w:rFonts w:ascii="Arial" w:hAnsi="Arial" w:cs="Arial"/>
        </w:rPr>
        <w:lastRenderedPageBreak/>
        <w:t>unsubstantiated, or otherwise lacking the requirements of a genuine allegation in the sense of Article 33 of the Convention.</w:t>
      </w:r>
      <w:r w:rsidRPr="00C5791B">
        <w:rPr>
          <w:rStyle w:val="Appelnotedebasdep"/>
          <w:rFonts w:ascii="Arial" w:hAnsi="Arial" w:cs="Arial"/>
        </w:rPr>
        <w:footnoteReference w:id="57"/>
      </w:r>
      <w:r w:rsidRPr="00C5791B">
        <w:rPr>
          <w:rStyle w:val="sb8d990e2"/>
          <w:rFonts w:ascii="Arial" w:hAnsi="Arial" w:cs="Arial"/>
        </w:rPr>
        <w:t xml:space="preserve"> Such an approach is consistent with the principle of procedural economy.</w:t>
      </w:r>
      <w:r w:rsidRPr="00C5791B">
        <w:rPr>
          <w:rStyle w:val="Appelnotedebasdep"/>
          <w:rFonts w:ascii="Arial" w:hAnsi="Arial" w:cs="Arial"/>
        </w:rPr>
        <w:footnoteReference w:id="58"/>
      </w:r>
    </w:p>
    <w:p w14:paraId="1A2F4020" w14:textId="77777777" w:rsidR="002218C4" w:rsidRPr="00C5791B" w:rsidRDefault="002218C4" w:rsidP="002218C4">
      <w:pPr>
        <w:pStyle w:val="ECHRParaSpaced"/>
        <w:ind w:firstLine="340"/>
        <w:rPr>
          <w:rStyle w:val="sb8d990e2"/>
          <w:rFonts w:ascii="Arial" w:hAnsi="Arial" w:cs="Arial"/>
          <w:shd w:val="clear" w:color="auto" w:fill="D9D9D9" w:themeFill="background1" w:themeFillShade="D9"/>
        </w:rPr>
      </w:pPr>
      <w:r w:rsidRPr="00C5791B">
        <w:rPr>
          <w:rStyle w:val="sb8d990e2"/>
          <w:rFonts w:ascii="Arial" w:hAnsi="Arial" w:cs="Arial"/>
        </w:rPr>
        <w:t>4</w:t>
      </w:r>
      <w:r>
        <w:rPr>
          <w:rStyle w:val="sb8d990e2"/>
          <w:rFonts w:ascii="Arial" w:hAnsi="Arial" w:cs="Arial"/>
        </w:rPr>
        <w:t>5</w:t>
      </w:r>
      <w:r w:rsidRPr="00C5791B">
        <w:rPr>
          <w:rStyle w:val="sb8d990e2"/>
          <w:rFonts w:ascii="Arial" w:hAnsi="Arial" w:cs="Arial"/>
        </w:rPr>
        <w:t>.</w:t>
      </w:r>
      <w:r w:rsidRPr="00C5791B">
        <w:rPr>
          <w:rFonts w:ascii="Arial" w:hAnsi="Arial" w:cs="Arial"/>
        </w:rPr>
        <w:t xml:space="preserve"> </w:t>
      </w:r>
      <w:r w:rsidRPr="00C5791B">
        <w:rPr>
          <w:rStyle w:val="sb8d990e2"/>
          <w:rFonts w:ascii="Arial" w:hAnsi="Arial" w:cs="Arial"/>
        </w:rPr>
        <w:t xml:space="preserve"> Based on these principles</w:t>
      </w:r>
      <w:r>
        <w:rPr>
          <w:rStyle w:val="sb8d990e2"/>
          <w:rFonts w:ascii="Arial" w:hAnsi="Arial" w:cs="Arial"/>
        </w:rPr>
        <w:t>,</w:t>
      </w:r>
      <w:r w:rsidRPr="00C5791B">
        <w:rPr>
          <w:rStyle w:val="sb8d990e2"/>
          <w:rFonts w:ascii="Arial" w:hAnsi="Arial" w:cs="Arial"/>
        </w:rPr>
        <w:t xml:space="preserve"> the Court has decided already at the admissibility stage on substantive questions such as </w:t>
      </w:r>
      <w:r w:rsidRPr="00C5791B">
        <w:rPr>
          <w:rFonts w:ascii="Arial" w:hAnsi="Arial" w:cs="Arial"/>
        </w:rPr>
        <w:t xml:space="preserve">whether matters complained of by the applicant Government are capable of falling within the jurisdiction of the respondent </w:t>
      </w:r>
      <w:r w:rsidRPr="00F72000">
        <w:rPr>
          <w:rFonts w:ascii="Arial" w:hAnsi="Arial" w:cs="Arial"/>
        </w:rPr>
        <w:t xml:space="preserve">State </w:t>
      </w:r>
      <w:r w:rsidRPr="00C5791B">
        <w:rPr>
          <w:rFonts w:ascii="Arial" w:hAnsi="Arial" w:cs="Arial"/>
        </w:rPr>
        <w:t xml:space="preserve">even when they occur outside of </w:t>
      </w:r>
      <w:r w:rsidRPr="00F72000">
        <w:rPr>
          <w:rFonts w:ascii="Arial" w:hAnsi="Arial" w:cs="Arial"/>
        </w:rPr>
        <w:t xml:space="preserve">its </w:t>
      </w:r>
      <w:r w:rsidRPr="00C5791B">
        <w:rPr>
          <w:rFonts w:ascii="Arial" w:hAnsi="Arial" w:cs="Arial"/>
        </w:rPr>
        <w:t>national territory</w:t>
      </w:r>
      <w:r w:rsidRPr="00C5791B">
        <w:rPr>
          <w:rStyle w:val="Appelnotedebasdep"/>
          <w:rFonts w:ascii="Arial" w:hAnsi="Arial" w:cs="Arial"/>
        </w:rPr>
        <w:footnoteReference w:id="59"/>
      </w:r>
      <w:r w:rsidRPr="00C5791B">
        <w:rPr>
          <w:rFonts w:ascii="Arial" w:hAnsi="Arial" w:cs="Arial"/>
        </w:rPr>
        <w:t xml:space="preserve"> or whether they fall within the jurisdiction of the respondent </w:t>
      </w:r>
      <w:r w:rsidRPr="00F72000">
        <w:rPr>
          <w:rFonts w:ascii="Arial" w:hAnsi="Arial" w:cs="Arial"/>
        </w:rPr>
        <w:t>State</w:t>
      </w:r>
      <w:r w:rsidRPr="00C5791B">
        <w:rPr>
          <w:rFonts w:ascii="Arial" w:hAnsi="Arial" w:cs="Arial"/>
        </w:rPr>
        <w:t>.</w:t>
      </w:r>
      <w:r w:rsidRPr="00C5791B">
        <w:rPr>
          <w:rStyle w:val="Appelnotedebasdep"/>
          <w:rFonts w:ascii="Arial" w:hAnsi="Arial" w:cs="Arial"/>
        </w:rPr>
        <w:footnoteReference w:id="60"/>
      </w:r>
      <w:r w:rsidRPr="00C5791B">
        <w:rPr>
          <w:rFonts w:ascii="Arial" w:hAnsi="Arial" w:cs="Arial"/>
        </w:rPr>
        <w:t xml:space="preserve"> The Court’s decision on these preliminary issues at this stage of the proceedings is without prejudice to the issues of attribution and responsibility of the respondent State under the Convention for the acts complained of, which fall to be examined at the merits phase of the proceedings.</w:t>
      </w:r>
      <w:r w:rsidRPr="00C5791B">
        <w:rPr>
          <w:rStyle w:val="Appelnotedebasdep"/>
          <w:rFonts w:ascii="Arial" w:hAnsi="Arial" w:cs="Arial"/>
        </w:rPr>
        <w:footnoteReference w:id="61"/>
      </w:r>
    </w:p>
    <w:p w14:paraId="21BBCDF0" w14:textId="77777777" w:rsidR="002218C4" w:rsidRPr="00C5791B" w:rsidRDefault="002218C4" w:rsidP="002218C4">
      <w:pPr>
        <w:pStyle w:val="ECHRParaSpaced"/>
        <w:ind w:firstLine="340"/>
        <w:rPr>
          <w:rStyle w:val="sb8d990e2"/>
          <w:rFonts w:ascii="Arial" w:hAnsi="Arial" w:cs="Arial"/>
          <w:shd w:val="clear" w:color="auto" w:fill="D9D9D9" w:themeFill="background1" w:themeFillShade="D9"/>
        </w:rPr>
      </w:pPr>
      <w:r w:rsidRPr="00C5791B">
        <w:rPr>
          <w:rFonts w:ascii="Arial" w:hAnsi="Arial" w:cs="Arial"/>
        </w:rPr>
        <w:t>4</w:t>
      </w:r>
      <w:r>
        <w:rPr>
          <w:rFonts w:ascii="Arial" w:hAnsi="Arial" w:cs="Arial"/>
        </w:rPr>
        <w:t>6</w:t>
      </w:r>
      <w:r w:rsidRPr="00C5791B">
        <w:rPr>
          <w:rFonts w:ascii="Arial" w:hAnsi="Arial" w:cs="Arial"/>
        </w:rPr>
        <w:t xml:space="preserve">.  Other examples in which the Convention institutions have carried out a preliminary examination of the merits at the admissibility stage include the existence of </w:t>
      </w:r>
      <w:r w:rsidRPr="00C5791B">
        <w:rPr>
          <w:rFonts w:ascii="Arial" w:hAnsi="Arial" w:cs="Arial"/>
          <w:i/>
          <w:iCs/>
        </w:rPr>
        <w:t>prima facie</w:t>
      </w:r>
      <w:r w:rsidRPr="00C5791B">
        <w:rPr>
          <w:rFonts w:ascii="Arial" w:hAnsi="Arial" w:cs="Arial"/>
        </w:rPr>
        <w:t xml:space="preserve"> evidence of a breach of the Convention in the light of the evidence adduced by the Parties.</w:t>
      </w:r>
      <w:r w:rsidRPr="00C5791B">
        <w:rPr>
          <w:rStyle w:val="Appelnotedebasdep"/>
          <w:rFonts w:ascii="Arial" w:hAnsi="Arial" w:cs="Arial"/>
        </w:rPr>
        <w:footnoteReference w:id="62"/>
      </w:r>
      <w:r w:rsidRPr="00C5791B">
        <w:rPr>
          <w:rFonts w:ascii="Arial" w:hAnsi="Arial" w:cs="Arial"/>
        </w:rPr>
        <w:t xml:space="preserve"> More recently the Court decided at the admissibility stage on the existence of </w:t>
      </w:r>
      <w:r w:rsidRPr="00C5791B">
        <w:rPr>
          <w:rFonts w:ascii="Arial" w:hAnsi="Arial" w:cs="Arial"/>
          <w:i/>
          <w:iCs/>
        </w:rPr>
        <w:t>prima facie</w:t>
      </w:r>
      <w:r w:rsidRPr="00C5791B">
        <w:rPr>
          <w:rFonts w:ascii="Arial" w:hAnsi="Arial" w:cs="Arial"/>
        </w:rPr>
        <w:t xml:space="preserve"> evidence that there was an administrative practice in relation to each of the complaints made by the applicant Government.</w:t>
      </w:r>
      <w:r w:rsidRPr="00C5791B">
        <w:rPr>
          <w:rStyle w:val="Appelnotedebasdep"/>
          <w:rFonts w:ascii="Arial" w:hAnsi="Arial" w:cs="Arial"/>
        </w:rPr>
        <w:footnoteReference w:id="63"/>
      </w:r>
      <w:r w:rsidRPr="00C5791B">
        <w:rPr>
          <w:rFonts w:ascii="Arial" w:hAnsi="Arial" w:cs="Arial"/>
        </w:rPr>
        <w:t xml:space="preserve"> In another recent case the Court has decided, at the admissibility stage, on the question </w:t>
      </w:r>
      <w:r w:rsidRPr="00C5791B">
        <w:rPr>
          <w:rStyle w:val="sb8d990e2"/>
          <w:rFonts w:ascii="Arial" w:eastAsiaTheme="majorEastAsia" w:hAnsi="Arial" w:cs="Arial"/>
        </w:rPr>
        <w:t xml:space="preserve">whether the scope of Article 33 </w:t>
      </w:r>
      <w:r w:rsidRPr="00C5791B">
        <w:rPr>
          <w:rFonts w:ascii="Arial" w:hAnsi="Arial" w:cs="Arial"/>
        </w:rPr>
        <w:t xml:space="preserve">of the Convention allows an applicant Government to vindicate the rights of an organisation which is not “non-governmental” for the purposes of Article 34 </w:t>
      </w:r>
      <w:r w:rsidRPr="00C5791B">
        <w:rPr>
          <w:rStyle w:val="sb8d990e2"/>
          <w:rFonts w:ascii="Arial" w:eastAsiaTheme="majorEastAsia" w:hAnsi="Arial" w:cs="Arial"/>
        </w:rPr>
        <w:t xml:space="preserve">(this question falling outside the </w:t>
      </w:r>
      <w:r w:rsidRPr="00C5791B">
        <w:rPr>
          <w:rStyle w:val="sb8d990e2"/>
          <w:rFonts w:ascii="Arial" w:hAnsi="Arial" w:cs="Arial"/>
        </w:rPr>
        <w:t>scope of any of the admissibility criteria set out in Article 35 of the Convention and rather being a matter which goes to the Court’s jurisdiction within the meaning of Article 32 § 2 of the Convention).</w:t>
      </w:r>
      <w:r w:rsidRPr="00C5791B">
        <w:rPr>
          <w:rStyle w:val="Appelnotedebasdep"/>
          <w:rFonts w:ascii="Arial" w:hAnsi="Arial" w:cs="Arial"/>
        </w:rPr>
        <w:footnoteReference w:id="64"/>
      </w:r>
    </w:p>
    <w:p w14:paraId="3CD84083" w14:textId="77777777" w:rsidR="002218C4" w:rsidRPr="00C5791B" w:rsidRDefault="002218C4" w:rsidP="002218C4">
      <w:pPr>
        <w:pStyle w:val="ECHRParaSpaced"/>
        <w:ind w:firstLine="340"/>
        <w:rPr>
          <w:rFonts w:ascii="Arial" w:hAnsi="Arial" w:cs="Arial"/>
          <w:shd w:val="clear" w:color="auto" w:fill="D9D9D9" w:themeFill="background1" w:themeFillShade="D9"/>
        </w:rPr>
      </w:pPr>
      <w:r w:rsidRPr="00C5791B">
        <w:rPr>
          <w:rStyle w:val="sb8d990e2"/>
          <w:rFonts w:ascii="Arial" w:hAnsi="Arial" w:cs="Arial"/>
        </w:rPr>
        <w:t>4</w:t>
      </w:r>
      <w:r>
        <w:rPr>
          <w:rStyle w:val="sb8d990e2"/>
          <w:rFonts w:ascii="Arial" w:hAnsi="Arial" w:cs="Arial"/>
        </w:rPr>
        <w:t>7</w:t>
      </w:r>
      <w:r w:rsidRPr="00C5791B">
        <w:rPr>
          <w:rStyle w:val="sb8d990e2"/>
          <w:rFonts w:ascii="Arial" w:hAnsi="Arial" w:cs="Arial"/>
        </w:rPr>
        <w:t>.</w:t>
      </w:r>
      <w:r w:rsidRPr="00C5791B">
        <w:rPr>
          <w:rFonts w:ascii="Arial" w:hAnsi="Arial" w:cs="Arial"/>
        </w:rPr>
        <w:t xml:space="preserve"> </w:t>
      </w:r>
      <w:r w:rsidRPr="00C5791B">
        <w:rPr>
          <w:rStyle w:val="sb8d990e2"/>
          <w:rFonts w:ascii="Arial" w:hAnsi="Arial" w:cs="Arial"/>
        </w:rPr>
        <w:t xml:space="preserve"> Moreover, the Convention institutions have examined the contents of inter-State applications despite the fact that the Convention does not allow an inter-State application to be rejected at the admissibility stage as constituting an abuse of the right to petition. The Commission did so in the light of a general principle according to which the right to bring proceedings before an international instance must not be manifestly misused, on the assumption that such general principle existed.</w:t>
      </w:r>
      <w:r w:rsidRPr="00C5791B">
        <w:rPr>
          <w:rStyle w:val="Appelnotedebasdep"/>
          <w:rFonts w:ascii="Arial" w:hAnsi="Arial" w:cs="Arial"/>
        </w:rPr>
        <w:footnoteReference w:id="65"/>
      </w:r>
      <w:r w:rsidRPr="00C5791B">
        <w:rPr>
          <w:rStyle w:val="sb8d990e2"/>
          <w:rFonts w:ascii="Arial" w:hAnsi="Arial" w:cs="Arial"/>
        </w:rPr>
        <w:t xml:space="preserve"> In this regard the Commission has decided on allegations that the inter-State application constitutes an abuse of the procedure provided by the Convention in that they contain accusations of a political nature.</w:t>
      </w:r>
      <w:r w:rsidRPr="00C5791B">
        <w:rPr>
          <w:rStyle w:val="Appelnotedebasdep"/>
          <w:rFonts w:ascii="Arial" w:hAnsi="Arial" w:cs="Arial"/>
        </w:rPr>
        <w:footnoteReference w:id="66"/>
      </w:r>
      <w:r w:rsidRPr="00C5791B">
        <w:rPr>
          <w:rStyle w:val="sb8d990e2"/>
          <w:rFonts w:ascii="Arial" w:hAnsi="Arial" w:cs="Arial"/>
        </w:rPr>
        <w:t xml:space="preserve"> More recently, while examining whether an inter-State application lacked the requirements of a genuine application on the ground that it put before the Court political questions, the Court took into account the legal nature of the issues raised before it by the applicant Government.</w:t>
      </w:r>
      <w:r w:rsidRPr="00C5791B">
        <w:rPr>
          <w:rStyle w:val="Appelnotedebasdep"/>
          <w:rFonts w:ascii="Arial" w:hAnsi="Arial" w:cs="Arial"/>
        </w:rPr>
        <w:footnoteReference w:id="67"/>
      </w:r>
      <w:r w:rsidRPr="00C5791B">
        <w:rPr>
          <w:rStyle w:val="sb8d990e2"/>
          <w:rFonts w:ascii="Arial" w:hAnsi="Arial" w:cs="Arial"/>
        </w:rPr>
        <w:t xml:space="preserve"> While these questions have inevitably political aspects</w:t>
      </w:r>
      <w:r>
        <w:rPr>
          <w:rStyle w:val="sb8d990e2"/>
          <w:rFonts w:ascii="Arial" w:hAnsi="Arial" w:cs="Arial"/>
        </w:rPr>
        <w:t>,</w:t>
      </w:r>
      <w:r w:rsidRPr="00C5791B">
        <w:rPr>
          <w:rStyle w:val="sb8d990e2"/>
          <w:rFonts w:ascii="Arial" w:hAnsi="Arial" w:cs="Arial"/>
        </w:rPr>
        <w:t xml:space="preserve"> this fact alone does not suffice to deprive them of their character as legal questions; the Court has never refused to decide a case brought before it merely because it had political implications.</w:t>
      </w:r>
      <w:r w:rsidRPr="00C5791B">
        <w:rPr>
          <w:rStyle w:val="Appelnotedebasdep"/>
          <w:rFonts w:ascii="Arial" w:hAnsi="Arial" w:cs="Arial"/>
        </w:rPr>
        <w:footnoteReference w:id="68"/>
      </w:r>
      <w:r w:rsidRPr="00C5791B">
        <w:rPr>
          <w:rStyle w:val="sb8d990e2"/>
          <w:rFonts w:ascii="Arial" w:hAnsi="Arial" w:cs="Arial"/>
          <w:shd w:val="clear" w:color="auto" w:fill="D9D9D9" w:themeFill="background1" w:themeFillShade="D9"/>
        </w:rPr>
        <w:t xml:space="preserve"> </w:t>
      </w:r>
    </w:p>
    <w:p w14:paraId="4F2FB0A3" w14:textId="77777777" w:rsidR="002218C4" w:rsidRPr="00C5791B" w:rsidRDefault="002218C4" w:rsidP="002218C4">
      <w:pPr>
        <w:pStyle w:val="ECHRParaSpaced"/>
        <w:ind w:firstLine="340"/>
        <w:rPr>
          <w:rFonts w:ascii="Arial" w:hAnsi="Arial" w:cs="Arial"/>
          <w:color w:val="FF0000"/>
        </w:rPr>
      </w:pPr>
      <w:r w:rsidRPr="00C5791B">
        <w:rPr>
          <w:rFonts w:ascii="Arial" w:hAnsi="Arial" w:cs="Arial"/>
        </w:rPr>
        <w:lastRenderedPageBreak/>
        <w:t>4</w:t>
      </w:r>
      <w:r>
        <w:rPr>
          <w:rFonts w:ascii="Arial" w:hAnsi="Arial" w:cs="Arial"/>
        </w:rPr>
        <w:t>8</w:t>
      </w:r>
      <w:r w:rsidRPr="00C5791B">
        <w:rPr>
          <w:rFonts w:ascii="Arial" w:hAnsi="Arial" w:cs="Arial"/>
        </w:rPr>
        <w:t>. The admissibility criteri</w:t>
      </w:r>
      <w:r>
        <w:rPr>
          <w:rFonts w:ascii="Arial" w:hAnsi="Arial" w:cs="Arial"/>
        </w:rPr>
        <w:t>on</w:t>
      </w:r>
      <w:r w:rsidRPr="00C5791B">
        <w:rPr>
          <w:rFonts w:ascii="Arial" w:hAnsi="Arial" w:cs="Arial"/>
        </w:rPr>
        <w:t xml:space="preserve"> of proving </w:t>
      </w:r>
      <w:r w:rsidRPr="00C5791B">
        <w:rPr>
          <w:rFonts w:ascii="Arial" w:hAnsi="Arial" w:cs="Arial"/>
          <w:b/>
          <w:i/>
        </w:rPr>
        <w:t xml:space="preserve">victim status </w:t>
      </w:r>
      <w:r w:rsidRPr="00C5791B">
        <w:rPr>
          <w:rFonts w:ascii="Arial" w:hAnsi="Arial" w:cs="Arial"/>
        </w:rPr>
        <w:t xml:space="preserve">is applicable only to individual applications </w:t>
      </w:r>
      <w:r w:rsidRPr="00F72000">
        <w:rPr>
          <w:rFonts w:ascii="Arial" w:hAnsi="Arial" w:cs="Arial"/>
        </w:rPr>
        <w:t xml:space="preserve">and </w:t>
      </w:r>
      <w:r w:rsidRPr="00C5791B">
        <w:rPr>
          <w:rFonts w:ascii="Arial" w:hAnsi="Arial" w:cs="Arial"/>
        </w:rPr>
        <w:t xml:space="preserve">not </w:t>
      </w:r>
      <w:r w:rsidRPr="00F72000">
        <w:rPr>
          <w:rFonts w:ascii="Arial" w:hAnsi="Arial" w:cs="Arial"/>
        </w:rPr>
        <w:t>to</w:t>
      </w:r>
      <w:r>
        <w:rPr>
          <w:rFonts w:ascii="Arial" w:hAnsi="Arial" w:cs="Arial"/>
        </w:rPr>
        <w:t xml:space="preserve"> </w:t>
      </w:r>
      <w:r w:rsidRPr="00C5791B">
        <w:rPr>
          <w:rFonts w:ascii="Arial" w:hAnsi="Arial" w:cs="Arial"/>
        </w:rPr>
        <w:t>inter-State applications. The Court has recently examined the question whether the scope of Article 33 of the Convention allows an applicant Government to vindicate the rights of an organisation which is not “non-governmental” for the purposes of Article 34.</w:t>
      </w:r>
      <w:r w:rsidRPr="00C5791B">
        <w:rPr>
          <w:rStyle w:val="Appelnotedebasdep"/>
          <w:rFonts w:ascii="Arial" w:hAnsi="Arial" w:cs="Arial"/>
        </w:rPr>
        <w:footnoteReference w:id="69"/>
      </w:r>
      <w:r w:rsidRPr="00C5791B">
        <w:rPr>
          <w:rFonts w:ascii="Arial" w:hAnsi="Arial" w:cs="Arial"/>
        </w:rPr>
        <w:t xml:space="preserve"> In considering the preliminary issue whether it may examine such an application</w:t>
      </w:r>
      <w:r>
        <w:rPr>
          <w:rFonts w:ascii="Arial" w:hAnsi="Arial" w:cs="Arial"/>
        </w:rPr>
        <w:t>,</w:t>
      </w:r>
      <w:r w:rsidRPr="00C5791B">
        <w:rPr>
          <w:rFonts w:ascii="Arial" w:hAnsi="Arial" w:cs="Arial"/>
        </w:rPr>
        <w:t xml:space="preserve"> the Court has noted that the applicant Government is entitled to submit an inter-State application under Article 33 of the Convention without having to be in any way, even indirectly, aggrieved by the alleged violations.</w:t>
      </w:r>
      <w:r w:rsidRPr="00C5791B">
        <w:rPr>
          <w:rStyle w:val="Appelnotedebasdep"/>
          <w:rFonts w:ascii="Arial" w:hAnsi="Arial" w:cs="Arial"/>
        </w:rPr>
        <w:footnoteReference w:id="70"/>
      </w:r>
      <w:r w:rsidRPr="00C5791B">
        <w:rPr>
          <w:rFonts w:ascii="Arial" w:hAnsi="Arial" w:cs="Arial"/>
        </w:rPr>
        <w:t xml:space="preserve"> </w:t>
      </w:r>
    </w:p>
    <w:p w14:paraId="73984F41" w14:textId="77777777" w:rsidR="002218C4" w:rsidRPr="009E0AFB" w:rsidRDefault="002218C4" w:rsidP="002218C4">
      <w:pPr>
        <w:pStyle w:val="ECHRParaSpaced"/>
        <w:ind w:firstLine="340"/>
        <w:rPr>
          <w:rFonts w:ascii="Arial" w:hAnsi="Arial" w:cs="Arial"/>
        </w:rPr>
      </w:pPr>
      <w:r>
        <w:rPr>
          <w:rFonts w:ascii="Arial" w:hAnsi="Arial" w:cs="Arial"/>
        </w:rPr>
        <w:t>49</w:t>
      </w:r>
      <w:r w:rsidRPr="009E0AFB">
        <w:rPr>
          <w:rFonts w:ascii="Arial" w:hAnsi="Arial" w:cs="Arial"/>
        </w:rPr>
        <w:t>. The Court determined that there is, however, a direct systemic correlation between Articles 33 and 34 of the Convention in that an organisation which is not “non-governmental” within the meaning of Article 34 cannot have its rights protected by a government through the mechanism of Article 33.</w:t>
      </w:r>
      <w:r w:rsidRPr="009E0AFB">
        <w:rPr>
          <w:rFonts w:ascii="Arial" w:hAnsi="Arial" w:cs="Arial"/>
          <w:vertAlign w:val="superscript"/>
        </w:rPr>
        <w:footnoteReference w:id="71"/>
      </w:r>
      <w:r w:rsidRPr="009E0AFB">
        <w:rPr>
          <w:rFonts w:ascii="Arial" w:hAnsi="Arial" w:cs="Arial"/>
        </w:rPr>
        <w:t xml:space="preserve"> In other words, Article 33 of the Convention does not allow an applicant Government to vindicate the rights of a legal entity which would not qualify as a “non-governmental organisation” and, therefore, would not be entitled to lodge an individual application under Article 34.</w:t>
      </w:r>
      <w:r w:rsidRPr="009E0AFB">
        <w:rPr>
          <w:rFonts w:ascii="Arial" w:hAnsi="Arial" w:cs="Arial"/>
          <w:vertAlign w:val="superscript"/>
        </w:rPr>
        <w:footnoteReference w:id="72"/>
      </w:r>
      <w:r w:rsidRPr="009E0AFB">
        <w:rPr>
          <w:rFonts w:ascii="Arial" w:hAnsi="Arial" w:cs="Arial"/>
          <w:vertAlign w:val="superscript"/>
        </w:rPr>
        <w:t xml:space="preserve"> </w:t>
      </w:r>
    </w:p>
    <w:p w14:paraId="35255BFD" w14:textId="77777777" w:rsidR="002218C4" w:rsidRDefault="002218C4" w:rsidP="002218C4">
      <w:pPr>
        <w:pStyle w:val="ECHRParaSpaced"/>
        <w:ind w:firstLine="340"/>
        <w:rPr>
          <w:rFonts w:ascii="Arial" w:hAnsi="Arial" w:cs="Arial"/>
        </w:rPr>
      </w:pPr>
      <w:r>
        <w:rPr>
          <w:rFonts w:ascii="Arial" w:hAnsi="Arial" w:cs="Arial"/>
        </w:rPr>
        <w:t>50</w:t>
      </w:r>
      <w:r w:rsidRPr="00C5791B">
        <w:rPr>
          <w:rFonts w:ascii="Arial" w:hAnsi="Arial" w:cs="Arial"/>
        </w:rPr>
        <w:t xml:space="preserve">. The DH-SYSC-IV notes that a question </w:t>
      </w:r>
      <w:r>
        <w:rPr>
          <w:rFonts w:ascii="Arial" w:hAnsi="Arial" w:cs="Arial"/>
        </w:rPr>
        <w:t>arises</w:t>
      </w:r>
      <w:r w:rsidRPr="00C5791B">
        <w:rPr>
          <w:rFonts w:ascii="Arial" w:hAnsi="Arial" w:cs="Arial"/>
        </w:rPr>
        <w:t xml:space="preserve"> concerning victim status, that is whether it is necessary and how to distinguish between, on the one hand, the procedural right of a State Party under Article 33 to lodge an inter-State application for the violations of substantive rights of the Convention of  particular victim(s) (standing under Article 33) and the victim status of an applicant for purposes of an individual application under Article 34 (standing under Article 34 of the Convention). The Drafting Group will continue to engage with this question.</w:t>
      </w:r>
    </w:p>
    <w:p w14:paraId="7546B79F" w14:textId="77777777" w:rsidR="002218C4" w:rsidRPr="00C5791B" w:rsidRDefault="002218C4" w:rsidP="002218C4">
      <w:pPr>
        <w:pStyle w:val="ECHRParaSpaced"/>
        <w:ind w:firstLine="340"/>
        <w:rPr>
          <w:rFonts w:ascii="Arial" w:hAnsi="Arial" w:cs="Arial"/>
          <w:color w:val="FF0000"/>
          <w:shd w:val="clear" w:color="auto" w:fill="D9D9D9" w:themeFill="background1" w:themeFillShade="D9"/>
        </w:rPr>
      </w:pPr>
    </w:p>
    <w:p w14:paraId="34FF503D" w14:textId="77777777" w:rsidR="002218C4" w:rsidRPr="00D7090E" w:rsidRDefault="002218C4" w:rsidP="002218C4">
      <w:pPr>
        <w:pStyle w:val="Titre2"/>
        <w:rPr>
          <w:rFonts w:ascii="Arial" w:hAnsi="Arial" w:cs="Arial"/>
          <w:i/>
          <w:lang w:val="en-GB"/>
        </w:rPr>
      </w:pPr>
      <w:bookmarkStart w:id="31" w:name="_Toc45123259"/>
      <w:bookmarkStart w:id="32" w:name="_Toc83293365"/>
      <w:bookmarkStart w:id="33" w:name="_Hlk82074174"/>
      <w:r w:rsidRPr="00565B1D">
        <w:rPr>
          <w:rFonts w:ascii="Arial" w:hAnsi="Arial" w:cs="Arial"/>
          <w:i/>
          <w:lang w:val="en-GB"/>
        </w:rPr>
        <w:t>3. Procedural questions</w:t>
      </w:r>
      <w:bookmarkEnd w:id="31"/>
      <w:bookmarkEnd w:id="32"/>
      <w:r w:rsidRPr="00565B1D">
        <w:rPr>
          <w:rFonts w:ascii="Arial" w:hAnsi="Arial" w:cs="Arial"/>
          <w:i/>
          <w:lang w:val="en-GB"/>
        </w:rPr>
        <w:t xml:space="preserve"> </w:t>
      </w:r>
    </w:p>
    <w:p w14:paraId="41B60934" w14:textId="77777777" w:rsidR="002218C4" w:rsidRPr="009E0AFB" w:rsidRDefault="002218C4" w:rsidP="002218C4">
      <w:pPr>
        <w:pStyle w:val="ECHRParaSpaced"/>
        <w:ind w:firstLine="340"/>
        <w:rPr>
          <w:rFonts w:ascii="Arial" w:hAnsi="Arial" w:cs="Arial"/>
        </w:rPr>
      </w:pPr>
      <w:r>
        <w:rPr>
          <w:rFonts w:ascii="Arial" w:hAnsi="Arial" w:cs="Arial"/>
        </w:rPr>
        <w:t>51</w:t>
      </w:r>
      <w:r w:rsidRPr="003D7BC6">
        <w:rPr>
          <w:rFonts w:ascii="Arial" w:hAnsi="Arial" w:cs="Arial"/>
        </w:rPr>
        <w:t xml:space="preserve">. </w:t>
      </w:r>
      <w:r w:rsidRPr="009E0AFB">
        <w:rPr>
          <w:rFonts w:ascii="Arial" w:hAnsi="Arial" w:cs="Arial"/>
        </w:rPr>
        <w:t>The DH-SYSC-IV notes that the Court’s case-law as well as the Court’s observations</w:t>
      </w:r>
      <w:r w:rsidRPr="009A478C">
        <w:rPr>
          <w:vertAlign w:val="superscript"/>
        </w:rPr>
        <w:footnoteReference w:id="73"/>
      </w:r>
      <w:r w:rsidRPr="009A478C">
        <w:rPr>
          <w:rFonts w:ascii="Arial" w:hAnsi="Arial" w:cs="Arial"/>
          <w:vertAlign w:val="superscript"/>
        </w:rPr>
        <w:t xml:space="preserve"> </w:t>
      </w:r>
      <w:r w:rsidRPr="009E0AFB">
        <w:rPr>
          <w:rFonts w:ascii="Arial" w:hAnsi="Arial" w:cs="Arial"/>
        </w:rPr>
        <w:t xml:space="preserve">have not acknowledged or identified the different admissibility criteria as posing challenges with regard to the parallel processing of inter-State applications and linked individual applications.  </w:t>
      </w:r>
    </w:p>
    <w:bookmarkEnd w:id="33"/>
    <w:p w14:paraId="7F8BEFF2" w14:textId="77777777" w:rsidR="002218C4" w:rsidRPr="003D7BC6" w:rsidRDefault="002218C4" w:rsidP="002218C4">
      <w:pPr>
        <w:pStyle w:val="ECHRParaSpaced"/>
        <w:ind w:firstLine="340"/>
        <w:rPr>
          <w:rFonts w:ascii="Arial" w:hAnsi="Arial" w:cs="Arial"/>
        </w:rPr>
      </w:pPr>
      <w:r>
        <w:rPr>
          <w:rFonts w:ascii="Arial" w:hAnsi="Arial" w:cs="Arial"/>
        </w:rPr>
        <w:t>52</w:t>
      </w:r>
      <w:r w:rsidRPr="003D7BC6">
        <w:rPr>
          <w:rFonts w:ascii="Arial" w:hAnsi="Arial" w:cs="Arial"/>
        </w:rPr>
        <w:t xml:space="preserve">. </w:t>
      </w:r>
      <w:r w:rsidRPr="009E0AFB">
        <w:rPr>
          <w:rFonts w:ascii="Arial" w:hAnsi="Arial" w:cs="Arial"/>
        </w:rPr>
        <w:t>The admissibility requirements applicable to applications lodged under Article 33 of the Convention, as they have been set out in Article 35 § 1, reflect the inherent features and the specific function of inter-State applications in the Convention system, which enable the State Parties to protect the public order of Europe within the framework of collective responsibility under the Convention. Inter-State applications remain ultimately concerned with the protection of the fundamental rights of individuals. In lodging an inter-State application, a State is not so much exercising a right of action for the purpose of enforcing its own rights, but rather as bringing before the Court an alleged violation of the public order of Europe (see section IV/1 above).</w:t>
      </w:r>
      <w:r w:rsidRPr="003D7BC6">
        <w:rPr>
          <w:rFonts w:ascii="Arial" w:hAnsi="Arial" w:cs="Arial"/>
        </w:rPr>
        <w:t xml:space="preserve"> </w:t>
      </w:r>
    </w:p>
    <w:p w14:paraId="368111DF" w14:textId="77777777" w:rsidR="002218C4" w:rsidRPr="003D7BC6" w:rsidRDefault="002218C4" w:rsidP="002218C4">
      <w:pPr>
        <w:pStyle w:val="ECHRParaSpaced"/>
        <w:ind w:firstLine="340"/>
        <w:rPr>
          <w:rFonts w:ascii="Arial" w:hAnsi="Arial" w:cs="Arial"/>
        </w:rPr>
      </w:pPr>
      <w:r w:rsidRPr="003D7BC6">
        <w:rPr>
          <w:rFonts w:ascii="Arial" w:hAnsi="Arial" w:cs="Arial"/>
        </w:rPr>
        <w:t>5</w:t>
      </w:r>
      <w:r>
        <w:rPr>
          <w:rFonts w:ascii="Arial" w:hAnsi="Arial" w:cs="Arial"/>
        </w:rPr>
        <w:t>3</w:t>
      </w:r>
      <w:r w:rsidRPr="009E0AFB">
        <w:rPr>
          <w:rFonts w:ascii="Arial" w:hAnsi="Arial" w:cs="Arial"/>
        </w:rPr>
        <w:t>. However, a set of procedural questions is raised by one delegation which point to various aspects of the parallel examination of related inter-State applications and individual applications.</w:t>
      </w:r>
      <w:r w:rsidRPr="009E0AFB">
        <w:rPr>
          <w:rStyle w:val="Appelnotedebasdep"/>
          <w:rFonts w:ascii="Arial" w:hAnsi="Arial" w:cs="Arial"/>
        </w:rPr>
        <w:footnoteReference w:id="74"/>
      </w:r>
      <w:r w:rsidRPr="009E0AFB">
        <w:rPr>
          <w:rFonts w:ascii="Arial" w:hAnsi="Arial" w:cs="Arial"/>
        </w:rPr>
        <w:t xml:space="preserve"> </w:t>
      </w:r>
    </w:p>
    <w:p w14:paraId="109774B4" w14:textId="77777777" w:rsidR="002218C4" w:rsidRPr="009E0AFB" w:rsidRDefault="002218C4" w:rsidP="002218C4">
      <w:pPr>
        <w:pStyle w:val="ECHRParaSpaced"/>
        <w:ind w:firstLine="340"/>
        <w:rPr>
          <w:rFonts w:ascii="Arial" w:hAnsi="Arial" w:cs="Arial"/>
          <w:strike/>
        </w:rPr>
      </w:pPr>
      <w:r w:rsidRPr="009E0AFB">
        <w:rPr>
          <w:rFonts w:ascii="Arial" w:hAnsi="Arial" w:cs="Arial"/>
        </w:rPr>
        <w:t>5</w:t>
      </w:r>
      <w:r>
        <w:rPr>
          <w:rFonts w:ascii="Arial" w:hAnsi="Arial" w:cs="Arial"/>
        </w:rPr>
        <w:t>4</w:t>
      </w:r>
      <w:r w:rsidRPr="009E0AFB">
        <w:rPr>
          <w:rFonts w:ascii="Arial" w:hAnsi="Arial" w:cs="Arial"/>
        </w:rPr>
        <w:t xml:space="preserve">. </w:t>
      </w:r>
      <w:r w:rsidRPr="00C34914">
        <w:rPr>
          <w:rFonts w:ascii="Arial" w:hAnsi="Arial" w:cs="Arial"/>
        </w:rPr>
        <w:t>Firstly</w:t>
      </w:r>
      <w:r w:rsidRPr="009E0AFB">
        <w:rPr>
          <w:rFonts w:ascii="Arial" w:hAnsi="Arial" w:cs="Arial"/>
        </w:rPr>
        <w:t>, the said delegation raises the question whether an inter-State application may be permitted to be lodged if individual applications in the connection with the same events are pending before the Court.</w:t>
      </w:r>
      <w:r w:rsidRPr="009E0AFB">
        <w:rPr>
          <w:rStyle w:val="Appelnotedebasdep"/>
          <w:rFonts w:ascii="Arial" w:hAnsi="Arial" w:cs="Arial"/>
        </w:rPr>
        <w:footnoteReference w:id="75"/>
      </w:r>
      <w:r w:rsidRPr="009E0AFB">
        <w:rPr>
          <w:rFonts w:ascii="Arial" w:hAnsi="Arial" w:cs="Arial"/>
          <w:lang w:bidi="en-US"/>
        </w:rPr>
        <w:t xml:space="preserve"> </w:t>
      </w:r>
    </w:p>
    <w:p w14:paraId="1D64C4F5" w14:textId="77777777" w:rsidR="002218C4" w:rsidRDefault="002218C4" w:rsidP="002218C4">
      <w:pPr>
        <w:pStyle w:val="ECHRParaSpaced"/>
        <w:ind w:firstLine="340"/>
        <w:rPr>
          <w:rFonts w:ascii="Arial" w:hAnsi="Arial" w:cs="Arial"/>
        </w:rPr>
      </w:pPr>
      <w:r w:rsidRPr="003D7BC6">
        <w:rPr>
          <w:rFonts w:ascii="Arial" w:hAnsi="Arial" w:cs="Arial"/>
        </w:rPr>
        <w:lastRenderedPageBreak/>
        <w:t>5</w:t>
      </w:r>
      <w:r>
        <w:rPr>
          <w:rFonts w:ascii="Arial" w:hAnsi="Arial" w:cs="Arial"/>
        </w:rPr>
        <w:t>5</w:t>
      </w:r>
      <w:r w:rsidRPr="003D7BC6">
        <w:rPr>
          <w:rFonts w:ascii="Arial" w:hAnsi="Arial" w:cs="Arial"/>
        </w:rPr>
        <w:t>. The DH-SYSC-IV notes that the Court has held that an inter-State application does not deprive individual applicants of the possibility of introducing or pursuing their own claims.</w:t>
      </w:r>
      <w:r w:rsidRPr="003D7BC6">
        <w:rPr>
          <w:rStyle w:val="Appelnotedebasdep"/>
          <w:rFonts w:ascii="Arial" w:hAnsi="Arial" w:cs="Arial"/>
        </w:rPr>
        <w:footnoteReference w:id="76"/>
      </w:r>
      <w:r w:rsidRPr="003D7BC6">
        <w:rPr>
          <w:rFonts w:ascii="Arial" w:hAnsi="Arial" w:cs="Arial"/>
        </w:rPr>
        <w:t xml:space="preserve"> It is the Court’s recent prioritisation practice, where an inter-State case is pending, that individual applications raising the same issues or deriving from the same underlying circumstances are, in principle and in so far as practicable, not decided before the overarching issues stemming from the inter-State proceedings have been determined in the inter-State case.</w:t>
      </w:r>
      <w:r w:rsidRPr="003D7BC6">
        <w:rPr>
          <w:rStyle w:val="Appelnotedebasdep"/>
          <w:rFonts w:ascii="Arial" w:hAnsi="Arial" w:cs="Arial"/>
        </w:rPr>
        <w:footnoteReference w:id="77"/>
      </w:r>
      <w:r w:rsidRPr="003D7BC6">
        <w:rPr>
          <w:rFonts w:ascii="Arial" w:hAnsi="Arial" w:cs="Arial"/>
        </w:rPr>
        <w:t xml:space="preserve"> This does not mean that the Court puts these cases aside. The Court instead identifies and examines in a </w:t>
      </w:r>
      <w:proofErr w:type="gramStart"/>
      <w:r w:rsidRPr="003D7BC6">
        <w:rPr>
          <w:rFonts w:ascii="Arial" w:hAnsi="Arial" w:cs="Arial"/>
        </w:rPr>
        <w:t>systematic manner individual applications</w:t>
      </w:r>
      <w:proofErr w:type="gramEnd"/>
      <w:r w:rsidRPr="003D7BC6">
        <w:rPr>
          <w:rFonts w:ascii="Arial" w:hAnsi="Arial" w:cs="Arial"/>
        </w:rPr>
        <w:t xml:space="preserve"> relating to inter-State cases in parallel with inter-State </w:t>
      </w:r>
      <w:r w:rsidRPr="009E0AFB">
        <w:rPr>
          <w:rFonts w:ascii="Arial" w:hAnsi="Arial" w:cs="Arial"/>
        </w:rPr>
        <w:t>applications</w:t>
      </w:r>
      <w:r w:rsidRPr="003D7BC6">
        <w:rPr>
          <w:rFonts w:ascii="Arial" w:hAnsi="Arial" w:cs="Arial"/>
        </w:rPr>
        <w:t xml:space="preserve"> as well as individual applications relating to inter-State </w:t>
      </w:r>
      <w:r w:rsidRPr="009E0AFB">
        <w:rPr>
          <w:rFonts w:ascii="Arial" w:hAnsi="Arial" w:cs="Arial"/>
        </w:rPr>
        <w:t xml:space="preserve">cases or </w:t>
      </w:r>
      <w:r w:rsidRPr="003D7BC6">
        <w:rPr>
          <w:rFonts w:ascii="Arial" w:hAnsi="Arial" w:cs="Arial"/>
        </w:rPr>
        <w:t>conflicts (in the absence of inter-State cases) and may make decisions it considers appropriate such as declaring inadmissible those which are manifestly ill-founded.</w:t>
      </w:r>
      <w:r w:rsidRPr="003D7BC6">
        <w:rPr>
          <w:rStyle w:val="Appelnotedebasdep"/>
          <w:rFonts w:ascii="Arial" w:hAnsi="Arial" w:cs="Arial"/>
        </w:rPr>
        <w:footnoteReference w:id="78"/>
      </w:r>
      <w:r w:rsidRPr="003D7BC6">
        <w:rPr>
          <w:rFonts w:ascii="Arial" w:hAnsi="Arial" w:cs="Arial"/>
        </w:rPr>
        <w:t xml:space="preserve"> </w:t>
      </w:r>
    </w:p>
    <w:p w14:paraId="3DE49AE2" w14:textId="77777777" w:rsidR="002218C4" w:rsidRDefault="002218C4" w:rsidP="002218C4">
      <w:pPr>
        <w:pStyle w:val="ECHRParaSpaced"/>
        <w:ind w:firstLine="340"/>
        <w:rPr>
          <w:rFonts w:ascii="Arial" w:hAnsi="Arial" w:cs="Arial"/>
        </w:rPr>
      </w:pPr>
      <w:r w:rsidRPr="003D7BC6">
        <w:rPr>
          <w:rFonts w:ascii="Arial" w:hAnsi="Arial" w:cs="Arial"/>
        </w:rPr>
        <w:t>5</w:t>
      </w:r>
      <w:r>
        <w:rPr>
          <w:rFonts w:ascii="Arial" w:hAnsi="Arial" w:cs="Arial"/>
        </w:rPr>
        <w:t>6</w:t>
      </w:r>
      <w:r w:rsidRPr="003D7BC6">
        <w:rPr>
          <w:rFonts w:ascii="Arial" w:hAnsi="Arial" w:cs="Arial"/>
        </w:rPr>
        <w:t>. Recently the Court also decided that any individual applications related to inter-State cases which were not declared inadmissible or struck out at the outset were to be communicated to the appropriate respondent Government or Governments for observations in parallel with the inter-State case.</w:t>
      </w:r>
      <w:bookmarkStart w:id="35" w:name="_Hlk71121288"/>
      <w:r w:rsidRPr="003D7BC6">
        <w:rPr>
          <w:rFonts w:ascii="Arial" w:hAnsi="Arial" w:cs="Arial"/>
        </w:rPr>
        <w:t xml:space="preserve"> After receiving the Governments’ and applicants’ observations in reply, the Court intends to record an adjournment for each case, pending a judgment in the inter-State case, with a view to having the files complete and ready for decision or judgment as soon as possible thereafter.</w:t>
      </w:r>
      <w:r w:rsidRPr="003D7BC6">
        <w:rPr>
          <w:rStyle w:val="Appelnotedebasdep"/>
          <w:rFonts w:ascii="Arial" w:hAnsi="Arial" w:cs="Arial"/>
        </w:rPr>
        <w:t xml:space="preserve"> </w:t>
      </w:r>
      <w:r w:rsidRPr="003D7BC6">
        <w:rPr>
          <w:rStyle w:val="Appelnotedebasdep"/>
          <w:rFonts w:ascii="Arial" w:hAnsi="Arial" w:cs="Arial"/>
        </w:rPr>
        <w:footnoteReference w:id="79"/>
      </w:r>
      <w:r w:rsidRPr="003D7BC6">
        <w:rPr>
          <w:rFonts w:ascii="Arial" w:hAnsi="Arial" w:cs="Arial"/>
        </w:rPr>
        <w:t xml:space="preserve">  </w:t>
      </w:r>
    </w:p>
    <w:p w14:paraId="0616AC91" w14:textId="77777777" w:rsidR="002218C4" w:rsidRDefault="002218C4" w:rsidP="002218C4">
      <w:pPr>
        <w:pStyle w:val="ECHRParaSpaced"/>
        <w:ind w:firstLine="340"/>
        <w:rPr>
          <w:rFonts w:ascii="Arial" w:hAnsi="Arial" w:cs="Arial"/>
        </w:rPr>
      </w:pPr>
      <w:r w:rsidRPr="003D7BC6">
        <w:rPr>
          <w:rFonts w:ascii="Arial" w:hAnsi="Arial" w:cs="Arial"/>
        </w:rPr>
        <w:t>5</w:t>
      </w:r>
      <w:r>
        <w:rPr>
          <w:rFonts w:ascii="Arial" w:hAnsi="Arial" w:cs="Arial"/>
        </w:rPr>
        <w:t>7</w:t>
      </w:r>
      <w:r w:rsidRPr="003D7BC6">
        <w:rPr>
          <w:rFonts w:ascii="Arial" w:hAnsi="Arial" w:cs="Arial"/>
        </w:rPr>
        <w:t>. Other practices of the Court which seek efficiency in the processing of inter-State applications are concerned with the adjustment of such processing according to geographical or time criteria or the legal questions raised.</w:t>
      </w:r>
      <w:r w:rsidRPr="003D7BC6">
        <w:rPr>
          <w:rStyle w:val="Appelnotedebasdep"/>
          <w:rFonts w:ascii="Arial" w:hAnsi="Arial" w:cs="Arial"/>
        </w:rPr>
        <w:footnoteReference w:id="80"/>
      </w:r>
      <w:r w:rsidRPr="003D7BC6">
        <w:rPr>
          <w:rFonts w:ascii="Arial" w:hAnsi="Arial" w:cs="Arial"/>
        </w:rPr>
        <w:t xml:space="preserve"> The Court decided to join to the inter-State application </w:t>
      </w:r>
      <w:r w:rsidRPr="003D7BC6">
        <w:rPr>
          <w:rFonts w:ascii="Arial" w:hAnsi="Arial" w:cs="Arial"/>
          <w:i/>
          <w:iCs/>
        </w:rPr>
        <w:t xml:space="preserve">Ukraine v. Russia </w:t>
      </w:r>
      <w:r w:rsidRPr="003D7BC6">
        <w:rPr>
          <w:rFonts w:ascii="Arial" w:hAnsi="Arial" w:cs="Arial"/>
        </w:rPr>
        <w:t>(</w:t>
      </w:r>
      <w:r w:rsidRPr="003D7BC6">
        <w:rPr>
          <w:rFonts w:ascii="Arial" w:hAnsi="Arial" w:cs="Arial"/>
          <w:i/>
          <w:iCs/>
        </w:rPr>
        <w:t>re Eastern Ukraine</w:t>
      </w:r>
      <w:r w:rsidRPr="003D7BC6">
        <w:rPr>
          <w:rFonts w:ascii="Arial" w:hAnsi="Arial" w:cs="Arial"/>
        </w:rPr>
        <w:t xml:space="preserve">), no. 8019/16, two inter-State applications, </w:t>
      </w:r>
      <w:r w:rsidRPr="003D7BC6">
        <w:rPr>
          <w:rFonts w:ascii="Arial" w:hAnsi="Arial" w:cs="Arial"/>
          <w:i/>
          <w:iCs/>
        </w:rPr>
        <w:t>Ukraine v. Russia (II)</w:t>
      </w:r>
      <w:r w:rsidRPr="003D7BC6">
        <w:rPr>
          <w:rFonts w:ascii="Arial" w:hAnsi="Arial" w:cs="Arial"/>
        </w:rPr>
        <w:t xml:space="preserve">, no. 43800/14, and </w:t>
      </w:r>
      <w:r w:rsidRPr="003D7BC6">
        <w:rPr>
          <w:rFonts w:ascii="Arial" w:hAnsi="Arial" w:cs="Arial"/>
          <w:i/>
          <w:iCs/>
        </w:rPr>
        <w:t>The Netherlands v. Russia</w:t>
      </w:r>
      <w:r w:rsidRPr="003D7BC6">
        <w:rPr>
          <w:rFonts w:ascii="Arial" w:hAnsi="Arial" w:cs="Arial"/>
        </w:rPr>
        <w:t>, no. 28525/20, which were pending before a Chamber. This decision was taken in accordance with Rules 42 § 1 and 71 § 1 of the Court’s Rules of Court in the interests of the efficient administration of justice.</w:t>
      </w:r>
      <w:r w:rsidRPr="003D7BC6">
        <w:rPr>
          <w:rStyle w:val="Appelnotedebasdep"/>
          <w:rFonts w:ascii="Arial" w:hAnsi="Arial" w:cs="Arial"/>
        </w:rPr>
        <w:footnoteReference w:id="81"/>
      </w:r>
      <w:r w:rsidRPr="003D7BC6">
        <w:rPr>
          <w:rFonts w:ascii="Arial" w:hAnsi="Arial" w:cs="Arial"/>
        </w:rPr>
        <w:t xml:space="preserve"> In another inter-State case the Court has dissected the object of the application (i.e. the specific allegation of the existence of a pattern of human rights violations) while distinguishing it from issues related to specific events that it considered as not being </w:t>
      </w:r>
      <w:r>
        <w:rPr>
          <w:rFonts w:ascii="Arial" w:hAnsi="Arial" w:cs="Arial"/>
        </w:rPr>
        <w:t xml:space="preserve">an </w:t>
      </w:r>
      <w:r w:rsidRPr="003D7BC6">
        <w:rPr>
          <w:rFonts w:ascii="Arial" w:hAnsi="Arial" w:cs="Arial"/>
        </w:rPr>
        <w:t xml:space="preserve">essential </w:t>
      </w:r>
      <w:r>
        <w:rPr>
          <w:rFonts w:ascii="Arial" w:hAnsi="Arial" w:cs="Arial"/>
        </w:rPr>
        <w:t xml:space="preserve">part </w:t>
      </w:r>
      <w:r w:rsidRPr="003D7BC6">
        <w:rPr>
          <w:rFonts w:ascii="Arial" w:hAnsi="Arial" w:cs="Arial"/>
        </w:rPr>
        <w:t>of the factual and evidential basis, not having a direct material bearing on the issue to be decided by the Court or not constituting the subject matter of the dispute before the Court.</w:t>
      </w:r>
      <w:r w:rsidRPr="003D7BC6">
        <w:rPr>
          <w:rStyle w:val="Appelnotedebasdep"/>
          <w:rFonts w:ascii="Arial" w:hAnsi="Arial" w:cs="Arial"/>
        </w:rPr>
        <w:footnoteReference w:id="82"/>
      </w:r>
      <w:r w:rsidRPr="003D7BC6">
        <w:rPr>
          <w:rFonts w:ascii="Arial" w:hAnsi="Arial" w:cs="Arial"/>
        </w:rPr>
        <w:t xml:space="preserve"> Furthermore, the Court considered that such specific events were the subject of a number of individual applications pending before the Court.</w:t>
      </w:r>
      <w:r w:rsidRPr="003D7BC6">
        <w:rPr>
          <w:rStyle w:val="Appelnotedebasdep"/>
          <w:rFonts w:ascii="Arial" w:hAnsi="Arial" w:cs="Arial"/>
        </w:rPr>
        <w:t xml:space="preserve"> </w:t>
      </w:r>
      <w:r w:rsidRPr="003D7BC6">
        <w:rPr>
          <w:rStyle w:val="Appelnotedebasdep"/>
          <w:rFonts w:ascii="Arial" w:hAnsi="Arial" w:cs="Arial"/>
        </w:rPr>
        <w:footnoteReference w:id="83"/>
      </w:r>
      <w:r w:rsidRPr="003D7BC6">
        <w:rPr>
          <w:rFonts w:ascii="Arial" w:hAnsi="Arial" w:cs="Arial"/>
        </w:rPr>
        <w:t xml:space="preserve">  </w:t>
      </w:r>
    </w:p>
    <w:p w14:paraId="2EE6EFB3" w14:textId="77777777" w:rsidR="002218C4" w:rsidRDefault="002218C4" w:rsidP="002218C4">
      <w:pPr>
        <w:pStyle w:val="ECHRParaSpaced"/>
        <w:ind w:firstLine="340"/>
        <w:rPr>
          <w:rFonts w:ascii="Arial" w:hAnsi="Arial" w:cs="Arial"/>
        </w:rPr>
      </w:pPr>
      <w:r w:rsidRPr="003D7BC6">
        <w:rPr>
          <w:rFonts w:ascii="Arial" w:hAnsi="Arial" w:cs="Arial"/>
        </w:rPr>
        <w:t>5</w:t>
      </w:r>
      <w:r>
        <w:rPr>
          <w:rFonts w:ascii="Arial" w:hAnsi="Arial" w:cs="Arial"/>
        </w:rPr>
        <w:t>8</w:t>
      </w:r>
      <w:r w:rsidRPr="003D7BC6">
        <w:rPr>
          <w:rFonts w:ascii="Arial" w:hAnsi="Arial" w:cs="Arial"/>
        </w:rPr>
        <w:t xml:space="preserve">. The DH-SYSC-IV takes note of the Court’s practices of prioritisation of inter-State cases and adjournment of parallel individual applications as well as the evolving practices of adjustment of processing of inter-States according to geographical or time criteria or the legal questions raised. It will continue to examine the desirability of formalising such practices and it will continue to examine the question </w:t>
      </w:r>
      <w:bookmarkEnd w:id="35"/>
      <w:r w:rsidRPr="003D7BC6">
        <w:rPr>
          <w:rFonts w:ascii="Arial" w:hAnsi="Arial" w:cs="Arial"/>
        </w:rPr>
        <w:t xml:space="preserve">of exchange of stances in respect of individual applications during the period of time until a decision on admissibility or a judgment on the merits of </w:t>
      </w:r>
      <w:proofErr w:type="gramStart"/>
      <w:r w:rsidRPr="003D7BC6">
        <w:rPr>
          <w:rFonts w:ascii="Arial" w:hAnsi="Arial" w:cs="Arial"/>
        </w:rPr>
        <w:t>the a</w:t>
      </w:r>
      <w:proofErr w:type="gramEnd"/>
      <w:r w:rsidRPr="003D7BC6">
        <w:rPr>
          <w:rFonts w:ascii="Arial" w:hAnsi="Arial" w:cs="Arial"/>
        </w:rPr>
        <w:t xml:space="preserve"> related inter-State case is delivered. </w:t>
      </w:r>
    </w:p>
    <w:p w14:paraId="6C866244" w14:textId="77777777" w:rsidR="002218C4" w:rsidRPr="00B45817" w:rsidRDefault="002218C4" w:rsidP="002218C4">
      <w:pPr>
        <w:pStyle w:val="ECHRParaSpaced"/>
        <w:ind w:firstLine="340"/>
        <w:rPr>
          <w:rFonts w:ascii="Arial" w:hAnsi="Arial" w:cs="Arial"/>
          <w:strike/>
        </w:rPr>
      </w:pPr>
      <w:r>
        <w:rPr>
          <w:rFonts w:ascii="Arial" w:hAnsi="Arial" w:cs="Arial"/>
        </w:rPr>
        <w:lastRenderedPageBreak/>
        <w:t>59</w:t>
      </w:r>
      <w:r w:rsidRPr="003D7BC6">
        <w:rPr>
          <w:rFonts w:ascii="Arial" w:hAnsi="Arial" w:cs="Arial"/>
        </w:rPr>
        <w:t xml:space="preserve">. </w:t>
      </w:r>
      <w:r w:rsidRPr="003D7BC6">
        <w:rPr>
          <w:rFonts w:ascii="Arial" w:hAnsi="Arial" w:cs="Arial"/>
          <w:b/>
          <w:bCs/>
          <w:i/>
          <w:iCs/>
        </w:rPr>
        <w:t>Secondly</w:t>
      </w:r>
      <w:r w:rsidRPr="003D7BC6">
        <w:rPr>
          <w:rFonts w:ascii="Arial" w:hAnsi="Arial" w:cs="Arial"/>
        </w:rPr>
        <w:t xml:space="preserve">, a question is raised with regard to the </w:t>
      </w:r>
      <w:r w:rsidRPr="003D7BC6">
        <w:rPr>
          <w:rFonts w:ascii="Arial" w:hAnsi="Arial" w:cs="Arial"/>
          <w:b/>
        </w:rPr>
        <w:t>potential risks of duplication and inconsistencies</w:t>
      </w:r>
      <w:r w:rsidRPr="003D7BC6">
        <w:rPr>
          <w:rFonts w:ascii="Arial" w:hAnsi="Arial" w:cs="Arial"/>
        </w:rPr>
        <w:t xml:space="preserve"> stemming from the processing in parallel of inter-State and individual applications lodged in connection with the same events.</w:t>
      </w:r>
      <w:r w:rsidRPr="003D7BC6">
        <w:rPr>
          <w:rFonts w:ascii="Arial" w:hAnsi="Arial" w:cs="Arial"/>
          <w:vertAlign w:val="superscript"/>
        </w:rPr>
        <w:footnoteReference w:id="84"/>
      </w:r>
      <w:r w:rsidRPr="003D7BC6">
        <w:rPr>
          <w:rFonts w:ascii="Arial" w:hAnsi="Arial" w:cs="Arial"/>
        </w:rPr>
        <w:t xml:space="preserve"> </w:t>
      </w:r>
    </w:p>
    <w:p w14:paraId="7A74CC67" w14:textId="77777777" w:rsidR="002218C4" w:rsidRDefault="002218C4" w:rsidP="002218C4">
      <w:pPr>
        <w:pStyle w:val="ECHRParaSpaced"/>
        <w:ind w:firstLine="340"/>
        <w:rPr>
          <w:rFonts w:ascii="Arial" w:hAnsi="Arial" w:cs="Arial"/>
        </w:rPr>
      </w:pPr>
      <w:r>
        <w:rPr>
          <w:rFonts w:ascii="Arial" w:hAnsi="Arial" w:cs="Arial"/>
        </w:rPr>
        <w:t>60</w:t>
      </w:r>
      <w:r w:rsidRPr="003D7BC6">
        <w:rPr>
          <w:rFonts w:ascii="Arial" w:hAnsi="Arial" w:cs="Arial"/>
        </w:rPr>
        <w:t xml:space="preserve">. The Convention only entails a prohibition of “double jeopardy of [the respondent] state” in so far as pursuant to Article 35 § 2 (b) of the Convention the Court shall not deal with any </w:t>
      </w:r>
      <w:r w:rsidRPr="009E0AFB">
        <w:rPr>
          <w:rFonts w:ascii="Arial" w:hAnsi="Arial" w:cs="Arial"/>
        </w:rPr>
        <w:t>individual</w:t>
      </w:r>
      <w:r w:rsidRPr="00897981">
        <w:rPr>
          <w:rFonts w:ascii="Arial" w:hAnsi="Arial" w:cs="Arial"/>
          <w:color w:val="FF0000"/>
        </w:rPr>
        <w:t xml:space="preserve"> </w:t>
      </w:r>
      <w:r w:rsidRPr="003D7BC6">
        <w:rPr>
          <w:rFonts w:ascii="Arial" w:hAnsi="Arial" w:cs="Arial"/>
        </w:rPr>
        <w:t>application that “is substantially the same as a matter that has already been examined by the Court or has already been submitted to another procedure of international investigation or settlement and contains no relevant new information”</w:t>
      </w:r>
      <w:r w:rsidRPr="003D7BC6">
        <w:rPr>
          <w:rFonts w:ascii="Arial" w:hAnsi="Arial" w:cs="Arial"/>
          <w:vertAlign w:val="superscript"/>
        </w:rPr>
        <w:footnoteReference w:id="85"/>
      </w:r>
      <w:r w:rsidRPr="003D7BC6">
        <w:rPr>
          <w:rFonts w:ascii="Arial" w:hAnsi="Arial" w:cs="Arial"/>
        </w:rPr>
        <w:t>. For an application to be "substantially the same", the Court considers whether the two applications brought before it by the applicants relate essentially to the same persons, the same facts and the same complaints.</w:t>
      </w:r>
      <w:r w:rsidRPr="003D7BC6">
        <w:rPr>
          <w:rStyle w:val="Appelnotedebasdep"/>
          <w:rFonts w:ascii="Arial" w:hAnsi="Arial" w:cs="Arial"/>
        </w:rPr>
        <w:footnoteReference w:id="86"/>
      </w:r>
      <w:r w:rsidRPr="003D7BC6">
        <w:rPr>
          <w:rFonts w:ascii="Arial" w:hAnsi="Arial" w:cs="Arial"/>
        </w:rPr>
        <w:t xml:space="preserve"> As regards the examination of the second limb of Article 35 § 2 (b) see section V/1 below.</w:t>
      </w:r>
    </w:p>
    <w:p w14:paraId="6DD27570" w14:textId="77777777" w:rsidR="002218C4" w:rsidRDefault="002218C4" w:rsidP="002218C4">
      <w:pPr>
        <w:pStyle w:val="ECHRParaSpaced"/>
        <w:ind w:firstLine="340"/>
        <w:rPr>
          <w:rFonts w:ascii="Arial" w:hAnsi="Arial" w:cs="Arial"/>
        </w:rPr>
      </w:pPr>
      <w:r>
        <w:rPr>
          <w:rFonts w:ascii="Arial" w:hAnsi="Arial" w:cs="Arial"/>
        </w:rPr>
        <w:t>61</w:t>
      </w:r>
      <w:r w:rsidRPr="003D7BC6">
        <w:rPr>
          <w:rFonts w:ascii="Arial" w:hAnsi="Arial" w:cs="Arial"/>
        </w:rPr>
        <w:t>. The Court’s practices explained in the paragraphs 53 and 55 above aim at avoiding potential duplication and inconsistencies in addition to managing resources more efficiently.</w:t>
      </w:r>
    </w:p>
    <w:p w14:paraId="3DF04ACA" w14:textId="77777777" w:rsidR="002218C4" w:rsidRDefault="002218C4" w:rsidP="002218C4">
      <w:pPr>
        <w:pStyle w:val="ECHRParaSpaced"/>
        <w:ind w:firstLine="340"/>
        <w:rPr>
          <w:rFonts w:ascii="Arial" w:hAnsi="Arial" w:cs="Arial"/>
        </w:rPr>
      </w:pPr>
      <w:r w:rsidRPr="003D7BC6">
        <w:rPr>
          <w:rFonts w:ascii="Arial" w:hAnsi="Arial" w:cs="Arial"/>
        </w:rPr>
        <w:t>6</w:t>
      </w:r>
      <w:r>
        <w:rPr>
          <w:rFonts w:ascii="Arial" w:hAnsi="Arial" w:cs="Arial"/>
        </w:rPr>
        <w:t>2</w:t>
      </w:r>
      <w:r w:rsidRPr="003D7BC6">
        <w:rPr>
          <w:rFonts w:ascii="Arial" w:hAnsi="Arial" w:cs="Arial"/>
        </w:rPr>
        <w:t xml:space="preserve">. Moreover, the Court’s methodology to </w:t>
      </w:r>
      <w:proofErr w:type="gramStart"/>
      <w:r w:rsidRPr="003D7BC6">
        <w:rPr>
          <w:rFonts w:ascii="Arial" w:hAnsi="Arial" w:cs="Arial"/>
        </w:rPr>
        <w:t>take into account</w:t>
      </w:r>
      <w:proofErr w:type="gramEnd"/>
      <w:r w:rsidRPr="003D7BC6">
        <w:rPr>
          <w:rFonts w:ascii="Arial" w:hAnsi="Arial" w:cs="Arial"/>
        </w:rPr>
        <w:t xml:space="preserve"> findings or conclusions reached in inter-State proceedings in related individual applications is also conducive to avoiding any potential inconsistencies and duplications. For example, as explained above a previous finding of administrative practice in contravention of the Convention may render the rule of exhaustion of domestic remedies inapplicable to both inter-State and individual applications (see paragraph </w:t>
      </w:r>
      <w:r>
        <w:rPr>
          <w:rFonts w:ascii="Arial" w:hAnsi="Arial" w:cs="Arial"/>
        </w:rPr>
        <w:t>41</w:t>
      </w:r>
      <w:r w:rsidRPr="003D7BC6">
        <w:rPr>
          <w:rFonts w:ascii="Arial" w:hAnsi="Arial" w:cs="Arial"/>
        </w:rPr>
        <w:t xml:space="preserve"> above). The establishment of the existence of an administrative practice in an inter-State case may also have a bearing on the Court’s subsequent consideration of the burden of proof in individual applications arising from the same subject matter. It appears that the Court in </w:t>
      </w:r>
      <w:proofErr w:type="spellStart"/>
      <w:r w:rsidRPr="003D7BC6">
        <w:rPr>
          <w:rFonts w:ascii="Arial" w:hAnsi="Arial" w:cs="Arial"/>
          <w:i/>
        </w:rPr>
        <w:t>Berdzenishvili</w:t>
      </w:r>
      <w:proofErr w:type="spellEnd"/>
      <w:r w:rsidRPr="003D7BC6">
        <w:rPr>
          <w:rFonts w:ascii="Arial" w:hAnsi="Arial" w:cs="Arial"/>
          <w:i/>
        </w:rPr>
        <w:t xml:space="preserve"> and Others v. Russia</w:t>
      </w:r>
      <w:r w:rsidRPr="003D7BC6">
        <w:rPr>
          <w:rFonts w:ascii="Arial" w:hAnsi="Arial" w:cs="Arial"/>
        </w:rPr>
        <w:t>,</w:t>
      </w:r>
      <w:r w:rsidRPr="003D7BC6">
        <w:rPr>
          <w:rFonts w:ascii="Arial" w:hAnsi="Arial" w:cs="Arial"/>
          <w:i/>
        </w:rPr>
        <w:t xml:space="preserve"> </w:t>
      </w:r>
      <w:r w:rsidRPr="003D7BC6">
        <w:rPr>
          <w:rFonts w:ascii="Arial" w:hAnsi="Arial" w:cs="Arial"/>
        </w:rPr>
        <w:t>having previously concluded in the inter-State case of</w:t>
      </w:r>
      <w:r w:rsidRPr="003D7BC6">
        <w:rPr>
          <w:rFonts w:ascii="Arial" w:hAnsi="Arial" w:cs="Arial"/>
          <w:i/>
        </w:rPr>
        <w:t xml:space="preserve"> </w:t>
      </w:r>
      <w:r w:rsidRPr="003D7BC6">
        <w:rPr>
          <w:rStyle w:val="s6b621b36"/>
          <w:rFonts w:ascii="Arial" w:hAnsi="Arial" w:cs="Arial"/>
          <w:i/>
        </w:rPr>
        <w:t xml:space="preserve">Georgia v. </w:t>
      </w:r>
      <w:r w:rsidRPr="003D7BC6">
        <w:rPr>
          <w:rStyle w:val="wordhighlighted"/>
          <w:rFonts w:ascii="Arial" w:hAnsi="Arial" w:cs="Arial"/>
          <w:i/>
        </w:rPr>
        <w:t>Russia</w:t>
      </w:r>
      <w:r w:rsidRPr="003D7BC6">
        <w:rPr>
          <w:rStyle w:val="wordhighlighted"/>
          <w:rFonts w:ascii="Arial" w:hAnsi="Arial" w:cs="Arial"/>
        </w:rPr>
        <w:t xml:space="preserve"> </w:t>
      </w:r>
      <w:r w:rsidRPr="003D7BC6">
        <w:rPr>
          <w:rFonts w:ascii="Arial" w:hAnsi="Arial" w:cs="Arial"/>
        </w:rPr>
        <w:t>that an administrative practice existed, created a rebuttable presumption that an applicant in any following individual application arising from the same subject matter was concerned by the same administrative practice.</w:t>
      </w:r>
      <w:r w:rsidRPr="003D7BC6">
        <w:rPr>
          <w:rStyle w:val="Appelnotedebasdep"/>
          <w:rFonts w:ascii="Arial" w:hAnsi="Arial" w:cs="Arial"/>
        </w:rPr>
        <w:t xml:space="preserve"> </w:t>
      </w:r>
      <w:r w:rsidRPr="003D7BC6">
        <w:rPr>
          <w:rFonts w:ascii="Arial" w:hAnsi="Arial" w:cs="Arial"/>
        </w:rPr>
        <w:t>Consequently, in these situations the Court reversed the burden of proof to the respondent State.</w:t>
      </w:r>
      <w:r w:rsidRPr="003D7BC6">
        <w:rPr>
          <w:rStyle w:val="Appelnotedebasdep"/>
          <w:rFonts w:ascii="Arial" w:hAnsi="Arial" w:cs="Arial"/>
        </w:rPr>
        <w:footnoteReference w:id="87"/>
      </w:r>
      <w:r w:rsidRPr="003D7BC6">
        <w:rPr>
          <w:rFonts w:ascii="Arial" w:hAnsi="Arial" w:cs="Arial"/>
        </w:rPr>
        <w:t xml:space="preserve">  </w:t>
      </w:r>
    </w:p>
    <w:p w14:paraId="46720006" w14:textId="77777777" w:rsidR="002218C4" w:rsidRDefault="002218C4" w:rsidP="002218C4">
      <w:pPr>
        <w:pStyle w:val="ECHRParaSpaced"/>
        <w:ind w:firstLine="340"/>
        <w:rPr>
          <w:rFonts w:ascii="Arial" w:hAnsi="Arial" w:cs="Arial"/>
        </w:rPr>
      </w:pPr>
      <w:r w:rsidRPr="003D7BC6">
        <w:rPr>
          <w:rFonts w:ascii="Arial" w:hAnsi="Arial" w:cs="Arial"/>
        </w:rPr>
        <w:t>6</w:t>
      </w:r>
      <w:r>
        <w:rPr>
          <w:rFonts w:ascii="Arial" w:hAnsi="Arial" w:cs="Arial"/>
        </w:rPr>
        <w:t>3</w:t>
      </w:r>
      <w:r w:rsidRPr="003D7BC6">
        <w:rPr>
          <w:rFonts w:ascii="Arial" w:hAnsi="Arial" w:cs="Arial"/>
        </w:rPr>
        <w:t xml:space="preserve">. On </w:t>
      </w:r>
      <w:r>
        <w:rPr>
          <w:rFonts w:ascii="Arial" w:hAnsi="Arial" w:cs="Arial"/>
        </w:rPr>
        <w:t>one</w:t>
      </w:r>
      <w:r w:rsidRPr="003D7BC6">
        <w:rPr>
          <w:rFonts w:ascii="Arial" w:hAnsi="Arial" w:cs="Arial"/>
        </w:rPr>
        <w:t xml:space="preserve"> view,</w:t>
      </w:r>
      <w:r w:rsidRPr="003D7BC6">
        <w:rPr>
          <w:rStyle w:val="Appelnotedebasdep"/>
          <w:rFonts w:ascii="Arial" w:hAnsi="Arial" w:cs="Arial"/>
        </w:rPr>
        <w:footnoteReference w:id="88"/>
      </w:r>
      <w:r w:rsidRPr="003D7BC6">
        <w:rPr>
          <w:rFonts w:ascii="Arial" w:hAnsi="Arial" w:cs="Arial"/>
        </w:rPr>
        <w:t xml:space="preserve"> another set of questions stemming from the </w:t>
      </w:r>
      <w:r w:rsidRPr="009E0AFB">
        <w:rPr>
          <w:rFonts w:ascii="Arial" w:hAnsi="Arial" w:cs="Arial"/>
        </w:rPr>
        <w:t>different</w:t>
      </w:r>
      <w:r w:rsidRPr="00652EE5">
        <w:rPr>
          <w:rFonts w:ascii="Arial" w:hAnsi="Arial" w:cs="Arial"/>
          <w:b/>
          <w:bCs/>
          <w:color w:val="FF0000"/>
          <w:shd w:val="clear" w:color="auto" w:fill="FFFFFF" w:themeFill="background1"/>
        </w:rPr>
        <w:t xml:space="preserve"> </w:t>
      </w:r>
      <w:r w:rsidRPr="003D7BC6">
        <w:rPr>
          <w:rFonts w:ascii="Arial" w:hAnsi="Arial" w:cs="Arial"/>
        </w:rPr>
        <w:t>requirements of admissibility in inter-State cases compared to individual applications points to potential issues of identification and representation of alleged victims of violations of the Convention by the State.</w:t>
      </w:r>
      <w:r>
        <w:rPr>
          <w:rFonts w:ascii="Arial" w:hAnsi="Arial" w:cs="Arial"/>
        </w:rPr>
        <w:t xml:space="preserve"> </w:t>
      </w:r>
      <w:r w:rsidRPr="009E0AFB">
        <w:rPr>
          <w:rFonts w:ascii="Arial" w:hAnsi="Arial" w:cs="Arial"/>
        </w:rPr>
        <w:t>The DH-SYSC-IV notes, however, that the admissibility criteria of proving victim status is, pursuant to Article 35 § 3 (b), applicable only to individual applications and not to inter-State applications (see paragraph 47 above). Furthermore, the Court has developed a standard practice with respect to the identification of victims.</w:t>
      </w:r>
      <w:r w:rsidRPr="009E0AFB">
        <w:rPr>
          <w:rStyle w:val="Appelnotedebasdep"/>
          <w:rFonts w:ascii="Arial" w:hAnsi="Arial" w:cs="Arial"/>
        </w:rPr>
        <w:footnoteReference w:id="89"/>
      </w:r>
      <w:r w:rsidRPr="009E0AFB">
        <w:rPr>
          <w:rFonts w:ascii="Arial" w:hAnsi="Arial" w:cs="Arial"/>
        </w:rPr>
        <w:t xml:space="preserve"> </w:t>
      </w:r>
    </w:p>
    <w:p w14:paraId="1E77BB73" w14:textId="77777777" w:rsidR="002218C4" w:rsidRPr="00080BB7" w:rsidRDefault="002218C4" w:rsidP="002218C4">
      <w:pPr>
        <w:pStyle w:val="Titre1"/>
        <w:rPr>
          <w:rFonts w:ascii="Arial" w:hAnsi="Arial" w:cs="Arial"/>
          <w:b/>
          <w:bCs/>
          <w:sz w:val="28"/>
          <w:szCs w:val="28"/>
          <w:lang w:val="en-GB"/>
        </w:rPr>
      </w:pPr>
      <w:bookmarkStart w:id="38" w:name="_Toc45123261"/>
      <w:bookmarkStart w:id="39" w:name="_Toc83293366"/>
      <w:r w:rsidRPr="00080BB7">
        <w:rPr>
          <w:rFonts w:ascii="Arial" w:hAnsi="Arial" w:cs="Arial"/>
          <w:b/>
          <w:bCs/>
          <w:sz w:val="28"/>
          <w:szCs w:val="28"/>
          <w:lang w:val="en-GB"/>
        </w:rPr>
        <w:t>V. QUESTIONS REGARDING THE PLURALITY OF INTERNATIONAL PROCEEDINGS</w:t>
      </w:r>
      <w:bookmarkEnd w:id="38"/>
      <w:bookmarkEnd w:id="39"/>
    </w:p>
    <w:p w14:paraId="725EF960" w14:textId="77777777" w:rsidR="002218C4" w:rsidRPr="00565B1D" w:rsidRDefault="002218C4" w:rsidP="002218C4">
      <w:pPr>
        <w:pStyle w:val="Sansinterligne"/>
        <w:rPr>
          <w:lang w:val="en-GB"/>
        </w:rPr>
      </w:pPr>
    </w:p>
    <w:p w14:paraId="4091C678" w14:textId="77777777" w:rsidR="002218C4" w:rsidRPr="003D7BC6" w:rsidRDefault="002218C4" w:rsidP="002218C4">
      <w:pPr>
        <w:pStyle w:val="ECHRParaSpaced"/>
        <w:ind w:firstLine="340"/>
        <w:rPr>
          <w:rFonts w:ascii="Arial" w:hAnsi="Arial" w:cs="Arial"/>
        </w:rPr>
      </w:pPr>
      <w:r>
        <w:rPr>
          <w:rFonts w:ascii="Arial" w:hAnsi="Arial" w:cs="Arial"/>
        </w:rPr>
        <w:t>64</w:t>
      </w:r>
      <w:r w:rsidRPr="003D7BC6">
        <w:rPr>
          <w:rFonts w:ascii="Arial" w:hAnsi="Arial" w:cs="Arial"/>
        </w:rPr>
        <w:t xml:space="preserve">. Conceptually, duplications or even conflicting outcomes in respect of cases relating to inter-State disputes may materialise in two main scenarios. The first concerns the existence of an individual application relating to an inter-State dispute before the Court and the existence of an individual case between the same parties, the same facts and the same or similar claims before another international dispute settlement mechanism. The second </w:t>
      </w:r>
      <w:r w:rsidRPr="003D7BC6">
        <w:rPr>
          <w:rFonts w:ascii="Arial" w:hAnsi="Arial" w:cs="Arial"/>
        </w:rPr>
        <w:lastRenderedPageBreak/>
        <w:t>scenario concerns the existence of an inter-State case before the Court and an inter-State case between the same parties, on the same facts and bringing the same or similar claims before another international dispute settlement mechanism.</w:t>
      </w:r>
      <w:r w:rsidRPr="003D7BC6">
        <w:rPr>
          <w:rStyle w:val="Appelnotedebasdep"/>
          <w:rFonts w:ascii="Arial" w:hAnsi="Arial" w:cs="Arial"/>
        </w:rPr>
        <w:footnoteReference w:id="90"/>
      </w:r>
      <w:r w:rsidRPr="003D7BC6">
        <w:rPr>
          <w:rFonts w:ascii="Arial" w:hAnsi="Arial" w:cs="Arial"/>
        </w:rPr>
        <w:t xml:space="preserve"> These two scenarios are approached from the perspective of the applicable Convention requirements, respectively Article 35 § 2 (b) and Article 55, as well as the relevant Court’s practice, highlighting wherever applicable cases in which issues of multiple or parallel international proceedings have arisen in practice. </w:t>
      </w:r>
    </w:p>
    <w:p w14:paraId="3377C755" w14:textId="77777777" w:rsidR="002218C4" w:rsidRPr="00565B1D" w:rsidRDefault="002218C4" w:rsidP="002218C4">
      <w:pPr>
        <w:pStyle w:val="Titre2"/>
        <w:numPr>
          <w:ilvl w:val="0"/>
          <w:numId w:val="17"/>
        </w:numPr>
        <w:spacing w:before="200"/>
        <w:rPr>
          <w:rFonts w:ascii="Arial" w:hAnsi="Arial" w:cs="Arial"/>
          <w:b/>
          <w:i/>
          <w:lang w:val="en-GB"/>
        </w:rPr>
      </w:pPr>
      <w:bookmarkStart w:id="40" w:name="_Toc45123262"/>
      <w:bookmarkStart w:id="41" w:name="_Toc83293367"/>
      <w:r w:rsidRPr="00565B1D">
        <w:rPr>
          <w:rFonts w:ascii="Arial" w:hAnsi="Arial" w:cs="Arial"/>
          <w:i/>
          <w:lang w:val="en-GB"/>
        </w:rPr>
        <w:t xml:space="preserve">Individual applications </w:t>
      </w:r>
      <w:r w:rsidRPr="009E0AFB">
        <w:rPr>
          <w:rFonts w:ascii="Arial" w:hAnsi="Arial" w:cs="Arial"/>
          <w:i/>
          <w:lang w:val="en-GB"/>
        </w:rPr>
        <w:t>relating to inter-State dispute</w:t>
      </w:r>
      <w:r>
        <w:rPr>
          <w:rFonts w:ascii="Arial" w:hAnsi="Arial" w:cs="Arial"/>
          <w:i/>
          <w:lang w:val="en-GB"/>
        </w:rPr>
        <w:t>s</w:t>
      </w:r>
      <w:r w:rsidRPr="009E0AFB">
        <w:rPr>
          <w:rFonts w:ascii="Arial" w:hAnsi="Arial" w:cs="Arial"/>
          <w:i/>
          <w:lang w:val="en-GB"/>
        </w:rPr>
        <w:t xml:space="preserve"> </w:t>
      </w:r>
      <w:r w:rsidRPr="00565B1D">
        <w:rPr>
          <w:rFonts w:ascii="Arial" w:hAnsi="Arial" w:cs="Arial"/>
          <w:i/>
          <w:lang w:val="en-GB"/>
        </w:rPr>
        <w:t>submitted to the Court and another international procedure</w:t>
      </w:r>
      <w:bookmarkEnd w:id="40"/>
      <w:bookmarkEnd w:id="41"/>
      <w:r w:rsidRPr="00565B1D">
        <w:rPr>
          <w:rFonts w:ascii="Arial" w:hAnsi="Arial" w:cs="Arial"/>
          <w:i/>
          <w:lang w:val="en-GB"/>
        </w:rPr>
        <w:t xml:space="preserve">   </w:t>
      </w:r>
    </w:p>
    <w:p w14:paraId="1526C446" w14:textId="77777777" w:rsidR="002218C4" w:rsidRDefault="002218C4" w:rsidP="002218C4">
      <w:pPr>
        <w:pStyle w:val="ECHRParaSpaced"/>
        <w:ind w:firstLine="340"/>
        <w:rPr>
          <w:rFonts w:ascii="Arial" w:hAnsi="Arial" w:cs="Arial"/>
        </w:rPr>
      </w:pPr>
      <w:r w:rsidRPr="003D7BC6">
        <w:rPr>
          <w:rFonts w:ascii="Arial" w:hAnsi="Arial" w:cs="Arial"/>
        </w:rPr>
        <w:t>6</w:t>
      </w:r>
      <w:r>
        <w:rPr>
          <w:rFonts w:ascii="Arial" w:hAnsi="Arial" w:cs="Arial"/>
        </w:rPr>
        <w:t>5</w:t>
      </w:r>
      <w:r w:rsidRPr="003D7BC6">
        <w:rPr>
          <w:rFonts w:ascii="Arial" w:hAnsi="Arial" w:cs="Arial"/>
        </w:rPr>
        <w:t xml:space="preserve">. The second limb of </w:t>
      </w:r>
      <w:bookmarkStart w:id="42" w:name="_Hlk40350199"/>
      <w:r w:rsidRPr="003D7BC6">
        <w:rPr>
          <w:rFonts w:ascii="Arial" w:hAnsi="Arial" w:cs="Arial"/>
        </w:rPr>
        <w:t xml:space="preserve">Article 35 § 2 (b) </w:t>
      </w:r>
      <w:bookmarkEnd w:id="42"/>
      <w:r w:rsidRPr="003D7BC6">
        <w:rPr>
          <w:rFonts w:ascii="Arial" w:hAnsi="Arial" w:cs="Arial"/>
        </w:rPr>
        <w:t>provides that the Court shall not deal with any individual application where it “</w:t>
      </w:r>
      <w:bookmarkStart w:id="43" w:name="_Hlk40350226"/>
      <w:r w:rsidRPr="003D7BC6">
        <w:rPr>
          <w:rFonts w:ascii="Arial" w:hAnsi="Arial" w:cs="Arial"/>
        </w:rPr>
        <w:t>has already been submitted to another procedure of international investigation or settlement</w:t>
      </w:r>
      <w:bookmarkEnd w:id="43"/>
      <w:r w:rsidRPr="003D7BC6">
        <w:rPr>
          <w:rFonts w:ascii="Arial" w:hAnsi="Arial" w:cs="Arial"/>
        </w:rPr>
        <w:t>”. This provision intends to avoid a situation where several international bodies would be simultaneously dealing with applications which are substantially the same. This would be incompatible with the spirit and the letter of the Convention, which seeks to avoid a plurality of international proceedings relating to the same cases.</w:t>
      </w:r>
      <w:r w:rsidRPr="003D7BC6">
        <w:rPr>
          <w:rStyle w:val="Appelnotedebasdep"/>
          <w:rFonts w:ascii="Arial" w:hAnsi="Arial" w:cs="Arial"/>
        </w:rPr>
        <w:footnoteReference w:id="91"/>
      </w:r>
      <w:r w:rsidRPr="003D7BC6">
        <w:rPr>
          <w:rFonts w:ascii="Arial" w:hAnsi="Arial" w:cs="Arial"/>
        </w:rPr>
        <w:t xml:space="preserve"> The Court examines this matter on its own motion.</w:t>
      </w:r>
      <w:r w:rsidRPr="003D7BC6">
        <w:rPr>
          <w:rStyle w:val="Appelnotedebasdep"/>
          <w:rFonts w:ascii="Arial" w:hAnsi="Arial" w:cs="Arial"/>
        </w:rPr>
        <w:footnoteReference w:id="92"/>
      </w:r>
      <w:r w:rsidRPr="003D7BC6">
        <w:rPr>
          <w:rFonts w:ascii="Arial" w:hAnsi="Arial" w:cs="Arial"/>
        </w:rPr>
        <w:t xml:space="preserve"> </w:t>
      </w:r>
      <w:r w:rsidRPr="003D7BC6">
        <w:rPr>
          <w:rFonts w:ascii="Arial" w:hAnsi="Arial" w:cs="Arial"/>
          <w:color w:val="000000"/>
          <w:lang w:val="en-US"/>
        </w:rPr>
        <w:t xml:space="preserve">In determining whether its jurisdiction is excluded by virtue of </w:t>
      </w:r>
      <w:r w:rsidRPr="003D7BC6">
        <w:rPr>
          <w:rFonts w:ascii="Arial" w:hAnsi="Arial" w:cs="Arial"/>
        </w:rPr>
        <w:t xml:space="preserve">Article 35 § 2 (b) </w:t>
      </w:r>
      <w:r w:rsidRPr="003D7BC6">
        <w:rPr>
          <w:rFonts w:ascii="Arial" w:hAnsi="Arial" w:cs="Arial"/>
          <w:color w:val="000000"/>
          <w:lang w:val="en-US"/>
        </w:rPr>
        <w:t xml:space="preserve">the Court decides whether the case before it is substantially the same as a matter that has already been submitted to a parallel set of proceedings and, if that is the case, whether the simultaneous proceedings may be seen as “another procedure of international investigation or settlement” within of </w:t>
      </w:r>
      <w:r w:rsidRPr="003D7BC6">
        <w:rPr>
          <w:rFonts w:ascii="Arial" w:hAnsi="Arial" w:cs="Arial"/>
        </w:rPr>
        <w:t>Article 35 § 2 (b).</w:t>
      </w:r>
      <w:r w:rsidRPr="003D7BC6">
        <w:rPr>
          <w:rStyle w:val="Appelnotedebasdep"/>
          <w:rFonts w:ascii="Arial" w:hAnsi="Arial" w:cs="Arial"/>
        </w:rPr>
        <w:footnoteReference w:id="93"/>
      </w:r>
      <w:r w:rsidRPr="003D7BC6">
        <w:rPr>
          <w:rFonts w:ascii="Arial" w:hAnsi="Arial" w:cs="Arial"/>
        </w:rPr>
        <w:t xml:space="preserve"> </w:t>
      </w:r>
    </w:p>
    <w:p w14:paraId="0B447458" w14:textId="77777777" w:rsidR="002218C4" w:rsidRDefault="002218C4" w:rsidP="002218C4">
      <w:pPr>
        <w:pStyle w:val="ECHRParaSpaced"/>
        <w:ind w:firstLine="340"/>
        <w:rPr>
          <w:rStyle w:val="sb8d990e2"/>
          <w:rFonts w:ascii="Arial" w:hAnsi="Arial" w:cs="Arial"/>
        </w:rPr>
      </w:pPr>
      <w:r w:rsidRPr="003D7BC6">
        <w:rPr>
          <w:rFonts w:ascii="Arial" w:hAnsi="Arial" w:cs="Arial"/>
        </w:rPr>
        <w:t>6</w:t>
      </w:r>
      <w:r>
        <w:rPr>
          <w:rFonts w:ascii="Arial" w:hAnsi="Arial" w:cs="Arial"/>
        </w:rPr>
        <w:t>6</w:t>
      </w:r>
      <w:r w:rsidRPr="003D7BC6">
        <w:rPr>
          <w:rFonts w:ascii="Arial" w:hAnsi="Arial" w:cs="Arial"/>
        </w:rPr>
        <w:t xml:space="preserve">. The Court verifies </w:t>
      </w:r>
      <w:r w:rsidRPr="003D7BC6">
        <w:rPr>
          <w:rFonts w:ascii="Arial" w:hAnsi="Arial" w:cs="Arial"/>
          <w:color w:val="000000"/>
          <w:lang w:val="en-US"/>
        </w:rPr>
        <w:t xml:space="preserve">whether the </w:t>
      </w:r>
      <w:r w:rsidRPr="009E0AFB">
        <w:rPr>
          <w:rFonts w:ascii="Arial" w:hAnsi="Arial" w:cs="Arial"/>
          <w:color w:val="000000"/>
          <w:lang w:val="en-US"/>
        </w:rPr>
        <w:t>individual</w:t>
      </w:r>
      <w:r w:rsidRPr="004E37D2">
        <w:rPr>
          <w:rFonts w:ascii="Arial" w:hAnsi="Arial" w:cs="Arial"/>
          <w:color w:val="FF0000"/>
          <w:lang w:val="en-US"/>
        </w:rPr>
        <w:t xml:space="preserve"> </w:t>
      </w:r>
      <w:r w:rsidRPr="003D7BC6">
        <w:rPr>
          <w:rFonts w:ascii="Arial" w:hAnsi="Arial" w:cs="Arial"/>
          <w:color w:val="000000"/>
          <w:lang w:val="en-US"/>
        </w:rPr>
        <w:t>applications to the different international institutions concern substantially the same persons, facts and complaints.</w:t>
      </w:r>
      <w:r w:rsidRPr="003D7BC6">
        <w:rPr>
          <w:rStyle w:val="Appelnotedebasdep"/>
          <w:rFonts w:ascii="Arial" w:hAnsi="Arial" w:cs="Arial"/>
          <w:color w:val="000000"/>
          <w:lang w:val="en-US"/>
        </w:rPr>
        <w:footnoteReference w:id="94"/>
      </w:r>
      <w:r w:rsidRPr="003D7BC6">
        <w:rPr>
          <w:rFonts w:ascii="Arial" w:hAnsi="Arial" w:cs="Arial"/>
          <w:color w:val="000000"/>
          <w:lang w:val="en-US"/>
        </w:rPr>
        <w:t xml:space="preserve"> If the complainants before the two institutions are not identical, the application to the Court cannot be considered as being “substantially the same as a matter that has been submitted to another procedure of international investigation or settlement”.</w:t>
      </w:r>
      <w:r w:rsidRPr="003D7BC6">
        <w:rPr>
          <w:rStyle w:val="Appelnotedebasdep"/>
          <w:rFonts w:ascii="Arial" w:hAnsi="Arial" w:cs="Arial"/>
          <w:color w:val="000000"/>
          <w:lang w:val="en-US"/>
        </w:rPr>
        <w:footnoteReference w:id="95"/>
      </w:r>
      <w:r w:rsidRPr="003D7BC6">
        <w:rPr>
          <w:rFonts w:ascii="Arial" w:hAnsi="Arial" w:cs="Arial"/>
          <w:color w:val="000000"/>
          <w:lang w:val="en-US"/>
        </w:rPr>
        <w:t xml:space="preserve"> The Court’s examination of the concept of another procedure of international investigation or settlement ascertains whether the nature of the supervisory body, the procedure it follows and the effect of its </w:t>
      </w:r>
      <w:r w:rsidRPr="003D7BC6">
        <w:rPr>
          <w:rFonts w:ascii="Arial" w:hAnsi="Arial" w:cs="Arial"/>
          <w:color w:val="000000"/>
          <w:lang w:val="en-US"/>
        </w:rPr>
        <w:lastRenderedPageBreak/>
        <w:t>decisions are such that the Court’s jurisdiction is excluded by virtue of the second limb of Article 35 § 2 (b).</w:t>
      </w:r>
      <w:r w:rsidRPr="003D7BC6">
        <w:rPr>
          <w:rStyle w:val="Appelnotedebasdep"/>
          <w:rFonts w:ascii="Arial" w:hAnsi="Arial" w:cs="Arial"/>
          <w:color w:val="000000"/>
          <w:lang w:val="en-US"/>
        </w:rPr>
        <w:footnoteReference w:id="96"/>
      </w:r>
      <w:r w:rsidRPr="003D7BC6">
        <w:rPr>
          <w:rFonts w:ascii="Arial" w:hAnsi="Arial" w:cs="Arial"/>
          <w:color w:val="000000"/>
          <w:lang w:val="en-US"/>
        </w:rPr>
        <w:t xml:space="preserve"> The Court </w:t>
      </w:r>
      <w:r w:rsidRPr="003D7BC6">
        <w:rPr>
          <w:rStyle w:val="sb8d990e2"/>
          <w:rFonts w:ascii="Arial" w:hAnsi="Arial" w:cs="Arial"/>
          <w:color w:val="000000"/>
          <w:lang w:val="en-US"/>
        </w:rPr>
        <w:t>has held that a procedure before the United Nations Working Group on Arbitrary Detention was indeed a “procedure of international investigation or settlement”.</w:t>
      </w:r>
      <w:r w:rsidRPr="003D7BC6">
        <w:rPr>
          <w:rStyle w:val="Appelnotedebasdep"/>
          <w:rFonts w:ascii="Arial" w:hAnsi="Arial" w:cs="Arial"/>
          <w:color w:val="000000"/>
          <w:lang w:val="en-US"/>
        </w:rPr>
        <w:footnoteReference w:id="97"/>
      </w:r>
      <w:r w:rsidRPr="003D7BC6">
        <w:rPr>
          <w:rFonts w:ascii="Arial" w:hAnsi="Arial" w:cs="Arial"/>
          <w:color w:val="000000"/>
          <w:lang w:val="en-US"/>
        </w:rPr>
        <w:t xml:space="preserve"> </w:t>
      </w:r>
      <w:r w:rsidRPr="003D7BC6">
        <w:rPr>
          <w:rFonts w:ascii="Arial" w:hAnsi="Arial" w:cs="Arial"/>
        </w:rPr>
        <w:t>Whereas proceedings before the European Commission pursuant to Article 258 of the Treaty on the Functioning of the European Union (TFEU) could not be understood as constituting procedures of investigation or settlement within the meaning of Article 35 § 2 (b) of the Convention.</w:t>
      </w:r>
      <w:r w:rsidRPr="003D7BC6">
        <w:rPr>
          <w:rStyle w:val="Appelnotedebasdep"/>
          <w:rFonts w:ascii="Arial" w:hAnsi="Arial" w:cs="Arial"/>
        </w:rPr>
        <w:footnoteReference w:id="98"/>
      </w:r>
      <w:r w:rsidRPr="003D7BC6">
        <w:rPr>
          <w:rFonts w:ascii="Arial" w:hAnsi="Arial" w:cs="Arial"/>
        </w:rPr>
        <w:t xml:space="preserve"> The Court has found the Inter-Parliamentary Union to be a non-governmental organisation</w:t>
      </w:r>
      <w:r w:rsidRPr="003D7BC6">
        <w:rPr>
          <w:rStyle w:val="sb8d990e2"/>
          <w:rFonts w:ascii="Arial" w:hAnsi="Arial" w:cs="Arial"/>
          <w:b/>
          <w:color w:val="000000"/>
          <w:lang w:val="en-US"/>
        </w:rPr>
        <w:t xml:space="preserve"> </w:t>
      </w:r>
      <w:r w:rsidRPr="003D7BC6">
        <w:rPr>
          <w:rStyle w:val="sb8d990e2"/>
          <w:rFonts w:ascii="Arial" w:hAnsi="Arial" w:cs="Arial"/>
          <w:color w:val="000000"/>
          <w:lang w:val="en-US"/>
        </w:rPr>
        <w:t>that does not qualify as “another procedure”; the term “another procedure” referred to judicial or quasi-judicial proceedings similar to those set up by the Convention, and the term “international investigation or settlement” denoted institutions and procedures set up by States, thus excluding non-governmental bodies.</w:t>
      </w:r>
      <w:r w:rsidRPr="003D7BC6">
        <w:rPr>
          <w:rStyle w:val="Appelnotedebasdep"/>
          <w:rFonts w:ascii="Arial" w:hAnsi="Arial" w:cs="Arial"/>
          <w:color w:val="000000"/>
          <w:lang w:val="en-US"/>
        </w:rPr>
        <w:footnoteReference w:id="99"/>
      </w:r>
    </w:p>
    <w:p w14:paraId="5C300F50" w14:textId="77777777" w:rsidR="002218C4" w:rsidRDefault="002218C4" w:rsidP="002218C4">
      <w:pPr>
        <w:pStyle w:val="ECHRParaSpaced"/>
        <w:ind w:firstLine="340"/>
        <w:rPr>
          <w:rStyle w:val="sb8d990e2"/>
          <w:rFonts w:ascii="Arial" w:hAnsi="Arial" w:cs="Arial"/>
        </w:rPr>
      </w:pPr>
      <w:r w:rsidRPr="003D7BC6">
        <w:rPr>
          <w:rStyle w:val="sb8d990e2"/>
          <w:rFonts w:ascii="Arial" w:hAnsi="Arial" w:cs="Arial"/>
          <w:color w:val="000000"/>
          <w:lang w:val="en-US"/>
        </w:rPr>
        <w:t>6</w:t>
      </w:r>
      <w:r>
        <w:rPr>
          <w:rStyle w:val="sb8d990e2"/>
          <w:rFonts w:ascii="Arial" w:hAnsi="Arial" w:cs="Arial"/>
          <w:color w:val="000000"/>
          <w:lang w:val="en-US"/>
        </w:rPr>
        <w:t>7</w:t>
      </w:r>
      <w:r w:rsidRPr="003D7BC6">
        <w:rPr>
          <w:rStyle w:val="sb8d990e2"/>
          <w:rFonts w:ascii="Arial" w:hAnsi="Arial" w:cs="Arial"/>
          <w:color w:val="000000"/>
          <w:lang w:val="en-US"/>
        </w:rPr>
        <w:t xml:space="preserve">. Despite the provisions of Article </w:t>
      </w:r>
      <w:r w:rsidRPr="003D7BC6">
        <w:rPr>
          <w:rFonts w:ascii="Arial" w:hAnsi="Arial" w:cs="Arial"/>
        </w:rPr>
        <w:t>35 § 2 (b) and the relevant jurisprudence of the Court</w:t>
      </w:r>
      <w:r>
        <w:rPr>
          <w:rFonts w:ascii="Arial" w:hAnsi="Arial" w:cs="Arial"/>
        </w:rPr>
        <w:t>,</w:t>
      </w:r>
      <w:r w:rsidRPr="003D7BC6">
        <w:rPr>
          <w:rFonts w:ascii="Arial" w:hAnsi="Arial" w:cs="Arial"/>
        </w:rPr>
        <w:t xml:space="preserve"> the potential risk of duplication and/or diverging decisions may arise when another international human rights mechanism examines communications on cases substantially the same as the  cases decided upon by the Court. For example, the Human Rights Committee (HRC) may examine communications raising complaints that have already been examined by the Court or other international bodies.</w:t>
      </w:r>
      <w:r w:rsidRPr="003D7BC6">
        <w:rPr>
          <w:rStyle w:val="Appelnotedebasdep"/>
          <w:rFonts w:ascii="Arial" w:hAnsi="Arial" w:cs="Arial"/>
        </w:rPr>
        <w:footnoteReference w:id="100"/>
      </w:r>
      <w:r w:rsidRPr="003D7BC6">
        <w:rPr>
          <w:rFonts w:ascii="Arial" w:hAnsi="Arial" w:cs="Arial"/>
        </w:rPr>
        <w:t xml:space="preserve"> In order to prevent the possibility of successive applications, 18 Council of Europe member States have made reservations against the competence of the HRC to re-examine communications already considered under an alternative international procedure.</w:t>
      </w:r>
      <w:r w:rsidRPr="003D7BC6">
        <w:rPr>
          <w:rStyle w:val="Appelnotedebasdep"/>
          <w:rFonts w:ascii="Arial" w:hAnsi="Arial" w:cs="Arial"/>
        </w:rPr>
        <w:footnoteReference w:id="101"/>
      </w:r>
    </w:p>
    <w:p w14:paraId="3AC84482" w14:textId="77777777" w:rsidR="002218C4" w:rsidRDefault="002218C4" w:rsidP="002218C4">
      <w:pPr>
        <w:pStyle w:val="ECHRParaSpaced"/>
        <w:ind w:firstLine="340"/>
        <w:rPr>
          <w:rFonts w:ascii="Arial" w:hAnsi="Arial" w:cs="Arial"/>
        </w:rPr>
      </w:pPr>
      <w:r w:rsidRPr="003D7BC6">
        <w:rPr>
          <w:rFonts w:ascii="Arial" w:hAnsi="Arial" w:cs="Arial"/>
          <w:lang w:val="en-US"/>
        </w:rPr>
        <w:t>6</w:t>
      </w:r>
      <w:r>
        <w:rPr>
          <w:rFonts w:ascii="Arial" w:hAnsi="Arial" w:cs="Arial"/>
          <w:lang w:val="en-US"/>
        </w:rPr>
        <w:t>8</w:t>
      </w:r>
      <w:r w:rsidRPr="003D7BC6">
        <w:rPr>
          <w:rFonts w:ascii="Arial" w:hAnsi="Arial" w:cs="Arial"/>
          <w:lang w:val="en-US"/>
        </w:rPr>
        <w:t>. The HRC’s long-standing jurisprudence regarding cases when the complainant has lodged a communication concerning the same events as an application lodged with the Court is that the HRC does not consider it as a matter that has been examined by another international body within the meaning of respective reservations to Article 5 (2) (a) of the Optional Protocol if the case has previously been declared inadmissible by the Court solely on procedural grounds. W</w:t>
      </w:r>
      <w:proofErr w:type="spellStart"/>
      <w:r w:rsidRPr="003D7BC6">
        <w:rPr>
          <w:rFonts w:ascii="Arial" w:hAnsi="Arial" w:cs="Arial"/>
        </w:rPr>
        <w:t>hen</w:t>
      </w:r>
      <w:proofErr w:type="spellEnd"/>
      <w:r w:rsidRPr="003D7BC6">
        <w:rPr>
          <w:rFonts w:ascii="Arial" w:hAnsi="Arial" w:cs="Arial"/>
        </w:rPr>
        <w:t xml:space="preserve"> the Court has based its decision on inadmissibility not solely on procedural grounds but also on reasons that include a certain consideration of the merits of a case, then the matter should be deemed to have been examined within the meaning of the respective reservations to article 5 (2) (a) of the Optional Protocol.</w:t>
      </w:r>
      <w:r w:rsidRPr="003D7BC6">
        <w:rPr>
          <w:rStyle w:val="Appelnotedebasdep"/>
          <w:rFonts w:ascii="Arial" w:hAnsi="Arial" w:cs="Arial"/>
        </w:rPr>
        <w:footnoteReference w:id="102"/>
      </w:r>
      <w:r w:rsidRPr="003D7BC6">
        <w:rPr>
          <w:rFonts w:ascii="Arial" w:hAnsi="Arial" w:cs="Arial"/>
        </w:rPr>
        <w:t xml:space="preserve"> </w:t>
      </w:r>
    </w:p>
    <w:p w14:paraId="2FF8FDE7" w14:textId="77777777" w:rsidR="002218C4" w:rsidRPr="009E0AFB" w:rsidRDefault="002218C4" w:rsidP="002218C4">
      <w:pPr>
        <w:pStyle w:val="ECHRParaSpaced"/>
        <w:ind w:firstLine="340"/>
        <w:rPr>
          <w:rFonts w:ascii="Arial" w:hAnsi="Arial" w:cs="Arial"/>
        </w:rPr>
      </w:pPr>
      <w:r>
        <w:rPr>
          <w:rFonts w:ascii="Arial" w:hAnsi="Arial" w:cs="Arial"/>
        </w:rPr>
        <w:t>69</w:t>
      </w:r>
      <w:r w:rsidRPr="003D7BC6">
        <w:rPr>
          <w:rFonts w:ascii="Arial" w:hAnsi="Arial" w:cs="Arial"/>
        </w:rPr>
        <w:t xml:space="preserve">. Based on this interpretation of </w:t>
      </w:r>
      <w:r w:rsidRPr="003D7BC6">
        <w:rPr>
          <w:rFonts w:ascii="Arial" w:hAnsi="Arial" w:cs="Arial"/>
          <w:lang w:val="en-US"/>
        </w:rPr>
        <w:t>Article 5 (2) (a) of the Optional Protocol t</w:t>
      </w:r>
      <w:r w:rsidRPr="003D7BC6">
        <w:rPr>
          <w:rFonts w:ascii="Arial" w:hAnsi="Arial" w:cs="Arial"/>
        </w:rPr>
        <w:t xml:space="preserve">he HRC has indeed proceeded with the consideration of the merits of complaints concerning the same </w:t>
      </w:r>
      <w:r w:rsidRPr="003D7BC6">
        <w:rPr>
          <w:rFonts w:ascii="Arial" w:hAnsi="Arial" w:cs="Arial"/>
        </w:rPr>
        <w:lastRenderedPageBreak/>
        <w:t>facts, applicants and rights which had been previously declared inadmissible by the Court.</w:t>
      </w:r>
      <w:r w:rsidRPr="003D7BC6">
        <w:rPr>
          <w:rStyle w:val="Appelnotedebasdep"/>
          <w:rFonts w:ascii="Arial" w:hAnsi="Arial" w:cs="Arial"/>
        </w:rPr>
        <w:footnoteReference w:id="103"/>
      </w:r>
      <w:r>
        <w:rPr>
          <w:rFonts w:ascii="Arial" w:hAnsi="Arial" w:cs="Arial"/>
        </w:rPr>
        <w:t xml:space="preserve"> W</w:t>
      </w:r>
      <w:r w:rsidRPr="009E0AFB">
        <w:rPr>
          <w:rFonts w:ascii="Arial" w:hAnsi="Arial" w:cs="Arial"/>
        </w:rPr>
        <w:t xml:space="preserve">ith regard to an individual application – not related to an inter-State case or conflict – concerning a violation of Article 6 § 3 (c) of the Convention the Court has reached conclusions </w:t>
      </w:r>
      <w:r w:rsidRPr="00C10A88">
        <w:rPr>
          <w:rFonts w:ascii="Arial" w:hAnsi="Arial" w:cs="Arial"/>
        </w:rPr>
        <w:t xml:space="preserve">that differed from those of the HRC, which had previously found a violation of Article 14 § 3 (d) ICCPR in respect of the same facts and complainant. </w:t>
      </w:r>
      <w:r w:rsidRPr="00C10A88">
        <w:rPr>
          <w:rStyle w:val="Appelnotedebasdep"/>
          <w:rFonts w:ascii="Arial" w:hAnsi="Arial" w:cs="Arial"/>
        </w:rPr>
        <w:footnoteReference w:id="104"/>
      </w:r>
    </w:p>
    <w:p w14:paraId="7E31561D" w14:textId="77777777" w:rsidR="002218C4" w:rsidRDefault="002218C4" w:rsidP="002218C4">
      <w:pPr>
        <w:pStyle w:val="ECHRParaSpaced"/>
        <w:ind w:firstLine="340"/>
        <w:rPr>
          <w:rFonts w:ascii="Arial" w:hAnsi="Arial" w:cs="Arial"/>
        </w:rPr>
      </w:pPr>
      <w:r w:rsidRPr="003D7BC6">
        <w:rPr>
          <w:rFonts w:ascii="Arial" w:hAnsi="Arial" w:cs="Arial"/>
        </w:rPr>
        <w:t>7</w:t>
      </w:r>
      <w:r>
        <w:rPr>
          <w:rFonts w:ascii="Arial" w:hAnsi="Arial" w:cs="Arial"/>
        </w:rPr>
        <w:t>0</w:t>
      </w:r>
      <w:r w:rsidRPr="003D7BC6">
        <w:rPr>
          <w:rFonts w:ascii="Arial" w:hAnsi="Arial" w:cs="Arial"/>
        </w:rPr>
        <w:t>. The CDDH has already analysed in depth issues related to overlapping jurisdiction of the Court and the UN treaty bodies, one or possibly several of them, as a case may easily fall under both the comprehensive treaties (the Convention and the ICCPR), but also under subject-specific UN conventions.</w:t>
      </w:r>
      <w:r w:rsidRPr="003D7BC6">
        <w:rPr>
          <w:rStyle w:val="Appelnotedebasdep"/>
          <w:rFonts w:ascii="Arial" w:hAnsi="Arial" w:cs="Arial"/>
        </w:rPr>
        <w:footnoteReference w:id="105"/>
      </w:r>
      <w:r w:rsidRPr="003D7BC6">
        <w:rPr>
          <w:rFonts w:ascii="Arial" w:hAnsi="Arial" w:cs="Arial"/>
        </w:rPr>
        <w:t xml:space="preserve"> Whilst it has noted that the existence of parallel human rights protection mechanisms was often a source of enrichment and enhancement of the universal protection of human rights, it could also lead to certain problems in respect of individual applications. These include the potential for duplication and/or conflicting findings; forum shopping; as well as the legal uncertainty for State parties on how to best </w:t>
      </w:r>
      <w:proofErr w:type="spellStart"/>
      <w:r w:rsidRPr="003D7BC6">
        <w:rPr>
          <w:rFonts w:ascii="Arial" w:hAnsi="Arial" w:cs="Arial"/>
        </w:rPr>
        <w:t>fulfill</w:t>
      </w:r>
      <w:proofErr w:type="spellEnd"/>
      <w:r w:rsidRPr="003D7BC6">
        <w:rPr>
          <w:rFonts w:ascii="Arial" w:hAnsi="Arial" w:cs="Arial"/>
        </w:rPr>
        <w:t xml:space="preserve"> their human rights commitments under the Convention and other international instruments. </w:t>
      </w:r>
      <w:r w:rsidRPr="003D7BC6">
        <w:rPr>
          <w:rFonts w:ascii="Arial" w:hAnsi="Arial" w:cs="Arial"/>
          <w:bCs/>
        </w:rPr>
        <w:t xml:space="preserve">The CDDH has concluded that it is important that the Court continues to </w:t>
      </w:r>
      <w:proofErr w:type="spellStart"/>
      <w:r w:rsidRPr="003D7BC6">
        <w:rPr>
          <w:rFonts w:ascii="Arial" w:hAnsi="Arial" w:cs="Arial"/>
          <w:bCs/>
        </w:rPr>
        <w:t>endeavor</w:t>
      </w:r>
      <w:proofErr w:type="spellEnd"/>
      <w:r w:rsidRPr="003D7BC6">
        <w:rPr>
          <w:rFonts w:ascii="Arial" w:hAnsi="Arial" w:cs="Arial"/>
          <w:bCs/>
        </w:rPr>
        <w:t xml:space="preserve"> to interpret the Convention in harmony with other international rules for the protection of human rights in particular those binding upon the Council of Europe member States, such as the (majority of) the UN conventions, and seeks to avoid the fragmentation of international law</w:t>
      </w:r>
      <w:r w:rsidRPr="003D7BC6">
        <w:rPr>
          <w:rFonts w:ascii="Arial" w:hAnsi="Arial" w:cs="Arial"/>
        </w:rPr>
        <w:t xml:space="preserve">. More consistent reference by the UN treaty bodies to regional courts, and in-depth discussion of the latter’s jurisprudence would facilitate the development of consistent international human rights principles. </w:t>
      </w:r>
      <w:r w:rsidRPr="003D7BC6">
        <w:rPr>
          <w:rFonts w:ascii="Arial" w:hAnsi="Arial" w:cs="Arial"/>
          <w:bCs/>
        </w:rPr>
        <w:t>The intensification of encounters between the members of the Court and the UN treaty bodies is also underlined as a way to increase interaction between the systems of the Court and the UN system of human rights protection.</w:t>
      </w:r>
      <w:r w:rsidRPr="003D7BC6">
        <w:rPr>
          <w:rStyle w:val="Appelnotedebasdep"/>
          <w:rFonts w:ascii="Arial" w:hAnsi="Arial" w:cs="Arial"/>
          <w:bCs/>
        </w:rPr>
        <w:footnoteReference w:id="106"/>
      </w:r>
    </w:p>
    <w:p w14:paraId="45C19683" w14:textId="77777777" w:rsidR="002218C4" w:rsidRPr="003D7BC6" w:rsidRDefault="002218C4" w:rsidP="002218C4">
      <w:pPr>
        <w:pStyle w:val="ECHRParaSpaced"/>
        <w:ind w:firstLine="340"/>
        <w:rPr>
          <w:rFonts w:ascii="Arial" w:hAnsi="Arial" w:cs="Arial"/>
        </w:rPr>
      </w:pPr>
      <w:r w:rsidRPr="003D7BC6">
        <w:rPr>
          <w:rFonts w:ascii="Arial" w:hAnsi="Arial" w:cs="Arial"/>
          <w:bCs/>
        </w:rPr>
        <w:t>7</w:t>
      </w:r>
      <w:r>
        <w:rPr>
          <w:rFonts w:ascii="Arial" w:hAnsi="Arial" w:cs="Arial"/>
          <w:bCs/>
        </w:rPr>
        <w:t>1</w:t>
      </w:r>
      <w:r w:rsidRPr="003D7BC6">
        <w:rPr>
          <w:rFonts w:ascii="Arial" w:hAnsi="Arial" w:cs="Arial"/>
          <w:bCs/>
        </w:rPr>
        <w:t xml:space="preserve">. The DH-SYSC-IV notes that the CDDH report on the place of the European Convention on Human Rights in the European and international legal order as a whole will be the basis for any possible future consideration of questions raised regarding the Court’s interpretation of and application of the Convention in </w:t>
      </w:r>
      <w:r>
        <w:rPr>
          <w:rFonts w:ascii="Arial" w:hAnsi="Arial" w:cs="Arial"/>
          <w:bCs/>
        </w:rPr>
        <w:t xml:space="preserve">a </w:t>
      </w:r>
      <w:r w:rsidRPr="003D7BC6">
        <w:rPr>
          <w:rFonts w:ascii="Arial" w:hAnsi="Arial" w:cs="Arial"/>
          <w:bCs/>
        </w:rPr>
        <w:t xml:space="preserve">manner which is consistent with the framework of international law.  </w:t>
      </w:r>
    </w:p>
    <w:p w14:paraId="2EB802B9" w14:textId="77777777" w:rsidR="002218C4" w:rsidRDefault="002218C4" w:rsidP="002218C4">
      <w:pPr>
        <w:pStyle w:val="Default"/>
        <w:rPr>
          <w:sz w:val="22"/>
          <w:szCs w:val="22"/>
          <w:lang w:val="en-GB"/>
        </w:rPr>
      </w:pPr>
      <w:r w:rsidRPr="00C53D1A">
        <w:rPr>
          <w:sz w:val="22"/>
          <w:szCs w:val="22"/>
          <w:lang w:val="en-GB"/>
        </w:rPr>
        <w:t xml:space="preserve"> </w:t>
      </w:r>
    </w:p>
    <w:p w14:paraId="644D3298" w14:textId="77777777" w:rsidR="002218C4" w:rsidRPr="00565B1D" w:rsidRDefault="002218C4" w:rsidP="002218C4">
      <w:pPr>
        <w:pStyle w:val="Titre2"/>
        <w:numPr>
          <w:ilvl w:val="0"/>
          <w:numId w:val="17"/>
        </w:numPr>
        <w:spacing w:before="200"/>
        <w:rPr>
          <w:rFonts w:ascii="Arial" w:hAnsi="Arial" w:cs="Arial"/>
          <w:b/>
          <w:i/>
          <w:lang w:val="en-GB"/>
        </w:rPr>
      </w:pPr>
      <w:bookmarkStart w:id="45" w:name="_Toc29388085"/>
      <w:bookmarkStart w:id="46" w:name="_Toc29388164"/>
      <w:bookmarkStart w:id="47" w:name="_Toc29388245"/>
      <w:bookmarkStart w:id="48" w:name="_Toc29396129"/>
      <w:bookmarkStart w:id="49" w:name="_Toc29464705"/>
      <w:bookmarkStart w:id="50" w:name="_Toc29464733"/>
      <w:bookmarkStart w:id="51" w:name="_Toc45123263"/>
      <w:bookmarkStart w:id="52" w:name="_Toc83293368"/>
      <w:bookmarkEnd w:id="45"/>
      <w:bookmarkEnd w:id="46"/>
      <w:bookmarkEnd w:id="47"/>
      <w:bookmarkEnd w:id="48"/>
      <w:bookmarkEnd w:id="49"/>
      <w:bookmarkEnd w:id="50"/>
      <w:r w:rsidRPr="00565B1D">
        <w:rPr>
          <w:rFonts w:ascii="Arial" w:hAnsi="Arial" w:cs="Arial"/>
          <w:i/>
          <w:lang w:val="en-GB"/>
        </w:rPr>
        <w:t>Inter-State applications submitted to the Court and another means of dispute settlement</w:t>
      </w:r>
      <w:bookmarkEnd w:id="51"/>
      <w:bookmarkEnd w:id="52"/>
    </w:p>
    <w:p w14:paraId="009AE4B0" w14:textId="77777777" w:rsidR="002218C4" w:rsidRPr="00565B1D" w:rsidRDefault="002218C4" w:rsidP="002218C4">
      <w:pPr>
        <w:pStyle w:val="Sansinterligne"/>
        <w:rPr>
          <w:lang w:val="en-GB"/>
        </w:rPr>
      </w:pPr>
    </w:p>
    <w:p w14:paraId="5143E3E4" w14:textId="77777777" w:rsidR="002218C4" w:rsidRDefault="002218C4" w:rsidP="002218C4">
      <w:pPr>
        <w:pStyle w:val="ECHRParaSpaced"/>
        <w:ind w:firstLine="340"/>
        <w:rPr>
          <w:rFonts w:ascii="Arial" w:hAnsi="Arial" w:cs="Arial"/>
        </w:rPr>
      </w:pPr>
      <w:r w:rsidRPr="003D7BC6">
        <w:rPr>
          <w:rFonts w:ascii="Arial" w:hAnsi="Arial" w:cs="Arial"/>
        </w:rPr>
        <w:t>7</w:t>
      </w:r>
      <w:r>
        <w:rPr>
          <w:rFonts w:ascii="Arial" w:hAnsi="Arial" w:cs="Arial"/>
        </w:rPr>
        <w:t>2</w:t>
      </w:r>
      <w:r w:rsidRPr="003D7BC6">
        <w:rPr>
          <w:rFonts w:ascii="Arial" w:hAnsi="Arial" w:cs="Arial"/>
        </w:rPr>
        <w:t>. Article 35 § 2 (b) of the Convention does not apply to inter-State cases.</w:t>
      </w:r>
      <w:r w:rsidRPr="003D7BC6">
        <w:rPr>
          <w:rStyle w:val="Appelnotedebasdep"/>
          <w:rFonts w:ascii="Arial" w:hAnsi="Arial" w:cs="Arial"/>
        </w:rPr>
        <w:footnoteReference w:id="107"/>
      </w:r>
      <w:r w:rsidRPr="003D7BC6">
        <w:rPr>
          <w:rFonts w:ascii="Arial" w:hAnsi="Arial" w:cs="Arial"/>
        </w:rPr>
        <w:t xml:space="preserve"> However, objections as to the admissibility of an inter-State application by the Court on account of settling a dispute arising out of the interpretation or application of the Convention by means of other international procedures may be raised under Article 55 of the Convention.</w:t>
      </w:r>
      <w:r w:rsidRPr="003D7BC6">
        <w:rPr>
          <w:rStyle w:val="Appelnotedebasdep"/>
          <w:rFonts w:ascii="Arial" w:hAnsi="Arial" w:cs="Arial"/>
        </w:rPr>
        <w:footnoteReference w:id="108"/>
      </w:r>
      <w:r w:rsidRPr="003D7BC6">
        <w:rPr>
          <w:rFonts w:ascii="Arial" w:hAnsi="Arial" w:cs="Arial"/>
        </w:rPr>
        <w:t xml:space="preserve"> According to this provision of the Convention, State Parties are prevented from submitting a dispute arising out of the interpretation or application of the Convention to a means of settlement other than those provided for in the Convention except by special agreement. In practice, such disputes relate primarily to the inter-State application procedure.</w:t>
      </w:r>
      <w:r w:rsidRPr="003D7BC6">
        <w:rPr>
          <w:rStyle w:val="Appelnotedebasdep"/>
          <w:rFonts w:ascii="Arial" w:hAnsi="Arial" w:cs="Arial"/>
        </w:rPr>
        <w:footnoteReference w:id="109"/>
      </w:r>
      <w:r w:rsidRPr="003D7BC6">
        <w:rPr>
          <w:rFonts w:ascii="Arial" w:hAnsi="Arial" w:cs="Arial"/>
        </w:rPr>
        <w:t xml:space="preserve"> According </w:t>
      </w:r>
      <w:r w:rsidRPr="003D7BC6">
        <w:rPr>
          <w:rFonts w:ascii="Arial" w:hAnsi="Arial" w:cs="Arial"/>
        </w:rPr>
        <w:lastRenderedPageBreak/>
        <w:t>to Article 55</w:t>
      </w:r>
      <w:r>
        <w:rPr>
          <w:rFonts w:ascii="Arial" w:hAnsi="Arial" w:cs="Arial"/>
        </w:rPr>
        <w:t>,</w:t>
      </w:r>
      <w:r w:rsidRPr="003D7BC6">
        <w:rPr>
          <w:rFonts w:ascii="Arial" w:hAnsi="Arial" w:cs="Arial"/>
        </w:rPr>
        <w:t xml:space="preserve"> the State Parties to the Convention should utilise only the procedure established by the Convention in respect of complaints against another Contracting Party to the Convention relating to an alleged violation of a right which in substance is covered both by the Convention (or its protocols) and by other international treaties, notably the ICCPR.</w:t>
      </w:r>
      <w:r w:rsidRPr="003D7BC6">
        <w:rPr>
          <w:rStyle w:val="Appelnotedebasdep"/>
          <w:rFonts w:ascii="Arial" w:hAnsi="Arial" w:cs="Arial"/>
        </w:rPr>
        <w:footnoteReference w:id="110"/>
      </w:r>
      <w:r w:rsidRPr="003D7BC6">
        <w:rPr>
          <w:rFonts w:ascii="Arial" w:hAnsi="Arial" w:cs="Arial"/>
        </w:rPr>
        <w:t xml:space="preserve"> While the case-law of the Court on Article 55 is not extensive</w:t>
      </w:r>
      <w:r>
        <w:rPr>
          <w:rFonts w:ascii="Arial" w:hAnsi="Arial" w:cs="Arial"/>
        </w:rPr>
        <w:t>,</w:t>
      </w:r>
      <w:r w:rsidRPr="003D7BC6">
        <w:rPr>
          <w:rFonts w:ascii="Arial" w:hAnsi="Arial" w:cs="Arial"/>
        </w:rPr>
        <w:t xml:space="preserve"> it clearly establishes the principle that the possibility of a State Party of withdrawing a case from its jurisdiction on the grounds that it has entered into a special agreement with the other State Party concerned is given only upon the consent of both parties concerned and in exceptional circumstances.</w:t>
      </w:r>
      <w:r w:rsidRPr="003D7BC6">
        <w:rPr>
          <w:rStyle w:val="Appelnotedebasdep"/>
          <w:rFonts w:ascii="Arial" w:hAnsi="Arial" w:cs="Arial"/>
        </w:rPr>
        <w:footnoteReference w:id="111"/>
      </w:r>
      <w:r w:rsidRPr="003D7BC6">
        <w:rPr>
          <w:rFonts w:ascii="Arial" w:hAnsi="Arial" w:cs="Arial"/>
        </w:rPr>
        <w:t xml:space="preserve"> </w:t>
      </w:r>
    </w:p>
    <w:p w14:paraId="348A8543" w14:textId="77777777" w:rsidR="002218C4" w:rsidRDefault="002218C4" w:rsidP="002218C4">
      <w:pPr>
        <w:pStyle w:val="ECHRParaSpaced"/>
        <w:ind w:firstLine="340"/>
        <w:rPr>
          <w:rFonts w:ascii="Arial" w:hAnsi="Arial" w:cs="Arial"/>
        </w:rPr>
      </w:pPr>
      <w:r w:rsidRPr="003D7BC6">
        <w:rPr>
          <w:rFonts w:ascii="Arial" w:hAnsi="Arial" w:cs="Arial"/>
        </w:rPr>
        <w:t>7</w:t>
      </w:r>
      <w:r>
        <w:rPr>
          <w:rFonts w:ascii="Arial" w:hAnsi="Arial" w:cs="Arial"/>
        </w:rPr>
        <w:t>3</w:t>
      </w:r>
      <w:r w:rsidRPr="003D7BC6">
        <w:rPr>
          <w:rFonts w:ascii="Arial" w:hAnsi="Arial" w:cs="Arial"/>
        </w:rPr>
        <w:t>. The principle established in Article 55 is that the Convention institutions have a monopoly on deciding disputes arising out of the interpretation and application of the Convention. The State Parties agree not to avail themselves of other treaties, conventions and declarations in force between them for the purpose of submitting such disputes to other means of settlement. Only exceptionally is a departure from this principle permitted, subject to the existence of a special agreement between the State Parties concerned, permitting the submission of the dispute</w:t>
      </w:r>
      <w:r>
        <w:rPr>
          <w:rFonts w:ascii="Arial" w:hAnsi="Arial" w:cs="Arial"/>
        </w:rPr>
        <w:t xml:space="preserve"> </w:t>
      </w:r>
      <w:r w:rsidRPr="003D7BC6">
        <w:rPr>
          <w:rFonts w:ascii="Arial" w:hAnsi="Arial" w:cs="Arial"/>
        </w:rPr>
        <w:t>concerning the interpretation or application of the Convention to an alternative means of settlement by way of petition.</w:t>
      </w:r>
      <w:r w:rsidRPr="003D7BC6">
        <w:rPr>
          <w:rStyle w:val="Appelnotedebasdep"/>
          <w:rFonts w:ascii="Arial" w:hAnsi="Arial" w:cs="Arial"/>
        </w:rPr>
        <w:footnoteReference w:id="112"/>
      </w:r>
      <w:r w:rsidRPr="003D7BC6">
        <w:rPr>
          <w:rFonts w:ascii="Arial" w:hAnsi="Arial" w:cs="Arial"/>
        </w:rPr>
        <w:t xml:space="preserve"> Article 55, while not entirely excluding the possibility that inter-State disputes involving human rights issues are brought and addressed in other international bodies, creates a barrier for State Parties which are not satisfied with the judgments of the Court in an inter-State case to “appeal” such judgments to another international body. </w:t>
      </w:r>
    </w:p>
    <w:p w14:paraId="41271BB4" w14:textId="77777777" w:rsidR="002218C4" w:rsidRDefault="002218C4" w:rsidP="002218C4">
      <w:pPr>
        <w:pStyle w:val="ECHRParaSpaced"/>
        <w:ind w:firstLine="340"/>
        <w:rPr>
          <w:rFonts w:ascii="Arial" w:hAnsi="Arial" w:cs="Arial"/>
        </w:rPr>
      </w:pPr>
      <w:r w:rsidRPr="003D7BC6">
        <w:rPr>
          <w:rFonts w:ascii="Arial" w:hAnsi="Arial" w:cs="Arial"/>
        </w:rPr>
        <w:t>7</w:t>
      </w:r>
      <w:r>
        <w:rPr>
          <w:rFonts w:ascii="Arial" w:hAnsi="Arial" w:cs="Arial"/>
        </w:rPr>
        <w:t>4</w:t>
      </w:r>
      <w:r w:rsidRPr="003D7BC6">
        <w:rPr>
          <w:rFonts w:ascii="Arial" w:hAnsi="Arial" w:cs="Arial"/>
        </w:rPr>
        <w:t xml:space="preserve">. It should also be pointed out that the Court will </w:t>
      </w:r>
      <w:proofErr w:type="gramStart"/>
      <w:r w:rsidRPr="003D7BC6">
        <w:rPr>
          <w:rFonts w:ascii="Arial" w:hAnsi="Arial" w:cs="Arial"/>
        </w:rPr>
        <w:t>take into account</w:t>
      </w:r>
      <w:proofErr w:type="gramEnd"/>
      <w:r w:rsidRPr="003D7BC6">
        <w:rPr>
          <w:rFonts w:ascii="Arial" w:hAnsi="Arial" w:cs="Arial"/>
        </w:rPr>
        <w:t xml:space="preserve"> the decision or investigation results of other international bodies and seek to remain within the confines of its jurisdiction when dealing with inter-State cases and to avoid as far as possible encroaching upon the jurisdiction of other international bodies.</w:t>
      </w:r>
      <w:r w:rsidRPr="003D7BC6">
        <w:rPr>
          <w:rStyle w:val="Appelnotedebasdep"/>
          <w:rFonts w:ascii="Arial" w:hAnsi="Arial" w:cs="Arial"/>
        </w:rPr>
        <w:t xml:space="preserve"> </w:t>
      </w:r>
      <w:r w:rsidRPr="003D7BC6">
        <w:rPr>
          <w:rStyle w:val="Appelnotedebasdep"/>
          <w:rFonts w:ascii="Arial" w:hAnsi="Arial" w:cs="Arial"/>
        </w:rPr>
        <w:footnoteReference w:id="113"/>
      </w:r>
    </w:p>
    <w:p w14:paraId="145EA35B" w14:textId="77777777" w:rsidR="002218C4" w:rsidRPr="003D7BC6" w:rsidRDefault="002218C4" w:rsidP="002218C4">
      <w:pPr>
        <w:pStyle w:val="ECHRParaSpaced"/>
        <w:ind w:firstLine="340"/>
        <w:rPr>
          <w:rFonts w:ascii="Arial" w:hAnsi="Arial" w:cs="Arial"/>
        </w:rPr>
      </w:pPr>
    </w:p>
    <w:p w14:paraId="0DADA12B" w14:textId="77777777" w:rsidR="002218C4" w:rsidRPr="00080BB7" w:rsidRDefault="002218C4" w:rsidP="002218C4">
      <w:pPr>
        <w:pStyle w:val="Titre1"/>
        <w:rPr>
          <w:rFonts w:ascii="Arial" w:hAnsi="Arial" w:cs="Arial"/>
          <w:b/>
          <w:bCs/>
          <w:sz w:val="28"/>
          <w:szCs w:val="28"/>
          <w:lang w:val="en-GB"/>
        </w:rPr>
      </w:pPr>
      <w:bookmarkStart w:id="53" w:name="_Toc83293369"/>
      <w:r w:rsidRPr="00080BB7">
        <w:rPr>
          <w:rFonts w:ascii="Arial" w:hAnsi="Arial" w:cs="Arial"/>
          <w:b/>
          <w:bCs/>
          <w:sz w:val="28"/>
          <w:szCs w:val="28"/>
          <w:lang w:val="en-GB"/>
        </w:rPr>
        <w:t>VI. THE ESTABLISHMENT OF THE FACTS</w:t>
      </w:r>
      <w:bookmarkEnd w:id="53"/>
    </w:p>
    <w:p w14:paraId="590CB08F" w14:textId="77777777" w:rsidR="002218C4" w:rsidRPr="00FF6EEE" w:rsidRDefault="002218C4" w:rsidP="002218C4">
      <w:pPr>
        <w:pStyle w:val="Sansinterligne"/>
        <w:rPr>
          <w:rFonts w:ascii="Arial" w:hAnsi="Arial" w:cs="Arial"/>
          <w:sz w:val="22"/>
          <w:szCs w:val="22"/>
          <w:lang w:val="en-GB"/>
        </w:rPr>
      </w:pPr>
    </w:p>
    <w:p w14:paraId="56DE31CB" w14:textId="77777777" w:rsidR="002218C4" w:rsidRDefault="002218C4" w:rsidP="002218C4">
      <w:pPr>
        <w:pStyle w:val="ECHRParaSpaced"/>
        <w:ind w:firstLine="340"/>
        <w:rPr>
          <w:rFonts w:ascii="Arial" w:hAnsi="Arial" w:cs="Arial"/>
        </w:rPr>
      </w:pPr>
      <w:r w:rsidRPr="003D7BC6">
        <w:rPr>
          <w:rFonts w:ascii="Arial" w:hAnsi="Arial" w:cs="Arial"/>
        </w:rPr>
        <w:t>7</w:t>
      </w:r>
      <w:r>
        <w:rPr>
          <w:rFonts w:ascii="Arial" w:hAnsi="Arial" w:cs="Arial"/>
        </w:rPr>
        <w:t>5</w:t>
      </w:r>
      <w:r w:rsidRPr="003D7BC6">
        <w:rPr>
          <w:rFonts w:ascii="Arial" w:hAnsi="Arial" w:cs="Arial"/>
        </w:rPr>
        <w:t xml:space="preserve">. A number of challenges relating to the establishment of facts are specific to the processing and resolution of inter-State cases which are complex as a result of their nature and dimension, in particular when they concern armed conflicts. These include the obtaining of necessary evidence </w:t>
      </w:r>
      <w:r w:rsidRPr="003D7BC6">
        <w:rPr>
          <w:rFonts w:ascii="Arial" w:hAnsi="Arial" w:cs="Arial"/>
          <w:i/>
        </w:rPr>
        <w:t>inter alia</w:t>
      </w:r>
      <w:r w:rsidRPr="003D7BC6">
        <w:rPr>
          <w:rFonts w:ascii="Arial" w:hAnsi="Arial" w:cs="Arial"/>
        </w:rPr>
        <w:t xml:space="preserve"> by fact-finding missions and witness hearings as well </w:t>
      </w:r>
      <w:r>
        <w:rPr>
          <w:rFonts w:ascii="Arial" w:hAnsi="Arial" w:cs="Arial"/>
        </w:rPr>
        <w:t xml:space="preserve">as </w:t>
      </w:r>
      <w:r w:rsidRPr="003D7BC6">
        <w:rPr>
          <w:rFonts w:ascii="Arial" w:hAnsi="Arial" w:cs="Arial"/>
        </w:rPr>
        <w:t xml:space="preserve">the different sources of information and the assessment of the evidence by the Court. </w:t>
      </w:r>
    </w:p>
    <w:p w14:paraId="25291C67" w14:textId="77777777" w:rsidR="002218C4" w:rsidRDefault="002218C4" w:rsidP="002218C4">
      <w:pPr>
        <w:pStyle w:val="ECHRParaSpaced"/>
        <w:ind w:firstLine="340"/>
        <w:rPr>
          <w:rFonts w:ascii="Arial" w:hAnsi="Arial" w:cs="Arial"/>
        </w:rPr>
      </w:pPr>
      <w:r w:rsidRPr="003D7BC6">
        <w:rPr>
          <w:rFonts w:ascii="Arial" w:hAnsi="Arial" w:cs="Arial"/>
        </w:rPr>
        <w:t>7</w:t>
      </w:r>
      <w:r>
        <w:rPr>
          <w:rFonts w:ascii="Arial" w:hAnsi="Arial" w:cs="Arial"/>
        </w:rPr>
        <w:t>6</w:t>
      </w:r>
      <w:r w:rsidRPr="003D7BC6">
        <w:rPr>
          <w:rFonts w:ascii="Arial" w:hAnsi="Arial" w:cs="Arial"/>
        </w:rPr>
        <w:t>. Recently, the Court has noted specific challenges in cases concerning allegations of the existence of an administrative practice as the Court is almost inevitably confronted with the same difficulties in relation to the establishment and assessment of the evidence as are faced by any first-instance Court.</w:t>
      </w:r>
      <w:r w:rsidRPr="003D7BC6">
        <w:rPr>
          <w:rStyle w:val="Appelnotedebasdep"/>
          <w:rFonts w:ascii="Arial" w:hAnsi="Arial" w:cs="Arial"/>
        </w:rPr>
        <w:footnoteReference w:id="114"/>
      </w:r>
      <w:r w:rsidRPr="003D7BC6">
        <w:rPr>
          <w:rFonts w:ascii="Arial" w:hAnsi="Arial" w:cs="Arial"/>
        </w:rPr>
        <w:t xml:space="preserve"> It is particularly difficult to establish the facts in the context of an inter-State case which concerns an armed conflict and its consequences, </w:t>
      </w:r>
      <w:r w:rsidRPr="003D7BC6">
        <w:rPr>
          <w:rFonts w:ascii="Arial" w:hAnsi="Arial" w:cs="Arial"/>
        </w:rPr>
        <w:lastRenderedPageBreak/>
        <w:t>involving thousands of people and taking place over a significant period of time across a vast geographical area.</w:t>
      </w:r>
      <w:r w:rsidRPr="003D7BC6">
        <w:rPr>
          <w:rStyle w:val="Appelnotedebasdep"/>
          <w:rFonts w:ascii="Arial" w:hAnsi="Arial" w:cs="Arial"/>
        </w:rPr>
        <w:footnoteReference w:id="115"/>
      </w:r>
      <w:r w:rsidRPr="003D7BC6">
        <w:rPr>
          <w:rFonts w:ascii="Arial" w:hAnsi="Arial" w:cs="Arial"/>
        </w:rPr>
        <w:t xml:space="preserve"> The Court has </w:t>
      </w:r>
      <w:r w:rsidRPr="003D7BC6">
        <w:rPr>
          <w:rFonts w:ascii="Arial" w:hAnsi="Arial" w:cs="Arial"/>
          <w:shd w:val="clear" w:color="auto" w:fill="FFFFFF" w:themeFill="background1"/>
        </w:rPr>
        <w:t xml:space="preserve">also </w:t>
      </w:r>
      <w:r w:rsidRPr="003D7BC6">
        <w:rPr>
          <w:rFonts w:ascii="Arial" w:hAnsi="Arial" w:cs="Arial"/>
        </w:rPr>
        <w:t xml:space="preserve">observed a number of </w:t>
      </w:r>
      <w:r w:rsidRPr="003D7BC6">
        <w:rPr>
          <w:rFonts w:ascii="Arial" w:hAnsi="Arial" w:cs="Arial"/>
          <w:shd w:val="clear" w:color="auto" w:fill="FFFFFF" w:themeFill="background1"/>
        </w:rPr>
        <w:t>other</w:t>
      </w:r>
      <w:r w:rsidRPr="003D7BC6">
        <w:rPr>
          <w:rFonts w:ascii="Arial" w:hAnsi="Arial" w:cs="Arial"/>
        </w:rPr>
        <w:t xml:space="preserve"> difficulties </w:t>
      </w:r>
      <w:r w:rsidRPr="003D7BC6">
        <w:rPr>
          <w:rFonts w:ascii="Arial" w:hAnsi="Arial" w:cs="Arial"/>
          <w:shd w:val="clear" w:color="auto" w:fill="FFFFFF" w:themeFill="background1"/>
        </w:rPr>
        <w:t>related to instances when the Court has to act as a court of first instance. These</w:t>
      </w:r>
      <w:r w:rsidRPr="003D7BC6">
        <w:rPr>
          <w:rFonts w:ascii="Arial" w:hAnsi="Arial" w:cs="Arial"/>
        </w:rPr>
        <w:t xml:space="preserve"> includ</w:t>
      </w:r>
      <w:r w:rsidRPr="003D7BC6">
        <w:rPr>
          <w:rFonts w:ascii="Arial" w:hAnsi="Arial" w:cs="Arial"/>
          <w:shd w:val="clear" w:color="auto" w:fill="FFFFFF" w:themeFill="background1"/>
        </w:rPr>
        <w:t>e</w:t>
      </w:r>
      <w:r w:rsidRPr="003D7BC6">
        <w:rPr>
          <w:rFonts w:ascii="Arial" w:hAnsi="Arial" w:cs="Arial"/>
        </w:rPr>
        <w:t xml:space="preserve"> the examination of the effectiveness and accessibility of domestic remedies as additional evidence of whether an administrative practice exists; the length of parties’ observations and annexes; and, the failure of the respondent Governments to provide the Court with all the necessary facilities to enable it to establish the facts as well as witness and expert hearings.</w:t>
      </w:r>
      <w:r w:rsidRPr="003D7BC6">
        <w:rPr>
          <w:rStyle w:val="Appelnotedebasdep"/>
          <w:rFonts w:ascii="Arial" w:hAnsi="Arial" w:cs="Arial"/>
        </w:rPr>
        <w:footnoteReference w:id="116"/>
      </w:r>
      <w:r w:rsidRPr="003D7BC6">
        <w:rPr>
          <w:rFonts w:ascii="Arial" w:hAnsi="Arial" w:cs="Arial"/>
        </w:rPr>
        <w:t xml:space="preserve"> Some of the difficulties in establishing the facts have been highlighted in the recent judgment Georgia v. Russia (II)</w:t>
      </w:r>
      <w:r>
        <w:rPr>
          <w:rFonts w:ascii="Arial" w:hAnsi="Arial" w:cs="Arial"/>
        </w:rPr>
        <w:t>,</w:t>
      </w:r>
      <w:r w:rsidRPr="003D7BC6">
        <w:rPr>
          <w:rFonts w:ascii="Arial" w:hAnsi="Arial" w:cs="Arial"/>
        </w:rPr>
        <w:t xml:space="preserve"> when the Court answered in the negative the question whether the events which occurred during the active phase of hostilities in the context of an international armed conflict outside the territory of the respondent State fell within the jurisdiction of that State.</w:t>
      </w:r>
      <w:r w:rsidRPr="003D7BC6">
        <w:rPr>
          <w:rStyle w:val="Appelnotedebasdep"/>
          <w:rFonts w:ascii="Arial" w:hAnsi="Arial" w:cs="Arial"/>
        </w:rPr>
        <w:footnoteReference w:id="117"/>
      </w:r>
    </w:p>
    <w:p w14:paraId="35336539" w14:textId="77777777" w:rsidR="002218C4" w:rsidRDefault="002218C4" w:rsidP="002218C4">
      <w:pPr>
        <w:pStyle w:val="ECHRParaSpaced"/>
        <w:ind w:firstLine="340"/>
        <w:rPr>
          <w:rFonts w:ascii="Arial" w:hAnsi="Arial" w:cs="Arial"/>
        </w:rPr>
      </w:pPr>
      <w:r>
        <w:rPr>
          <w:rFonts w:ascii="Arial" w:hAnsi="Arial" w:cs="Arial"/>
        </w:rPr>
        <w:t>77</w:t>
      </w:r>
      <w:r w:rsidRPr="003D7BC6">
        <w:rPr>
          <w:rFonts w:ascii="Arial" w:hAnsi="Arial" w:cs="Arial"/>
        </w:rPr>
        <w:t xml:space="preserve">. This Chapter approaches these challenges from the perspective of the general principles applied by the Court regarding the admissibility and assessment of evidence, the State Parties’ duty to co-operate with the Court under Article 38 of the Convention (sections 1-3) as well as the Court’s current fact-finding practice (section 4). As regards the assessment of the evidence and the application of Article 38, the Court does not distinguish principles that apply specifically or exclusively to inter-State applications or to individual applications. Instead, the principles developed regarding individual applications are applied </w:t>
      </w:r>
      <w:r w:rsidRPr="003D7BC6">
        <w:rPr>
          <w:rFonts w:ascii="Arial" w:hAnsi="Arial" w:cs="Arial"/>
          <w:i/>
          <w:iCs/>
        </w:rPr>
        <w:t>mutatis mutandis</w:t>
      </w:r>
      <w:r w:rsidRPr="003D7BC6">
        <w:rPr>
          <w:rFonts w:ascii="Arial" w:hAnsi="Arial" w:cs="Arial"/>
        </w:rPr>
        <w:t xml:space="preserve"> to inter-State applications and vice-versa.  </w:t>
      </w:r>
    </w:p>
    <w:p w14:paraId="0FBF1254" w14:textId="77777777" w:rsidR="002218C4" w:rsidRPr="003D7BC6" w:rsidRDefault="002218C4" w:rsidP="002218C4">
      <w:pPr>
        <w:pStyle w:val="ECHRParaSpaced"/>
        <w:ind w:firstLine="340"/>
        <w:rPr>
          <w:rFonts w:ascii="Arial" w:hAnsi="Arial" w:cs="Arial"/>
        </w:rPr>
      </w:pPr>
    </w:p>
    <w:p w14:paraId="302ED318" w14:textId="77777777" w:rsidR="002218C4" w:rsidRPr="00560F13" w:rsidRDefault="002218C4" w:rsidP="002218C4">
      <w:pPr>
        <w:pStyle w:val="Titre2"/>
        <w:ind w:left="720"/>
        <w:rPr>
          <w:rFonts w:ascii="Arial" w:hAnsi="Arial" w:cs="Arial"/>
          <w:b/>
          <w:i/>
          <w:sz w:val="24"/>
          <w:szCs w:val="24"/>
          <w:lang w:val="en-GB"/>
        </w:rPr>
      </w:pPr>
      <w:bookmarkStart w:id="54" w:name="_Toc45123271"/>
      <w:bookmarkStart w:id="55" w:name="_Toc83293370"/>
      <w:bookmarkStart w:id="56" w:name="_Hlk27650650"/>
      <w:r w:rsidRPr="00560F13">
        <w:rPr>
          <w:rFonts w:ascii="Arial" w:hAnsi="Arial" w:cs="Arial"/>
          <w:i/>
          <w:sz w:val="24"/>
          <w:szCs w:val="24"/>
          <w:lang w:val="en-GB"/>
        </w:rPr>
        <w:t>1. Principles on the admissibility and evaluation of evidence</w:t>
      </w:r>
      <w:bookmarkEnd w:id="54"/>
      <w:bookmarkEnd w:id="55"/>
      <w:r w:rsidRPr="00560F13">
        <w:rPr>
          <w:rFonts w:ascii="Arial" w:hAnsi="Arial" w:cs="Arial"/>
          <w:i/>
          <w:sz w:val="24"/>
          <w:szCs w:val="24"/>
          <w:lang w:val="en-GB"/>
        </w:rPr>
        <w:t xml:space="preserve"> </w:t>
      </w:r>
    </w:p>
    <w:bookmarkEnd w:id="56"/>
    <w:p w14:paraId="0F650A80" w14:textId="77777777" w:rsidR="002218C4" w:rsidRDefault="002218C4" w:rsidP="002218C4">
      <w:pPr>
        <w:pStyle w:val="ECHRParaSpaced"/>
        <w:ind w:firstLine="340"/>
        <w:rPr>
          <w:rFonts w:ascii="Arial" w:hAnsi="Arial" w:cs="Arial"/>
          <w:lang w:val="en-US"/>
        </w:rPr>
      </w:pPr>
      <w:r>
        <w:rPr>
          <w:rFonts w:ascii="Arial" w:hAnsi="Arial" w:cs="Arial"/>
        </w:rPr>
        <w:t>78</w:t>
      </w:r>
      <w:r w:rsidRPr="003D7BC6">
        <w:rPr>
          <w:rFonts w:ascii="Arial" w:hAnsi="Arial" w:cs="Arial"/>
        </w:rPr>
        <w:t>. Neither the Convention nor the Rules of Court seek to regulate how evidence is to be admitted or assessed by the Court.</w:t>
      </w:r>
      <w:r w:rsidRPr="003D7BC6">
        <w:rPr>
          <w:rStyle w:val="Appelnotedebasdep"/>
          <w:rFonts w:ascii="Arial" w:hAnsi="Arial" w:cs="Arial"/>
        </w:rPr>
        <w:footnoteReference w:id="118"/>
      </w:r>
      <w:r>
        <w:rPr>
          <w:rFonts w:ascii="Arial" w:hAnsi="Arial" w:cs="Arial"/>
        </w:rPr>
        <w:t xml:space="preserve"> </w:t>
      </w:r>
      <w:r w:rsidRPr="003D7BC6">
        <w:rPr>
          <w:rFonts w:ascii="Arial" w:hAnsi="Arial" w:cs="Arial"/>
        </w:rPr>
        <w:t xml:space="preserve">The Court examines all the material before it, whether originating from the parties or other sources, and, if necessary, obtains material </w:t>
      </w:r>
      <w:r w:rsidRPr="003D7BC6">
        <w:rPr>
          <w:rFonts w:ascii="Arial" w:hAnsi="Arial" w:cs="Arial"/>
          <w:i/>
        </w:rPr>
        <w:t>proprio motu</w:t>
      </w:r>
      <w:r w:rsidRPr="003D7BC6">
        <w:rPr>
          <w:rFonts w:ascii="Arial" w:hAnsi="Arial" w:cs="Arial"/>
        </w:rPr>
        <w:t>.</w:t>
      </w:r>
      <w:r w:rsidRPr="003D7BC6">
        <w:rPr>
          <w:rStyle w:val="Appelnotedebasdep"/>
          <w:rFonts w:ascii="Arial" w:hAnsi="Arial" w:cs="Arial"/>
        </w:rPr>
        <w:footnoteReference w:id="119"/>
      </w:r>
      <w:r w:rsidRPr="003D7BC6">
        <w:rPr>
          <w:rStyle w:val="sb8d990e2"/>
          <w:rFonts w:ascii="Arial" w:hAnsi="Arial" w:cs="Arial"/>
        </w:rPr>
        <w:t xml:space="preserve"> There are </w:t>
      </w:r>
      <w:r w:rsidRPr="003D7BC6">
        <w:rPr>
          <w:rStyle w:val="sb8d990e2"/>
          <w:rFonts w:ascii="Arial" w:hAnsi="Arial" w:cs="Arial"/>
          <w:b/>
          <w:bCs/>
          <w:i/>
          <w:iCs/>
        </w:rPr>
        <w:t>no procedural barriers to the admissibility of evidence or pre-determined formulae for its assessment</w:t>
      </w:r>
      <w:r w:rsidRPr="003D7BC6">
        <w:rPr>
          <w:rStyle w:val="sb8d990e2"/>
          <w:rFonts w:ascii="Arial" w:hAnsi="Arial" w:cs="Arial"/>
        </w:rPr>
        <w:t xml:space="preserve">; </w:t>
      </w:r>
      <w:r w:rsidRPr="003D7BC6">
        <w:rPr>
          <w:rStyle w:val="sb8d990e2"/>
          <w:rFonts w:ascii="Arial" w:hAnsi="Arial" w:cs="Arial"/>
          <w:color w:val="000000"/>
        </w:rPr>
        <w:t>the Court adopts the conclusions that are, in its view, supported by the free evaluation of all evidence including such inferences as may flow from the facts and the parties’ submissions</w:t>
      </w:r>
      <w:r w:rsidRPr="003D7BC6">
        <w:rPr>
          <w:rFonts w:ascii="Arial" w:hAnsi="Arial" w:cs="Arial"/>
          <w:i/>
        </w:rPr>
        <w:t>.</w:t>
      </w:r>
      <w:r w:rsidRPr="003D7BC6">
        <w:rPr>
          <w:rStyle w:val="Appelnotedebasdep"/>
          <w:rFonts w:ascii="Arial" w:hAnsi="Arial" w:cs="Arial"/>
        </w:rPr>
        <w:footnoteReference w:id="120"/>
      </w:r>
      <w:r w:rsidRPr="003D7BC6">
        <w:rPr>
          <w:rFonts w:ascii="Arial" w:hAnsi="Arial" w:cs="Arial"/>
          <w:shd w:val="clear" w:color="auto" w:fill="D9D9D9" w:themeFill="background1" w:themeFillShade="D9"/>
        </w:rPr>
        <w:t xml:space="preserve"> </w:t>
      </w:r>
    </w:p>
    <w:p w14:paraId="32508E9E" w14:textId="77777777" w:rsidR="002218C4" w:rsidRDefault="002218C4" w:rsidP="002218C4">
      <w:pPr>
        <w:pStyle w:val="ECHRParaSpaced"/>
        <w:ind w:firstLine="340"/>
        <w:rPr>
          <w:rFonts w:ascii="Arial" w:hAnsi="Arial" w:cs="Arial"/>
          <w:lang w:val="en-US"/>
        </w:rPr>
      </w:pPr>
      <w:r>
        <w:rPr>
          <w:rFonts w:ascii="Arial" w:hAnsi="Arial" w:cs="Arial"/>
        </w:rPr>
        <w:t>79</w:t>
      </w:r>
      <w:r w:rsidRPr="003D7BC6">
        <w:rPr>
          <w:rFonts w:ascii="Arial" w:hAnsi="Arial" w:cs="Arial"/>
        </w:rPr>
        <w:t xml:space="preserve">. </w:t>
      </w:r>
      <w:r w:rsidRPr="003D7BC6">
        <w:rPr>
          <w:rStyle w:val="sb8d990e2"/>
          <w:rFonts w:ascii="Arial" w:hAnsi="Arial" w:cs="Arial"/>
          <w:b/>
          <w:bCs/>
          <w:i/>
          <w:iCs/>
          <w:color w:val="000000"/>
          <w:shd w:val="clear" w:color="auto" w:fill="FFFFFF"/>
        </w:rPr>
        <w:t>Proof</w:t>
      </w:r>
      <w:r w:rsidRPr="003D7BC6">
        <w:rPr>
          <w:rStyle w:val="sb8d990e2"/>
          <w:rFonts w:ascii="Arial" w:hAnsi="Arial" w:cs="Arial"/>
          <w:color w:val="000000"/>
          <w:shd w:val="clear" w:color="auto" w:fill="FFFFFF"/>
        </w:rPr>
        <w:t xml:space="preserve"> may follow from the coexistence of sufficiently strong, clear and concordant inferences or of similar unrebutted presumptions of fact. Moreover, the level of persuasion necessary for reaching a particular conclusion and, in this connection, the distribution of the burden of proof are intrinsically linked to the specificity of the facts, the nature of the allegation made and the Convention right at stake. The Court is also attentive to the seriousness that attaches to a ruling that a Contracting State has violated fundamental rights.</w:t>
      </w:r>
      <w:r w:rsidRPr="003D7BC6">
        <w:rPr>
          <w:rStyle w:val="Appelnotedebasdep"/>
          <w:rFonts w:ascii="Arial" w:hAnsi="Arial" w:cs="Arial"/>
          <w:color w:val="000000"/>
          <w:shd w:val="clear" w:color="auto" w:fill="FFFFFF"/>
        </w:rPr>
        <w:footnoteReference w:id="121"/>
      </w:r>
      <w:r w:rsidRPr="003D7BC6">
        <w:rPr>
          <w:rFonts w:ascii="Arial" w:hAnsi="Arial" w:cs="Arial"/>
        </w:rPr>
        <w:t xml:space="preserve"> </w:t>
      </w:r>
    </w:p>
    <w:p w14:paraId="577C0D20" w14:textId="77777777" w:rsidR="002218C4" w:rsidRDefault="002218C4" w:rsidP="002218C4">
      <w:pPr>
        <w:pStyle w:val="ECHRParaSpaced"/>
        <w:ind w:firstLine="340"/>
        <w:rPr>
          <w:rFonts w:ascii="Arial" w:hAnsi="Arial" w:cs="Arial"/>
          <w:lang w:val="en-US"/>
        </w:rPr>
      </w:pPr>
      <w:r>
        <w:rPr>
          <w:rFonts w:ascii="Arial" w:hAnsi="Arial" w:cs="Arial"/>
        </w:rPr>
        <w:t>80</w:t>
      </w:r>
      <w:r w:rsidRPr="003D7BC6">
        <w:rPr>
          <w:rFonts w:ascii="Arial" w:hAnsi="Arial" w:cs="Arial"/>
        </w:rPr>
        <w:t>. Being the master of its own procedure and its own rules</w:t>
      </w:r>
      <w:r>
        <w:rPr>
          <w:rFonts w:ascii="Arial" w:hAnsi="Arial" w:cs="Arial"/>
        </w:rPr>
        <w:t>,</w:t>
      </w:r>
      <w:r w:rsidRPr="003D7BC6">
        <w:rPr>
          <w:rFonts w:ascii="Arial" w:hAnsi="Arial" w:cs="Arial"/>
        </w:rPr>
        <w:t xml:space="preserve"> the Court has complete freedom in assessing not only the admissibility and relevance but also the </w:t>
      </w:r>
      <w:r w:rsidRPr="003D7BC6">
        <w:rPr>
          <w:rFonts w:ascii="Arial" w:hAnsi="Arial" w:cs="Arial"/>
          <w:b/>
          <w:bCs/>
          <w:i/>
          <w:iCs/>
        </w:rPr>
        <w:t>probative value</w:t>
      </w:r>
      <w:r w:rsidRPr="003D7BC6">
        <w:rPr>
          <w:rFonts w:ascii="Arial" w:hAnsi="Arial" w:cs="Arial"/>
        </w:rPr>
        <w:t xml:space="preserve"> of each item of evidence before it.</w:t>
      </w:r>
      <w:r w:rsidRPr="003D7BC6">
        <w:rPr>
          <w:rStyle w:val="Appelnotedebasdep"/>
          <w:rFonts w:ascii="Arial" w:hAnsi="Arial" w:cs="Arial"/>
        </w:rPr>
        <w:footnoteReference w:id="122"/>
      </w:r>
      <w:r w:rsidRPr="003D7BC6">
        <w:rPr>
          <w:rFonts w:ascii="Arial" w:hAnsi="Arial" w:cs="Arial"/>
        </w:rPr>
        <w:t xml:space="preserve"> It has often attached importance to the information contained in recent reports from independent international human rights protection associations or governmental sources.</w:t>
      </w:r>
      <w:r w:rsidRPr="003D7BC6">
        <w:rPr>
          <w:rStyle w:val="Appelnotedebasdep"/>
          <w:rFonts w:ascii="Arial" w:hAnsi="Arial" w:cs="Arial"/>
        </w:rPr>
        <w:footnoteReference w:id="123"/>
      </w:r>
      <w:r w:rsidRPr="003D7BC6">
        <w:rPr>
          <w:rFonts w:ascii="Arial" w:hAnsi="Arial" w:cs="Arial"/>
        </w:rPr>
        <w:t xml:space="preserve"> In order to assess the reliability of these reports, </w:t>
      </w:r>
      <w:r w:rsidRPr="003D7BC6">
        <w:rPr>
          <w:rFonts w:ascii="Arial" w:hAnsi="Arial" w:cs="Arial"/>
        </w:rPr>
        <w:lastRenderedPageBreak/>
        <w:t>the relevant criteria are the authority and reputation of their authors, the seriousness of the investigations by means of which they were compiled, the consistency of their conclusions and whether they are corroborated by other sources.</w:t>
      </w:r>
      <w:r w:rsidRPr="003D7BC6">
        <w:rPr>
          <w:rStyle w:val="Appelnotedebasdep"/>
          <w:rFonts w:ascii="Arial" w:hAnsi="Arial" w:cs="Arial"/>
        </w:rPr>
        <w:footnoteReference w:id="124"/>
      </w:r>
      <w:r w:rsidRPr="003D7BC6">
        <w:rPr>
          <w:rFonts w:ascii="Arial" w:hAnsi="Arial" w:cs="Arial"/>
        </w:rPr>
        <w:t xml:space="preserve"> The Court may hold a hearing with witness to test the veracity of the evidence set out in the reports by international organisations concerning certain aspects of the application.</w:t>
      </w:r>
      <w:r w:rsidRPr="003D7BC6">
        <w:rPr>
          <w:rStyle w:val="Appelnotedebasdep"/>
          <w:rFonts w:ascii="Arial" w:hAnsi="Arial" w:cs="Arial"/>
        </w:rPr>
        <w:footnoteReference w:id="125"/>
      </w:r>
      <w:r w:rsidRPr="003D7BC6">
        <w:rPr>
          <w:rFonts w:ascii="Arial" w:hAnsi="Arial" w:cs="Arial"/>
        </w:rPr>
        <w:t xml:space="preserve"> Reports or statements by international observers, non-governmental organisations or the media, or the decisions of other national or international courts, are often taken into account to, in particular, shed light on the facts, or to corroborate findings made by the Court.</w:t>
      </w:r>
      <w:r w:rsidRPr="003D7BC6">
        <w:rPr>
          <w:rStyle w:val="Appelnotedebasdep"/>
          <w:rFonts w:ascii="Arial" w:hAnsi="Arial" w:cs="Arial"/>
        </w:rPr>
        <w:footnoteReference w:id="126"/>
      </w:r>
      <w:r w:rsidRPr="003D7BC6">
        <w:rPr>
          <w:rFonts w:ascii="Arial" w:hAnsi="Arial" w:cs="Arial"/>
          <w:shd w:val="clear" w:color="auto" w:fill="D9D9D9" w:themeFill="background1" w:themeFillShade="D9"/>
        </w:rPr>
        <w:t xml:space="preserve"> </w:t>
      </w:r>
    </w:p>
    <w:p w14:paraId="4D107AA3" w14:textId="77777777" w:rsidR="002218C4" w:rsidRDefault="002218C4" w:rsidP="002218C4">
      <w:pPr>
        <w:pStyle w:val="ECHRParaSpaced"/>
        <w:ind w:firstLine="340"/>
        <w:rPr>
          <w:rFonts w:ascii="Arial" w:hAnsi="Arial" w:cs="Arial"/>
          <w:lang w:val="en-US"/>
        </w:rPr>
      </w:pPr>
      <w:r w:rsidRPr="003D7BC6">
        <w:rPr>
          <w:rFonts w:ascii="Arial" w:hAnsi="Arial" w:cs="Arial"/>
        </w:rPr>
        <w:t>8</w:t>
      </w:r>
      <w:r>
        <w:rPr>
          <w:rFonts w:ascii="Arial" w:hAnsi="Arial" w:cs="Arial"/>
        </w:rPr>
        <w:t>1</w:t>
      </w:r>
      <w:r w:rsidRPr="003D7BC6">
        <w:rPr>
          <w:rFonts w:ascii="Arial" w:hAnsi="Arial" w:cs="Arial"/>
        </w:rPr>
        <w:t xml:space="preserve">. The Court establishes the facts primarily based on </w:t>
      </w:r>
      <w:r w:rsidRPr="003D7BC6">
        <w:rPr>
          <w:rFonts w:ascii="Arial" w:hAnsi="Arial" w:cs="Arial"/>
          <w:b/>
          <w:bCs/>
          <w:i/>
          <w:iCs/>
        </w:rPr>
        <w:t>documentary evidence</w:t>
      </w:r>
      <w:r w:rsidRPr="003D7BC6">
        <w:rPr>
          <w:rFonts w:ascii="Arial" w:hAnsi="Arial" w:cs="Arial"/>
        </w:rPr>
        <w:t xml:space="preserve"> which includes not only the documents submitted by the Parties but also reports from international governmental and non-governmental organisations.</w:t>
      </w:r>
      <w:r w:rsidRPr="003D7BC6">
        <w:rPr>
          <w:rStyle w:val="Appelnotedebasdep"/>
          <w:rFonts w:ascii="Arial" w:hAnsi="Arial" w:cs="Arial"/>
        </w:rPr>
        <w:footnoteReference w:id="127"/>
      </w:r>
      <w:r w:rsidRPr="003D7BC6">
        <w:rPr>
          <w:rFonts w:ascii="Arial" w:hAnsi="Arial" w:cs="Arial"/>
        </w:rPr>
        <w:t xml:space="preserve"> </w:t>
      </w:r>
      <w:r w:rsidRPr="003D7BC6">
        <w:rPr>
          <w:rFonts w:ascii="Arial" w:hAnsi="Arial" w:cs="Arial"/>
          <w:lang w:val="en-US"/>
        </w:rPr>
        <w:t xml:space="preserve">That explains the Court’s approach to </w:t>
      </w:r>
      <w:proofErr w:type="spellStart"/>
      <w:r w:rsidRPr="003D7BC6">
        <w:rPr>
          <w:rFonts w:ascii="Arial" w:hAnsi="Arial" w:cs="Arial"/>
          <w:lang w:val="en-US"/>
        </w:rPr>
        <w:t>recognise</w:t>
      </w:r>
      <w:proofErr w:type="spellEnd"/>
      <w:r w:rsidRPr="003D7BC6">
        <w:rPr>
          <w:rFonts w:ascii="Arial" w:hAnsi="Arial" w:cs="Arial"/>
          <w:lang w:val="en-US"/>
        </w:rPr>
        <w:t xml:space="preserve"> its subsidiary role, and to defer to national courts which have had the opportunity of seeing and hearing the relevant witnesses and, thus, the chance to assess their credibility.</w:t>
      </w:r>
      <w:r w:rsidRPr="003D7BC6">
        <w:rPr>
          <w:rFonts w:ascii="Arial" w:hAnsi="Arial" w:cs="Arial"/>
          <w:b/>
          <w:bCs/>
          <w:lang w:val="en-US"/>
        </w:rPr>
        <w:t xml:space="preserve"> </w:t>
      </w:r>
      <w:r w:rsidRPr="003D7BC6">
        <w:rPr>
          <w:rFonts w:ascii="Arial" w:hAnsi="Arial" w:cs="Arial"/>
          <w:lang w:val="en-US"/>
        </w:rPr>
        <w:t>While the Court is not bound by the findings of facts of domestic courts, it will require “cogent elements” for it to depart from such findings.</w:t>
      </w:r>
      <w:r w:rsidRPr="003D7BC6">
        <w:rPr>
          <w:rStyle w:val="Appelnotedebasdep"/>
          <w:rFonts w:ascii="Arial" w:hAnsi="Arial" w:cs="Arial"/>
          <w:lang w:val="en-US"/>
        </w:rPr>
        <w:footnoteReference w:id="128"/>
      </w:r>
    </w:p>
    <w:p w14:paraId="0C3D9C47" w14:textId="77777777" w:rsidR="002218C4" w:rsidRDefault="002218C4" w:rsidP="002218C4">
      <w:pPr>
        <w:pStyle w:val="ECHRParaSpaced"/>
        <w:ind w:firstLine="340"/>
        <w:rPr>
          <w:rFonts w:ascii="Arial" w:hAnsi="Arial" w:cs="Arial"/>
        </w:rPr>
      </w:pPr>
      <w:r w:rsidRPr="003D7BC6">
        <w:rPr>
          <w:rFonts w:ascii="Arial" w:hAnsi="Arial" w:cs="Arial"/>
        </w:rPr>
        <w:t>8</w:t>
      </w:r>
      <w:r>
        <w:rPr>
          <w:rFonts w:ascii="Arial" w:hAnsi="Arial" w:cs="Arial"/>
        </w:rPr>
        <w:t>2</w:t>
      </w:r>
      <w:r w:rsidRPr="003D7BC6">
        <w:rPr>
          <w:rFonts w:ascii="Arial" w:hAnsi="Arial" w:cs="Arial"/>
        </w:rPr>
        <w:t xml:space="preserve">. </w:t>
      </w:r>
      <w:r w:rsidRPr="003D7BC6">
        <w:rPr>
          <w:rFonts w:ascii="Arial" w:hAnsi="Arial" w:cs="Arial"/>
          <w:lang w:val="en-US"/>
        </w:rPr>
        <w:t xml:space="preserve">The Court may </w:t>
      </w:r>
      <w:r w:rsidRPr="003D7BC6">
        <w:rPr>
          <w:rFonts w:ascii="Arial" w:hAnsi="Arial" w:cs="Arial"/>
          <w:b/>
          <w:bCs/>
          <w:i/>
          <w:iCs/>
          <w:lang w:val="en-US"/>
        </w:rPr>
        <w:t>draw adverse inferences</w:t>
      </w:r>
      <w:r w:rsidRPr="003D7BC6">
        <w:rPr>
          <w:rFonts w:ascii="Arial" w:hAnsi="Arial" w:cs="Arial"/>
          <w:lang w:val="en-US"/>
        </w:rPr>
        <w:t xml:space="preserve"> from the failure of the Parties to observe their obligation to furnish all necessary facilities for the Court’s examination of the case under Article 38 of the Convention</w:t>
      </w:r>
      <w:r w:rsidRPr="003D7BC6">
        <w:rPr>
          <w:rFonts w:ascii="Arial" w:hAnsi="Arial" w:cs="Arial"/>
        </w:rPr>
        <w:t>. This principle is also explicitly foreseen in Rule 44C of the Rules of Court which provides that “[w]here a party fails to adduce evidence or provide information requested by the Court or to divulge relevant information of its own motion or otherwise fails to participate effectively in the proceedings, the Court may draw such inferences as it deems appropriate”.   In describing the character and content of the obligation to furnish all necessary facilities under Article 38 of the Convention references are made to the principles that the Court has established in individual applications concerning the procedural obligation not to hinder the effective exercise of the right of petition under Article 34 given the fact that the Court applies such principles to inter-State applications.</w:t>
      </w:r>
      <w:r w:rsidRPr="003D7BC6">
        <w:rPr>
          <w:rStyle w:val="Appelnotedebasdep"/>
          <w:rFonts w:ascii="Arial" w:hAnsi="Arial" w:cs="Arial"/>
        </w:rPr>
        <w:footnoteReference w:id="129"/>
      </w:r>
      <w:r w:rsidRPr="003D7BC6">
        <w:rPr>
          <w:rFonts w:ascii="Arial" w:hAnsi="Arial" w:cs="Arial"/>
        </w:rPr>
        <w:t xml:space="preserve"> </w:t>
      </w:r>
    </w:p>
    <w:p w14:paraId="32A11A33" w14:textId="77777777" w:rsidR="002218C4" w:rsidRDefault="002218C4" w:rsidP="002218C4">
      <w:pPr>
        <w:pStyle w:val="ECHRParaSpaced"/>
        <w:ind w:firstLine="340"/>
        <w:rPr>
          <w:rFonts w:ascii="Arial" w:hAnsi="Arial" w:cs="Arial"/>
        </w:rPr>
      </w:pPr>
      <w:r w:rsidRPr="003D7BC6">
        <w:rPr>
          <w:rFonts w:ascii="Arial" w:hAnsi="Arial" w:cs="Arial"/>
        </w:rPr>
        <w:t>8</w:t>
      </w:r>
      <w:r>
        <w:rPr>
          <w:rFonts w:ascii="Arial" w:hAnsi="Arial" w:cs="Arial"/>
        </w:rPr>
        <w:t>3</w:t>
      </w:r>
      <w:r w:rsidRPr="003D7BC6">
        <w:rPr>
          <w:rFonts w:ascii="Arial" w:hAnsi="Arial" w:cs="Arial"/>
        </w:rPr>
        <w:t xml:space="preserve">. The </w:t>
      </w:r>
      <w:r w:rsidRPr="003D7BC6">
        <w:rPr>
          <w:rFonts w:ascii="Arial" w:hAnsi="Arial" w:cs="Arial"/>
          <w:b/>
          <w:bCs/>
          <w:i/>
          <w:iCs/>
        </w:rPr>
        <w:t>obligation to furnish all necessary facilities</w:t>
      </w:r>
      <w:r w:rsidRPr="003D7BC6">
        <w:rPr>
          <w:rFonts w:ascii="Arial" w:hAnsi="Arial" w:cs="Arial"/>
        </w:rPr>
        <w:t xml:space="preserve"> is of utmost importance for the effective operation of the system of individual petition instituted under Article 34 of the Convention and it applies when the Court performs its general duties as regards the examination of applications or when it carries out a fact-finding investigation.</w:t>
      </w:r>
      <w:r w:rsidRPr="003D7BC6">
        <w:rPr>
          <w:rStyle w:val="Appelnotedebasdep"/>
          <w:rFonts w:ascii="Arial" w:hAnsi="Arial" w:cs="Arial"/>
        </w:rPr>
        <w:footnoteReference w:id="130"/>
      </w:r>
      <w:r w:rsidRPr="003D7BC6">
        <w:rPr>
          <w:rFonts w:ascii="Arial" w:hAnsi="Arial" w:cs="Arial"/>
        </w:rPr>
        <w:t xml:space="preserve"> The obligation under Article 38 is </w:t>
      </w:r>
      <w:r w:rsidRPr="003D7BC6">
        <w:rPr>
          <w:rStyle w:val="sb8d990e2"/>
          <w:rFonts w:ascii="Arial" w:hAnsi="Arial" w:cs="Arial"/>
        </w:rPr>
        <w:t>corollary to the obligation under Article 34 but autonomous in character.</w:t>
      </w:r>
      <w:r w:rsidRPr="003D7BC6">
        <w:rPr>
          <w:rStyle w:val="Appelnotedebasdep"/>
          <w:rFonts w:ascii="Arial" w:hAnsi="Arial" w:cs="Arial"/>
        </w:rPr>
        <w:footnoteReference w:id="131"/>
      </w:r>
      <w:r w:rsidRPr="003D7BC6">
        <w:rPr>
          <w:rStyle w:val="sb8d990e2"/>
          <w:rFonts w:ascii="Arial" w:hAnsi="Arial" w:cs="Arial"/>
        </w:rPr>
        <w:t xml:space="preserve"> </w:t>
      </w:r>
      <w:r w:rsidRPr="003D7BC6">
        <w:rPr>
          <w:rFonts w:ascii="Arial" w:hAnsi="Arial" w:cs="Arial"/>
        </w:rPr>
        <w:t>Both provisions work together to guarantee the efficient conduct of the judicial proceedings and they relate to matters of procedure rather than to the merits of the applicants’ grievances under the substantive provisions of the Convention or its Protocols.</w:t>
      </w:r>
      <w:r w:rsidRPr="003D7BC6">
        <w:rPr>
          <w:rStyle w:val="Appelnotedebasdep"/>
          <w:rFonts w:ascii="Arial" w:hAnsi="Arial" w:cs="Arial"/>
        </w:rPr>
        <w:footnoteReference w:id="132"/>
      </w:r>
      <w:r w:rsidRPr="003D7BC6">
        <w:rPr>
          <w:rFonts w:ascii="Arial" w:hAnsi="Arial" w:cs="Arial"/>
        </w:rPr>
        <w:t xml:space="preserve"> It has been customary for the Court to examine the Government’s compliance with their procedural obligations under Article 38 of the Convention at the outset, especially if negative inferences are to be drawn from the Government’s failure to submit the requested evidence.</w:t>
      </w:r>
      <w:r w:rsidRPr="003D7BC6">
        <w:rPr>
          <w:rStyle w:val="Appelnotedebasdep"/>
          <w:rFonts w:ascii="Arial" w:hAnsi="Arial" w:cs="Arial"/>
        </w:rPr>
        <w:footnoteReference w:id="133"/>
      </w:r>
      <w:r w:rsidRPr="003D7BC6">
        <w:rPr>
          <w:rFonts w:ascii="Arial" w:hAnsi="Arial" w:cs="Arial"/>
        </w:rPr>
        <w:t xml:space="preserve"> </w:t>
      </w:r>
      <w:r w:rsidRPr="003D7BC6">
        <w:rPr>
          <w:rStyle w:val="sb8d990e2"/>
          <w:rFonts w:ascii="Arial" w:hAnsi="Arial" w:cs="Arial"/>
        </w:rPr>
        <w:t xml:space="preserve">The Court may establish a failure by the respondent Government to comply with </w:t>
      </w:r>
      <w:r w:rsidRPr="003D7BC6">
        <w:rPr>
          <w:rStyle w:val="sb8d990e2"/>
          <w:rFonts w:ascii="Arial" w:hAnsi="Arial" w:cs="Arial"/>
        </w:rPr>
        <w:lastRenderedPageBreak/>
        <w:t>its procedural obligations even in the absence of any admissible complaint about a violation of a substantive Convention right. Furthermore, it is not required that the Government’s alleged interference should have actually restricted, or had any appreciable impact on, the exercise of the right of individual petition. The Contracting Party’s procedural obligations under Articles 34 and 38 of the Convention must be observed irrespective of the eventual outcome of the proceedings and in such a manner as to avoid any actual or potential chilling effect on the applicants or their representatives.</w:t>
      </w:r>
      <w:r w:rsidRPr="003D7BC6">
        <w:rPr>
          <w:rStyle w:val="Appelnotedebasdep"/>
          <w:rFonts w:ascii="Arial" w:hAnsi="Arial" w:cs="Arial"/>
        </w:rPr>
        <w:footnoteReference w:id="134"/>
      </w:r>
      <w:r w:rsidRPr="003D7BC6">
        <w:rPr>
          <w:rFonts w:ascii="Arial" w:hAnsi="Arial" w:cs="Arial"/>
        </w:rPr>
        <w:t xml:space="preserve"> </w:t>
      </w:r>
    </w:p>
    <w:p w14:paraId="6976D82A" w14:textId="77777777" w:rsidR="002218C4" w:rsidRPr="003D7BC6" w:rsidRDefault="002218C4" w:rsidP="002218C4">
      <w:pPr>
        <w:pStyle w:val="ECHRParaSpaced"/>
        <w:ind w:firstLine="340"/>
        <w:rPr>
          <w:rFonts w:ascii="Arial" w:hAnsi="Arial" w:cs="Arial"/>
        </w:rPr>
      </w:pPr>
      <w:r w:rsidRPr="003D7BC6">
        <w:rPr>
          <w:rFonts w:ascii="Arial" w:hAnsi="Arial" w:cs="Arial"/>
        </w:rPr>
        <w:t>8</w:t>
      </w:r>
      <w:r>
        <w:rPr>
          <w:rFonts w:ascii="Arial" w:hAnsi="Arial" w:cs="Arial"/>
        </w:rPr>
        <w:t>4</w:t>
      </w:r>
      <w:r w:rsidRPr="003D7BC6">
        <w:rPr>
          <w:rFonts w:ascii="Arial" w:hAnsi="Arial" w:cs="Arial"/>
        </w:rPr>
        <w:t>. The obligation to furnish the evidence requested by the Court is binding on the respondent Government from the moment such a request has been formulated, whether it is on initial communication of an application to the Government or at a subsequent stage in the proceedings.</w:t>
      </w:r>
      <w:r w:rsidRPr="003D7BC6">
        <w:rPr>
          <w:rStyle w:val="Appelnotedebasdep"/>
          <w:rFonts w:ascii="Arial" w:hAnsi="Arial" w:cs="Arial"/>
        </w:rPr>
        <w:footnoteReference w:id="135"/>
      </w:r>
      <w:r w:rsidRPr="003D7BC6">
        <w:rPr>
          <w:rFonts w:ascii="Arial" w:hAnsi="Arial" w:cs="Arial"/>
        </w:rPr>
        <w:t xml:space="preserve"> It is a fundamental requirement that the requested material be submitted in its entirety, if the Court has so directed, and that any missing elements be properly accounted for.</w:t>
      </w:r>
      <w:r w:rsidRPr="003D7BC6">
        <w:rPr>
          <w:rStyle w:val="Appelnotedebasdep"/>
          <w:rFonts w:ascii="Arial" w:hAnsi="Arial" w:cs="Arial"/>
        </w:rPr>
        <w:footnoteReference w:id="136"/>
      </w:r>
      <w:r w:rsidRPr="003D7BC6">
        <w:rPr>
          <w:rFonts w:ascii="Arial" w:hAnsi="Arial" w:cs="Arial"/>
        </w:rPr>
        <w:t xml:space="preserve"> In addition, any material requested must be produced promptly and, in any event, within the time-limit fixed by the Court, because a substantial and unexplained delay may lead the Court to find the respondent State’s explanations unconvincing.</w:t>
      </w:r>
      <w:r w:rsidRPr="003D7BC6">
        <w:rPr>
          <w:rStyle w:val="Appelnotedebasdep"/>
          <w:rFonts w:ascii="Arial" w:hAnsi="Arial" w:cs="Arial"/>
        </w:rPr>
        <w:footnoteReference w:id="137"/>
      </w:r>
    </w:p>
    <w:p w14:paraId="0F4FA199" w14:textId="77777777" w:rsidR="002218C4" w:rsidRDefault="002218C4" w:rsidP="002218C4">
      <w:pPr>
        <w:pStyle w:val="ECHRParaSpaced"/>
        <w:ind w:firstLine="340"/>
        <w:rPr>
          <w:rFonts w:ascii="Arial" w:hAnsi="Arial" w:cs="Arial"/>
        </w:rPr>
      </w:pPr>
      <w:r w:rsidRPr="003D7BC6">
        <w:rPr>
          <w:rFonts w:ascii="Arial" w:hAnsi="Arial" w:cs="Arial"/>
        </w:rPr>
        <w:t>8</w:t>
      </w:r>
      <w:r>
        <w:rPr>
          <w:rFonts w:ascii="Arial" w:hAnsi="Arial" w:cs="Arial"/>
        </w:rPr>
        <w:t>5</w:t>
      </w:r>
      <w:r w:rsidRPr="003D7BC6">
        <w:rPr>
          <w:rFonts w:ascii="Arial" w:hAnsi="Arial" w:cs="Arial"/>
        </w:rPr>
        <w:t xml:space="preserve">. The notion of furnishing the necessary facilities under Article 38 includes </w:t>
      </w:r>
      <w:r w:rsidRPr="003D7BC6">
        <w:rPr>
          <w:rFonts w:ascii="Arial" w:hAnsi="Arial" w:cs="Arial"/>
          <w:i/>
        </w:rPr>
        <w:t>inter alia</w:t>
      </w:r>
      <w:r w:rsidRPr="003D7BC6">
        <w:rPr>
          <w:rFonts w:ascii="Arial" w:hAnsi="Arial" w:cs="Arial"/>
        </w:rPr>
        <w:t xml:space="preserve"> submitting documentary evidence to the Court, identifying, locating and ensuring the attendance of witnesses at hearings and replying to questions asked by the Court. Not every failure to co-operate with the Court will amount to a breach of Article 38 of the Convention. The Court assesses in each case whether the extent of non-cooperation has been such as to prejudice the establishment of the facts or to otherwise prevent a proper examination of the case.</w:t>
      </w:r>
      <w:r w:rsidRPr="003D7BC6">
        <w:rPr>
          <w:rStyle w:val="Appelnotedebasdep"/>
          <w:rFonts w:ascii="Arial" w:hAnsi="Arial" w:cs="Arial"/>
        </w:rPr>
        <w:footnoteReference w:id="138"/>
      </w:r>
    </w:p>
    <w:p w14:paraId="7CF711FE" w14:textId="77777777" w:rsidR="002218C4" w:rsidRDefault="002218C4" w:rsidP="002218C4">
      <w:pPr>
        <w:pStyle w:val="ECHRParaSpaced"/>
        <w:ind w:firstLine="340"/>
        <w:rPr>
          <w:rFonts w:ascii="Arial" w:hAnsi="Arial" w:cs="Arial"/>
        </w:rPr>
      </w:pPr>
      <w:r w:rsidRPr="003D7BC6">
        <w:rPr>
          <w:rFonts w:ascii="Arial" w:hAnsi="Arial" w:cs="Arial"/>
          <w:lang w:val="en-US"/>
        </w:rPr>
        <w:t>8</w:t>
      </w:r>
      <w:r>
        <w:rPr>
          <w:rFonts w:ascii="Arial" w:hAnsi="Arial" w:cs="Arial"/>
          <w:lang w:val="en-US"/>
        </w:rPr>
        <w:t>6</w:t>
      </w:r>
      <w:r w:rsidRPr="003D7BC6">
        <w:rPr>
          <w:rFonts w:ascii="Arial" w:hAnsi="Arial" w:cs="Arial"/>
          <w:lang w:val="en-US"/>
        </w:rPr>
        <w:t xml:space="preserve">. </w:t>
      </w:r>
      <w:r w:rsidRPr="003D7BC6">
        <w:rPr>
          <w:rStyle w:val="sb8d990e2"/>
          <w:rFonts w:ascii="Arial" w:hAnsi="Arial" w:cs="Arial"/>
        </w:rPr>
        <w:t>When the Court considers that the respondent Government has exclusive access to information capable of corroborating or refuting the applicant Government’s allegations, any lack of cooperation by the Government without a satisfactory explanation may give rise to the drawing of inferences as to the well-</w:t>
      </w:r>
      <w:proofErr w:type="spellStart"/>
      <w:r w:rsidRPr="003D7BC6">
        <w:rPr>
          <w:rStyle w:val="sb8d990e2"/>
          <w:rFonts w:ascii="Arial" w:hAnsi="Arial" w:cs="Arial"/>
        </w:rPr>
        <w:t>foundedness</w:t>
      </w:r>
      <w:proofErr w:type="spellEnd"/>
      <w:r w:rsidRPr="003D7BC6">
        <w:rPr>
          <w:rStyle w:val="sb8d990e2"/>
          <w:rFonts w:ascii="Arial" w:hAnsi="Arial" w:cs="Arial"/>
        </w:rPr>
        <w:t xml:space="preserve"> of the applicant Government’s allegations</w:t>
      </w:r>
      <w:r w:rsidRPr="003D7BC6">
        <w:rPr>
          <w:rStyle w:val="Appelnotedebasdep"/>
          <w:rFonts w:ascii="Arial" w:hAnsi="Arial" w:cs="Arial"/>
        </w:rPr>
        <w:footnoteReference w:id="139"/>
      </w:r>
      <w:r w:rsidRPr="003D7BC6">
        <w:rPr>
          <w:rStyle w:val="sb8d990e2"/>
          <w:rFonts w:ascii="Arial" w:hAnsi="Arial" w:cs="Arial"/>
        </w:rPr>
        <w:t xml:space="preserve"> and may also reflect negatively on the level of compliance by a respondent State with its obligations under Article 38 of the Convention.</w:t>
      </w:r>
      <w:r w:rsidRPr="003D7BC6">
        <w:rPr>
          <w:rStyle w:val="Appelnotedebasdep"/>
          <w:rFonts w:ascii="Arial" w:hAnsi="Arial" w:cs="Arial"/>
        </w:rPr>
        <w:footnoteReference w:id="140"/>
      </w:r>
      <w:r w:rsidRPr="003D7BC6">
        <w:rPr>
          <w:rStyle w:val="sb8d990e2"/>
          <w:rFonts w:ascii="Arial" w:hAnsi="Arial" w:cs="Arial"/>
        </w:rPr>
        <w:t xml:space="preserve"> </w:t>
      </w:r>
      <w:r w:rsidRPr="003D7BC6">
        <w:rPr>
          <w:rFonts w:ascii="Arial" w:hAnsi="Arial" w:cs="Arial"/>
          <w:lang w:val="en-US"/>
        </w:rPr>
        <w:t>When applicants are unable to obtain certain documents to submit evidence to the Court in support of their allegations and where it is clear that such documents can only be obtained with the assistance of the national authorities, the Court may request the representatives of the respondent State to obtain them from the national authorities and make them available to the Court. Furthermore, in the light of the information already in its possession, the Court itself may also identify and request further documents from the respondent Government. The Court has found that a respondent Government has not complied with the requirements of Article 38 where it failed to submit the requested documents, or if they are not submitted within the requested time and did not provide an explanation for the refusal to submit documents to the Court</w:t>
      </w:r>
      <w:r w:rsidRPr="003D7BC6">
        <w:rPr>
          <w:rStyle w:val="Appelnotedebasdep"/>
          <w:rFonts w:ascii="Arial" w:hAnsi="Arial" w:cs="Arial"/>
          <w:lang w:val="en-US"/>
        </w:rPr>
        <w:footnoteReference w:id="141"/>
      </w:r>
      <w:r w:rsidRPr="003D7BC6">
        <w:rPr>
          <w:rFonts w:ascii="Arial" w:hAnsi="Arial" w:cs="Arial"/>
          <w:lang w:val="en-US"/>
        </w:rPr>
        <w:t xml:space="preserve"> or where it submitted an incomplete or distorted copy while refusing to produce the original document for the Court’s inspection.</w:t>
      </w:r>
      <w:r w:rsidRPr="003D7BC6">
        <w:rPr>
          <w:rStyle w:val="Appelnotedebasdep"/>
          <w:rFonts w:ascii="Arial" w:hAnsi="Arial" w:cs="Arial"/>
          <w:lang w:val="en-US"/>
        </w:rPr>
        <w:footnoteReference w:id="142"/>
      </w:r>
      <w:r w:rsidRPr="003D7BC6">
        <w:rPr>
          <w:rStyle w:val="sb8d990e2"/>
          <w:rFonts w:ascii="Arial" w:hAnsi="Arial" w:cs="Arial"/>
        </w:rPr>
        <w:t xml:space="preserve"> </w:t>
      </w:r>
    </w:p>
    <w:p w14:paraId="2D7A2BF2" w14:textId="77777777" w:rsidR="002218C4" w:rsidRDefault="002218C4" w:rsidP="002218C4">
      <w:pPr>
        <w:pStyle w:val="ECHRParaSpaced"/>
        <w:ind w:firstLine="340"/>
        <w:rPr>
          <w:rStyle w:val="sb8d990e2"/>
          <w:rFonts w:ascii="Arial" w:hAnsi="Arial" w:cs="Arial"/>
        </w:rPr>
      </w:pPr>
      <w:r>
        <w:rPr>
          <w:rStyle w:val="sb8d990e2"/>
          <w:rFonts w:ascii="Arial" w:eastAsiaTheme="minorEastAsia" w:hAnsi="Arial" w:cs="Arial"/>
        </w:rPr>
        <w:lastRenderedPageBreak/>
        <w:t>87</w:t>
      </w:r>
      <w:r w:rsidRPr="003D7BC6">
        <w:rPr>
          <w:rStyle w:val="sb8d990e2"/>
          <w:rFonts w:ascii="Arial" w:eastAsiaTheme="minorEastAsia" w:hAnsi="Arial" w:cs="Arial"/>
        </w:rPr>
        <w:t>. If the respondent Government advances confidentiality or security considerations as the reason for its failure to produce the evidence requested, the Court has to convince itself that reasonable and solid grounds exist for treating the documents in question as secret or confidential.</w:t>
      </w:r>
      <w:r w:rsidRPr="003D7BC6">
        <w:rPr>
          <w:rStyle w:val="Appelnotedebasdep"/>
          <w:rFonts w:ascii="Arial" w:eastAsiaTheme="minorEastAsia" w:hAnsi="Arial" w:cs="Arial"/>
        </w:rPr>
        <w:footnoteReference w:id="143"/>
      </w:r>
      <w:r w:rsidRPr="003D7BC6">
        <w:rPr>
          <w:rStyle w:val="sb8d990e2"/>
          <w:rFonts w:ascii="Arial" w:eastAsiaTheme="minorEastAsia" w:hAnsi="Arial" w:cs="Arial"/>
        </w:rPr>
        <w:t xml:space="preserve"> The Court may also propose practical arrangements or consider such proposed arrangements by the Parties to submit non-confidential extracts when the respondent Government refuses to submit documents requested by the Court on the grounds that the documents in question constituted a State secret.</w:t>
      </w:r>
      <w:r w:rsidRPr="003D7BC6">
        <w:rPr>
          <w:rStyle w:val="Appelnotedebasdep"/>
          <w:rFonts w:ascii="Arial" w:eastAsiaTheme="minorEastAsia" w:hAnsi="Arial" w:cs="Arial"/>
        </w:rPr>
        <w:footnoteReference w:id="144"/>
      </w:r>
      <w:r w:rsidRPr="003D7BC6">
        <w:rPr>
          <w:rStyle w:val="sb8d990e2"/>
          <w:rFonts w:ascii="Arial" w:eastAsiaTheme="minorEastAsia" w:hAnsi="Arial" w:cs="Arial"/>
        </w:rPr>
        <w:t xml:space="preserve"> </w:t>
      </w:r>
    </w:p>
    <w:p w14:paraId="42F4A154" w14:textId="77777777" w:rsidR="002218C4" w:rsidRPr="009E0AFB" w:rsidRDefault="002218C4" w:rsidP="002218C4">
      <w:pPr>
        <w:pStyle w:val="ECHRParaSpaced"/>
        <w:ind w:firstLine="340"/>
        <w:rPr>
          <w:rStyle w:val="sb8d990e2"/>
          <w:rFonts w:ascii="Arial" w:eastAsiaTheme="minorEastAsia" w:hAnsi="Arial" w:cs="Arial"/>
        </w:rPr>
      </w:pPr>
      <w:r>
        <w:rPr>
          <w:rStyle w:val="sb8d990e2"/>
          <w:rFonts w:ascii="Arial" w:eastAsiaTheme="minorEastAsia" w:hAnsi="Arial" w:cs="Arial"/>
        </w:rPr>
        <w:t>88</w:t>
      </w:r>
      <w:r w:rsidRPr="003D7BC6">
        <w:rPr>
          <w:rStyle w:val="sb8d990e2"/>
          <w:rFonts w:ascii="Arial" w:eastAsiaTheme="minorEastAsia" w:hAnsi="Arial" w:cs="Arial"/>
        </w:rPr>
        <w:t>. Where documents are classified as state secret the respondent Government may not be able to base itself on provisions of domestic law to justify its refusal to comply with the Court’s request for the production of the evidence but should instead provide an explanation for the secrecy of the information.</w:t>
      </w:r>
      <w:r w:rsidRPr="003D7BC6">
        <w:rPr>
          <w:rStyle w:val="Appelnotedebasdep"/>
          <w:rFonts w:ascii="Arial" w:eastAsiaTheme="minorEastAsia" w:hAnsi="Arial" w:cs="Arial"/>
        </w:rPr>
        <w:footnoteReference w:id="145"/>
      </w:r>
      <w:r w:rsidRPr="003D7BC6">
        <w:rPr>
          <w:rStyle w:val="sb8d990e2"/>
          <w:rFonts w:ascii="Arial" w:eastAsiaTheme="minorEastAsia" w:hAnsi="Arial" w:cs="Arial"/>
        </w:rPr>
        <w:t xml:space="preserve"> The Court may review the nature of the information that is classified as secret taking into account whether the document was known to anyone outside the secret intelligence and the highest State officials.</w:t>
      </w:r>
      <w:r w:rsidRPr="003D7BC6">
        <w:rPr>
          <w:rStyle w:val="Appelnotedebasdep"/>
          <w:rFonts w:ascii="Arial" w:eastAsiaTheme="minorEastAsia" w:hAnsi="Arial" w:cs="Arial"/>
        </w:rPr>
        <w:footnoteReference w:id="146"/>
      </w:r>
      <w:r w:rsidRPr="003D7BC6">
        <w:rPr>
          <w:rStyle w:val="sb8d990e2"/>
          <w:rFonts w:ascii="Arial" w:eastAsiaTheme="minorEastAsia" w:hAnsi="Arial" w:cs="Arial"/>
        </w:rPr>
        <w:t xml:space="preserve"> In one particular case the Court was not convinced that the domestic law did not lay down a procedure for communicating classified information to an international organisation. The Court pointed out that, if there existed legitimate national security concerns, the Government should have edited out the sensitive passages or supplied a summary of the relevant factual grounds. The supposedly highly sensitive nature of information was cast into doubt once it became clear that lay persons, such as counsel for the claimant in a civil case, could take cognisance of the document in question.</w:t>
      </w:r>
      <w:r w:rsidRPr="003D7BC6">
        <w:rPr>
          <w:rStyle w:val="Appelnotedebasdep"/>
          <w:rFonts w:ascii="Arial" w:eastAsiaTheme="minorEastAsia" w:hAnsi="Arial" w:cs="Arial"/>
        </w:rPr>
        <w:footnoteReference w:id="147"/>
      </w:r>
      <w:r w:rsidRPr="003D7BC6">
        <w:rPr>
          <w:rStyle w:val="sb8d990e2"/>
          <w:rFonts w:ascii="Arial" w:eastAsiaTheme="minorEastAsia" w:hAnsi="Arial" w:cs="Arial"/>
        </w:rPr>
        <w:t xml:space="preserve"> Rule 33 of the Rules of Court regulates issues regarding public access and restrictions to documents submitted by the Parties to the Registry of the Court.</w:t>
      </w:r>
      <w:r w:rsidRPr="003D7BC6">
        <w:rPr>
          <w:rStyle w:val="Appelnotedebasdep"/>
          <w:rFonts w:ascii="Arial" w:eastAsiaTheme="minorEastAsia" w:hAnsi="Arial" w:cs="Arial"/>
        </w:rPr>
        <w:footnoteReference w:id="148"/>
      </w:r>
      <w:r w:rsidRPr="003D7BC6">
        <w:rPr>
          <w:rStyle w:val="sb8d990e2"/>
          <w:rFonts w:ascii="Arial" w:eastAsiaTheme="minorEastAsia" w:hAnsi="Arial" w:cs="Arial"/>
        </w:rPr>
        <w:t xml:space="preserve"> </w:t>
      </w:r>
    </w:p>
    <w:p w14:paraId="3DDDF91E" w14:textId="77777777" w:rsidR="002218C4" w:rsidRPr="00560F13" w:rsidRDefault="002218C4" w:rsidP="002218C4">
      <w:pPr>
        <w:pStyle w:val="Titre2"/>
        <w:ind w:left="720"/>
        <w:rPr>
          <w:rFonts w:ascii="Arial" w:hAnsi="Arial" w:cs="Arial"/>
          <w:b/>
          <w:i/>
          <w:color w:val="1F497D" w:themeColor="text2"/>
          <w:sz w:val="24"/>
          <w:szCs w:val="24"/>
          <w:lang w:val="en-GB"/>
        </w:rPr>
      </w:pPr>
      <w:bookmarkStart w:id="57" w:name="_Toc45123273"/>
      <w:bookmarkStart w:id="58" w:name="_Toc83293371"/>
      <w:r w:rsidRPr="00560F13">
        <w:rPr>
          <w:rFonts w:ascii="Arial" w:hAnsi="Arial" w:cs="Arial"/>
          <w:iCs/>
          <w:color w:val="1F497D" w:themeColor="text2"/>
          <w:sz w:val="24"/>
          <w:szCs w:val="24"/>
          <w:lang w:val="en-GB"/>
        </w:rPr>
        <w:t>2</w:t>
      </w:r>
      <w:r w:rsidRPr="00560F13">
        <w:rPr>
          <w:rFonts w:ascii="Arial" w:hAnsi="Arial" w:cs="Arial"/>
          <w:i/>
          <w:color w:val="1F497D" w:themeColor="text2"/>
          <w:sz w:val="24"/>
          <w:szCs w:val="24"/>
          <w:lang w:val="en-GB"/>
        </w:rPr>
        <w:t>. Standard of proof</w:t>
      </w:r>
      <w:bookmarkEnd w:id="57"/>
      <w:bookmarkEnd w:id="58"/>
    </w:p>
    <w:p w14:paraId="07AAD96E" w14:textId="77777777" w:rsidR="002218C4" w:rsidRDefault="002218C4" w:rsidP="002218C4">
      <w:pPr>
        <w:pStyle w:val="ECHRParaSpaced"/>
        <w:ind w:firstLine="340"/>
        <w:rPr>
          <w:rFonts w:ascii="Arial" w:hAnsi="Arial" w:cs="Arial"/>
          <w:shd w:val="clear" w:color="auto" w:fill="D9D9D9" w:themeFill="background1" w:themeFillShade="D9"/>
        </w:rPr>
      </w:pPr>
      <w:r>
        <w:rPr>
          <w:rFonts w:ascii="Arial" w:hAnsi="Arial" w:cs="Arial"/>
        </w:rPr>
        <w:t>89</w:t>
      </w:r>
      <w:r w:rsidRPr="002C3F9C">
        <w:rPr>
          <w:rFonts w:ascii="Arial" w:hAnsi="Arial" w:cs="Arial"/>
        </w:rPr>
        <w:t xml:space="preserve">. At the </w:t>
      </w:r>
      <w:r w:rsidRPr="002C3F9C">
        <w:rPr>
          <w:rFonts w:ascii="Arial" w:hAnsi="Arial" w:cs="Arial"/>
          <w:b/>
          <w:bCs/>
          <w:i/>
          <w:iCs/>
        </w:rPr>
        <w:t>stage of admissibility</w:t>
      </w:r>
      <w:r w:rsidRPr="002C3F9C">
        <w:rPr>
          <w:rFonts w:ascii="Arial" w:hAnsi="Arial" w:cs="Arial"/>
        </w:rPr>
        <w:t xml:space="preserve">, the Court holds that the appropriate standard of proof of an inter-State application regarding allegations of an administrative practice of human rights violations is substantiated </w:t>
      </w:r>
      <w:r w:rsidRPr="002C3F9C">
        <w:rPr>
          <w:rFonts w:ascii="Arial" w:hAnsi="Arial" w:cs="Arial"/>
          <w:i/>
          <w:iCs/>
        </w:rPr>
        <w:t>prima facie</w:t>
      </w:r>
      <w:r w:rsidRPr="002C3F9C">
        <w:rPr>
          <w:rFonts w:ascii="Arial" w:hAnsi="Arial" w:cs="Arial"/>
        </w:rPr>
        <w:t xml:space="preserve"> evidence.</w:t>
      </w:r>
      <w:r w:rsidRPr="002C3F9C">
        <w:rPr>
          <w:rStyle w:val="Appelnotedebasdep"/>
          <w:rFonts w:ascii="Arial" w:hAnsi="Arial" w:cs="Arial"/>
        </w:rPr>
        <w:footnoteReference w:id="149"/>
      </w:r>
      <w:r w:rsidRPr="002C3F9C">
        <w:rPr>
          <w:rFonts w:ascii="Arial" w:hAnsi="Arial" w:cs="Arial"/>
        </w:rPr>
        <w:t xml:space="preserve"> This threshold needs to be satisfied in order to render the exhaustion of remedies requirement inapplicable to such inter-State complaints. Only if both component elements of the alleged “administrative practice” (the “repetition of acts” and “official tolerance”) are sufficiently substantiated by </w:t>
      </w:r>
      <w:r w:rsidRPr="002C3F9C">
        <w:rPr>
          <w:rFonts w:ascii="Arial" w:hAnsi="Arial" w:cs="Arial"/>
          <w:i/>
          <w:iCs/>
        </w:rPr>
        <w:t>prima facie</w:t>
      </w:r>
      <w:r w:rsidRPr="002C3F9C">
        <w:rPr>
          <w:rFonts w:ascii="Arial" w:hAnsi="Arial" w:cs="Arial"/>
        </w:rPr>
        <w:t xml:space="preserve"> evidence</w:t>
      </w:r>
      <w:r>
        <w:rPr>
          <w:rFonts w:ascii="Arial" w:hAnsi="Arial" w:cs="Arial"/>
        </w:rPr>
        <w:t>,</w:t>
      </w:r>
      <w:r w:rsidRPr="002C3F9C">
        <w:rPr>
          <w:rFonts w:ascii="Arial" w:hAnsi="Arial" w:cs="Arial"/>
        </w:rPr>
        <w:t xml:space="preserve"> the exhaustion rule under Article 35 § 1 of the Convention does not apply. In the absence of such evidence, it will not be necessary for the Court to go on to consider whether there are other grounds, such as the ineffectiveness of domestic remedies, which exempt the applicant Government from the exhaustion requirement. In that event, as noted above, the complaint of an administrative practice cannot on substantive grounds be viewed as admissible and warranting the Court’s examination on the merits.</w:t>
      </w:r>
      <w:r w:rsidRPr="002C3F9C">
        <w:rPr>
          <w:rStyle w:val="Appelnotedebasdep"/>
          <w:rFonts w:ascii="Arial" w:hAnsi="Arial" w:cs="Arial"/>
        </w:rPr>
        <w:footnoteReference w:id="150"/>
      </w:r>
      <w:r w:rsidRPr="002C3F9C">
        <w:rPr>
          <w:rFonts w:ascii="Arial" w:hAnsi="Arial" w:cs="Arial"/>
        </w:rPr>
        <w:t xml:space="preserve"> Any conclusion by the Court as to the admissibility of the complaint of an administrative practice is without prejudice to the question whether the existence of an administrative practice is at a later stage </w:t>
      </w:r>
      <w:r w:rsidRPr="002C3F9C">
        <w:rPr>
          <w:rFonts w:ascii="Arial" w:hAnsi="Arial" w:cs="Arial"/>
        </w:rPr>
        <w:lastRenderedPageBreak/>
        <w:t>established on the merits “beyond reasonable doubt”, and if so, whether in this respect any responsibility under the Convention could be attributed to the respondent State. These are questions which can only be determined after an examination of the merits.</w:t>
      </w:r>
      <w:r w:rsidRPr="002C3F9C">
        <w:rPr>
          <w:rStyle w:val="Appelnotedebasdep"/>
          <w:rFonts w:ascii="Arial" w:hAnsi="Arial" w:cs="Arial"/>
        </w:rPr>
        <w:footnoteReference w:id="151"/>
      </w:r>
    </w:p>
    <w:p w14:paraId="40640928" w14:textId="77777777" w:rsidR="002218C4" w:rsidRDefault="002218C4" w:rsidP="002218C4">
      <w:pPr>
        <w:pStyle w:val="ECHRParaSpaced"/>
        <w:ind w:firstLine="340"/>
        <w:rPr>
          <w:rFonts w:ascii="Arial" w:hAnsi="Arial" w:cs="Arial"/>
          <w:shd w:val="clear" w:color="auto" w:fill="D9D9D9" w:themeFill="background1" w:themeFillShade="D9"/>
        </w:rPr>
      </w:pPr>
      <w:r w:rsidRPr="002C3F9C">
        <w:rPr>
          <w:rFonts w:ascii="Arial" w:hAnsi="Arial" w:cs="Arial"/>
        </w:rPr>
        <w:t>9</w:t>
      </w:r>
      <w:r>
        <w:rPr>
          <w:rFonts w:ascii="Arial" w:hAnsi="Arial" w:cs="Arial"/>
        </w:rPr>
        <w:t>0</w:t>
      </w:r>
      <w:r w:rsidRPr="002C3F9C">
        <w:rPr>
          <w:rFonts w:ascii="Arial" w:hAnsi="Arial" w:cs="Arial"/>
        </w:rPr>
        <w:t xml:space="preserve">. Where the Court examined, at the admissibility stage, the question whether the matters complained </w:t>
      </w:r>
      <w:r>
        <w:rPr>
          <w:rFonts w:ascii="Arial" w:hAnsi="Arial" w:cs="Arial"/>
        </w:rPr>
        <w:t xml:space="preserve">of </w:t>
      </w:r>
      <w:r w:rsidRPr="002C3F9C">
        <w:rPr>
          <w:rFonts w:ascii="Arial" w:hAnsi="Arial" w:cs="Arial"/>
        </w:rPr>
        <w:t>by the applicant Government (specific allegations of an administrative practice adopted by the respondent State in violation of the Convention) fall within the jurisdiction of the respondent Government</w:t>
      </w:r>
      <w:r>
        <w:rPr>
          <w:rFonts w:ascii="Arial" w:hAnsi="Arial" w:cs="Arial"/>
        </w:rPr>
        <w:t>,</w:t>
      </w:r>
      <w:r w:rsidRPr="002C3F9C">
        <w:rPr>
          <w:rFonts w:ascii="Arial" w:hAnsi="Arial" w:cs="Arial"/>
        </w:rPr>
        <w:t xml:space="preserve"> the Court has found that the issue of the respondent State’s jurisdiction under Article 1 of the Convention must be examined to the “beyond reasonable doubt” standard of proof.</w:t>
      </w:r>
      <w:r w:rsidRPr="002C3F9C">
        <w:rPr>
          <w:rStyle w:val="Appelnotedebasdep"/>
          <w:rFonts w:ascii="Arial" w:hAnsi="Arial" w:cs="Arial"/>
        </w:rPr>
        <w:footnoteReference w:id="152"/>
      </w:r>
      <w:r w:rsidRPr="002C3F9C">
        <w:rPr>
          <w:rFonts w:ascii="Arial" w:hAnsi="Arial" w:cs="Arial"/>
        </w:rPr>
        <w:t xml:space="preserve"> It is understood that such proof may follow from the coexistence of sufficiently strong, clear and concordant inferences or of similar unrebutted presumptions of fact.</w:t>
      </w:r>
      <w:r w:rsidRPr="002C3F9C">
        <w:rPr>
          <w:rStyle w:val="Appelnotedebasdep"/>
          <w:rFonts w:ascii="Arial" w:hAnsi="Arial" w:cs="Arial"/>
        </w:rPr>
        <w:footnoteReference w:id="153"/>
      </w:r>
      <w:r w:rsidRPr="002C3F9C">
        <w:rPr>
          <w:rFonts w:ascii="Arial" w:hAnsi="Arial" w:cs="Arial"/>
        </w:rPr>
        <w:t xml:space="preserve"> The Court’s decision on this preliminary issue at this stage of the proceedings is without prejudice to the issues of attribution and responsibility of the respondent State under the Convention for the acts complained of, which fall to be examined at the merits phase of the proceedings.</w:t>
      </w:r>
      <w:r w:rsidRPr="002C3F9C">
        <w:rPr>
          <w:rStyle w:val="Appelnotedebasdep"/>
          <w:rFonts w:ascii="Arial" w:hAnsi="Arial" w:cs="Arial"/>
        </w:rPr>
        <w:footnoteReference w:id="154"/>
      </w:r>
      <w:r>
        <w:rPr>
          <w:rFonts w:ascii="Arial" w:hAnsi="Arial" w:cs="Arial"/>
        </w:rPr>
        <w:t xml:space="preserve"> </w:t>
      </w:r>
      <w:r w:rsidRPr="002C3F9C">
        <w:rPr>
          <w:rFonts w:ascii="Arial" w:hAnsi="Arial" w:cs="Arial"/>
        </w:rPr>
        <w:t>The Court’s conclusion at the admissibility stage that the alleged victims of the administrative practice complained by the applicant fall within the jurisdiction of the respondent State and that the Court, therefore, has competence to examine the application is without prejudice to the question of whether the respondent State is responsible under the Convention for the acts which form the basis of the applicant Government’s complaints which belongs to the merits phase of the Court’s procedure.</w:t>
      </w:r>
      <w:r w:rsidRPr="002C3F9C">
        <w:rPr>
          <w:rStyle w:val="Appelnotedebasdep"/>
          <w:rFonts w:ascii="Arial" w:hAnsi="Arial" w:cs="Arial"/>
        </w:rPr>
        <w:t xml:space="preserve"> </w:t>
      </w:r>
      <w:r w:rsidRPr="002C3F9C">
        <w:rPr>
          <w:rStyle w:val="Appelnotedebasdep"/>
          <w:rFonts w:ascii="Arial" w:hAnsi="Arial" w:cs="Arial"/>
        </w:rPr>
        <w:footnoteReference w:id="155"/>
      </w:r>
    </w:p>
    <w:p w14:paraId="58C02636" w14:textId="77777777" w:rsidR="002218C4" w:rsidRPr="002C3F9C" w:rsidRDefault="002218C4" w:rsidP="002218C4">
      <w:pPr>
        <w:pStyle w:val="ECHRParaSpaced"/>
        <w:ind w:firstLine="340"/>
        <w:rPr>
          <w:rStyle w:val="sb8d990e2"/>
          <w:rFonts w:ascii="Arial" w:hAnsi="Arial" w:cs="Arial"/>
          <w:shd w:val="clear" w:color="auto" w:fill="D9D9D9" w:themeFill="background1" w:themeFillShade="D9"/>
        </w:rPr>
      </w:pPr>
      <w:r w:rsidRPr="002C3F9C">
        <w:rPr>
          <w:rFonts w:ascii="Arial" w:hAnsi="Arial" w:cs="Arial"/>
        </w:rPr>
        <w:t>9</w:t>
      </w:r>
      <w:r>
        <w:rPr>
          <w:rFonts w:ascii="Arial" w:hAnsi="Arial" w:cs="Arial"/>
        </w:rPr>
        <w:t>2</w:t>
      </w:r>
      <w:r w:rsidRPr="002C3F9C">
        <w:rPr>
          <w:rFonts w:ascii="Arial" w:hAnsi="Arial" w:cs="Arial"/>
        </w:rPr>
        <w:t xml:space="preserve">. The standard of proof is not explicitly addressed in the provisions of the Convention or in the Rules of Court. </w:t>
      </w:r>
      <w:r w:rsidRPr="002C3F9C">
        <w:rPr>
          <w:rStyle w:val="sb8d990e2"/>
          <w:rFonts w:ascii="Arial" w:hAnsi="Arial" w:cs="Arial"/>
          <w:shd w:val="clear" w:color="auto" w:fill="FFFFFF"/>
        </w:rPr>
        <w:t>In its first inter-State cases</w:t>
      </w:r>
      <w:r>
        <w:rPr>
          <w:rStyle w:val="sb8d990e2"/>
          <w:rFonts w:ascii="Arial" w:hAnsi="Arial" w:cs="Arial"/>
          <w:shd w:val="clear" w:color="auto" w:fill="FFFFFF"/>
        </w:rPr>
        <w:t>,</w:t>
      </w:r>
      <w:r w:rsidRPr="002C3F9C">
        <w:rPr>
          <w:rStyle w:val="sb8d990e2"/>
          <w:rFonts w:ascii="Arial" w:hAnsi="Arial" w:cs="Arial"/>
          <w:shd w:val="clear" w:color="auto" w:fill="FFFFFF"/>
        </w:rPr>
        <w:t xml:space="preserve"> the Court has adopted the standard of proof </w:t>
      </w:r>
      <w:r w:rsidRPr="002C3F9C">
        <w:rPr>
          <w:rStyle w:val="sb8d990e2"/>
          <w:rFonts w:ascii="Arial" w:hAnsi="Arial" w:cs="Arial"/>
          <w:b/>
          <w:bCs/>
          <w:i/>
          <w:iCs/>
          <w:shd w:val="clear" w:color="auto" w:fill="FFFFFF"/>
        </w:rPr>
        <w:t>“beyond reasonable doubt”</w:t>
      </w:r>
      <w:r w:rsidRPr="002C3F9C">
        <w:rPr>
          <w:rStyle w:val="sb8d990e2"/>
          <w:rFonts w:ascii="Arial" w:hAnsi="Arial" w:cs="Arial"/>
          <w:shd w:val="clear" w:color="auto" w:fill="FFFFFF"/>
        </w:rPr>
        <w:t xml:space="preserve"> which has become part of its established case-law</w:t>
      </w:r>
      <w:r w:rsidRPr="002C3F9C">
        <w:rPr>
          <w:rFonts w:ascii="Arial" w:hAnsi="Arial" w:cs="Arial"/>
        </w:rPr>
        <w:t>.</w:t>
      </w:r>
      <w:r w:rsidRPr="002C3F9C">
        <w:rPr>
          <w:rStyle w:val="Appelnotedebasdep"/>
          <w:rFonts w:ascii="Arial" w:hAnsi="Arial" w:cs="Arial"/>
        </w:rPr>
        <w:footnoteReference w:id="156"/>
      </w:r>
      <w:r w:rsidRPr="002C3F9C">
        <w:rPr>
          <w:rFonts w:ascii="Arial" w:hAnsi="Arial" w:cs="Arial"/>
        </w:rPr>
        <w:t xml:space="preserve"> This standard is not to be equated with the same standard applied in criminal proceedings</w:t>
      </w:r>
      <w:r w:rsidRPr="002C3F9C">
        <w:rPr>
          <w:rStyle w:val="Appelnotedebasdep"/>
          <w:rFonts w:ascii="Arial" w:hAnsi="Arial" w:cs="Arial"/>
        </w:rPr>
        <w:footnoteReference w:id="157"/>
      </w:r>
      <w:r w:rsidRPr="002C3F9C">
        <w:rPr>
          <w:rFonts w:ascii="Arial" w:hAnsi="Arial" w:cs="Arial"/>
        </w:rPr>
        <w:t xml:space="preserve"> but it has a rather independent meaning assigned to it by the Court which reflects the Court’s core role that is not to rule on guilt under criminal law or on civil liability but on the Contracting States’ responsibility under the Convention.</w:t>
      </w:r>
      <w:r w:rsidRPr="002C3F9C">
        <w:rPr>
          <w:rStyle w:val="Appelnotedebasdep"/>
          <w:rFonts w:ascii="Arial" w:hAnsi="Arial" w:cs="Arial"/>
        </w:rPr>
        <w:footnoteReference w:id="158"/>
      </w:r>
      <w:r w:rsidRPr="002C3F9C">
        <w:rPr>
          <w:rFonts w:ascii="Arial" w:hAnsi="Arial" w:cs="Arial"/>
        </w:rPr>
        <w:t xml:space="preserve"> The specificity of the Court’s task under Article 19 of the Convention – to ensure the observance by the High Contracting Parties of their engagements to secure the fundamental rights enshrined in the Convention – conditions its approach to the issues of evidence and proof</w:t>
      </w:r>
      <w:r w:rsidRPr="002C3F9C">
        <w:rPr>
          <w:rFonts w:ascii="Arial" w:hAnsi="Arial" w:cs="Arial"/>
          <w:color w:val="000000"/>
          <w:shd w:val="clear" w:color="auto" w:fill="FFFFFF"/>
        </w:rPr>
        <w:t>.</w:t>
      </w:r>
      <w:r w:rsidRPr="002C3F9C">
        <w:rPr>
          <w:rStyle w:val="Appelnotedebasdep"/>
          <w:rFonts w:ascii="Arial" w:hAnsi="Arial" w:cs="Arial"/>
          <w:shd w:val="clear" w:color="auto" w:fill="FFFFFF"/>
        </w:rPr>
        <w:footnoteReference w:id="159"/>
      </w:r>
      <w:r w:rsidRPr="002C3F9C">
        <w:rPr>
          <w:rStyle w:val="sb8d990e2"/>
          <w:rFonts w:ascii="Arial" w:hAnsi="Arial" w:cs="Arial"/>
          <w:shd w:val="clear" w:color="auto" w:fill="FFFFFF"/>
        </w:rPr>
        <w:t xml:space="preserve"> </w:t>
      </w:r>
    </w:p>
    <w:p w14:paraId="5E86C7EC" w14:textId="77777777" w:rsidR="002218C4" w:rsidRPr="00FF6EEE" w:rsidRDefault="002218C4" w:rsidP="002218C4">
      <w:pPr>
        <w:pStyle w:val="Sansinterligne"/>
        <w:rPr>
          <w:rFonts w:ascii="Arial" w:hAnsi="Arial" w:cs="Arial"/>
          <w:b/>
          <w:sz w:val="22"/>
          <w:szCs w:val="22"/>
          <w:highlight w:val="yellow"/>
          <w:u w:val="single"/>
          <w:lang w:val="en-GB"/>
        </w:rPr>
      </w:pPr>
    </w:p>
    <w:p w14:paraId="73B08E8F" w14:textId="77777777" w:rsidR="002218C4" w:rsidRPr="00560F13" w:rsidRDefault="002218C4" w:rsidP="002218C4">
      <w:pPr>
        <w:pStyle w:val="Titre2"/>
        <w:rPr>
          <w:rFonts w:ascii="Arial" w:eastAsiaTheme="minorHAnsi" w:hAnsi="Arial" w:cs="Arial"/>
          <w:b/>
          <w:i/>
          <w:sz w:val="24"/>
          <w:szCs w:val="24"/>
          <w:lang w:val="en-US" w:eastAsia="en-US"/>
        </w:rPr>
      </w:pPr>
      <w:bookmarkStart w:id="62" w:name="_Toc43386144"/>
      <w:bookmarkStart w:id="63" w:name="_Toc45123276"/>
      <w:bookmarkStart w:id="64" w:name="_Toc83293372"/>
      <w:bookmarkEnd w:id="62"/>
      <w:r w:rsidRPr="00560F13">
        <w:rPr>
          <w:rFonts w:ascii="Arial" w:eastAsiaTheme="minorHAnsi" w:hAnsi="Arial" w:cs="Arial"/>
          <w:i/>
          <w:sz w:val="24"/>
          <w:szCs w:val="24"/>
          <w:lang w:val="en-US" w:eastAsia="en-US"/>
        </w:rPr>
        <w:t>3.</w:t>
      </w:r>
      <w:r w:rsidRPr="00560F13" w:rsidDel="00C17B83">
        <w:rPr>
          <w:rFonts w:ascii="Arial" w:eastAsiaTheme="minorHAnsi" w:hAnsi="Arial" w:cs="Arial"/>
          <w:i/>
          <w:sz w:val="24"/>
          <w:szCs w:val="24"/>
          <w:lang w:val="en-US" w:eastAsia="en-US"/>
        </w:rPr>
        <w:t xml:space="preserve"> </w:t>
      </w:r>
      <w:r w:rsidRPr="00560F13">
        <w:rPr>
          <w:rFonts w:ascii="Arial" w:eastAsiaTheme="minorHAnsi" w:hAnsi="Arial" w:cs="Arial"/>
          <w:i/>
          <w:color w:val="1F497D" w:themeColor="text2"/>
          <w:sz w:val="24"/>
          <w:szCs w:val="24"/>
          <w:lang w:val="en-US" w:eastAsia="en-US"/>
        </w:rPr>
        <w:t>B</w:t>
      </w:r>
      <w:r w:rsidRPr="00560F13">
        <w:rPr>
          <w:rFonts w:ascii="Arial" w:eastAsiaTheme="minorHAnsi" w:hAnsi="Arial" w:cs="Arial"/>
          <w:i/>
          <w:sz w:val="24"/>
          <w:szCs w:val="24"/>
          <w:lang w:val="en-US" w:eastAsia="en-US"/>
        </w:rPr>
        <w:t>urden of proof</w:t>
      </w:r>
      <w:bookmarkEnd w:id="63"/>
      <w:bookmarkEnd w:id="64"/>
    </w:p>
    <w:p w14:paraId="5759FE62" w14:textId="77777777" w:rsidR="002218C4" w:rsidRDefault="002218C4" w:rsidP="002218C4">
      <w:pPr>
        <w:pStyle w:val="ECHRParaSpaced"/>
        <w:ind w:firstLine="340"/>
        <w:rPr>
          <w:rFonts w:ascii="Arial" w:hAnsi="Arial" w:cs="Arial"/>
          <w:shd w:val="clear" w:color="auto" w:fill="D9D9D9" w:themeFill="background1" w:themeFillShade="D9"/>
        </w:rPr>
      </w:pPr>
      <w:r w:rsidRPr="002C3F9C">
        <w:rPr>
          <w:rFonts w:ascii="Arial" w:hAnsi="Arial" w:cs="Arial"/>
        </w:rPr>
        <w:t>9</w:t>
      </w:r>
      <w:r>
        <w:rPr>
          <w:rFonts w:ascii="Arial" w:hAnsi="Arial" w:cs="Arial"/>
        </w:rPr>
        <w:t>1</w:t>
      </w:r>
      <w:r w:rsidRPr="002C3F9C">
        <w:rPr>
          <w:rFonts w:ascii="Arial" w:hAnsi="Arial" w:cs="Arial"/>
        </w:rPr>
        <w:t>. The Court holds that</w:t>
      </w:r>
      <w:r>
        <w:rPr>
          <w:rFonts w:ascii="Arial" w:hAnsi="Arial" w:cs="Arial"/>
        </w:rPr>
        <w:t>,</w:t>
      </w:r>
      <w:r w:rsidRPr="002C3F9C">
        <w:rPr>
          <w:rFonts w:ascii="Arial" w:hAnsi="Arial" w:cs="Arial"/>
        </w:rPr>
        <w:t xml:space="preserve"> as a </w:t>
      </w:r>
      <w:r w:rsidRPr="002C3F9C">
        <w:rPr>
          <w:rFonts w:ascii="Arial" w:hAnsi="Arial" w:cs="Arial"/>
          <w:b/>
          <w:bCs/>
          <w:i/>
          <w:iCs/>
        </w:rPr>
        <w:t>general principle of law</w:t>
      </w:r>
      <w:r>
        <w:rPr>
          <w:rFonts w:ascii="Arial" w:hAnsi="Arial" w:cs="Arial"/>
          <w:b/>
          <w:bCs/>
          <w:i/>
          <w:iCs/>
        </w:rPr>
        <w:t>,</w:t>
      </w:r>
      <w:r w:rsidRPr="002C3F9C">
        <w:rPr>
          <w:rFonts w:ascii="Arial" w:hAnsi="Arial" w:cs="Arial"/>
        </w:rPr>
        <w:t xml:space="preserve"> the initial burden of proof in relation to an allegation is borne by the party which makes the allegation in question (</w:t>
      </w:r>
      <w:proofErr w:type="spellStart"/>
      <w:r w:rsidRPr="002C3F9C">
        <w:rPr>
          <w:rFonts w:ascii="Arial" w:hAnsi="Arial" w:cs="Arial"/>
          <w:i/>
          <w:iCs/>
        </w:rPr>
        <w:t>affirmanti</w:t>
      </w:r>
      <w:proofErr w:type="spellEnd"/>
      <w:r w:rsidRPr="002C3F9C">
        <w:rPr>
          <w:rFonts w:ascii="Arial" w:hAnsi="Arial" w:cs="Arial"/>
          <w:i/>
          <w:iCs/>
        </w:rPr>
        <w:t xml:space="preserve"> </w:t>
      </w:r>
      <w:proofErr w:type="spellStart"/>
      <w:r w:rsidRPr="002C3F9C">
        <w:rPr>
          <w:rFonts w:ascii="Arial" w:hAnsi="Arial" w:cs="Arial"/>
          <w:i/>
          <w:iCs/>
        </w:rPr>
        <w:t>incumbit</w:t>
      </w:r>
      <w:proofErr w:type="spellEnd"/>
      <w:r w:rsidRPr="002C3F9C">
        <w:rPr>
          <w:rFonts w:ascii="Arial" w:hAnsi="Arial" w:cs="Arial"/>
          <w:i/>
          <w:iCs/>
        </w:rPr>
        <w:t xml:space="preserve"> </w:t>
      </w:r>
      <w:proofErr w:type="spellStart"/>
      <w:r w:rsidRPr="002C3F9C">
        <w:rPr>
          <w:rFonts w:ascii="Arial" w:hAnsi="Arial" w:cs="Arial"/>
          <w:i/>
          <w:iCs/>
        </w:rPr>
        <w:t>probatio</w:t>
      </w:r>
      <w:proofErr w:type="spellEnd"/>
      <w:r w:rsidRPr="002C3F9C">
        <w:rPr>
          <w:rFonts w:ascii="Arial" w:hAnsi="Arial" w:cs="Arial"/>
          <w:i/>
          <w:iCs/>
        </w:rPr>
        <w:t>).</w:t>
      </w:r>
      <w:r w:rsidRPr="002C3F9C">
        <w:rPr>
          <w:rStyle w:val="Appelnotedebasdep"/>
          <w:rFonts w:ascii="Arial" w:hAnsi="Arial" w:cs="Arial"/>
          <w:lang w:val="en-US"/>
        </w:rPr>
        <w:footnoteReference w:id="160"/>
      </w:r>
      <w:r w:rsidRPr="002C3F9C">
        <w:rPr>
          <w:rFonts w:ascii="Arial" w:hAnsi="Arial" w:cs="Arial"/>
        </w:rPr>
        <w:t xml:space="preserve"> The Court has, however, recognised that a strict application of this principle is not always appropriate.</w:t>
      </w:r>
      <w:r w:rsidRPr="002C3F9C">
        <w:rPr>
          <w:rStyle w:val="Appelnotedebasdep"/>
          <w:rFonts w:ascii="Arial" w:hAnsi="Arial" w:cs="Arial"/>
          <w:lang w:val="en-US"/>
        </w:rPr>
        <w:footnoteReference w:id="161"/>
      </w:r>
      <w:r w:rsidRPr="002C3F9C">
        <w:rPr>
          <w:rFonts w:ascii="Arial" w:hAnsi="Arial" w:cs="Arial"/>
        </w:rPr>
        <w:t xml:space="preserve"> </w:t>
      </w:r>
      <w:r w:rsidRPr="002C3F9C">
        <w:rPr>
          <w:rStyle w:val="sb8d990e2"/>
          <w:rFonts w:ascii="Arial" w:hAnsi="Arial" w:cs="Arial"/>
        </w:rPr>
        <w:t xml:space="preserve">Its approach to the distribution of the burden of proof takes into account circumstances in which </w:t>
      </w:r>
      <w:r w:rsidRPr="002C3F9C">
        <w:rPr>
          <w:rFonts w:ascii="Arial" w:hAnsi="Arial" w:cs="Arial"/>
        </w:rPr>
        <w:t xml:space="preserve">the events in issue lie wholly, or in large part, within the exclusive knowledge of the authorities of the respondent State and only the </w:t>
      </w:r>
      <w:r w:rsidRPr="002C3F9C">
        <w:rPr>
          <w:rFonts w:ascii="Arial" w:hAnsi="Arial" w:cs="Arial"/>
        </w:rPr>
        <w:lastRenderedPageBreak/>
        <w:t>respondent Government has access to information capable of corroborating or refuting the applicant’s allegations.</w:t>
      </w:r>
      <w:r w:rsidRPr="002C3F9C">
        <w:rPr>
          <w:rStyle w:val="Appelnotedebasdep"/>
          <w:rFonts w:ascii="Arial" w:hAnsi="Arial" w:cs="Arial"/>
          <w:lang w:val="en-US"/>
        </w:rPr>
        <w:footnoteReference w:id="162"/>
      </w:r>
      <w:r w:rsidRPr="002C3F9C">
        <w:rPr>
          <w:rFonts w:ascii="Arial" w:hAnsi="Arial" w:cs="Arial"/>
        </w:rPr>
        <w:t xml:space="preserve"> The burden of proof will only shift in this way where there are already concordant inferences supporting the applicant’s allegations.</w:t>
      </w:r>
      <w:r w:rsidRPr="002C3F9C">
        <w:rPr>
          <w:rStyle w:val="Appelnotedebasdep"/>
          <w:rFonts w:ascii="Arial" w:hAnsi="Arial" w:cs="Arial"/>
        </w:rPr>
        <w:footnoteReference w:id="163"/>
      </w:r>
      <w:r w:rsidRPr="002C3F9C">
        <w:rPr>
          <w:rFonts w:ascii="Arial" w:hAnsi="Arial" w:cs="Arial"/>
        </w:rPr>
        <w:t xml:space="preserve"> The level of persuasion necessary for reaching a particular conclusion and, in this connection, the distribution of the burden of proof, are intrinsically linked to the specificity of the facts, the nature of the allegation made and the Convention right at stake.</w:t>
      </w:r>
      <w:r w:rsidRPr="002C3F9C">
        <w:rPr>
          <w:rStyle w:val="Appelnotedebasdep"/>
          <w:rFonts w:ascii="Arial" w:hAnsi="Arial" w:cs="Arial"/>
        </w:rPr>
        <w:footnoteReference w:id="164"/>
      </w:r>
      <w:r w:rsidRPr="002C3F9C">
        <w:rPr>
          <w:rFonts w:ascii="Arial" w:hAnsi="Arial" w:cs="Arial"/>
        </w:rPr>
        <w:t xml:space="preserve"> Reports or statements by international observers, non-governmental organisations or the media, or the decisions of other national or international courts, are often taken into account to, in particular, shed light on the facts, or to corroborate findings made by the Court.</w:t>
      </w:r>
      <w:r w:rsidRPr="002C3F9C">
        <w:rPr>
          <w:rStyle w:val="Appelnotedebasdep"/>
          <w:rFonts w:ascii="Arial" w:hAnsi="Arial" w:cs="Arial"/>
        </w:rPr>
        <w:footnoteReference w:id="165"/>
      </w:r>
      <w:r w:rsidRPr="002C3F9C">
        <w:rPr>
          <w:rFonts w:ascii="Arial" w:hAnsi="Arial" w:cs="Arial"/>
        </w:rPr>
        <w:t xml:space="preserve"> In the context of inter-State cases, with specific regard to the issue of establishing the existence of an administrative practice, the Court does not rely on the concept that the burden of proof is borne by one or other of the two Governments concerned, but it rather studies all the material before it, from whatever source it originates.</w:t>
      </w:r>
      <w:r w:rsidRPr="002C3F9C">
        <w:rPr>
          <w:rStyle w:val="Appelnotedebasdep"/>
          <w:rFonts w:ascii="Arial" w:hAnsi="Arial" w:cs="Arial"/>
          <w:lang w:val="en-US"/>
        </w:rPr>
        <w:footnoteReference w:id="166"/>
      </w:r>
      <w:r w:rsidRPr="002C3F9C">
        <w:rPr>
          <w:rFonts w:ascii="Arial" w:hAnsi="Arial" w:cs="Arial"/>
        </w:rPr>
        <w:t xml:space="preserve"> In addition, the conduct of the parties in relation to the Court’s efforts to obtain evidence may constitute an element to be taken into account.</w:t>
      </w:r>
      <w:r w:rsidRPr="002C3F9C">
        <w:rPr>
          <w:rStyle w:val="Appelnotedebasdep"/>
          <w:rFonts w:ascii="Arial" w:hAnsi="Arial" w:cs="Arial"/>
          <w:lang w:val="en-US"/>
        </w:rPr>
        <w:footnoteReference w:id="167"/>
      </w:r>
    </w:p>
    <w:p w14:paraId="3280C7F3" w14:textId="77777777" w:rsidR="002218C4" w:rsidRDefault="002218C4" w:rsidP="002218C4">
      <w:pPr>
        <w:pStyle w:val="ECHRParaSpaced"/>
        <w:ind w:firstLine="340"/>
        <w:rPr>
          <w:rFonts w:ascii="Arial" w:hAnsi="Arial" w:cs="Arial"/>
          <w:shd w:val="clear" w:color="auto" w:fill="D9D9D9" w:themeFill="background1" w:themeFillShade="D9"/>
        </w:rPr>
      </w:pPr>
      <w:r w:rsidRPr="002C3F9C">
        <w:rPr>
          <w:rFonts w:ascii="Arial" w:hAnsi="Arial" w:cs="Arial"/>
        </w:rPr>
        <w:t>9</w:t>
      </w:r>
      <w:r>
        <w:rPr>
          <w:rFonts w:ascii="Arial" w:hAnsi="Arial" w:cs="Arial"/>
        </w:rPr>
        <w:t>2</w:t>
      </w:r>
      <w:r w:rsidRPr="002C3F9C">
        <w:rPr>
          <w:rFonts w:ascii="Arial" w:hAnsi="Arial" w:cs="Arial"/>
        </w:rPr>
        <w:t xml:space="preserve">. In the context of inter-State applications, the Court has held that, </w:t>
      </w:r>
      <w:r w:rsidRPr="002C3F9C">
        <w:rPr>
          <w:rFonts w:ascii="Arial" w:hAnsi="Arial" w:cs="Arial"/>
          <w:b/>
          <w:bCs/>
          <w:i/>
          <w:iCs/>
        </w:rPr>
        <w:t>in the area of the exhaustion of domestic remedies</w:t>
      </w:r>
      <w:r w:rsidRPr="002C3F9C">
        <w:rPr>
          <w:rFonts w:ascii="Arial" w:hAnsi="Arial" w:cs="Arial"/>
        </w:rPr>
        <w:t xml:space="preserve">, there is a distribution of the burden of proof </w:t>
      </w:r>
      <w:r w:rsidRPr="002C3F9C">
        <w:rPr>
          <w:rStyle w:val="Appelnotedebasdep"/>
          <w:rFonts w:ascii="Arial" w:hAnsi="Arial" w:cs="Arial"/>
        </w:rPr>
        <w:footnoteReference w:id="168"/>
      </w:r>
      <w:r w:rsidRPr="002C3F9C">
        <w:rPr>
          <w:rFonts w:ascii="Arial" w:hAnsi="Arial" w:cs="Arial"/>
        </w:rPr>
        <w:t xml:space="preserve"> with </w:t>
      </w:r>
      <w:r w:rsidRPr="002C3F9C">
        <w:rPr>
          <w:rStyle w:val="sb8d990e2"/>
          <w:rFonts w:ascii="Arial" w:hAnsi="Arial" w:cs="Arial"/>
        </w:rPr>
        <w:t>Article 35 § 1 providing for such distribution.</w:t>
      </w:r>
      <w:r w:rsidRPr="002C3F9C">
        <w:rPr>
          <w:rStyle w:val="Appelnotedebasdep"/>
          <w:rFonts w:ascii="Arial" w:hAnsi="Arial" w:cs="Arial"/>
        </w:rPr>
        <w:footnoteReference w:id="169"/>
      </w:r>
      <w:r w:rsidRPr="002C3F9C">
        <w:rPr>
          <w:rStyle w:val="sb8d990e2"/>
          <w:rFonts w:ascii="Arial" w:hAnsi="Arial" w:cs="Arial"/>
        </w:rPr>
        <w:t xml:space="preserve"> It is incumbent on the respondent Government claiming non-exhaustion to satisfy the Court that the remedies were effective and available in theory and in practice at the relevant time</w:t>
      </w:r>
      <w:r w:rsidRPr="002C3F9C">
        <w:rPr>
          <w:rStyle w:val="Appelnotedebasdep"/>
          <w:rFonts w:ascii="Arial" w:hAnsi="Arial" w:cs="Arial"/>
        </w:rPr>
        <w:footnoteReference w:id="170"/>
      </w:r>
      <w:r w:rsidRPr="002C3F9C">
        <w:rPr>
          <w:rStyle w:val="sb8d990e2"/>
          <w:rFonts w:ascii="Arial" w:hAnsi="Arial" w:cs="Arial"/>
        </w:rPr>
        <w:t>, that is to say, that they were accessible, capable of providing redress in respect of the aggrieved individuals’ complaints and offered reasonable prospects of success.</w:t>
      </w:r>
      <w:r w:rsidRPr="002C3F9C">
        <w:rPr>
          <w:rStyle w:val="Appelnotedebasdep"/>
          <w:rFonts w:ascii="Arial" w:hAnsi="Arial" w:cs="Arial"/>
        </w:rPr>
        <w:footnoteReference w:id="171"/>
      </w:r>
      <w:r w:rsidRPr="002C3F9C">
        <w:rPr>
          <w:rStyle w:val="sb8d990e2"/>
          <w:rFonts w:ascii="Arial" w:hAnsi="Arial" w:cs="Arial"/>
        </w:rPr>
        <w:t> Once this burden of proof has been discharged, however, it falls to the applicant – in this case to the applicant Government – to establish that the remedies or the aggregate remedies advanced by the respondent Government were in fact exhausted or were</w:t>
      </w:r>
      <w:r w:rsidRPr="002C3F9C">
        <w:rPr>
          <w:rStyle w:val="sb8d990e2"/>
          <w:rFonts w:ascii="Arial" w:hAnsi="Arial" w:cs="Arial"/>
          <w:shd w:val="clear" w:color="auto" w:fill="D9D9D9" w:themeFill="background1" w:themeFillShade="D9"/>
        </w:rPr>
        <w:t xml:space="preserve"> </w:t>
      </w:r>
      <w:r w:rsidRPr="002C3F9C">
        <w:rPr>
          <w:rStyle w:val="sb8d990e2"/>
          <w:rFonts w:ascii="Arial" w:hAnsi="Arial" w:cs="Arial"/>
        </w:rPr>
        <w:t>for some</w:t>
      </w:r>
      <w:r w:rsidRPr="002C3F9C">
        <w:rPr>
          <w:rStyle w:val="sb8d990e2"/>
          <w:rFonts w:ascii="Arial" w:hAnsi="Arial" w:cs="Arial"/>
          <w:b/>
          <w:bCs/>
        </w:rPr>
        <w:t xml:space="preserve"> </w:t>
      </w:r>
      <w:r w:rsidRPr="002C3F9C">
        <w:rPr>
          <w:rStyle w:val="sb8d990e2"/>
          <w:rFonts w:ascii="Arial" w:hAnsi="Arial" w:cs="Arial"/>
        </w:rPr>
        <w:t>reason inadequate and ineffective in the particular circumstances of the case,</w:t>
      </w:r>
      <w:r w:rsidRPr="002C3F9C">
        <w:rPr>
          <w:rStyle w:val="Appelnotedebasdep"/>
          <w:rFonts w:ascii="Arial" w:hAnsi="Arial" w:cs="Arial"/>
        </w:rPr>
        <w:footnoteReference w:id="172"/>
      </w:r>
      <w:r w:rsidRPr="002C3F9C">
        <w:rPr>
          <w:rStyle w:val="sb8d990e2"/>
          <w:rFonts w:ascii="Arial" w:hAnsi="Arial" w:cs="Arial"/>
        </w:rPr>
        <w:t xml:space="preserve"> or that there existed special circumstances absolving the persons concerned from the requirement of exhausting that remedy.</w:t>
      </w:r>
      <w:r w:rsidRPr="002C3F9C">
        <w:rPr>
          <w:rStyle w:val="Appelnotedebasdep"/>
          <w:rFonts w:ascii="Arial" w:hAnsi="Arial" w:cs="Arial"/>
        </w:rPr>
        <w:footnoteReference w:id="173"/>
      </w:r>
      <w:r w:rsidRPr="002C3F9C">
        <w:rPr>
          <w:rStyle w:val="sb8d990e2"/>
          <w:rFonts w:ascii="Arial" w:hAnsi="Arial" w:cs="Arial"/>
        </w:rPr>
        <w:t xml:space="preserve"> One such reason may be constituted by the national authorities remaining totally passive in the face of serious allegations of misconduct or infliction of harm by State agents, for example where they have failed to undertake investigations or offer assistance. In such circumstances, it can be said that the burden of proof shifts once again, so that it becomes incumbent on the respondent Government to show what the authorities have done in response to the scale and seriousness of the matters complained of.</w:t>
      </w:r>
      <w:r w:rsidRPr="002C3F9C">
        <w:rPr>
          <w:rStyle w:val="Appelnotedebasdep"/>
          <w:rFonts w:ascii="Arial" w:hAnsi="Arial" w:cs="Arial"/>
        </w:rPr>
        <w:footnoteReference w:id="174"/>
      </w:r>
      <w:r w:rsidRPr="002C3F9C">
        <w:rPr>
          <w:rStyle w:val="sb8d990e2"/>
          <w:rFonts w:ascii="Arial" w:hAnsi="Arial" w:cs="Arial"/>
          <w:shd w:val="clear" w:color="auto" w:fill="FFFFFF"/>
        </w:rPr>
        <w:t xml:space="preserve"> </w:t>
      </w:r>
    </w:p>
    <w:p w14:paraId="118380A9" w14:textId="77777777" w:rsidR="002218C4" w:rsidRPr="002C3F9C" w:rsidRDefault="002218C4" w:rsidP="002218C4">
      <w:pPr>
        <w:pStyle w:val="ECHRParaSpaced"/>
        <w:ind w:firstLine="340"/>
        <w:rPr>
          <w:rFonts w:ascii="Arial" w:hAnsi="Arial" w:cs="Arial"/>
          <w:shd w:val="clear" w:color="auto" w:fill="D9D9D9" w:themeFill="background1" w:themeFillShade="D9"/>
        </w:rPr>
      </w:pPr>
      <w:r w:rsidRPr="002C3F9C">
        <w:rPr>
          <w:rFonts w:ascii="Arial" w:hAnsi="Arial" w:cs="Arial"/>
        </w:rPr>
        <w:t>9</w:t>
      </w:r>
      <w:r>
        <w:rPr>
          <w:rFonts w:ascii="Arial" w:hAnsi="Arial" w:cs="Arial"/>
        </w:rPr>
        <w:t>3</w:t>
      </w:r>
      <w:r w:rsidRPr="002C3F9C">
        <w:rPr>
          <w:rFonts w:ascii="Arial" w:hAnsi="Arial" w:cs="Arial"/>
        </w:rPr>
        <w:t xml:space="preserve">. In certain </w:t>
      </w:r>
      <w:r w:rsidRPr="002C3F9C">
        <w:rPr>
          <w:rFonts w:ascii="Arial" w:hAnsi="Arial" w:cs="Arial"/>
          <w:b/>
          <w:bCs/>
          <w:i/>
          <w:iCs/>
        </w:rPr>
        <w:t>specific circumstances</w:t>
      </w:r>
      <w:r w:rsidRPr="002C3F9C">
        <w:rPr>
          <w:rFonts w:ascii="Arial" w:hAnsi="Arial" w:cs="Arial"/>
        </w:rPr>
        <w:t xml:space="preserve"> the Court has accepted to shift the burden of proof from the applicant to the respondent Government. In the judgment on just satisfaction in the case of </w:t>
      </w:r>
      <w:r w:rsidRPr="00641ED4">
        <w:rPr>
          <w:rFonts w:ascii="Arial" w:hAnsi="Arial" w:cs="Arial"/>
          <w:i/>
        </w:rPr>
        <w:t>Georgia v. Russia</w:t>
      </w:r>
      <w:r>
        <w:rPr>
          <w:rFonts w:ascii="Arial" w:hAnsi="Arial" w:cs="Arial"/>
        </w:rPr>
        <w:t>,</w:t>
      </w:r>
      <w:r w:rsidRPr="002C3F9C">
        <w:rPr>
          <w:rFonts w:ascii="Arial" w:hAnsi="Arial" w:cs="Arial"/>
        </w:rPr>
        <w:t xml:space="preserve"> the Court held that “[h]</w:t>
      </w:r>
      <w:proofErr w:type="spellStart"/>
      <w:r w:rsidRPr="002C3F9C">
        <w:rPr>
          <w:rFonts w:ascii="Arial" w:hAnsi="Arial" w:cs="Arial"/>
        </w:rPr>
        <w:t>aving</w:t>
      </w:r>
      <w:proofErr w:type="spellEnd"/>
      <w:r w:rsidRPr="002C3F9C">
        <w:rPr>
          <w:rFonts w:ascii="Arial" w:hAnsi="Arial" w:cs="Arial"/>
        </w:rPr>
        <w:t xml:space="preserve"> regard to the general numerical framework on which the Court relied in its principal judgment to conclude that there had been violations of the Convention […], it proceeds on the assumption that the people named in the </w:t>
      </w:r>
      <w:r w:rsidRPr="002C3F9C">
        <w:rPr>
          <w:rFonts w:ascii="Arial" w:hAnsi="Arial" w:cs="Arial"/>
        </w:rPr>
        <w:lastRenderedPageBreak/>
        <w:t>applicant Government’s list can be considered victims of violations of the Convention for which the respondent Government have been held responsible. Having regard to the fact that the findings of a violation of Articles 3 and 5 § 1 of the Convention and of Article 4 of Protocol No. 4 concern individual victims and are based on events which occurred on the territory of the respondent Government, the Court considers that in the particular circumstances of the present case the burden of proof is on the respondent Government to convincingly show that the individuals appearing in the applicant Government’s list do not have victim status. Accordingly, where the preliminary examination has enabled the Court to satisfactorily conclude that a person has been the victim of one or more violations of the Convention, and the respondent Government have failed to show that the person in question did not have victim status, that person will be included in the final internal list for the purposes of determining the total sum to be awarded in just satisfaction.”</w:t>
      </w:r>
      <w:r w:rsidRPr="002C3F9C">
        <w:rPr>
          <w:rStyle w:val="Appelnotedebasdep"/>
          <w:rFonts w:ascii="Arial" w:hAnsi="Arial" w:cs="Arial"/>
        </w:rPr>
        <w:footnoteReference w:id="175"/>
      </w:r>
    </w:p>
    <w:p w14:paraId="7CEB7C87" w14:textId="77777777" w:rsidR="002218C4" w:rsidRPr="00433CFE" w:rsidRDefault="002218C4" w:rsidP="002218C4">
      <w:pPr>
        <w:pStyle w:val="Titre2"/>
        <w:numPr>
          <w:ilvl w:val="0"/>
          <w:numId w:val="37"/>
        </w:numPr>
        <w:spacing w:before="200"/>
        <w:rPr>
          <w:rFonts w:ascii="Arial" w:hAnsi="Arial" w:cs="Arial"/>
          <w:i/>
          <w:sz w:val="24"/>
          <w:szCs w:val="24"/>
          <w:lang w:val="en-GB"/>
        </w:rPr>
      </w:pPr>
      <w:bookmarkStart w:id="65" w:name="_Toc36049236"/>
      <w:bookmarkStart w:id="66" w:name="_Toc45123277"/>
      <w:bookmarkStart w:id="67" w:name="_Toc83293373"/>
      <w:r w:rsidRPr="00433CFE">
        <w:rPr>
          <w:rFonts w:ascii="Arial" w:hAnsi="Arial" w:cs="Arial"/>
          <w:i/>
          <w:sz w:val="24"/>
          <w:szCs w:val="24"/>
          <w:lang w:val="en-GB"/>
        </w:rPr>
        <w:t>The fact-finding function of the Court</w:t>
      </w:r>
      <w:bookmarkEnd w:id="65"/>
      <w:bookmarkEnd w:id="66"/>
      <w:bookmarkEnd w:id="67"/>
    </w:p>
    <w:p w14:paraId="71153C87" w14:textId="77777777" w:rsidR="002218C4" w:rsidRPr="00A156E2" w:rsidRDefault="002218C4" w:rsidP="002218C4">
      <w:pPr>
        <w:pStyle w:val="Sansinterligne"/>
        <w:rPr>
          <w:lang w:val="en-GB"/>
        </w:rPr>
      </w:pPr>
    </w:p>
    <w:p w14:paraId="56C0000D" w14:textId="77777777" w:rsidR="002218C4" w:rsidRPr="00C34914" w:rsidRDefault="002218C4" w:rsidP="002218C4">
      <w:pPr>
        <w:pStyle w:val="Titre3"/>
        <w:ind w:left="720"/>
        <w:rPr>
          <w:rFonts w:ascii="Arial" w:hAnsi="Arial" w:cs="Arial"/>
          <w:b/>
          <w:i/>
          <w:lang w:val="en-GB"/>
        </w:rPr>
      </w:pPr>
      <w:bookmarkStart w:id="68" w:name="_Toc45123278"/>
      <w:bookmarkStart w:id="69" w:name="_Toc83293374"/>
      <w:r w:rsidRPr="00C34914">
        <w:rPr>
          <w:rFonts w:ascii="Arial" w:hAnsi="Arial" w:cs="Arial"/>
          <w:i/>
          <w:lang w:val="en-GB"/>
        </w:rPr>
        <w:t>4.1. Investigative powers</w:t>
      </w:r>
      <w:bookmarkEnd w:id="68"/>
      <w:bookmarkEnd w:id="69"/>
      <w:r w:rsidRPr="00C34914">
        <w:rPr>
          <w:rFonts w:ascii="Arial" w:hAnsi="Arial" w:cs="Arial"/>
          <w:i/>
          <w:lang w:val="en-GB"/>
        </w:rPr>
        <w:t xml:space="preserve"> </w:t>
      </w:r>
    </w:p>
    <w:p w14:paraId="1ECEDA0D" w14:textId="77777777" w:rsidR="002218C4" w:rsidRDefault="002218C4" w:rsidP="002218C4">
      <w:pPr>
        <w:pStyle w:val="ECHRParaSpaced"/>
        <w:ind w:firstLine="340"/>
        <w:rPr>
          <w:rFonts w:ascii="Arial" w:hAnsi="Arial" w:cs="Arial"/>
        </w:rPr>
      </w:pPr>
      <w:r w:rsidRPr="002C3F9C">
        <w:rPr>
          <w:rFonts w:ascii="Arial" w:hAnsi="Arial" w:cs="Arial"/>
        </w:rPr>
        <w:t>9</w:t>
      </w:r>
      <w:r>
        <w:rPr>
          <w:rFonts w:ascii="Arial" w:hAnsi="Arial" w:cs="Arial"/>
        </w:rPr>
        <w:t>4</w:t>
      </w:r>
      <w:r w:rsidRPr="002C3F9C">
        <w:rPr>
          <w:rFonts w:ascii="Arial" w:hAnsi="Arial" w:cs="Arial"/>
        </w:rPr>
        <w:t>. As stated above</w:t>
      </w:r>
      <w:r>
        <w:rPr>
          <w:rFonts w:ascii="Arial" w:hAnsi="Arial" w:cs="Arial"/>
        </w:rPr>
        <w:t>,</w:t>
      </w:r>
      <w:r w:rsidRPr="002C3F9C">
        <w:rPr>
          <w:rFonts w:ascii="Arial" w:hAnsi="Arial" w:cs="Arial"/>
        </w:rPr>
        <w:t xml:space="preserve"> the Court generally establishes the facts based on documentary evidence before it which includes among others reports from international governmental and non-governmental organisations (see paragraph 8</w:t>
      </w:r>
      <w:r>
        <w:rPr>
          <w:rFonts w:ascii="Arial" w:hAnsi="Arial" w:cs="Arial"/>
        </w:rPr>
        <w:t>4</w:t>
      </w:r>
      <w:r w:rsidRPr="002C3F9C">
        <w:rPr>
          <w:rFonts w:ascii="Arial" w:hAnsi="Arial" w:cs="Arial"/>
        </w:rPr>
        <w:t xml:space="preserve"> above).</w:t>
      </w:r>
      <w:r w:rsidRPr="002C3F9C">
        <w:rPr>
          <w:rStyle w:val="Appelnotedebasdep"/>
          <w:rFonts w:ascii="Arial" w:hAnsi="Arial" w:cs="Arial"/>
        </w:rPr>
        <w:footnoteReference w:id="176"/>
      </w:r>
      <w:r w:rsidRPr="002C3F9C">
        <w:rPr>
          <w:rFonts w:ascii="Arial" w:hAnsi="Arial" w:cs="Arial"/>
        </w:rPr>
        <w:t xml:space="preserve"> </w:t>
      </w:r>
      <w:bookmarkStart w:id="71" w:name="_Hlk38984341"/>
      <w:r w:rsidRPr="002C3F9C">
        <w:rPr>
          <w:rFonts w:ascii="Arial" w:hAnsi="Arial" w:cs="Arial"/>
        </w:rPr>
        <w:t>However, the Court may have to act as a court of first instance when there are factual disputes between the parties which cannot be resolved by considering the documents before it or when there has been no examination of the matters complained of by the domestic courts. The Court might, therefore, decide to resort to fact-finding procedures such as hearings with witnesses or on-site investigations. It is reported that, among the key factors for such a decision are the failure of national authorities to fully establish the relevant facts of a case, systematic failures in the functioning of domestic courts, the potential of the fact-finding hearing to lead to the establishment of a violation of the Convention, and in the case of an on-site visit the amount of time which has lapsed since the events in question took place.</w:t>
      </w:r>
      <w:r w:rsidRPr="002C3F9C">
        <w:rPr>
          <w:rStyle w:val="Appelnotedebasdep"/>
          <w:rFonts w:ascii="Arial" w:hAnsi="Arial" w:cs="Arial"/>
        </w:rPr>
        <w:footnoteReference w:id="177"/>
      </w:r>
      <w:r w:rsidRPr="002C3F9C">
        <w:rPr>
          <w:rFonts w:ascii="Arial" w:hAnsi="Arial" w:cs="Arial"/>
        </w:rPr>
        <w:t xml:space="preserve"> </w:t>
      </w:r>
      <w:bookmarkEnd w:id="71"/>
    </w:p>
    <w:p w14:paraId="008FEAB6" w14:textId="77777777" w:rsidR="002218C4" w:rsidRDefault="002218C4" w:rsidP="002218C4">
      <w:pPr>
        <w:pStyle w:val="ECHRParaSpaced"/>
        <w:ind w:firstLine="340"/>
        <w:rPr>
          <w:rFonts w:ascii="Arial" w:hAnsi="Arial" w:cs="Arial"/>
        </w:rPr>
      </w:pPr>
      <w:r w:rsidRPr="002C3F9C">
        <w:rPr>
          <w:rFonts w:ascii="Arial" w:hAnsi="Arial" w:cs="Arial"/>
        </w:rPr>
        <w:t>9</w:t>
      </w:r>
      <w:r>
        <w:rPr>
          <w:rFonts w:ascii="Arial" w:hAnsi="Arial" w:cs="Arial"/>
        </w:rPr>
        <w:t>5</w:t>
      </w:r>
      <w:r w:rsidRPr="002C3F9C">
        <w:rPr>
          <w:rFonts w:ascii="Arial" w:hAnsi="Arial" w:cs="Arial"/>
        </w:rPr>
        <w:t xml:space="preserve">. The decision as to whether to resort to investigation measures is at the discretion of the Court and may be taken on its own motion or upon the request of one of the parties. </w:t>
      </w:r>
      <w:r w:rsidRPr="002C3F9C">
        <w:rPr>
          <w:rFonts w:ascii="Arial" w:hAnsi="Arial" w:cs="Arial"/>
          <w:lang w:val="en-US"/>
        </w:rPr>
        <w:t>A Government’s effective denial of cooperation in a case will be a considerable disincentive for the Court to hold a fact-finding mission.</w:t>
      </w:r>
      <w:r w:rsidRPr="002C3F9C">
        <w:rPr>
          <w:rStyle w:val="Appelnotedebasdep"/>
          <w:rFonts w:ascii="Arial" w:hAnsi="Arial" w:cs="Arial"/>
        </w:rPr>
        <w:footnoteReference w:id="178"/>
      </w:r>
      <w:r w:rsidRPr="002C3F9C">
        <w:rPr>
          <w:rFonts w:ascii="Arial" w:hAnsi="Arial" w:cs="Arial"/>
          <w:lang w:val="en-US"/>
        </w:rPr>
        <w:t xml:space="preserve"> </w:t>
      </w:r>
      <w:r w:rsidRPr="002C3F9C">
        <w:rPr>
          <w:rFonts w:ascii="Arial" w:hAnsi="Arial" w:cs="Arial"/>
        </w:rPr>
        <w:t xml:space="preserve">A </w:t>
      </w:r>
      <w:r w:rsidRPr="002C3F9C">
        <w:rPr>
          <w:rFonts w:ascii="Arial" w:hAnsi="Arial" w:cs="Arial"/>
          <w:lang w:val="en-US"/>
        </w:rPr>
        <w:t>well-justified request for a fact-finding hearing submitted by a party may have considerable influence on the Court’s decision-making process and a list of witnesses (including information about the relevance of their expected testimony) is an essential part of a well-argued request for a fact-finding mission.</w:t>
      </w:r>
      <w:r w:rsidRPr="002C3F9C">
        <w:rPr>
          <w:rStyle w:val="Appelnotedebasdep"/>
          <w:rFonts w:ascii="Arial" w:hAnsi="Arial" w:cs="Arial"/>
        </w:rPr>
        <w:footnoteReference w:id="179"/>
      </w:r>
      <w:r w:rsidRPr="002C3F9C">
        <w:rPr>
          <w:rFonts w:ascii="Arial" w:hAnsi="Arial" w:cs="Arial"/>
        </w:rPr>
        <w:t xml:space="preserve"> The Convention does not explicitly address the issue of the timing of fact-finding activities. However, the Rules of Court specify that fact-finding takes place after a case has been declared admissible, or exceptionally, before the decision on admissibility.</w:t>
      </w:r>
      <w:r w:rsidRPr="002C3F9C">
        <w:rPr>
          <w:rStyle w:val="Appelnotedebasdep"/>
          <w:rFonts w:ascii="Arial" w:hAnsi="Arial" w:cs="Arial"/>
        </w:rPr>
        <w:footnoteReference w:id="180"/>
      </w:r>
    </w:p>
    <w:p w14:paraId="2C2BEE42" w14:textId="77777777" w:rsidR="002218C4" w:rsidRDefault="002218C4" w:rsidP="002218C4">
      <w:pPr>
        <w:pStyle w:val="ECHRParaSpaced"/>
        <w:ind w:firstLine="340"/>
        <w:rPr>
          <w:rFonts w:ascii="Arial" w:hAnsi="Arial" w:cs="Arial"/>
        </w:rPr>
      </w:pPr>
      <w:r>
        <w:rPr>
          <w:rFonts w:ascii="Arial" w:hAnsi="Arial" w:cs="Arial"/>
        </w:rPr>
        <w:t>96</w:t>
      </w:r>
      <w:r w:rsidRPr="002C3F9C">
        <w:rPr>
          <w:rFonts w:ascii="Arial" w:hAnsi="Arial" w:cs="Arial"/>
        </w:rPr>
        <w:t xml:space="preserve">. The investigation powers of the Court are based on Article 38 of the Convention and are exercised pursuant to the Rules of Court (Annex Rules A1 to A8) which contain detailed provisions concerning investigative measures and the obligations of the parties in this respect. After a case has been declared admissible or, exceptionally, before the decision on admissibility, the Chamber may appoint one or more of its members or of the other judges of the Court, as its delegate or delegates, to conduct an inquiry, carry out an on-site </w:t>
      </w:r>
      <w:r w:rsidRPr="002C3F9C">
        <w:rPr>
          <w:rFonts w:ascii="Arial" w:hAnsi="Arial" w:cs="Arial"/>
        </w:rPr>
        <w:lastRenderedPageBreak/>
        <w:t>investigation or take evidence in some other manner. The Chamber may also appoint any person or institution of its choice to assist the delegation in such manner as it sees fit.</w:t>
      </w:r>
      <w:r w:rsidRPr="002C3F9C">
        <w:rPr>
          <w:rStyle w:val="Appelnotedebasdep"/>
          <w:rFonts w:ascii="Arial" w:hAnsi="Arial" w:cs="Arial"/>
        </w:rPr>
        <w:footnoteReference w:id="181"/>
      </w:r>
    </w:p>
    <w:p w14:paraId="2C601EEA" w14:textId="77777777" w:rsidR="002218C4" w:rsidRPr="002C3F9C" w:rsidRDefault="002218C4" w:rsidP="002218C4">
      <w:pPr>
        <w:pStyle w:val="ECHRParaSpaced"/>
        <w:ind w:firstLine="340"/>
        <w:rPr>
          <w:rFonts w:ascii="Arial" w:hAnsi="Arial" w:cs="Arial"/>
        </w:rPr>
      </w:pPr>
    </w:p>
    <w:p w14:paraId="7E8EBA2D" w14:textId="77777777" w:rsidR="002218C4" w:rsidRPr="00C34914" w:rsidRDefault="002218C4" w:rsidP="002218C4">
      <w:pPr>
        <w:pStyle w:val="Titre3"/>
        <w:ind w:left="720"/>
        <w:rPr>
          <w:rFonts w:ascii="Arial" w:hAnsi="Arial" w:cs="Arial"/>
          <w:b/>
          <w:i/>
          <w:lang w:val="en-GB"/>
        </w:rPr>
      </w:pPr>
      <w:bookmarkStart w:id="72" w:name="_Toc45123279"/>
      <w:bookmarkStart w:id="73" w:name="_Toc83293375"/>
      <w:r w:rsidRPr="00C34914">
        <w:rPr>
          <w:rFonts w:ascii="Arial" w:hAnsi="Arial" w:cs="Arial"/>
          <w:i/>
          <w:lang w:val="en-GB"/>
        </w:rPr>
        <w:t>4.2. Hearings with witnesses</w:t>
      </w:r>
      <w:bookmarkEnd w:id="72"/>
      <w:bookmarkEnd w:id="73"/>
    </w:p>
    <w:p w14:paraId="44895DA0" w14:textId="77777777" w:rsidR="002218C4" w:rsidRDefault="002218C4" w:rsidP="002218C4">
      <w:pPr>
        <w:pStyle w:val="ECHRParaSpaced"/>
        <w:ind w:firstLine="340"/>
        <w:rPr>
          <w:rFonts w:ascii="Arial" w:hAnsi="Arial" w:cs="Arial"/>
        </w:rPr>
      </w:pPr>
      <w:r>
        <w:rPr>
          <w:rFonts w:ascii="Arial" w:hAnsi="Arial" w:cs="Arial"/>
        </w:rPr>
        <w:t>97</w:t>
      </w:r>
      <w:r w:rsidRPr="002C3F9C">
        <w:rPr>
          <w:rFonts w:ascii="Arial" w:hAnsi="Arial" w:cs="Arial"/>
        </w:rPr>
        <w:t>. As mentioned above (see paragraph 8</w:t>
      </w:r>
      <w:r>
        <w:rPr>
          <w:rFonts w:ascii="Arial" w:hAnsi="Arial" w:cs="Arial"/>
        </w:rPr>
        <w:t>3</w:t>
      </w:r>
      <w:r w:rsidRPr="002C3F9C">
        <w:rPr>
          <w:rFonts w:ascii="Arial" w:hAnsi="Arial" w:cs="Arial"/>
        </w:rPr>
        <w:t>) the Court may hold a hearing with witness and experts not only with the purpose of establishing the facts but also with the purpose of testing the veracity of the evidence submitted by the parties and the evidence set out in the reports by international organisations concerning certain aspects of the application.</w:t>
      </w:r>
      <w:r w:rsidRPr="002C3F9C">
        <w:rPr>
          <w:rStyle w:val="Appelnotedebasdep"/>
          <w:rFonts w:ascii="Arial" w:hAnsi="Arial" w:cs="Arial"/>
        </w:rPr>
        <w:footnoteReference w:id="182"/>
      </w:r>
      <w:r w:rsidRPr="002C3F9C">
        <w:rPr>
          <w:rFonts w:ascii="Arial" w:hAnsi="Arial" w:cs="Arial"/>
        </w:rPr>
        <w:t xml:space="preserve"> Obtaining the necessary evidence by witness hearings is one of the challenges that the Court often faces in relation to inter-State applications and related individual applications. </w:t>
      </w:r>
    </w:p>
    <w:p w14:paraId="64D99C5D" w14:textId="77777777" w:rsidR="002218C4" w:rsidRDefault="002218C4" w:rsidP="002218C4">
      <w:pPr>
        <w:pStyle w:val="ECHRParaSpaced"/>
        <w:ind w:firstLine="340"/>
        <w:rPr>
          <w:rFonts w:ascii="Arial" w:hAnsi="Arial" w:cs="Arial"/>
        </w:rPr>
      </w:pPr>
      <w:r>
        <w:rPr>
          <w:rFonts w:ascii="Arial" w:hAnsi="Arial" w:cs="Arial"/>
        </w:rPr>
        <w:t>98</w:t>
      </w:r>
      <w:r w:rsidRPr="002C3F9C">
        <w:rPr>
          <w:rFonts w:ascii="Arial" w:hAnsi="Arial" w:cs="Arial"/>
        </w:rPr>
        <w:t>. Witnesses are summoned by the Court’s Registrar,</w:t>
      </w:r>
      <w:r w:rsidRPr="002C3F9C">
        <w:rPr>
          <w:rStyle w:val="Appelnotedebasdep"/>
          <w:rFonts w:ascii="Arial" w:hAnsi="Arial" w:cs="Arial"/>
        </w:rPr>
        <w:footnoteReference w:id="183"/>
      </w:r>
      <w:r w:rsidRPr="002C3F9C">
        <w:rPr>
          <w:rFonts w:ascii="Arial" w:hAnsi="Arial" w:cs="Arial"/>
        </w:rPr>
        <w:t xml:space="preserve"> while the Contracting State in whose territory the witness resides is responsible for serving any summons sent to it by the Court.</w:t>
      </w:r>
      <w:r w:rsidRPr="002C3F9C">
        <w:rPr>
          <w:rStyle w:val="Appelnotedebasdep"/>
          <w:rFonts w:ascii="Arial" w:hAnsi="Arial" w:cs="Arial"/>
        </w:rPr>
        <w:footnoteReference w:id="184"/>
      </w:r>
      <w:r w:rsidRPr="002C3F9C">
        <w:rPr>
          <w:rFonts w:ascii="Arial" w:hAnsi="Arial" w:cs="Arial"/>
        </w:rPr>
        <w:t xml:space="preserve"> Each Party can propose witnesses to be heard at a hearing. Communication in respect of the preparation of the witness hearing between State Parties and the Court is mostly done in writing but, if needed, a preparatory meeting can be organised as well.</w:t>
      </w:r>
      <w:r w:rsidRPr="002C3F9C">
        <w:rPr>
          <w:rStyle w:val="Appelnotedebasdep"/>
          <w:rFonts w:ascii="Arial" w:hAnsi="Arial" w:cs="Arial"/>
        </w:rPr>
        <w:footnoteReference w:id="185"/>
      </w:r>
      <w:r w:rsidRPr="002C3F9C">
        <w:rPr>
          <w:rFonts w:ascii="Arial" w:hAnsi="Arial" w:cs="Arial"/>
        </w:rPr>
        <w:t xml:space="preserve"> </w:t>
      </w:r>
    </w:p>
    <w:p w14:paraId="0B508271" w14:textId="77777777" w:rsidR="002218C4" w:rsidRDefault="002218C4" w:rsidP="002218C4">
      <w:pPr>
        <w:pStyle w:val="ECHRParaSpaced"/>
        <w:ind w:firstLine="340"/>
        <w:rPr>
          <w:rFonts w:ascii="Arial" w:hAnsi="Arial" w:cs="Arial"/>
        </w:rPr>
      </w:pPr>
      <w:r>
        <w:rPr>
          <w:rFonts w:ascii="Arial" w:hAnsi="Arial" w:cs="Arial"/>
        </w:rPr>
        <w:t>99</w:t>
      </w:r>
      <w:r w:rsidRPr="002C3F9C">
        <w:rPr>
          <w:rFonts w:ascii="Arial" w:hAnsi="Arial" w:cs="Arial"/>
        </w:rPr>
        <w:t xml:space="preserve">. Even though the Court enjoys a wide discretion as regards the selection of witnesses, in practice it is often necessary to limit the number of witnesses it hears, taking into consideration that the delegation only has a relatively short amount of time to conduct a hearing. In the case </w:t>
      </w:r>
      <w:r w:rsidRPr="002C3F9C">
        <w:rPr>
          <w:rFonts w:ascii="Arial" w:hAnsi="Arial" w:cs="Arial"/>
          <w:i/>
        </w:rPr>
        <w:t>Cyprus v. Turkey</w:t>
      </w:r>
      <w:r w:rsidRPr="002C3F9C">
        <w:rPr>
          <w:rFonts w:ascii="Arial" w:hAnsi="Arial" w:cs="Arial"/>
        </w:rPr>
        <w:t>, for example, it justified this approach, arguing that the effective execution of its fact-finding role necessarily obliged it to regulate the procedure for the taking of oral evidence, having regard to constraints of time and to its own assessment of the relevance of additional witness testimony.</w:t>
      </w:r>
      <w:r w:rsidRPr="002C3F9C">
        <w:rPr>
          <w:rStyle w:val="Appelnotedebasdep"/>
          <w:rFonts w:ascii="Arial" w:hAnsi="Arial" w:cs="Arial"/>
        </w:rPr>
        <w:footnoteReference w:id="186"/>
      </w:r>
    </w:p>
    <w:p w14:paraId="2AA8D6AF" w14:textId="77777777" w:rsidR="002218C4" w:rsidRDefault="002218C4" w:rsidP="002218C4">
      <w:pPr>
        <w:pStyle w:val="ECHRParaSpaced"/>
        <w:ind w:firstLine="340"/>
        <w:rPr>
          <w:rFonts w:ascii="Arial" w:hAnsi="Arial" w:cs="Arial"/>
        </w:rPr>
      </w:pPr>
      <w:r w:rsidRPr="002C3F9C">
        <w:rPr>
          <w:rFonts w:ascii="Arial" w:hAnsi="Arial" w:cs="Arial"/>
        </w:rPr>
        <w:t>10</w:t>
      </w:r>
      <w:r>
        <w:rPr>
          <w:rFonts w:ascii="Arial" w:hAnsi="Arial" w:cs="Arial"/>
        </w:rPr>
        <w:t>0</w:t>
      </w:r>
      <w:r w:rsidRPr="002C3F9C">
        <w:rPr>
          <w:rFonts w:ascii="Arial" w:hAnsi="Arial" w:cs="Arial"/>
        </w:rPr>
        <w:t xml:space="preserve">. Until now, generally speaking, there have been witness hearings in inter-State cases. In the cases of </w:t>
      </w:r>
      <w:r w:rsidRPr="002C3F9C">
        <w:rPr>
          <w:rFonts w:ascii="Arial" w:hAnsi="Arial" w:cs="Arial"/>
          <w:i/>
        </w:rPr>
        <w:t>Cyprus v. Turkey</w:t>
      </w:r>
      <w:r w:rsidRPr="002C3F9C">
        <w:rPr>
          <w:rFonts w:ascii="Arial" w:hAnsi="Arial" w:cs="Arial"/>
        </w:rPr>
        <w:t xml:space="preserve"> and </w:t>
      </w:r>
      <w:r w:rsidRPr="002C3F9C">
        <w:rPr>
          <w:rFonts w:ascii="Arial" w:hAnsi="Arial" w:cs="Arial"/>
          <w:i/>
        </w:rPr>
        <w:t>Ireland v. United Kingdom</w:t>
      </w:r>
      <w:r w:rsidRPr="002C3F9C">
        <w:rPr>
          <w:rFonts w:ascii="Arial" w:hAnsi="Arial" w:cs="Arial"/>
        </w:rPr>
        <w:t xml:space="preserve">, for instance, hearings by the Commission took place in the country concerned or in places outside the Court’s premises. More recently, in the cases of </w:t>
      </w:r>
      <w:r w:rsidRPr="002C3F9C">
        <w:rPr>
          <w:rFonts w:ascii="Arial" w:hAnsi="Arial" w:cs="Arial"/>
          <w:i/>
        </w:rPr>
        <w:t>Georgia v. Russia</w:t>
      </w:r>
      <w:r w:rsidRPr="002C3F9C">
        <w:rPr>
          <w:rFonts w:ascii="Arial" w:hAnsi="Arial" w:cs="Arial"/>
        </w:rPr>
        <w:t xml:space="preserve"> (I) and (II)</w:t>
      </w:r>
      <w:r>
        <w:rPr>
          <w:rFonts w:ascii="Arial" w:hAnsi="Arial" w:cs="Arial"/>
        </w:rPr>
        <w:t>,</w:t>
      </w:r>
      <w:r w:rsidRPr="002C3F9C">
        <w:rPr>
          <w:rFonts w:ascii="Arial" w:hAnsi="Arial" w:cs="Arial"/>
        </w:rPr>
        <w:t xml:space="preserve"> the hearings took place in Strasbourg at the Court’s premises, lasting one and two weeks respectively.</w:t>
      </w:r>
      <w:r w:rsidRPr="002C3F9C">
        <w:rPr>
          <w:rStyle w:val="Appelnotedebasdep"/>
          <w:rFonts w:ascii="Arial" w:hAnsi="Arial" w:cs="Arial"/>
        </w:rPr>
        <w:footnoteReference w:id="187"/>
      </w:r>
      <w:r w:rsidRPr="002C3F9C">
        <w:rPr>
          <w:rFonts w:ascii="Arial" w:hAnsi="Arial" w:cs="Arial"/>
        </w:rPr>
        <w:t xml:space="preserve"> This approach has advantages for the Court in respect of the availability of legal staff, recording equipment and interpreters. It must also be noted that where a witness is summoned at the request of or on behalf of a Contracting Party, the costs of their appearance shall be borne by that Party unless the Chamber decides otherwise.</w:t>
      </w:r>
      <w:r w:rsidRPr="002C3F9C">
        <w:rPr>
          <w:rStyle w:val="Appelnotedebasdep"/>
          <w:rFonts w:ascii="Arial" w:hAnsi="Arial" w:cs="Arial"/>
        </w:rPr>
        <w:footnoteReference w:id="188"/>
      </w:r>
      <w:r w:rsidRPr="002C3F9C">
        <w:rPr>
          <w:rFonts w:ascii="Arial" w:hAnsi="Arial" w:cs="Arial"/>
        </w:rPr>
        <w:t xml:space="preserve"> In addition, it can provide a neutral venue and thus avoids disagreement by the parties as to where the fact-finding hearing should take place. However, this approach presupposes that the witnesses are free and willing to attend the hearing. </w:t>
      </w:r>
      <w:bookmarkStart w:id="74" w:name="_Toc36049239"/>
    </w:p>
    <w:p w14:paraId="2A40C2CE" w14:textId="77777777" w:rsidR="002218C4" w:rsidRDefault="002218C4" w:rsidP="002218C4">
      <w:pPr>
        <w:pStyle w:val="ECHRParaSpaced"/>
        <w:ind w:firstLine="340"/>
        <w:rPr>
          <w:rFonts w:ascii="Arial" w:hAnsi="Arial" w:cs="Arial"/>
        </w:rPr>
      </w:pPr>
      <w:r w:rsidRPr="002C3F9C">
        <w:rPr>
          <w:rFonts w:ascii="Arial" w:hAnsi="Arial" w:cs="Arial"/>
        </w:rPr>
        <w:t>10</w:t>
      </w:r>
      <w:r>
        <w:rPr>
          <w:rFonts w:ascii="Arial" w:hAnsi="Arial" w:cs="Arial"/>
        </w:rPr>
        <w:t>1</w:t>
      </w:r>
      <w:r w:rsidRPr="002C3F9C">
        <w:rPr>
          <w:rFonts w:ascii="Arial" w:hAnsi="Arial" w:cs="Arial"/>
        </w:rPr>
        <w:t>. Member States are obliged to ensure freedom of movement and adequate security for, among others, witnesses and experts.</w:t>
      </w:r>
      <w:r w:rsidRPr="002C3F9C">
        <w:rPr>
          <w:rStyle w:val="Appelnotedebasdep"/>
          <w:rFonts w:ascii="Arial" w:hAnsi="Arial" w:cs="Arial"/>
        </w:rPr>
        <w:footnoteReference w:id="189"/>
      </w:r>
      <w:r w:rsidRPr="002C3F9C">
        <w:rPr>
          <w:rFonts w:ascii="Arial" w:hAnsi="Arial" w:cs="Arial"/>
        </w:rPr>
        <w:t xml:space="preserve"> </w:t>
      </w:r>
      <w:bookmarkEnd w:id="74"/>
      <w:r w:rsidRPr="002C3F9C">
        <w:rPr>
          <w:rFonts w:ascii="Arial" w:hAnsi="Arial" w:cs="Arial"/>
        </w:rPr>
        <w:t xml:space="preserve">Issues related to the </w:t>
      </w:r>
      <w:r w:rsidRPr="002C3F9C">
        <w:rPr>
          <w:rFonts w:ascii="Arial" w:hAnsi="Arial" w:cs="Arial"/>
          <w:bCs/>
        </w:rPr>
        <w:t>protection of witnesses</w:t>
      </w:r>
      <w:r w:rsidRPr="002C3F9C">
        <w:rPr>
          <w:rFonts w:ascii="Arial" w:hAnsi="Arial" w:cs="Arial"/>
        </w:rPr>
        <w:t xml:space="preserve"> as well as States’ failure to cooperate with the Court in this respect have been identified as challenging aspects of the Court’s fact-finding function.</w:t>
      </w:r>
      <w:r w:rsidRPr="002C3F9C">
        <w:rPr>
          <w:rStyle w:val="Appelnotedebasdep"/>
          <w:rFonts w:ascii="Arial" w:hAnsi="Arial" w:cs="Arial"/>
        </w:rPr>
        <w:footnoteReference w:id="190"/>
      </w:r>
      <w:r w:rsidRPr="002C3F9C">
        <w:rPr>
          <w:rFonts w:ascii="Arial" w:hAnsi="Arial" w:cs="Arial"/>
        </w:rPr>
        <w:t xml:space="preserve"> The head of delegation may make </w:t>
      </w:r>
      <w:r w:rsidRPr="002C3F9C">
        <w:rPr>
          <w:rFonts w:ascii="Arial" w:hAnsi="Arial" w:cs="Arial"/>
        </w:rPr>
        <w:lastRenderedPageBreak/>
        <w:t>special arrangements for witnesses, experts or other persons to be heard in the absence of the parties where that is required for the proper administration of justice.</w:t>
      </w:r>
      <w:r w:rsidRPr="002C3F9C">
        <w:rPr>
          <w:rStyle w:val="Appelnotedebasdep"/>
          <w:rFonts w:ascii="Arial" w:hAnsi="Arial" w:cs="Arial"/>
        </w:rPr>
        <w:footnoteReference w:id="191"/>
      </w:r>
      <w:r w:rsidRPr="002C3F9C">
        <w:rPr>
          <w:rFonts w:ascii="Arial" w:hAnsi="Arial" w:cs="Arial"/>
        </w:rPr>
        <w:t xml:space="preserve"> For instance, in the case of </w:t>
      </w:r>
      <w:r w:rsidRPr="002C3F9C">
        <w:rPr>
          <w:rFonts w:ascii="Arial" w:hAnsi="Arial" w:cs="Arial"/>
          <w:i/>
        </w:rPr>
        <w:t>Cyprus v. Turkey</w:t>
      </w:r>
      <w:r w:rsidRPr="002C3F9C">
        <w:rPr>
          <w:rFonts w:ascii="Arial" w:hAnsi="Arial" w:cs="Arial"/>
        </w:rPr>
        <w:t>,</w:t>
      </w:r>
      <w:r w:rsidRPr="002C3F9C">
        <w:rPr>
          <w:rFonts w:ascii="Arial" w:hAnsi="Arial" w:cs="Arial"/>
          <w:i/>
        </w:rPr>
        <w:t xml:space="preserve"> a </w:t>
      </w:r>
      <w:r w:rsidRPr="002C3F9C">
        <w:rPr>
          <w:rFonts w:ascii="Arial" w:hAnsi="Arial" w:cs="Arial"/>
        </w:rPr>
        <w:t xml:space="preserve">certain number of witnesses were questioned only by members of the Commission’s delegation, without disclosing their identity due to security reasons. Subsequently, the Court in its assessment established that the Commission took the necessary steps to ensure that the taking of evidence from unidentified witnesses complied with the fairness requirements of Article 6 of the Convention. It was noted that the respondent State could sufficiently participate in the proceedings, comment on the evidence taken and present </w:t>
      </w:r>
      <w:proofErr w:type="gramStart"/>
      <w:r w:rsidRPr="002C3F9C">
        <w:rPr>
          <w:rFonts w:ascii="Arial" w:hAnsi="Arial" w:cs="Arial"/>
        </w:rPr>
        <w:t>counter-evidence</w:t>
      </w:r>
      <w:proofErr w:type="gramEnd"/>
      <w:r w:rsidRPr="002C3F9C">
        <w:rPr>
          <w:rFonts w:ascii="Arial" w:hAnsi="Arial" w:cs="Arial"/>
        </w:rPr>
        <w:t xml:space="preserve"> even though this approach was criticised by the respondent State in question.</w:t>
      </w:r>
      <w:r w:rsidRPr="002C3F9C">
        <w:rPr>
          <w:rStyle w:val="Appelnotedebasdep"/>
          <w:rFonts w:ascii="Arial" w:hAnsi="Arial" w:cs="Arial"/>
        </w:rPr>
        <w:footnoteReference w:id="192"/>
      </w:r>
    </w:p>
    <w:p w14:paraId="117E1A67" w14:textId="77777777" w:rsidR="002218C4" w:rsidRDefault="002218C4" w:rsidP="002218C4">
      <w:pPr>
        <w:pStyle w:val="ECHRParaSpaced"/>
        <w:ind w:firstLine="340"/>
        <w:rPr>
          <w:rFonts w:ascii="Arial" w:hAnsi="Arial" w:cs="Arial"/>
        </w:rPr>
      </w:pPr>
      <w:r w:rsidRPr="002C3F9C">
        <w:rPr>
          <w:rFonts w:ascii="Arial" w:hAnsi="Arial" w:cs="Arial"/>
        </w:rPr>
        <w:t>10</w:t>
      </w:r>
      <w:r>
        <w:rPr>
          <w:rFonts w:ascii="Arial" w:hAnsi="Arial" w:cs="Arial"/>
        </w:rPr>
        <w:t>2</w:t>
      </w:r>
      <w:r w:rsidRPr="002C3F9C">
        <w:rPr>
          <w:rFonts w:ascii="Arial" w:hAnsi="Arial" w:cs="Arial"/>
        </w:rPr>
        <w:t>. Witnesses’ failure to appear before the Court has been considered as</w:t>
      </w:r>
      <w:r w:rsidRPr="002C3F9C">
        <w:rPr>
          <w:rFonts w:ascii="Arial" w:hAnsi="Arial" w:cs="Arial"/>
          <w:b/>
          <w:bCs/>
          <w:color w:val="FF0000"/>
        </w:rPr>
        <w:t xml:space="preserve"> </w:t>
      </w:r>
      <w:r w:rsidRPr="002C3F9C">
        <w:rPr>
          <w:rFonts w:ascii="Arial" w:hAnsi="Arial" w:cs="Arial"/>
        </w:rPr>
        <w:t>one of the most significant problems encountered during fact-finding hearings. In some cases, witnesses did not reply to the Court’s summons, got sick or the States did not locate and summon witnesses residing on their territory (as regards the States’ obligation in this respect see Rule A5 § 4 of the Annex to the Rules of Court).</w:t>
      </w:r>
      <w:r w:rsidRPr="002C3F9C">
        <w:rPr>
          <w:rStyle w:val="Appelnotedebasdep"/>
          <w:rFonts w:ascii="Arial" w:hAnsi="Arial" w:cs="Arial"/>
        </w:rPr>
        <w:footnoteReference w:id="193"/>
      </w:r>
      <w:r w:rsidRPr="002C3F9C">
        <w:rPr>
          <w:rFonts w:ascii="Arial" w:hAnsi="Arial" w:cs="Arial"/>
        </w:rPr>
        <w:t xml:space="preserve"> A study of the fact-finding function of the Court which was based on interviews with relevant members of the Registry suggested that “t</w:t>
      </w:r>
      <w:r w:rsidRPr="002C3F9C">
        <w:rPr>
          <w:rFonts w:ascii="Arial" w:hAnsi="Arial" w:cs="Arial"/>
          <w:lang w:val="en-US"/>
        </w:rPr>
        <w:t>here are clear distinctions between the reasons for non-attendance of applicants’ witnesses and state witnesses. The reasons why applicants’ witnesses fail to appear are usually related to issues of fear and pressure, whereas the explanations for the non-attendance of State witnesses have been more diverse”.</w:t>
      </w:r>
      <w:r w:rsidRPr="002C3F9C">
        <w:rPr>
          <w:rStyle w:val="Appelnotedebasdep"/>
          <w:rFonts w:ascii="Arial" w:hAnsi="Arial" w:cs="Arial"/>
          <w:lang w:val="en-US"/>
        </w:rPr>
        <w:footnoteReference w:id="194"/>
      </w:r>
      <w:r w:rsidRPr="002C3F9C">
        <w:rPr>
          <w:rFonts w:ascii="Arial" w:hAnsi="Arial" w:cs="Arial"/>
          <w:lang w:val="en-US"/>
        </w:rPr>
        <w:t xml:space="preserve"> </w:t>
      </w:r>
      <w:r w:rsidRPr="002C3F9C">
        <w:rPr>
          <w:rFonts w:ascii="Arial" w:hAnsi="Arial" w:cs="Arial"/>
        </w:rPr>
        <w:t xml:space="preserve">The Court on the other hand has no means to compel witnesses to attend its hearings. </w:t>
      </w:r>
    </w:p>
    <w:p w14:paraId="2DC7926C" w14:textId="77777777" w:rsidR="002218C4" w:rsidRDefault="002218C4" w:rsidP="002218C4">
      <w:pPr>
        <w:pStyle w:val="ECHRParaSpaced"/>
        <w:ind w:firstLine="340"/>
        <w:rPr>
          <w:rFonts w:ascii="Arial" w:hAnsi="Arial" w:cs="Arial"/>
        </w:rPr>
      </w:pPr>
      <w:r w:rsidRPr="002C3F9C">
        <w:rPr>
          <w:rFonts w:ascii="Arial" w:hAnsi="Arial" w:cs="Arial"/>
        </w:rPr>
        <w:t>10</w:t>
      </w:r>
      <w:r>
        <w:rPr>
          <w:rFonts w:ascii="Arial" w:hAnsi="Arial" w:cs="Arial"/>
        </w:rPr>
        <w:t>3</w:t>
      </w:r>
      <w:r w:rsidRPr="002C3F9C">
        <w:rPr>
          <w:rFonts w:ascii="Arial" w:hAnsi="Arial" w:cs="Arial"/>
        </w:rPr>
        <w:t>. Nevertheless, the Court draws its own conclusions when witnesses, notably those who are police officers or public prosecutors, fail to appear. The Court considers that the State parties’ commitment under Article 38 to furnish all the necessary facilities for the effective conduct of the Court’s investigations includes identifying, locating and ensuring the attendance of witnesses.</w:t>
      </w:r>
      <w:r w:rsidRPr="002C3F9C">
        <w:rPr>
          <w:rStyle w:val="Appelnotedebasdep"/>
          <w:rFonts w:ascii="Arial" w:hAnsi="Arial" w:cs="Arial"/>
        </w:rPr>
        <w:footnoteReference w:id="195"/>
      </w:r>
      <w:r w:rsidRPr="002C3F9C">
        <w:rPr>
          <w:rFonts w:ascii="Arial" w:hAnsi="Arial" w:cs="Arial"/>
        </w:rPr>
        <w:t xml:space="preserve"> Consequently, the Court has developed the practice of requiring the respondent Governments to provide reasons for non-attendance of witnesses that it has requested. In this regard the Court may draw conclusions as to whether the respondent State has met its obligations under Article 38 of the Convention.</w:t>
      </w:r>
      <w:r w:rsidRPr="002C3F9C">
        <w:rPr>
          <w:rStyle w:val="Appelnotedebasdep"/>
          <w:rFonts w:ascii="Arial" w:hAnsi="Arial" w:cs="Arial"/>
        </w:rPr>
        <w:footnoteReference w:id="196"/>
      </w:r>
      <w:r w:rsidRPr="002C3F9C">
        <w:rPr>
          <w:rFonts w:ascii="Arial" w:hAnsi="Arial" w:cs="Arial"/>
        </w:rPr>
        <w:t xml:space="preserve"> In addition, the Court may draw inferences from a respondent Government’s conduct in respect of not advancing any, or any convincing, explanation for its delays and omissions in response to Court’s requests for witnesses.</w:t>
      </w:r>
      <w:r w:rsidRPr="002C3F9C">
        <w:rPr>
          <w:rStyle w:val="Appelnotedebasdep"/>
          <w:rFonts w:ascii="Arial" w:hAnsi="Arial" w:cs="Arial"/>
        </w:rPr>
        <w:footnoteReference w:id="197"/>
      </w:r>
      <w:r w:rsidRPr="002C3F9C">
        <w:rPr>
          <w:rFonts w:ascii="Arial" w:hAnsi="Arial" w:cs="Arial"/>
        </w:rPr>
        <w:t xml:space="preserve"> This practice is reflected in the Rules of Court which provide that where a party fails to adduce evidence or provide information requested by the Court or to divulge relevant information of its own motion or otherwise fails to participate effectively in the proceedings, the Court may draw such inferences as it deems appropriate.</w:t>
      </w:r>
      <w:r w:rsidRPr="002C3F9C">
        <w:rPr>
          <w:rStyle w:val="Appelnotedebasdep"/>
          <w:rFonts w:ascii="Arial" w:hAnsi="Arial" w:cs="Arial"/>
        </w:rPr>
        <w:footnoteReference w:id="198"/>
      </w:r>
    </w:p>
    <w:p w14:paraId="5C490B21" w14:textId="77777777" w:rsidR="002218C4" w:rsidRDefault="002218C4" w:rsidP="002218C4">
      <w:pPr>
        <w:pStyle w:val="ECHRParaSpaced"/>
        <w:ind w:firstLine="340"/>
        <w:rPr>
          <w:rFonts w:ascii="Arial" w:hAnsi="Arial" w:cs="Arial"/>
        </w:rPr>
      </w:pPr>
      <w:r w:rsidRPr="002C3F9C">
        <w:rPr>
          <w:rFonts w:ascii="Arial" w:hAnsi="Arial" w:cs="Arial"/>
        </w:rPr>
        <w:t>10</w:t>
      </w:r>
      <w:r>
        <w:rPr>
          <w:rFonts w:ascii="Arial" w:hAnsi="Arial" w:cs="Arial"/>
        </w:rPr>
        <w:t>4</w:t>
      </w:r>
      <w:r w:rsidRPr="002C3F9C">
        <w:rPr>
          <w:rFonts w:ascii="Arial" w:hAnsi="Arial" w:cs="Arial"/>
        </w:rPr>
        <w:t xml:space="preserve">. The Rules of Court do not explicitly provide for hearing of witnesses through remote participation or information technology means. This method could indeed present cost-efficiency advantages. The desirability and feasibility of organising witness hearings in this way is worthy of further reflection. </w:t>
      </w:r>
    </w:p>
    <w:p w14:paraId="793CDF48" w14:textId="77777777" w:rsidR="002218C4" w:rsidRPr="002C3F9C" w:rsidRDefault="002218C4" w:rsidP="002218C4">
      <w:pPr>
        <w:pStyle w:val="ECHRParaSpaced"/>
        <w:ind w:firstLine="340"/>
        <w:rPr>
          <w:rFonts w:ascii="Arial" w:hAnsi="Arial" w:cs="Arial"/>
        </w:rPr>
      </w:pPr>
    </w:p>
    <w:p w14:paraId="2F4EB562" w14:textId="77777777" w:rsidR="002218C4" w:rsidRPr="00C34914" w:rsidRDefault="002218C4" w:rsidP="002218C4">
      <w:pPr>
        <w:pStyle w:val="Titre3"/>
        <w:ind w:left="720"/>
        <w:rPr>
          <w:rFonts w:ascii="Arial" w:hAnsi="Arial" w:cs="Arial"/>
          <w:b/>
          <w:i/>
          <w:lang w:val="en-GB"/>
        </w:rPr>
      </w:pPr>
      <w:bookmarkStart w:id="75" w:name="_Toc45123280"/>
      <w:bookmarkStart w:id="76" w:name="_Toc83293376"/>
      <w:r w:rsidRPr="00C34914">
        <w:rPr>
          <w:rFonts w:ascii="Arial" w:hAnsi="Arial" w:cs="Arial"/>
          <w:i/>
          <w:lang w:val="en-GB"/>
        </w:rPr>
        <w:t>4.3. On-the-spot investigations</w:t>
      </w:r>
      <w:bookmarkEnd w:id="75"/>
      <w:bookmarkEnd w:id="76"/>
    </w:p>
    <w:p w14:paraId="79913D8D" w14:textId="77777777" w:rsidR="002218C4" w:rsidRDefault="002218C4" w:rsidP="002218C4">
      <w:pPr>
        <w:pStyle w:val="ECHRParaSpaced"/>
        <w:ind w:firstLine="340"/>
        <w:rPr>
          <w:rFonts w:ascii="Arial" w:hAnsi="Arial" w:cs="Arial"/>
        </w:rPr>
      </w:pPr>
      <w:r w:rsidRPr="002C3F9C">
        <w:rPr>
          <w:rFonts w:ascii="Arial" w:hAnsi="Arial" w:cs="Arial"/>
        </w:rPr>
        <w:t>10</w:t>
      </w:r>
      <w:r>
        <w:rPr>
          <w:rFonts w:ascii="Arial" w:hAnsi="Arial" w:cs="Arial"/>
        </w:rPr>
        <w:t>5</w:t>
      </w:r>
      <w:r w:rsidRPr="002C3F9C">
        <w:rPr>
          <w:rFonts w:ascii="Arial" w:hAnsi="Arial" w:cs="Arial"/>
        </w:rPr>
        <w:t xml:space="preserve">. The Convention institutions carried out on-the-spot investigations in respect of inter-State applications in limited cases, which all date back to the pre-Protocol 11 period of time. For example, in the case of </w:t>
      </w:r>
      <w:r w:rsidRPr="002C3F9C">
        <w:rPr>
          <w:rFonts w:ascii="Arial" w:hAnsi="Arial" w:cs="Arial"/>
          <w:i/>
        </w:rPr>
        <w:t>Denmark, Norway, Sweden and the Netherlands v. Greece</w:t>
      </w:r>
      <w:r w:rsidRPr="002C3F9C">
        <w:rPr>
          <w:rFonts w:ascii="Arial" w:hAnsi="Arial" w:cs="Arial"/>
        </w:rPr>
        <w:t>,</w:t>
      </w:r>
      <w:r w:rsidRPr="002C3F9C">
        <w:rPr>
          <w:rStyle w:val="Appelnotedebasdep"/>
          <w:rFonts w:ascii="Arial" w:hAnsi="Arial" w:cs="Arial"/>
        </w:rPr>
        <w:footnoteReference w:id="199"/>
      </w:r>
      <w:r w:rsidRPr="002C3F9C">
        <w:rPr>
          <w:rFonts w:ascii="Arial" w:hAnsi="Arial" w:cs="Arial"/>
        </w:rPr>
        <w:t xml:space="preserve"> which involved extensive fact-finding by the Commission, the final report contained more than 1000 pages. Furthermore, in the case of </w:t>
      </w:r>
      <w:r w:rsidRPr="002C3F9C">
        <w:rPr>
          <w:rFonts w:ascii="Arial" w:hAnsi="Arial" w:cs="Arial"/>
          <w:i/>
        </w:rPr>
        <w:t>Ireland v. United Kingdom</w:t>
      </w:r>
      <w:r w:rsidRPr="002C3F9C">
        <w:rPr>
          <w:rFonts w:ascii="Arial" w:hAnsi="Arial" w:cs="Arial"/>
        </w:rPr>
        <w:t xml:space="preserve">, the Commission invested greatly in fact-finding, taking testimony in various locations. Likewise, in the case of </w:t>
      </w:r>
      <w:r w:rsidRPr="002C3F9C">
        <w:rPr>
          <w:rFonts w:ascii="Arial" w:hAnsi="Arial" w:cs="Arial"/>
          <w:i/>
        </w:rPr>
        <w:t>Cyprus v. Turkey</w:t>
      </w:r>
      <w:r w:rsidRPr="002C3F9C">
        <w:rPr>
          <w:rFonts w:ascii="Arial" w:hAnsi="Arial" w:cs="Arial"/>
        </w:rPr>
        <w:t>, the Commission conducted a fact-finding hearing and on-spot investigations on issues related to effective control and jurisdiction in the northern part of Cyprus.</w:t>
      </w:r>
      <w:r w:rsidRPr="002C3F9C">
        <w:rPr>
          <w:rStyle w:val="Appelnotedebasdep"/>
          <w:rFonts w:ascii="Arial" w:hAnsi="Arial" w:cs="Arial"/>
        </w:rPr>
        <w:footnoteReference w:id="200"/>
      </w:r>
      <w:r w:rsidRPr="002C3F9C">
        <w:rPr>
          <w:rFonts w:ascii="Arial" w:hAnsi="Arial" w:cs="Arial"/>
        </w:rPr>
        <w:t xml:space="preserve"> Since the entry into force of Protocol 11 the Court has not carried out fact-finding missions but rather conducted hearings of witnesses which took place in Strasbourg (Georgia v. Russia (I) and (II). The Court’s tendency not to carry out fact-finding missions is reportedly primarily related to cost and time factors; the increase in the Court’s caseload and length of proceedings have seemingly a bearing on the practicability of carrying out fact-finding hearings in all the cases in which they would otherwise be justified.</w:t>
      </w:r>
      <w:r w:rsidRPr="002C3F9C">
        <w:rPr>
          <w:rStyle w:val="Appelnotedebasdep"/>
          <w:rFonts w:ascii="Arial" w:hAnsi="Arial" w:cs="Arial"/>
        </w:rPr>
        <w:footnoteReference w:id="201"/>
      </w:r>
    </w:p>
    <w:p w14:paraId="53F338F7" w14:textId="77777777" w:rsidR="002218C4" w:rsidRDefault="002218C4" w:rsidP="002218C4">
      <w:pPr>
        <w:pStyle w:val="ECHRParaSpaced"/>
        <w:ind w:firstLine="340"/>
        <w:rPr>
          <w:rFonts w:ascii="Arial" w:hAnsi="Arial" w:cs="Arial"/>
        </w:rPr>
      </w:pPr>
      <w:r w:rsidRPr="002C3F9C">
        <w:rPr>
          <w:rFonts w:ascii="Arial" w:hAnsi="Arial" w:cs="Arial"/>
        </w:rPr>
        <w:t>1</w:t>
      </w:r>
      <w:r>
        <w:rPr>
          <w:rFonts w:ascii="Arial" w:hAnsi="Arial" w:cs="Arial"/>
        </w:rPr>
        <w:t>06</w:t>
      </w:r>
      <w:r w:rsidRPr="002C3F9C">
        <w:rPr>
          <w:rFonts w:ascii="Arial" w:hAnsi="Arial" w:cs="Arial"/>
        </w:rPr>
        <w:t xml:space="preserve">. On-the-spot investigations have a crucial role in some cases, especially where the facts have not been established by the domestic courts. However, they are undoubtedly expensive and time-consuming for the Court. Moreover, the appropriateness of fact-finding missions where the event in question had taken place many years before is a potential issue. </w:t>
      </w:r>
    </w:p>
    <w:p w14:paraId="34DD478E" w14:textId="77777777" w:rsidR="002218C4" w:rsidRDefault="002218C4" w:rsidP="002218C4">
      <w:pPr>
        <w:pStyle w:val="ECHRParaSpaced"/>
        <w:ind w:firstLine="340"/>
        <w:rPr>
          <w:rFonts w:ascii="Arial" w:hAnsi="Arial" w:cs="Arial"/>
        </w:rPr>
      </w:pPr>
      <w:r w:rsidRPr="002C3F9C">
        <w:rPr>
          <w:rFonts w:ascii="Arial" w:hAnsi="Arial" w:cs="Arial"/>
        </w:rPr>
        <w:t>1</w:t>
      </w:r>
      <w:r>
        <w:rPr>
          <w:rFonts w:ascii="Arial" w:hAnsi="Arial" w:cs="Arial"/>
        </w:rPr>
        <w:t>07</w:t>
      </w:r>
      <w:r w:rsidRPr="002C3F9C">
        <w:rPr>
          <w:rFonts w:ascii="Arial" w:hAnsi="Arial" w:cs="Arial"/>
        </w:rPr>
        <w:t>. The effectiveness of on-the-spot investigations depends to a large extent on the full cooperation of the respondent State. Some of the difficulties which have emerged in the context of on-the-spot investigations relate to the reluctance, and at times the unwillingness of the respondent State’s authorities to ensure the Court’s delegation’s access to the territory</w:t>
      </w:r>
      <w:r w:rsidRPr="002C3F9C">
        <w:rPr>
          <w:rStyle w:val="Appelnotedebasdep"/>
          <w:rFonts w:ascii="Arial" w:hAnsi="Arial" w:cs="Arial"/>
        </w:rPr>
        <w:footnoteReference w:id="202"/>
      </w:r>
      <w:r w:rsidRPr="002C3F9C">
        <w:rPr>
          <w:rFonts w:ascii="Arial" w:hAnsi="Arial" w:cs="Arial"/>
        </w:rPr>
        <w:t xml:space="preserve"> or to premises relevant to the case.</w:t>
      </w:r>
      <w:r w:rsidRPr="002C3F9C">
        <w:rPr>
          <w:rStyle w:val="Appelnotedebasdep"/>
          <w:rFonts w:ascii="Arial" w:hAnsi="Arial" w:cs="Arial"/>
        </w:rPr>
        <w:footnoteReference w:id="203"/>
      </w:r>
      <w:r w:rsidRPr="002C3F9C">
        <w:rPr>
          <w:rFonts w:ascii="Arial" w:hAnsi="Arial" w:cs="Arial"/>
        </w:rPr>
        <w:t xml:space="preserve"> Pursuant to Rule A1 (1) the Court may decide on its own motion to carry out a fact-finding mission and does not, therefore, need to obtain the consent of the State concerned. The effectiveness of fact-finding may, however, be jeopardised in practice if the respondent State is not willing to cooperate. On occasion the Court has had to abandon a planned fact-finding mission where it has been unable to persuade the respondent State to adopt a more cooperative attitude. In such cases</w:t>
      </w:r>
      <w:r>
        <w:rPr>
          <w:rFonts w:ascii="Arial" w:hAnsi="Arial" w:cs="Arial"/>
        </w:rPr>
        <w:t>,</w:t>
      </w:r>
      <w:r w:rsidRPr="002C3F9C">
        <w:rPr>
          <w:rFonts w:ascii="Arial" w:hAnsi="Arial" w:cs="Arial"/>
        </w:rPr>
        <w:t xml:space="preserve"> the Court has instead proceeded with preparation of the judgment on the basis of the evidence before it.</w:t>
      </w:r>
      <w:r w:rsidRPr="002C3F9C">
        <w:rPr>
          <w:rStyle w:val="Appelnotedebasdep"/>
          <w:rFonts w:ascii="Arial" w:hAnsi="Arial" w:cs="Arial"/>
        </w:rPr>
        <w:footnoteReference w:id="204"/>
      </w:r>
      <w:r w:rsidRPr="002C3F9C">
        <w:rPr>
          <w:rFonts w:ascii="Arial" w:hAnsi="Arial" w:cs="Arial"/>
        </w:rPr>
        <w:t xml:space="preserve"> </w:t>
      </w:r>
    </w:p>
    <w:p w14:paraId="280ED4AD" w14:textId="77777777" w:rsidR="002218C4" w:rsidRPr="002C3F9C" w:rsidRDefault="002218C4" w:rsidP="002218C4">
      <w:pPr>
        <w:pStyle w:val="ECHRParaSpaced"/>
        <w:ind w:firstLine="340"/>
        <w:rPr>
          <w:rFonts w:ascii="Arial" w:hAnsi="Arial" w:cs="Arial"/>
        </w:rPr>
      </w:pPr>
      <w:r w:rsidRPr="002C3F9C">
        <w:rPr>
          <w:rFonts w:ascii="Arial" w:hAnsi="Arial" w:cs="Arial"/>
        </w:rPr>
        <w:t>1</w:t>
      </w:r>
      <w:r>
        <w:rPr>
          <w:rFonts w:ascii="Arial" w:hAnsi="Arial" w:cs="Arial"/>
        </w:rPr>
        <w:t>08</w:t>
      </w:r>
      <w:r w:rsidRPr="002C3F9C">
        <w:rPr>
          <w:rFonts w:ascii="Arial" w:hAnsi="Arial" w:cs="Arial"/>
        </w:rPr>
        <w:t xml:space="preserve">. The DH-SYSV-IV will continue to engage with the question whether it is feasible and/or desirable that fact-finding missions are organised by the Court in inter-State cases and the application of States Parties obligations under Article 38 in this context. </w:t>
      </w:r>
    </w:p>
    <w:p w14:paraId="5C01AC44" w14:textId="77777777" w:rsidR="002218C4" w:rsidRDefault="002218C4" w:rsidP="002218C4">
      <w:pPr>
        <w:autoSpaceDE w:val="0"/>
        <w:autoSpaceDN w:val="0"/>
        <w:adjustRightInd w:val="0"/>
        <w:rPr>
          <w:rFonts w:ascii="Arial" w:hAnsi="Arial" w:cs="Arial"/>
          <w:sz w:val="22"/>
          <w:szCs w:val="22"/>
          <w:lang w:val="en-GB"/>
        </w:rPr>
      </w:pPr>
    </w:p>
    <w:p w14:paraId="473A881E" w14:textId="77777777" w:rsidR="002218C4" w:rsidRPr="00080BB7" w:rsidRDefault="002218C4" w:rsidP="002218C4">
      <w:pPr>
        <w:pStyle w:val="Titre1"/>
        <w:rPr>
          <w:rFonts w:ascii="Arial" w:hAnsi="Arial" w:cs="Arial"/>
          <w:b/>
          <w:bCs/>
          <w:sz w:val="24"/>
          <w:szCs w:val="24"/>
          <w:lang w:val="en-GB"/>
        </w:rPr>
      </w:pPr>
      <w:bookmarkStart w:id="77" w:name="_Toc29388099"/>
      <w:bookmarkStart w:id="78" w:name="_Toc29388178"/>
      <w:bookmarkStart w:id="79" w:name="_Toc29388259"/>
      <w:bookmarkStart w:id="80" w:name="_Toc29396143"/>
      <w:bookmarkStart w:id="81" w:name="_Toc29464719"/>
      <w:bookmarkStart w:id="82" w:name="_Toc29464747"/>
      <w:bookmarkStart w:id="83" w:name="_Toc29388100"/>
      <w:bookmarkStart w:id="84" w:name="_Toc29388179"/>
      <w:bookmarkStart w:id="85" w:name="_Toc29388260"/>
      <w:bookmarkStart w:id="86" w:name="_Toc29396144"/>
      <w:bookmarkStart w:id="87" w:name="_Toc29464720"/>
      <w:bookmarkStart w:id="88" w:name="_Toc29464748"/>
      <w:bookmarkStart w:id="89" w:name="_Toc36049248"/>
      <w:bookmarkStart w:id="90" w:name="_Toc45123284"/>
      <w:bookmarkStart w:id="91" w:name="_Toc83293377"/>
      <w:bookmarkEnd w:id="77"/>
      <w:bookmarkEnd w:id="78"/>
      <w:bookmarkEnd w:id="79"/>
      <w:bookmarkEnd w:id="80"/>
      <w:bookmarkEnd w:id="81"/>
      <w:bookmarkEnd w:id="82"/>
      <w:bookmarkEnd w:id="83"/>
      <w:bookmarkEnd w:id="84"/>
      <w:bookmarkEnd w:id="85"/>
      <w:bookmarkEnd w:id="86"/>
      <w:bookmarkEnd w:id="87"/>
      <w:bookmarkEnd w:id="88"/>
      <w:r w:rsidRPr="00080BB7">
        <w:rPr>
          <w:rFonts w:ascii="Arial" w:hAnsi="Arial" w:cs="Arial"/>
          <w:b/>
          <w:bCs/>
          <w:sz w:val="24"/>
          <w:szCs w:val="24"/>
          <w:lang w:val="en-GB"/>
        </w:rPr>
        <w:t xml:space="preserve">VII. </w:t>
      </w:r>
      <w:bookmarkEnd w:id="89"/>
      <w:r w:rsidRPr="00080BB7">
        <w:rPr>
          <w:rFonts w:ascii="Arial" w:hAnsi="Arial" w:cs="Arial"/>
          <w:b/>
          <w:bCs/>
          <w:sz w:val="24"/>
          <w:szCs w:val="24"/>
          <w:lang w:val="en-GB"/>
        </w:rPr>
        <w:t>JUST SATISFACTION IN INTER-STATE CASES</w:t>
      </w:r>
      <w:bookmarkEnd w:id="90"/>
      <w:bookmarkEnd w:id="91"/>
      <w:r w:rsidRPr="00080BB7">
        <w:rPr>
          <w:rFonts w:ascii="Arial" w:hAnsi="Arial" w:cs="Arial"/>
          <w:b/>
          <w:bCs/>
          <w:sz w:val="24"/>
          <w:szCs w:val="24"/>
          <w:lang w:val="en-GB"/>
        </w:rPr>
        <w:t xml:space="preserve"> </w:t>
      </w:r>
    </w:p>
    <w:p w14:paraId="2B84B174" w14:textId="77777777" w:rsidR="002218C4" w:rsidRPr="00B21C8B" w:rsidRDefault="002218C4" w:rsidP="002218C4">
      <w:pPr>
        <w:rPr>
          <w:strike/>
          <w:lang w:val="en-GB"/>
        </w:rPr>
      </w:pPr>
    </w:p>
    <w:p w14:paraId="1C987EB8" w14:textId="77777777" w:rsidR="002218C4" w:rsidRDefault="002218C4" w:rsidP="002218C4">
      <w:pPr>
        <w:pStyle w:val="ECHRParaSpaced"/>
        <w:ind w:firstLine="340"/>
        <w:rPr>
          <w:rStyle w:val="sb8d990e2"/>
          <w:rFonts w:ascii="Arial" w:hAnsi="Arial" w:cs="Arial"/>
          <w:lang w:val="en-US"/>
        </w:rPr>
      </w:pPr>
      <w:r w:rsidRPr="002C3F9C">
        <w:rPr>
          <w:rFonts w:ascii="Arial" w:hAnsi="Arial" w:cs="Arial"/>
        </w:rPr>
        <w:t>1</w:t>
      </w:r>
      <w:r>
        <w:rPr>
          <w:rFonts w:ascii="Arial" w:hAnsi="Arial" w:cs="Arial"/>
        </w:rPr>
        <w:t>09</w:t>
      </w:r>
      <w:r w:rsidRPr="002C3F9C">
        <w:rPr>
          <w:rFonts w:ascii="Arial" w:hAnsi="Arial" w:cs="Arial"/>
        </w:rPr>
        <w:t>. Article 41 of the Convention does not explicitly refer to proceedings under Article 33 or Article 34. According to the jurisprudence of the Court, Article 41 applies to both inter-State and individual applications</w:t>
      </w:r>
      <w:r w:rsidRPr="002C3F9C">
        <w:rPr>
          <w:rFonts w:ascii="Arial" w:hAnsi="Arial" w:cs="Arial"/>
          <w:color w:val="333333"/>
          <w:shd w:val="clear" w:color="auto" w:fill="F6F6F8"/>
        </w:rPr>
        <w:t xml:space="preserve">. </w:t>
      </w:r>
      <w:r w:rsidRPr="002C3F9C">
        <w:rPr>
          <w:rFonts w:ascii="Arial" w:hAnsi="Arial" w:cs="Arial"/>
        </w:rPr>
        <w:t xml:space="preserve">In the case of </w:t>
      </w:r>
      <w:r w:rsidRPr="002C3F9C">
        <w:rPr>
          <w:rFonts w:ascii="Arial" w:hAnsi="Arial" w:cs="Arial"/>
          <w:i/>
        </w:rPr>
        <w:t>Cyprus v. Turkey</w:t>
      </w:r>
      <w:r w:rsidRPr="002C3F9C">
        <w:rPr>
          <w:rStyle w:val="Appelnotedebasdep"/>
          <w:rFonts w:ascii="Arial" w:hAnsi="Arial" w:cs="Arial"/>
        </w:rPr>
        <w:footnoteReference w:id="205"/>
      </w:r>
      <w:r w:rsidRPr="002C3F9C">
        <w:rPr>
          <w:rFonts w:ascii="Arial" w:hAnsi="Arial" w:cs="Arial"/>
        </w:rPr>
        <w:t xml:space="preserve"> the Court, for the first </w:t>
      </w:r>
      <w:r w:rsidRPr="002C3F9C">
        <w:rPr>
          <w:rFonts w:ascii="Arial" w:hAnsi="Arial" w:cs="Arial"/>
        </w:rPr>
        <w:lastRenderedPageBreak/>
        <w:t xml:space="preserve">time, made an award of just satisfaction to individuals regarding violations established on the merits in an inter-State case. Bearing in mind the specific nature of Article 41 of the Convention as lex </w:t>
      </w:r>
      <w:proofErr w:type="spellStart"/>
      <w:r w:rsidRPr="002C3F9C">
        <w:rPr>
          <w:rFonts w:ascii="Arial" w:hAnsi="Arial" w:cs="Arial"/>
        </w:rPr>
        <w:t>specialis</w:t>
      </w:r>
      <w:proofErr w:type="spellEnd"/>
      <w:r w:rsidRPr="002C3F9C">
        <w:rPr>
          <w:rFonts w:ascii="Arial" w:hAnsi="Arial" w:cs="Arial"/>
        </w:rPr>
        <w:t xml:space="preserve"> </w:t>
      </w:r>
      <w:r w:rsidRPr="002C3F9C">
        <w:rPr>
          <w:rStyle w:val="sb8d990e2"/>
          <w:rFonts w:ascii="Arial" w:hAnsi="Arial" w:cs="Arial"/>
          <w:color w:val="000000"/>
          <w:shd w:val="clear" w:color="auto" w:fill="FFFFFF"/>
        </w:rPr>
        <w:t>in relation to the general rules and principles of international law,</w:t>
      </w:r>
      <w:r w:rsidRPr="002C3F9C">
        <w:rPr>
          <w:rFonts w:ascii="Arial" w:hAnsi="Arial" w:cs="Arial"/>
        </w:rPr>
        <w:t xml:space="preserve"> the Court drew on the principles of public international law </w:t>
      </w:r>
      <w:r w:rsidRPr="002C3F9C">
        <w:rPr>
          <w:rStyle w:val="sb8d990e2"/>
          <w:rFonts w:ascii="Arial" w:hAnsi="Arial" w:cs="Arial"/>
        </w:rPr>
        <w:t xml:space="preserve">relating to state liability, </w:t>
      </w:r>
      <w:r w:rsidRPr="002C3F9C">
        <w:rPr>
          <w:rFonts w:ascii="Arial" w:hAnsi="Arial" w:cs="Arial"/>
        </w:rPr>
        <w:t xml:space="preserve">the </w:t>
      </w:r>
      <w:r w:rsidRPr="002C3F9C">
        <w:rPr>
          <w:rFonts w:ascii="Arial" w:hAnsi="Arial" w:cs="Arial"/>
          <w:i/>
        </w:rPr>
        <w:t xml:space="preserve">travaux </w:t>
      </w:r>
      <w:proofErr w:type="spellStart"/>
      <w:r w:rsidRPr="002C3F9C">
        <w:rPr>
          <w:rFonts w:ascii="Arial" w:hAnsi="Arial" w:cs="Arial"/>
          <w:i/>
        </w:rPr>
        <w:t>préparatoires</w:t>
      </w:r>
      <w:proofErr w:type="spellEnd"/>
      <w:r w:rsidRPr="002C3F9C">
        <w:rPr>
          <w:rFonts w:ascii="Arial" w:hAnsi="Arial" w:cs="Arial"/>
          <w:i/>
        </w:rPr>
        <w:t xml:space="preserve"> </w:t>
      </w:r>
      <w:r w:rsidRPr="002C3F9C">
        <w:rPr>
          <w:rFonts w:ascii="Arial" w:hAnsi="Arial" w:cs="Arial"/>
        </w:rPr>
        <w:t xml:space="preserve">of the Convention as well as </w:t>
      </w:r>
      <w:r w:rsidRPr="002C3F9C">
        <w:rPr>
          <w:rStyle w:val="sb8d990e2"/>
          <w:rFonts w:ascii="Arial" w:hAnsi="Arial" w:cs="Arial"/>
        </w:rPr>
        <w:t>the International Law Commission Draft Articles on Diplomatic Protection</w:t>
      </w:r>
      <w:r w:rsidRPr="002C3F9C">
        <w:rPr>
          <w:rFonts w:ascii="Arial" w:hAnsi="Arial" w:cs="Arial"/>
          <w:i/>
        </w:rPr>
        <w:t>.</w:t>
      </w:r>
      <w:r w:rsidRPr="00641ED4">
        <w:rPr>
          <w:rStyle w:val="Appelnotedebasdep"/>
          <w:rFonts w:ascii="Arial" w:hAnsi="Arial" w:cs="Arial"/>
        </w:rPr>
        <w:footnoteReference w:id="206"/>
      </w:r>
      <w:r w:rsidRPr="00641ED4">
        <w:rPr>
          <w:rFonts w:ascii="Arial" w:hAnsi="Arial" w:cs="Arial"/>
        </w:rPr>
        <w:t xml:space="preserve"> </w:t>
      </w:r>
      <w:r w:rsidRPr="002C3F9C">
        <w:rPr>
          <w:rFonts w:ascii="Arial" w:hAnsi="Arial" w:cs="Arial"/>
        </w:rPr>
        <w:t xml:space="preserve">The Court has noted, </w:t>
      </w:r>
      <w:r w:rsidRPr="002C3F9C">
        <w:rPr>
          <w:rStyle w:val="sb8d990e2"/>
          <w:rFonts w:ascii="Arial" w:hAnsi="Arial" w:cs="Arial"/>
        </w:rPr>
        <w:t>“according to the very nature of the Convention, it is the individual, and not the State, who is directly or indirectly harmed and primarily “injured” by a violation of one or several Convention rights. Therefore, if just satisfaction is afforded in an inter-State case, it should always be done for the benefit of individual victims.”</w:t>
      </w:r>
      <w:r w:rsidRPr="002C3F9C">
        <w:rPr>
          <w:rStyle w:val="Appelnotedebasdep"/>
          <w:rFonts w:ascii="Arial" w:hAnsi="Arial" w:cs="Arial"/>
        </w:rPr>
        <w:footnoteReference w:id="207"/>
      </w:r>
      <w:r w:rsidRPr="002C3F9C">
        <w:rPr>
          <w:rStyle w:val="sb8d990e2"/>
          <w:rFonts w:ascii="Arial" w:hAnsi="Arial" w:cs="Arial"/>
        </w:rPr>
        <w:t xml:space="preserve"> </w:t>
      </w:r>
    </w:p>
    <w:p w14:paraId="21420893" w14:textId="77777777" w:rsidR="002218C4" w:rsidRDefault="002218C4" w:rsidP="002218C4">
      <w:pPr>
        <w:pStyle w:val="ECHRParaSpaced"/>
        <w:ind w:firstLine="340"/>
        <w:rPr>
          <w:rFonts w:ascii="Arial" w:hAnsi="Arial" w:cs="Arial"/>
          <w:lang w:val="en-US"/>
        </w:rPr>
      </w:pPr>
      <w:r w:rsidRPr="002C3F9C">
        <w:rPr>
          <w:rStyle w:val="sb8d990e2"/>
          <w:rFonts w:ascii="Arial" w:hAnsi="Arial" w:cs="Arial"/>
        </w:rPr>
        <w:t>11</w:t>
      </w:r>
      <w:r>
        <w:rPr>
          <w:rStyle w:val="sb8d990e2"/>
          <w:rFonts w:ascii="Arial" w:hAnsi="Arial" w:cs="Arial"/>
        </w:rPr>
        <w:t>0</w:t>
      </w:r>
      <w:r w:rsidRPr="002C3F9C">
        <w:rPr>
          <w:rStyle w:val="sb8d990e2"/>
          <w:rFonts w:ascii="Arial" w:hAnsi="Arial" w:cs="Arial"/>
        </w:rPr>
        <w:t xml:space="preserve">. The Rules of Court reflect the Court’s jurisprudence on the applicability of Article 41 to inter-State cases. Accordingly, any </w:t>
      </w:r>
      <w:r w:rsidRPr="002C3F9C">
        <w:rPr>
          <w:rFonts w:ascii="Arial" w:hAnsi="Arial" w:cs="Arial"/>
          <w:color w:val="000000"/>
          <w:lang w:val="en-US"/>
        </w:rPr>
        <w:t xml:space="preserve">Contracting Party or Parties intending to bring a case before the Court under Article 33 of the Convention shall file with the Registry an application setting out, </w:t>
      </w:r>
      <w:r w:rsidRPr="002C3F9C">
        <w:rPr>
          <w:rFonts w:ascii="Arial" w:hAnsi="Arial" w:cs="Arial"/>
          <w:i/>
          <w:color w:val="000000"/>
          <w:lang w:val="en-US"/>
        </w:rPr>
        <w:t>inter alia</w:t>
      </w:r>
      <w:r w:rsidRPr="002C3F9C">
        <w:rPr>
          <w:rFonts w:ascii="Arial" w:hAnsi="Arial" w:cs="Arial"/>
          <w:color w:val="000000"/>
          <w:lang w:val="en-US"/>
        </w:rPr>
        <w:t>, the object of the application and a general indication of any claims for just satisfaction made under Article 41 of the Convention on behalf of the alleged injured party or parties.</w:t>
      </w:r>
      <w:r w:rsidRPr="002C3F9C">
        <w:rPr>
          <w:rStyle w:val="Appelnotedebasdep"/>
          <w:rFonts w:ascii="Arial" w:hAnsi="Arial" w:cs="Arial"/>
          <w:color w:val="000000"/>
          <w:lang w:val="en-US"/>
        </w:rPr>
        <w:footnoteReference w:id="208"/>
      </w:r>
      <w:r w:rsidRPr="002C3F9C">
        <w:rPr>
          <w:rFonts w:ascii="Arial" w:hAnsi="Arial" w:cs="Arial"/>
          <w:color w:val="000000"/>
          <w:lang w:val="en-US"/>
        </w:rPr>
        <w:t xml:space="preserve"> The claims of the applicant for just satisfaction, including itemized particulars of all claims, together with any relevant supporting documents, within the time-limit fixed for the submission of the applicant’s observations on the merits, are transmitted to the respondent Contracting Party for comment.</w:t>
      </w:r>
      <w:r w:rsidRPr="002C3F9C">
        <w:rPr>
          <w:rStyle w:val="Appelnotedebasdep"/>
          <w:rFonts w:ascii="Arial" w:hAnsi="Arial" w:cs="Arial"/>
          <w:color w:val="000000"/>
          <w:lang w:val="en-US"/>
        </w:rPr>
        <w:footnoteReference w:id="209"/>
      </w:r>
      <w:r w:rsidRPr="002C3F9C">
        <w:rPr>
          <w:rFonts w:ascii="Arial" w:hAnsi="Arial" w:cs="Arial"/>
          <w:color w:val="000000"/>
          <w:lang w:val="en-US"/>
        </w:rPr>
        <w:t xml:space="preserve"> </w:t>
      </w:r>
    </w:p>
    <w:p w14:paraId="7D4FBDEC" w14:textId="77777777" w:rsidR="002218C4" w:rsidRDefault="002218C4" w:rsidP="002218C4">
      <w:pPr>
        <w:pStyle w:val="ECHRParaSpaced"/>
        <w:ind w:firstLine="340"/>
        <w:rPr>
          <w:rStyle w:val="sb8d990e2"/>
          <w:rFonts w:ascii="Arial" w:hAnsi="Arial" w:cs="Arial"/>
          <w:lang w:val="en-US"/>
        </w:rPr>
      </w:pPr>
      <w:r w:rsidRPr="002C3F9C">
        <w:rPr>
          <w:rStyle w:val="sb8d990e2"/>
          <w:rFonts w:ascii="Arial" w:hAnsi="Arial" w:cs="Arial"/>
        </w:rPr>
        <w:t>11</w:t>
      </w:r>
      <w:r>
        <w:rPr>
          <w:rStyle w:val="sb8d990e2"/>
          <w:rFonts w:ascii="Arial" w:hAnsi="Arial" w:cs="Arial"/>
        </w:rPr>
        <w:t>1</w:t>
      </w:r>
      <w:r w:rsidRPr="002C3F9C">
        <w:rPr>
          <w:rStyle w:val="sb8d990e2"/>
          <w:rFonts w:ascii="Arial" w:hAnsi="Arial" w:cs="Arial"/>
        </w:rPr>
        <w:t xml:space="preserve">. The  granting of just satisfaction to an applicant State is assessed and decided by the Court on a case-by-case basis, taking into account, </w:t>
      </w:r>
      <w:r w:rsidRPr="002C3F9C">
        <w:rPr>
          <w:rStyle w:val="s6b621b36"/>
          <w:rFonts w:ascii="Arial" w:hAnsi="Arial" w:cs="Arial"/>
          <w:i/>
        </w:rPr>
        <w:t>inter alia</w:t>
      </w:r>
      <w:r w:rsidRPr="002C3F9C">
        <w:rPr>
          <w:rStyle w:val="sb8d990e2"/>
          <w:rFonts w:ascii="Arial" w:hAnsi="Arial" w:cs="Arial"/>
        </w:rPr>
        <w:t>, the type of complaint made by the applicant Government, whether the victims of violations can be identified, as well as the main purpose of bringing the proceedings in so far as this can be discerned from the initial application to the Court.</w:t>
      </w:r>
      <w:bookmarkStart w:id="92" w:name="_Hlk42527680"/>
      <w:r w:rsidRPr="002C3F9C">
        <w:rPr>
          <w:rStyle w:val="Appelnotedebasdep"/>
          <w:rFonts w:ascii="Arial" w:hAnsi="Arial" w:cs="Arial"/>
          <w:color w:val="000000"/>
        </w:rPr>
        <w:footnoteReference w:id="210"/>
      </w:r>
      <w:r w:rsidRPr="002C3F9C">
        <w:rPr>
          <w:rStyle w:val="sb8d990e2"/>
          <w:rFonts w:ascii="Arial" w:hAnsi="Arial" w:cs="Arial"/>
        </w:rPr>
        <w:t xml:space="preserve"> </w:t>
      </w:r>
      <w:bookmarkEnd w:id="92"/>
      <w:r w:rsidRPr="002C3F9C">
        <w:rPr>
          <w:rStyle w:val="sb8d990e2"/>
          <w:rFonts w:ascii="Arial" w:hAnsi="Arial" w:cs="Arial"/>
        </w:rPr>
        <w:t>The Court acknowledges that an application brought before it under Article 33 of the Convention may contain different types of complaints pursuing different goals. In such cases each complaint has to be addressed separately in order to determine whether awarding just satisfaction in respect of it would be justified.</w:t>
      </w:r>
      <w:r w:rsidRPr="002C3F9C">
        <w:rPr>
          <w:rStyle w:val="Appelnotedebasdep"/>
          <w:rFonts w:ascii="Arial" w:hAnsi="Arial" w:cs="Arial"/>
        </w:rPr>
        <w:footnoteReference w:id="211"/>
      </w:r>
    </w:p>
    <w:p w14:paraId="773614B8" w14:textId="77777777" w:rsidR="002218C4" w:rsidRDefault="002218C4" w:rsidP="002218C4">
      <w:pPr>
        <w:pStyle w:val="ECHRParaSpaced"/>
        <w:ind w:firstLine="340"/>
        <w:rPr>
          <w:rFonts w:ascii="Arial" w:hAnsi="Arial" w:cs="Arial"/>
          <w:lang w:val="en-US"/>
        </w:rPr>
      </w:pPr>
      <w:r w:rsidRPr="002C3F9C">
        <w:rPr>
          <w:rFonts w:ascii="Arial" w:hAnsi="Arial" w:cs="Arial"/>
        </w:rPr>
        <w:t>11</w:t>
      </w:r>
      <w:r>
        <w:rPr>
          <w:rFonts w:ascii="Arial" w:hAnsi="Arial" w:cs="Arial"/>
        </w:rPr>
        <w:t>2</w:t>
      </w:r>
      <w:r w:rsidRPr="002C3F9C">
        <w:rPr>
          <w:rFonts w:ascii="Arial" w:hAnsi="Arial" w:cs="Arial"/>
        </w:rPr>
        <w:t>. The application of Article 41 of the Convention requires identification of the individual victims concerned.</w:t>
      </w:r>
      <w:r w:rsidRPr="002C3F9C">
        <w:rPr>
          <w:rStyle w:val="Appelnotedebasdep"/>
          <w:rFonts w:ascii="Arial" w:hAnsi="Arial" w:cs="Arial"/>
        </w:rPr>
        <w:footnoteReference w:id="212"/>
      </w:r>
      <w:r w:rsidRPr="002C3F9C">
        <w:rPr>
          <w:rFonts w:ascii="Arial" w:hAnsi="Arial" w:cs="Arial"/>
          <w:b/>
          <w:bCs/>
        </w:rPr>
        <w:t xml:space="preserve"> </w:t>
      </w:r>
      <w:r w:rsidRPr="002C3F9C">
        <w:rPr>
          <w:rFonts w:ascii="Arial" w:hAnsi="Arial" w:cs="Arial"/>
        </w:rPr>
        <w:t>The Court bases itself on a determination of a “sufficiently precise and objectively identifiable” group of people whose rights were violated for purposes of awarding just satisfaction in respect of violations found and the criteria to be applied for an award of just satisfaction for non-pecuniary damage.</w:t>
      </w:r>
      <w:r w:rsidRPr="002C3F9C">
        <w:rPr>
          <w:rStyle w:val="Appelnotedebasdep"/>
          <w:rFonts w:ascii="Arial" w:hAnsi="Arial" w:cs="Arial"/>
        </w:rPr>
        <w:footnoteReference w:id="213"/>
      </w:r>
      <w:r w:rsidRPr="002C3F9C">
        <w:rPr>
          <w:rFonts w:ascii="Arial" w:hAnsi="Arial" w:cs="Arial"/>
        </w:rPr>
        <w:t xml:space="preserve"> In the case of </w:t>
      </w:r>
      <w:r w:rsidRPr="002C3F9C">
        <w:rPr>
          <w:rFonts w:ascii="Arial" w:hAnsi="Arial" w:cs="Arial"/>
          <w:i/>
          <w:iCs/>
        </w:rPr>
        <w:t>Georgia v. Russia (I)</w:t>
      </w:r>
      <w:r w:rsidRPr="002C3F9C">
        <w:rPr>
          <w:rFonts w:ascii="Arial" w:hAnsi="Arial" w:cs="Arial"/>
        </w:rPr>
        <w:t>, in which the finding of the existence of an administrative practice contrary to the Convention was based on individual administrative decisions expelling Georgian nationals from the Russian Federation during the autumn of 2006, the Court considered that the parties must be in a position to identify the Georgian nationals concerned and to furnish it with the relevant information.</w:t>
      </w:r>
      <w:r w:rsidRPr="002C3F9C">
        <w:rPr>
          <w:rStyle w:val="Appelnotedebasdep"/>
          <w:rFonts w:ascii="Arial" w:hAnsi="Arial" w:cs="Arial"/>
        </w:rPr>
        <w:footnoteReference w:id="214"/>
      </w:r>
      <w:r w:rsidRPr="002C3F9C">
        <w:rPr>
          <w:rFonts w:ascii="Arial" w:hAnsi="Arial" w:cs="Arial"/>
        </w:rPr>
        <w:t xml:space="preserve"> In</w:t>
      </w:r>
      <w:r w:rsidRPr="002C3F9C">
        <w:rPr>
          <w:rStyle w:val="sb8d990e2"/>
          <w:rFonts w:ascii="Arial" w:hAnsi="Arial" w:cs="Arial"/>
          <w:color w:val="000000"/>
        </w:rPr>
        <w:t xml:space="preserve"> accordance with Rule 60 § 2 of the Rules of Court, </w:t>
      </w:r>
      <w:r w:rsidRPr="002C3F9C">
        <w:rPr>
          <w:rStyle w:val="sb8d990e2"/>
          <w:rFonts w:ascii="Arial" w:hAnsi="Arial" w:cs="Arial"/>
        </w:rPr>
        <w:t xml:space="preserve">it </w:t>
      </w:r>
      <w:r w:rsidRPr="002C3F9C">
        <w:rPr>
          <w:rStyle w:val="sb8d990e2"/>
          <w:rFonts w:ascii="Arial" w:hAnsi="Arial" w:cs="Arial"/>
          <w:color w:val="000000"/>
        </w:rPr>
        <w:t>invited the applicant Government to submit a list of its nationals who had been victims of the “coordinated policy of arresting, detaining and expelling Georgian nationals” put in place in the Russian Federation in the autumn of 2006.</w:t>
      </w:r>
      <w:r w:rsidRPr="002C3F9C">
        <w:rPr>
          <w:rStyle w:val="Appelnotedebasdep"/>
          <w:rFonts w:ascii="Arial" w:hAnsi="Arial" w:cs="Arial"/>
          <w:color w:val="000000"/>
        </w:rPr>
        <w:footnoteReference w:id="215"/>
      </w:r>
      <w:r w:rsidRPr="002C3F9C">
        <w:rPr>
          <w:rStyle w:val="sb8d990e2"/>
          <w:rFonts w:ascii="Arial" w:hAnsi="Arial" w:cs="Arial"/>
          <w:color w:val="000000"/>
        </w:rPr>
        <w:t xml:space="preserve"> It also asked the respondent Government to submit all </w:t>
      </w:r>
      <w:r w:rsidRPr="002C3F9C">
        <w:rPr>
          <w:rStyle w:val="sb8d990e2"/>
          <w:rFonts w:ascii="Arial" w:hAnsi="Arial" w:cs="Arial"/>
          <w:color w:val="000000"/>
        </w:rPr>
        <w:lastRenderedPageBreak/>
        <w:t>relevant information and documents (in particular expulsion orders and court decisions) concerning Georgian nationals who had been victims of that policy during the period in question.</w:t>
      </w:r>
      <w:r w:rsidRPr="002C3F9C">
        <w:rPr>
          <w:rStyle w:val="Appelnotedebasdep"/>
          <w:rFonts w:ascii="Arial" w:hAnsi="Arial" w:cs="Arial"/>
          <w:color w:val="000000"/>
        </w:rPr>
        <w:footnoteReference w:id="216"/>
      </w:r>
      <w:r w:rsidRPr="002C3F9C">
        <w:rPr>
          <w:rStyle w:val="sb8d990e2"/>
          <w:rFonts w:ascii="Arial" w:hAnsi="Arial" w:cs="Arial"/>
          <w:color w:val="000000"/>
        </w:rPr>
        <w:t xml:space="preserve"> In this case the respondent Government asked the Court to identify each of the individual victims of the violations it found in adversarial proceedings, on the ground that the task of establishing the facts fell within the exclusive power of the Court. In this respect the Court noted that the parties had exchanged observations on the question of just satisfaction in compliance with the adversarial principle. Moreover, the Court observed that in cases concerning systematic violations of the Convention it is not a court of first instance; it does not have the capacity, nor is it appropriate to its function as an international court to adjudicate on large numbers of cases which require the finding of specific facts or the calculation of monetary compensation – both of which should as a matter of principle and effective practice, be the domain of domestic jurisdictions.</w:t>
      </w:r>
      <w:r w:rsidRPr="002C3F9C">
        <w:rPr>
          <w:rStyle w:val="Appelnotedebasdep"/>
          <w:rFonts w:ascii="Arial" w:hAnsi="Arial" w:cs="Arial"/>
          <w:color w:val="000000"/>
        </w:rPr>
        <w:footnoteReference w:id="217"/>
      </w:r>
      <w:r>
        <w:rPr>
          <w:rStyle w:val="sb8d990e2"/>
          <w:rFonts w:ascii="Arial" w:hAnsi="Arial" w:cs="Arial"/>
          <w:color w:val="000000"/>
        </w:rPr>
        <w:t xml:space="preserve"> </w:t>
      </w:r>
      <w:r w:rsidRPr="002C3F9C">
        <w:rPr>
          <w:rFonts w:ascii="Arial" w:hAnsi="Arial" w:cs="Arial"/>
        </w:rPr>
        <w:t xml:space="preserve">Also, in the case of </w:t>
      </w:r>
      <w:r w:rsidRPr="002C3F9C">
        <w:rPr>
          <w:rFonts w:ascii="Arial" w:hAnsi="Arial" w:cs="Arial"/>
          <w:i/>
          <w:iCs/>
        </w:rPr>
        <w:t xml:space="preserve">Georgia v. Russia (I) </w:t>
      </w:r>
      <w:r w:rsidRPr="002C3F9C">
        <w:rPr>
          <w:rFonts w:ascii="Arial" w:hAnsi="Arial" w:cs="Arial"/>
        </w:rPr>
        <w:t xml:space="preserve">the Court considered that, </w:t>
      </w:r>
      <w:r w:rsidRPr="002C3F9C">
        <w:rPr>
          <w:rFonts w:ascii="Arial" w:hAnsi="Arial" w:cs="Arial"/>
          <w:i/>
          <w:iCs/>
        </w:rPr>
        <w:t>inter alia</w:t>
      </w:r>
      <w:r w:rsidRPr="002C3F9C">
        <w:rPr>
          <w:rFonts w:ascii="Arial" w:hAnsi="Arial" w:cs="Arial"/>
        </w:rPr>
        <w:t xml:space="preserve">, a number of persons included in the list of victims submitted by the applicant </w:t>
      </w:r>
      <w:r>
        <w:rPr>
          <w:rFonts w:ascii="Arial" w:hAnsi="Arial" w:cs="Arial"/>
        </w:rPr>
        <w:t>G</w:t>
      </w:r>
      <w:r w:rsidRPr="002C3F9C">
        <w:rPr>
          <w:rFonts w:ascii="Arial" w:hAnsi="Arial" w:cs="Arial"/>
        </w:rPr>
        <w:t>overnment could not be regarded as such or could not be awarded just satisfaction in that procedure because they had lodged individual applications before the Court.</w:t>
      </w:r>
      <w:r w:rsidRPr="002C3F9C">
        <w:rPr>
          <w:rStyle w:val="Appelnotedebasdep"/>
          <w:rFonts w:ascii="Arial" w:hAnsi="Arial" w:cs="Arial"/>
        </w:rPr>
        <w:footnoteReference w:id="218"/>
      </w:r>
      <w:r w:rsidRPr="002C3F9C">
        <w:rPr>
          <w:rFonts w:ascii="Arial" w:hAnsi="Arial" w:cs="Arial"/>
        </w:rPr>
        <w:t xml:space="preserve"> </w:t>
      </w:r>
    </w:p>
    <w:p w14:paraId="70C5DF23" w14:textId="77777777" w:rsidR="002218C4" w:rsidRDefault="002218C4" w:rsidP="002218C4">
      <w:pPr>
        <w:pStyle w:val="ECHRParaSpaced"/>
        <w:ind w:firstLine="340"/>
        <w:rPr>
          <w:rFonts w:ascii="Arial" w:hAnsi="Arial" w:cs="Arial"/>
          <w:lang w:val="en-US"/>
        </w:rPr>
      </w:pPr>
      <w:r w:rsidRPr="002C3F9C">
        <w:rPr>
          <w:rFonts w:ascii="Arial" w:hAnsi="Arial" w:cs="Arial"/>
        </w:rPr>
        <w:t>11</w:t>
      </w:r>
      <w:r>
        <w:rPr>
          <w:rFonts w:ascii="Arial" w:hAnsi="Arial" w:cs="Arial"/>
        </w:rPr>
        <w:t>3</w:t>
      </w:r>
      <w:r w:rsidRPr="002C3F9C">
        <w:rPr>
          <w:rFonts w:ascii="Arial" w:hAnsi="Arial" w:cs="Arial"/>
        </w:rPr>
        <w:t>. The Court has observed that the Article 41 procedure is normally very complex; it is important to ask the applicant Government from the outset to submit lists of clearly identifiable individuals.</w:t>
      </w:r>
      <w:r w:rsidRPr="002C3F9C">
        <w:rPr>
          <w:rStyle w:val="Appelnotedebasdep"/>
          <w:rFonts w:ascii="Arial" w:hAnsi="Arial" w:cs="Arial"/>
        </w:rPr>
        <w:footnoteReference w:id="219"/>
      </w:r>
      <w:r w:rsidRPr="002C3F9C">
        <w:rPr>
          <w:rFonts w:ascii="Arial" w:hAnsi="Arial" w:cs="Arial"/>
        </w:rPr>
        <w:t xml:space="preserve"> The DH-SYSC-IV notes that further discussion is necessary as to whether such lists should be submitted at the outset of the just satisfaction procedure or at the time when an inter-State application is lodged. </w:t>
      </w:r>
    </w:p>
    <w:p w14:paraId="720E2B23" w14:textId="77777777" w:rsidR="002218C4" w:rsidRDefault="002218C4" w:rsidP="002218C4">
      <w:pPr>
        <w:pStyle w:val="ECHRParaSpaced"/>
        <w:ind w:firstLine="340"/>
        <w:rPr>
          <w:rFonts w:ascii="Arial" w:hAnsi="Arial" w:cs="Arial"/>
          <w:lang w:val="en-US"/>
        </w:rPr>
      </w:pPr>
      <w:r w:rsidRPr="002C3F9C">
        <w:rPr>
          <w:rFonts w:ascii="Arial" w:hAnsi="Arial" w:cs="Arial"/>
        </w:rPr>
        <w:t>11</w:t>
      </w:r>
      <w:r>
        <w:rPr>
          <w:rFonts w:ascii="Arial" w:hAnsi="Arial" w:cs="Arial"/>
        </w:rPr>
        <w:t>4</w:t>
      </w:r>
      <w:r w:rsidRPr="002C3F9C">
        <w:rPr>
          <w:rFonts w:ascii="Arial" w:hAnsi="Arial" w:cs="Arial"/>
        </w:rPr>
        <w:t xml:space="preserve">. The Court reiterates </w:t>
      </w:r>
      <w:r>
        <w:rPr>
          <w:rFonts w:ascii="Arial" w:hAnsi="Arial" w:cs="Arial"/>
        </w:rPr>
        <w:t xml:space="preserve">that </w:t>
      </w:r>
      <w:r w:rsidRPr="002C3F9C">
        <w:rPr>
          <w:rFonts w:ascii="Arial" w:hAnsi="Arial" w:cs="Arial"/>
        </w:rPr>
        <w:t>the States’ duty to cooperate with the Court, which is set forth in Article 38 of the Convention and Rule 44A of the Rules of Court, is particularly important for the proper administration of justice where the Court awards just satisfaction under Article 41 of the Convention in inter-State cases. It applies to both Parties: the applicant Government, who, in accordance with Rule 60 of the Rules of Court, must substantiate their claims, and also the respondent Government, in respect of who</w:t>
      </w:r>
      <w:r>
        <w:rPr>
          <w:rFonts w:ascii="Arial" w:hAnsi="Arial" w:cs="Arial"/>
        </w:rPr>
        <w:t>m</w:t>
      </w:r>
      <w:r w:rsidRPr="002C3F9C">
        <w:rPr>
          <w:rFonts w:ascii="Arial" w:hAnsi="Arial" w:cs="Arial"/>
        </w:rPr>
        <w:t xml:space="preserve"> the existence of an administrative practice in breach of the Convention has been found in the principal judgment.</w:t>
      </w:r>
      <w:r w:rsidRPr="002C3F9C">
        <w:rPr>
          <w:rStyle w:val="Appelnotedebasdep"/>
          <w:rFonts w:ascii="Arial" w:hAnsi="Arial" w:cs="Arial"/>
        </w:rPr>
        <w:footnoteReference w:id="220"/>
      </w:r>
      <w:r w:rsidRPr="002C3F9C">
        <w:rPr>
          <w:rFonts w:ascii="Arial" w:hAnsi="Arial" w:cs="Arial"/>
        </w:rPr>
        <w:t xml:space="preserve"> Thereby, the risk of awarding just satisfaction to individuals who are not eligible for such an award due to various reasons could be decreased. Moreover, it is important, in the operative part of the judgment on the merits, to fix a time-limit for the parties’ exchange of observations on just satisfaction</w:t>
      </w:r>
      <w:r w:rsidRPr="002C3F9C">
        <w:rPr>
          <w:rStyle w:val="Appelnotedebasdep"/>
          <w:rFonts w:ascii="Arial" w:hAnsi="Arial" w:cs="Arial"/>
        </w:rPr>
        <w:footnoteReference w:id="221"/>
      </w:r>
      <w:r w:rsidRPr="002C3F9C">
        <w:rPr>
          <w:rFonts w:ascii="Arial" w:hAnsi="Arial" w:cs="Arial"/>
        </w:rPr>
        <w:t xml:space="preserve">  in order to avoid long intervals of time </w:t>
      </w:r>
      <w:r w:rsidRPr="002C3F9C">
        <w:rPr>
          <w:rFonts w:ascii="Arial" w:hAnsi="Arial" w:cs="Arial"/>
        </w:rPr>
        <w:lastRenderedPageBreak/>
        <w:t>between the judgment on the merits and the judgment on just satisfaction.</w:t>
      </w:r>
      <w:r w:rsidRPr="002C3F9C">
        <w:rPr>
          <w:rStyle w:val="Appelnotedebasdep"/>
          <w:rFonts w:ascii="Arial" w:hAnsi="Arial" w:cs="Arial"/>
        </w:rPr>
        <w:footnoteReference w:id="222"/>
      </w:r>
      <w:r w:rsidRPr="002C3F9C">
        <w:rPr>
          <w:rFonts w:ascii="Arial" w:hAnsi="Arial" w:cs="Arial"/>
        </w:rPr>
        <w:t xml:space="preserve"> In the recent judgment on the merits in the case of </w:t>
      </w:r>
      <w:r w:rsidRPr="00641ED4">
        <w:rPr>
          <w:rFonts w:ascii="Arial" w:hAnsi="Arial" w:cs="Arial"/>
          <w:i/>
        </w:rPr>
        <w:t>Georgia v. Russia (II)</w:t>
      </w:r>
      <w:r w:rsidRPr="002C3F9C">
        <w:rPr>
          <w:rFonts w:ascii="Arial" w:hAnsi="Arial" w:cs="Arial"/>
        </w:rPr>
        <w:t>, the Court fixed a time-limit of twelve months for the parties to submit in writing their observations on just satisfaction.</w:t>
      </w:r>
      <w:r w:rsidRPr="002C3F9C">
        <w:rPr>
          <w:rStyle w:val="Appelnotedebasdep"/>
          <w:rFonts w:ascii="Arial" w:hAnsi="Arial" w:cs="Arial"/>
        </w:rPr>
        <w:footnoteReference w:id="223"/>
      </w:r>
      <w:r w:rsidRPr="002C3F9C">
        <w:rPr>
          <w:rFonts w:ascii="Arial" w:hAnsi="Arial" w:cs="Arial"/>
        </w:rPr>
        <w:t xml:space="preserve"> </w:t>
      </w:r>
    </w:p>
    <w:p w14:paraId="2499CD6F" w14:textId="77777777" w:rsidR="002218C4" w:rsidRDefault="002218C4" w:rsidP="002218C4">
      <w:pPr>
        <w:pStyle w:val="ECHRParaSpaced"/>
        <w:ind w:firstLine="340"/>
        <w:rPr>
          <w:rStyle w:val="sb8d990e2"/>
          <w:rFonts w:ascii="Arial" w:hAnsi="Arial" w:cs="Arial"/>
          <w:lang w:val="en-US"/>
        </w:rPr>
      </w:pPr>
      <w:r w:rsidRPr="002C3F9C">
        <w:rPr>
          <w:rFonts w:ascii="Arial" w:hAnsi="Arial" w:cs="Arial"/>
        </w:rPr>
        <w:t>11</w:t>
      </w:r>
      <w:r>
        <w:rPr>
          <w:rFonts w:ascii="Arial" w:hAnsi="Arial" w:cs="Arial"/>
        </w:rPr>
        <w:t>5</w:t>
      </w:r>
      <w:r w:rsidRPr="002C3F9C">
        <w:rPr>
          <w:rFonts w:ascii="Arial" w:hAnsi="Arial" w:cs="Arial"/>
        </w:rPr>
        <w:t xml:space="preserve">. </w:t>
      </w:r>
      <w:r w:rsidRPr="002C3F9C">
        <w:rPr>
          <w:rStyle w:val="s6b621b36"/>
          <w:rFonts w:ascii="Arial" w:hAnsi="Arial" w:cs="Arial"/>
          <w:color w:val="000000"/>
        </w:rPr>
        <w:t>In respect of criteria to be applied for an award of just satisfaction for non</w:t>
      </w:r>
      <w:r w:rsidRPr="002C3F9C">
        <w:rPr>
          <w:rStyle w:val="s6b621b36"/>
          <w:rFonts w:ascii="Arial" w:hAnsi="Arial" w:cs="Arial"/>
          <w:color w:val="000000"/>
        </w:rPr>
        <w:noBreakHyphen/>
        <w:t xml:space="preserve">pecuniary damage the Court has consistently held </w:t>
      </w:r>
      <w:r w:rsidRPr="002C3F9C">
        <w:rPr>
          <w:rStyle w:val="sb8d990e2"/>
          <w:rFonts w:ascii="Arial" w:hAnsi="Arial" w:cs="Arial"/>
          <w:color w:val="000000"/>
        </w:rPr>
        <w:t>that there is no express provision for awards in the Convention.</w:t>
      </w:r>
      <w:r w:rsidRPr="002C3F9C">
        <w:rPr>
          <w:rStyle w:val="Appelnotedebasdep"/>
          <w:rFonts w:ascii="Arial" w:hAnsi="Arial" w:cs="Arial"/>
          <w:color w:val="000000"/>
        </w:rPr>
        <w:footnoteReference w:id="224"/>
      </w:r>
      <w:r w:rsidRPr="002C3F9C">
        <w:rPr>
          <w:rStyle w:val="sb8d990e2"/>
          <w:rFonts w:ascii="Arial" w:hAnsi="Arial" w:cs="Arial"/>
          <w:color w:val="000000"/>
        </w:rPr>
        <w:t xml:space="preserve"> The Court, however, has developed gradually a number of principles regarding the award of non-pecuniary damage. Situations where the applicant has suffered evident trauma, whether physical or psychological, pain and suffering, distress, anxiety, frustration, feelings of injustice or humiliation, prolonged uncertainty, disruption to life, or real loss of opportunity can be distinguished from those situations where the public vindication of the wrong suffered by the applicant, in a judgment binding on the Contracting State, is an appropriate form of redress in itself. In some situations, where a law, procedure or practice has been found to fall short of Convention standards this is enough to put matters right. In other situations, however, the impact of the violation may be regarded as being of a nature and degree as to have impinged so significantly on the moral well</w:t>
      </w:r>
      <w:r w:rsidRPr="002C3F9C">
        <w:rPr>
          <w:rStyle w:val="sb8d990e2"/>
          <w:rFonts w:ascii="Arial" w:hAnsi="Arial" w:cs="Arial"/>
          <w:color w:val="000000"/>
        </w:rPr>
        <w:noBreakHyphen/>
        <w:t>being of the applicant as to require something further. Such elements do not lend themselves to a process of calculation or precise quantification. Nor is it the Court’s role to function akin to a domestic tort mechanism court in apportioning fault and compensatory damages between civil parties. Its guiding principle is equity, which above all involves flexibility and an objective consideration of what is just, fair and reasonable in all the circumstances of the case, including not only the position of the applicant but the overall context in which the breach occurred. Its non-pecuniary awards serve to give recognition to the fact that non-pecuniary damage occurred as a result of a breach of a fundamental human right and reflect in the broadest of terms the severity of the damage.</w:t>
      </w:r>
      <w:r w:rsidRPr="002C3F9C">
        <w:rPr>
          <w:rStyle w:val="Appelnotedebasdep"/>
          <w:rFonts w:ascii="Arial" w:hAnsi="Arial" w:cs="Arial"/>
          <w:color w:val="000000"/>
        </w:rPr>
        <w:footnoteReference w:id="225"/>
      </w:r>
    </w:p>
    <w:p w14:paraId="3B6AEE92" w14:textId="77777777" w:rsidR="002218C4" w:rsidRPr="002C3F9C" w:rsidRDefault="002218C4" w:rsidP="002218C4">
      <w:pPr>
        <w:pStyle w:val="ECHRParaSpaced"/>
        <w:ind w:firstLine="340"/>
        <w:rPr>
          <w:rFonts w:ascii="Arial" w:hAnsi="Arial" w:cs="Arial"/>
          <w:lang w:val="en-US"/>
        </w:rPr>
      </w:pPr>
      <w:r w:rsidRPr="002C3F9C">
        <w:rPr>
          <w:rStyle w:val="sb8d990e2"/>
          <w:rFonts w:ascii="Arial" w:hAnsi="Arial" w:cs="Arial"/>
          <w:color w:val="000000"/>
        </w:rPr>
        <w:t>1</w:t>
      </w:r>
      <w:r>
        <w:rPr>
          <w:rStyle w:val="sb8d990e2"/>
          <w:rFonts w:ascii="Arial" w:hAnsi="Arial" w:cs="Arial"/>
          <w:color w:val="000000"/>
        </w:rPr>
        <w:t>16</w:t>
      </w:r>
      <w:r w:rsidRPr="002C3F9C">
        <w:rPr>
          <w:rStyle w:val="sb8d990e2"/>
          <w:rFonts w:ascii="Arial" w:hAnsi="Arial" w:cs="Arial"/>
          <w:color w:val="000000"/>
        </w:rPr>
        <w:t>. With regard to calculating the level of just satisfaction to be awarded, the Court has a discretion having regard to what it finds equitable. The Court reiterates in this regard that it has in the past always declined to make any awards of punitive or exemplary damages even where such claims are made by individual victims of an administrative practice.</w:t>
      </w:r>
      <w:r w:rsidRPr="002C3F9C">
        <w:rPr>
          <w:rStyle w:val="Appelnotedebasdep"/>
          <w:rFonts w:ascii="Arial" w:hAnsi="Arial" w:cs="Arial"/>
          <w:color w:val="000000"/>
        </w:rPr>
        <w:t xml:space="preserve"> </w:t>
      </w:r>
      <w:r w:rsidRPr="002C3F9C">
        <w:rPr>
          <w:rStyle w:val="Appelnotedebasdep"/>
          <w:rFonts w:ascii="Arial" w:hAnsi="Arial" w:cs="Arial"/>
          <w:color w:val="000000"/>
        </w:rPr>
        <w:footnoteReference w:id="226"/>
      </w:r>
    </w:p>
    <w:p w14:paraId="104F2950" w14:textId="77777777" w:rsidR="002218C4" w:rsidRPr="00080BB7" w:rsidRDefault="002218C4" w:rsidP="002218C4">
      <w:pPr>
        <w:pStyle w:val="Titre1"/>
        <w:rPr>
          <w:rFonts w:ascii="Arial" w:hAnsi="Arial" w:cs="Arial"/>
          <w:b/>
          <w:bCs/>
          <w:sz w:val="24"/>
          <w:szCs w:val="24"/>
          <w:lang w:val="en-GB"/>
        </w:rPr>
      </w:pPr>
      <w:bookmarkStart w:id="94" w:name="_ftnref2"/>
      <w:bookmarkStart w:id="95" w:name="_Toc36049249"/>
      <w:bookmarkStart w:id="96" w:name="_Toc45123289"/>
      <w:bookmarkStart w:id="97" w:name="_Toc83293378"/>
      <w:bookmarkEnd w:id="94"/>
      <w:r w:rsidRPr="00080BB7">
        <w:rPr>
          <w:rFonts w:ascii="Arial" w:hAnsi="Arial" w:cs="Arial"/>
          <w:b/>
          <w:bCs/>
          <w:sz w:val="24"/>
          <w:szCs w:val="24"/>
          <w:lang w:val="en-GB"/>
        </w:rPr>
        <w:t xml:space="preserve">VIII. </w:t>
      </w:r>
      <w:bookmarkEnd w:id="95"/>
      <w:r w:rsidRPr="00080BB7">
        <w:rPr>
          <w:rFonts w:ascii="Arial" w:hAnsi="Arial" w:cs="Arial"/>
          <w:b/>
          <w:bCs/>
          <w:sz w:val="24"/>
          <w:szCs w:val="24"/>
          <w:lang w:val="en-GB"/>
        </w:rPr>
        <w:t>FRIENDLY SETTLEMENT</w:t>
      </w:r>
      <w:bookmarkEnd w:id="96"/>
      <w:bookmarkEnd w:id="97"/>
    </w:p>
    <w:p w14:paraId="47F0A679" w14:textId="77777777" w:rsidR="002218C4" w:rsidRDefault="002218C4" w:rsidP="002218C4">
      <w:pPr>
        <w:pStyle w:val="Sansinterligne"/>
        <w:rPr>
          <w:lang w:val="en-GB"/>
        </w:rPr>
      </w:pPr>
      <w:bookmarkStart w:id="98" w:name="_Toc45123290"/>
    </w:p>
    <w:p w14:paraId="762F4393" w14:textId="77777777" w:rsidR="002218C4" w:rsidRPr="00C34914" w:rsidRDefault="002218C4" w:rsidP="002218C4">
      <w:pPr>
        <w:pStyle w:val="Titre2"/>
        <w:rPr>
          <w:rFonts w:ascii="Arial" w:hAnsi="Arial" w:cs="Arial"/>
          <w:b/>
          <w:i/>
          <w:sz w:val="24"/>
          <w:szCs w:val="24"/>
          <w:lang w:val="en-GB"/>
        </w:rPr>
      </w:pPr>
      <w:bookmarkStart w:id="99" w:name="_Toc83293379"/>
      <w:r w:rsidRPr="00C34914">
        <w:rPr>
          <w:rFonts w:ascii="Arial" w:hAnsi="Arial" w:cs="Arial"/>
          <w:i/>
          <w:sz w:val="24"/>
          <w:szCs w:val="24"/>
          <w:lang w:val="en-GB"/>
        </w:rPr>
        <w:t>1. The practice of the Court</w:t>
      </w:r>
      <w:bookmarkEnd w:id="98"/>
      <w:r w:rsidRPr="00C34914">
        <w:rPr>
          <w:rFonts w:ascii="Arial" w:hAnsi="Arial" w:cs="Arial"/>
          <w:i/>
          <w:sz w:val="24"/>
          <w:szCs w:val="24"/>
          <w:lang w:val="en-GB"/>
        </w:rPr>
        <w:t xml:space="preserve"> and potential for further development</w:t>
      </w:r>
      <w:bookmarkEnd w:id="99"/>
    </w:p>
    <w:p w14:paraId="0E405385" w14:textId="77777777" w:rsidR="002218C4" w:rsidRDefault="002218C4" w:rsidP="002218C4">
      <w:pPr>
        <w:pStyle w:val="ECHRParaSpaced"/>
        <w:ind w:firstLine="340"/>
        <w:rPr>
          <w:rFonts w:ascii="Arial" w:hAnsi="Arial" w:cs="Arial"/>
        </w:rPr>
      </w:pPr>
      <w:r w:rsidRPr="002C3F9C">
        <w:rPr>
          <w:rFonts w:ascii="Arial" w:hAnsi="Arial" w:cs="Arial"/>
        </w:rPr>
        <w:t>1</w:t>
      </w:r>
      <w:r>
        <w:rPr>
          <w:rFonts w:ascii="Arial" w:hAnsi="Arial" w:cs="Arial"/>
        </w:rPr>
        <w:t>17</w:t>
      </w:r>
      <w:r w:rsidRPr="002C3F9C">
        <w:rPr>
          <w:rFonts w:ascii="Arial" w:hAnsi="Arial" w:cs="Arial"/>
        </w:rPr>
        <w:t>. The Court may at any stage of the proceedings, pursuant to Article 39 of the Convention, place itself at the disposal of the parties concerned with a view to securing a friendly settlement of the matter on the basis of respect for human rights as defined in the Convention and Protocols thereto. The Court does not automatically strike a case out of the list when a friendly settlement has been reached. It may indeed decide, pursuant to Article 37 § 1 of the Convention, to continue the examination of the application if respect for human rights as defined in the Convention and the Protocols thereto so requires. The mission of the system of the Convention is, in addition to providing individual relief to “determine issues on public policy grounds in the common interest, thereby raising the general standards of protection of human rights and extending human rights jurisprudence throughout the community of Convention States.”</w:t>
      </w:r>
      <w:r w:rsidRPr="002C3F9C">
        <w:rPr>
          <w:rStyle w:val="Appelnotedebasdep"/>
          <w:rFonts w:ascii="Arial" w:hAnsi="Arial" w:cs="Arial"/>
        </w:rPr>
        <w:footnoteReference w:id="227"/>
      </w:r>
      <w:r w:rsidRPr="002C3F9C">
        <w:rPr>
          <w:rFonts w:ascii="Arial" w:hAnsi="Arial" w:cs="Arial"/>
        </w:rPr>
        <w:t xml:space="preserve"> The Court may, however, be satisfied with the content </w:t>
      </w:r>
      <w:r w:rsidRPr="002C3F9C">
        <w:rPr>
          <w:rFonts w:ascii="Arial" w:hAnsi="Arial" w:cs="Arial"/>
        </w:rPr>
        <w:lastRenderedPageBreak/>
        <w:t>of a friendly settlement agreement even when the respondent State explicitly does not recognise a violation of the Convention in particular when the Court considers that it has specified the nature and scope of obligations of the respondent State in previous judgments concerning similar issues.</w:t>
      </w:r>
      <w:r w:rsidRPr="002C3F9C">
        <w:rPr>
          <w:rStyle w:val="Appelnotedebasdep"/>
          <w:rFonts w:ascii="Arial" w:hAnsi="Arial" w:cs="Arial"/>
        </w:rPr>
        <w:footnoteReference w:id="228"/>
      </w:r>
      <w:r w:rsidRPr="002C3F9C">
        <w:rPr>
          <w:rFonts w:ascii="Arial" w:hAnsi="Arial" w:cs="Arial"/>
        </w:rPr>
        <w:t xml:space="preserve"> </w:t>
      </w:r>
    </w:p>
    <w:p w14:paraId="54D0C532" w14:textId="77777777" w:rsidR="002218C4" w:rsidRDefault="002218C4" w:rsidP="002218C4">
      <w:pPr>
        <w:pStyle w:val="ECHRParaSpaced"/>
        <w:ind w:firstLine="340"/>
        <w:rPr>
          <w:rFonts w:ascii="Arial" w:hAnsi="Arial" w:cs="Arial"/>
        </w:rPr>
      </w:pPr>
      <w:r w:rsidRPr="002C3F9C">
        <w:rPr>
          <w:rFonts w:ascii="Arial" w:hAnsi="Arial" w:cs="Arial"/>
        </w:rPr>
        <w:t>1</w:t>
      </w:r>
      <w:r>
        <w:rPr>
          <w:rFonts w:ascii="Arial" w:hAnsi="Arial" w:cs="Arial"/>
        </w:rPr>
        <w:t>18</w:t>
      </w:r>
      <w:r w:rsidRPr="002C3F9C">
        <w:rPr>
          <w:rFonts w:ascii="Arial" w:hAnsi="Arial" w:cs="Arial"/>
        </w:rPr>
        <w:t xml:space="preserve">. The proceedings conducted in connection with friendly settlement are confidential. If a friendly settlement is reached and the Court decides to strike the case out of its list by means of a decision, the latter will be confined to a brief statement of the facts and the solution reached. The decision is transmitted to the Committee of Ministers, which shall supervise the execution of the terms of the friendly settlement as set out in the decision. Normally in individual applications the Registrar enters into contact with the parties with a view to securing a friendly settlement once an application has been declared admissible. </w:t>
      </w:r>
      <w:r w:rsidRPr="002C3F9C">
        <w:rPr>
          <w:rFonts w:ascii="Arial" w:hAnsi="Arial" w:cs="Arial"/>
          <w:color w:val="000000"/>
          <w:lang w:val="en-US"/>
        </w:rPr>
        <w:t>The friendly-settlement negotiations shall be confidential and without prejudice to the parties’ arguments in the contentious proceedings. No written or oral communication and no offer or concession made in the framework of the attempt to secure a friendly settlement may be referred to or relied on in the contentious proceedings.</w:t>
      </w:r>
      <w:r w:rsidRPr="002C3F9C">
        <w:rPr>
          <w:rStyle w:val="Appelnotedebasdep"/>
          <w:rFonts w:ascii="Arial" w:hAnsi="Arial" w:cs="Arial"/>
          <w:color w:val="000000"/>
          <w:lang w:val="en-US"/>
        </w:rPr>
        <w:footnoteReference w:id="229"/>
      </w:r>
      <w:r w:rsidRPr="002C3F9C">
        <w:rPr>
          <w:rFonts w:ascii="Arial" w:hAnsi="Arial" w:cs="Arial"/>
          <w:color w:val="000000"/>
          <w:lang w:val="en-US"/>
        </w:rPr>
        <w:t xml:space="preserve"> </w:t>
      </w:r>
      <w:r w:rsidRPr="002C3F9C">
        <w:rPr>
          <w:rFonts w:ascii="Arial" w:hAnsi="Arial" w:cs="Arial"/>
        </w:rPr>
        <w:t>Any breach of confidentiality from the applicant’s side may lead to the case being declared inadmissible on grounds of abuse of the right of application.</w:t>
      </w:r>
      <w:r w:rsidRPr="002C3F9C">
        <w:rPr>
          <w:rStyle w:val="Appelnotedebasdep"/>
          <w:rFonts w:ascii="Arial" w:hAnsi="Arial" w:cs="Arial"/>
        </w:rPr>
        <w:footnoteReference w:id="230"/>
      </w:r>
      <w:r w:rsidRPr="002C3F9C">
        <w:rPr>
          <w:rFonts w:ascii="Arial" w:hAnsi="Arial" w:cs="Arial"/>
        </w:rPr>
        <w:t xml:space="preserve"> </w:t>
      </w:r>
    </w:p>
    <w:p w14:paraId="6829EBA0" w14:textId="77777777" w:rsidR="002218C4" w:rsidRDefault="002218C4" w:rsidP="002218C4">
      <w:pPr>
        <w:pStyle w:val="ECHRParaSpaced"/>
        <w:ind w:firstLine="340"/>
        <w:rPr>
          <w:rFonts w:ascii="Arial" w:hAnsi="Arial" w:cs="Arial"/>
        </w:rPr>
      </w:pPr>
      <w:r w:rsidRPr="002C3F9C">
        <w:rPr>
          <w:rFonts w:ascii="Arial" w:hAnsi="Arial" w:cs="Arial"/>
        </w:rPr>
        <w:t>1</w:t>
      </w:r>
      <w:r>
        <w:rPr>
          <w:rFonts w:ascii="Arial" w:hAnsi="Arial" w:cs="Arial"/>
        </w:rPr>
        <w:t>19</w:t>
      </w:r>
      <w:r w:rsidRPr="002C3F9C">
        <w:rPr>
          <w:rFonts w:ascii="Arial" w:hAnsi="Arial" w:cs="Arial"/>
        </w:rPr>
        <w:t>. In 2020, 1375 individual applications were struck out of the list by a Chamber or a Committee, in a decision following a friendly settlement which represents a 19% decrease compared to 2019 (1668).</w:t>
      </w:r>
      <w:r w:rsidRPr="002C3F9C">
        <w:rPr>
          <w:rStyle w:val="Appelnotedebasdep"/>
          <w:rFonts w:ascii="Arial" w:hAnsi="Arial" w:cs="Arial"/>
        </w:rPr>
        <w:footnoteReference w:id="231"/>
      </w:r>
    </w:p>
    <w:p w14:paraId="2B413883" w14:textId="77777777" w:rsidR="002218C4" w:rsidRDefault="002218C4" w:rsidP="002218C4">
      <w:pPr>
        <w:pStyle w:val="ECHRParaSpaced"/>
        <w:ind w:firstLine="340"/>
        <w:rPr>
          <w:rFonts w:ascii="Arial" w:hAnsi="Arial" w:cs="Arial"/>
        </w:rPr>
      </w:pPr>
      <w:r w:rsidRPr="002C3F9C">
        <w:rPr>
          <w:rFonts w:ascii="Arial" w:hAnsi="Arial" w:cs="Arial"/>
        </w:rPr>
        <w:t>12</w:t>
      </w:r>
      <w:r>
        <w:rPr>
          <w:rFonts w:ascii="Arial" w:hAnsi="Arial" w:cs="Arial"/>
        </w:rPr>
        <w:t>0</w:t>
      </w:r>
      <w:r w:rsidRPr="002C3F9C">
        <w:rPr>
          <w:rFonts w:ascii="Arial" w:hAnsi="Arial" w:cs="Arial"/>
        </w:rPr>
        <w:t>. With particular regard to inter-State proceedings</w:t>
      </w:r>
      <w:r>
        <w:rPr>
          <w:rFonts w:ascii="Arial" w:hAnsi="Arial" w:cs="Arial"/>
        </w:rPr>
        <w:t>,</w:t>
      </w:r>
      <w:r w:rsidRPr="002C3F9C">
        <w:rPr>
          <w:rFonts w:ascii="Arial" w:hAnsi="Arial" w:cs="Arial"/>
        </w:rPr>
        <w:t xml:space="preserve"> it is worth noting that a number of these were terminated following political agreements or settlements reached by the Parties, primarily before Protocol 11. </w:t>
      </w:r>
      <w:r w:rsidRPr="002C3F9C">
        <w:rPr>
          <w:rFonts w:ascii="Arial" w:hAnsi="Arial" w:cs="Arial"/>
          <w:lang w:val="en-US"/>
        </w:rPr>
        <w:t xml:space="preserve">In the case of </w:t>
      </w:r>
      <w:r w:rsidRPr="002C3F9C">
        <w:rPr>
          <w:rFonts w:ascii="Arial" w:hAnsi="Arial" w:cs="Arial"/>
          <w:i/>
          <w:lang w:val="en-US"/>
        </w:rPr>
        <w:t>Greece v. United Kingdom (I)</w:t>
      </w:r>
      <w:r w:rsidRPr="002C3F9C">
        <w:rPr>
          <w:rFonts w:ascii="Arial" w:hAnsi="Arial" w:cs="Arial"/>
          <w:lang w:val="en-US"/>
        </w:rPr>
        <w:t>, the Sub-commission invited the Parties to examine the possibilities of a friendly settlement, pursuant to Article 28 § b) (current Article 39) of the Convention but these efforts were not successful.</w:t>
      </w:r>
      <w:r w:rsidRPr="002C3F9C">
        <w:rPr>
          <w:rStyle w:val="Appelnotedebasdep"/>
          <w:rFonts w:ascii="Arial" w:hAnsi="Arial" w:cs="Arial"/>
          <w:lang w:val="en-US"/>
        </w:rPr>
        <w:footnoteReference w:id="232"/>
      </w:r>
      <w:r w:rsidRPr="002C3F9C">
        <w:rPr>
          <w:rFonts w:ascii="Arial" w:hAnsi="Arial" w:cs="Arial"/>
          <w:lang w:val="en-US"/>
        </w:rPr>
        <w:t xml:space="preserve"> The Commission in its report under the terms of former Article 31 § 3 of the Convention stated that following its various decisions the question of formulating specific proposals with a view to redressing any breach of the Convention does not arise in the specific case.</w:t>
      </w:r>
      <w:r w:rsidRPr="002C3F9C">
        <w:rPr>
          <w:rStyle w:val="Appelnotedebasdep"/>
          <w:rFonts w:ascii="Arial" w:hAnsi="Arial" w:cs="Arial"/>
          <w:lang w:val="en-US"/>
        </w:rPr>
        <w:footnoteReference w:id="233"/>
      </w:r>
      <w:r w:rsidRPr="002C3F9C">
        <w:rPr>
          <w:rFonts w:ascii="Arial" w:hAnsi="Arial" w:cs="Arial"/>
          <w:lang w:val="en-US"/>
        </w:rPr>
        <w:t xml:space="preserve"> The Commission noted that the full enjoyment of human rights in Cyprus is closely connected with the solution of the wider political problems relating to the constitutional status of the island. Once these political problems have been solved no reason is likely to subsist for not giving effect to the human rights and freedom in Cyprus. Some of the factors which the Commission had found to constitute a public emergency threatening the life of the nation under the terms of Article 15 of the Convention also seemed to be at the root of the wider political differences. The Commission concluded by expressing the firm conviction that the Committee of Ministers of the Council of Europe could make no greater contribution to restoring the full and unfettered enjoyment of human rights in Cyprus than by lending its aid in promoting a settlement of the Cyprus problem in all its aspects in accordance with the spirit of true democracy. The report was then transmitted to the</w:t>
      </w:r>
      <w:r w:rsidRPr="002C3F9C">
        <w:rPr>
          <w:rFonts w:ascii="Arial" w:hAnsi="Arial" w:cs="Arial"/>
          <w:color w:val="000000" w:themeColor="text1"/>
          <w:lang w:val="en-US"/>
        </w:rPr>
        <w:t xml:space="preserve"> </w:t>
      </w:r>
      <w:r w:rsidRPr="002C3F9C">
        <w:rPr>
          <w:rFonts w:ascii="Arial" w:hAnsi="Arial" w:cs="Arial"/>
          <w:color w:val="000000" w:themeColor="text1"/>
          <w:lang w:val="en-US"/>
        </w:rPr>
        <w:lastRenderedPageBreak/>
        <w:t>Committee of Ministers, which having taken note of the final settlement of the Cyprus question that had since been achieved, resolved that no further action was called for.</w:t>
      </w:r>
      <w:r w:rsidRPr="002C3F9C">
        <w:rPr>
          <w:rStyle w:val="Appelnotedebasdep"/>
          <w:rFonts w:ascii="Arial" w:hAnsi="Arial" w:cs="Arial"/>
          <w:color w:val="000000" w:themeColor="text1"/>
          <w:lang w:val="en-US"/>
        </w:rPr>
        <w:footnoteReference w:id="234"/>
      </w:r>
      <w:r w:rsidRPr="002C3F9C">
        <w:rPr>
          <w:rFonts w:ascii="Arial" w:hAnsi="Arial" w:cs="Arial"/>
          <w:color w:val="000000" w:themeColor="text1"/>
          <w:lang w:val="en-US"/>
        </w:rPr>
        <w:t xml:space="preserve"> </w:t>
      </w:r>
    </w:p>
    <w:p w14:paraId="0021B5D6" w14:textId="77777777" w:rsidR="002218C4" w:rsidRDefault="002218C4" w:rsidP="002218C4">
      <w:pPr>
        <w:pStyle w:val="ECHRParaSpaced"/>
        <w:ind w:firstLine="340"/>
        <w:rPr>
          <w:rFonts w:ascii="Arial" w:hAnsi="Arial" w:cs="Arial"/>
        </w:rPr>
      </w:pPr>
      <w:r w:rsidRPr="002C3F9C">
        <w:rPr>
          <w:rFonts w:ascii="Arial" w:hAnsi="Arial" w:cs="Arial"/>
        </w:rPr>
        <w:t>12</w:t>
      </w:r>
      <w:r>
        <w:rPr>
          <w:rFonts w:ascii="Arial" w:hAnsi="Arial" w:cs="Arial"/>
        </w:rPr>
        <w:t>1</w:t>
      </w:r>
      <w:r w:rsidRPr="002C3F9C">
        <w:rPr>
          <w:rFonts w:ascii="Arial" w:hAnsi="Arial" w:cs="Arial"/>
        </w:rPr>
        <w:t>. In the case of</w:t>
      </w:r>
      <w:r w:rsidRPr="002C3F9C">
        <w:rPr>
          <w:rFonts w:ascii="Arial" w:hAnsi="Arial" w:cs="Arial"/>
          <w:color w:val="000000" w:themeColor="text1"/>
          <w:lang w:val="en-US"/>
        </w:rPr>
        <w:t xml:space="preserve"> </w:t>
      </w:r>
      <w:r w:rsidRPr="002C3F9C">
        <w:rPr>
          <w:rFonts w:ascii="Arial" w:hAnsi="Arial" w:cs="Arial"/>
          <w:i/>
          <w:iCs/>
          <w:color w:val="000000" w:themeColor="text1"/>
          <w:lang w:val="en-US"/>
        </w:rPr>
        <w:t>Greece v. United Kingdom</w:t>
      </w:r>
      <w:r w:rsidRPr="002C3F9C">
        <w:rPr>
          <w:rFonts w:ascii="Arial" w:hAnsi="Arial" w:cs="Arial"/>
          <w:color w:val="000000" w:themeColor="text1"/>
          <w:lang w:val="en-US"/>
        </w:rPr>
        <w:t xml:space="preserve"> (II)</w:t>
      </w:r>
      <w:r w:rsidRPr="002C3F9C">
        <w:rPr>
          <w:rStyle w:val="Appelnotedebasdep"/>
          <w:rFonts w:ascii="Arial" w:hAnsi="Arial" w:cs="Arial"/>
          <w:lang w:val="en-US"/>
        </w:rPr>
        <w:footnoteReference w:id="235"/>
      </w:r>
      <w:r w:rsidRPr="002C3F9C">
        <w:rPr>
          <w:rFonts w:ascii="Arial" w:hAnsi="Arial" w:cs="Arial"/>
          <w:lang w:val="en-US"/>
        </w:rPr>
        <w:t xml:space="preserve"> the Commission </w:t>
      </w:r>
      <w:proofErr w:type="spellStart"/>
      <w:r w:rsidRPr="002C3F9C">
        <w:rPr>
          <w:rFonts w:ascii="Arial" w:hAnsi="Arial" w:cs="Arial"/>
          <w:lang w:val="en-US"/>
        </w:rPr>
        <w:t>finalised</w:t>
      </w:r>
      <w:proofErr w:type="spellEnd"/>
      <w:r w:rsidRPr="002C3F9C">
        <w:rPr>
          <w:rFonts w:ascii="Arial" w:hAnsi="Arial" w:cs="Arial"/>
          <w:lang w:val="en-US"/>
        </w:rPr>
        <w:t xml:space="preserve"> its report indicating that the case did not appear to fall exactly within the terms of either former Article 30 or Article 31 of the Convention. Before the examination of the application had been completed, Greece and the United Kingdom, acting in concert, requested the Commission to allow the proceedings to be terminated because of “a fundamental change in the situation of the island through the conclusion of the Zurich and London Agreement for the final settlement of the problem of Cyprus”. Having regard to the request of the Parties and especially to the importance of the political settlement reached at Zurich and London as a means of restoring to the people of Cyprus the full and perfect enjoyment of their rights and freedoms, and having regard to the information received that the provisions of the Convention are again being fully executed in Cyprus, the Commission decided to terminate the proceedings and to report this decision to the Committee of Ministers.</w:t>
      </w:r>
      <w:r w:rsidRPr="002C3F9C">
        <w:rPr>
          <w:rStyle w:val="Appelnotedebasdep"/>
          <w:rFonts w:ascii="Arial" w:hAnsi="Arial" w:cs="Arial"/>
          <w:lang w:val="en-US"/>
        </w:rPr>
        <w:footnoteReference w:id="236"/>
      </w:r>
      <w:r w:rsidRPr="002C3F9C">
        <w:rPr>
          <w:rFonts w:ascii="Arial" w:hAnsi="Arial" w:cs="Arial"/>
          <w:lang w:val="en-US"/>
        </w:rPr>
        <w:t xml:space="preserve"> The report of the Commission was made public by the Committee of Ministers in 2006.</w:t>
      </w:r>
      <w:r w:rsidRPr="002C3F9C">
        <w:rPr>
          <w:rStyle w:val="Appelnotedebasdep"/>
          <w:rFonts w:ascii="Arial" w:hAnsi="Arial" w:cs="Arial"/>
          <w:lang w:val="en-US"/>
        </w:rPr>
        <w:footnoteReference w:id="237"/>
      </w:r>
      <w:r w:rsidRPr="002C3F9C">
        <w:rPr>
          <w:rFonts w:ascii="Arial" w:hAnsi="Arial" w:cs="Arial"/>
          <w:lang w:val="en-US"/>
        </w:rPr>
        <w:t xml:space="preserve"> The Committee of Ministers having taken note of</w:t>
      </w:r>
      <w:r w:rsidRPr="002C3F9C">
        <w:rPr>
          <w:rFonts w:ascii="Arial" w:hAnsi="Arial" w:cs="Arial"/>
          <w:color w:val="333333"/>
        </w:rPr>
        <w:t xml:space="preserve"> </w:t>
      </w:r>
      <w:r w:rsidRPr="002C3F9C">
        <w:rPr>
          <w:rFonts w:ascii="Arial" w:hAnsi="Arial" w:cs="Arial"/>
        </w:rPr>
        <w:t>the reasons why the Commission, at the request of the Parties, had decided to terminate the proceedings without entering upon the substance of the application, having regard, in particular, to the Zurich and London Agreements for the final settlement of the problem of Cyprus, resolved that no further action was called for.</w:t>
      </w:r>
      <w:r w:rsidRPr="002C3F9C">
        <w:rPr>
          <w:rStyle w:val="Appelnotedebasdep"/>
          <w:rFonts w:ascii="Arial" w:hAnsi="Arial" w:cs="Arial"/>
          <w:bCs/>
        </w:rPr>
        <w:footnoteReference w:id="238"/>
      </w:r>
    </w:p>
    <w:p w14:paraId="284987B8" w14:textId="77777777" w:rsidR="002218C4" w:rsidRDefault="002218C4" w:rsidP="002218C4">
      <w:pPr>
        <w:pStyle w:val="ECHRParaSpaced"/>
        <w:ind w:firstLine="340"/>
        <w:rPr>
          <w:rFonts w:ascii="Arial" w:hAnsi="Arial" w:cs="Arial"/>
        </w:rPr>
      </w:pPr>
      <w:r w:rsidRPr="002C3F9C">
        <w:rPr>
          <w:rFonts w:ascii="Arial" w:eastAsia="Times New Roman" w:hAnsi="Arial" w:cs="Arial"/>
          <w:lang w:eastAsia="fr-FR"/>
        </w:rPr>
        <w:t>12</w:t>
      </w:r>
      <w:r>
        <w:rPr>
          <w:rFonts w:ascii="Arial" w:eastAsia="Times New Roman" w:hAnsi="Arial" w:cs="Arial"/>
          <w:lang w:eastAsia="fr-FR"/>
        </w:rPr>
        <w:t>2</w:t>
      </w:r>
      <w:r w:rsidRPr="002C3F9C">
        <w:rPr>
          <w:rFonts w:ascii="Arial" w:eastAsia="Times New Roman" w:hAnsi="Arial" w:cs="Arial"/>
          <w:lang w:eastAsia="fr-FR"/>
        </w:rPr>
        <w:t>.</w:t>
      </w:r>
      <w:r w:rsidRPr="002C3F9C">
        <w:rPr>
          <w:rFonts w:ascii="Arial" w:hAnsi="Arial" w:cs="Arial"/>
          <w:lang w:val="en-US"/>
        </w:rPr>
        <w:t xml:space="preserve"> Another case was settled by the Parties, namely the application lodged by </w:t>
      </w:r>
      <w:r w:rsidRPr="002C3F9C">
        <w:rPr>
          <w:rFonts w:ascii="Arial" w:hAnsi="Arial" w:cs="Arial"/>
          <w:i/>
          <w:lang w:val="en-US"/>
        </w:rPr>
        <w:t>Denmark, Norway, Sweden v. Greece (the second Greek case)</w:t>
      </w:r>
      <w:r w:rsidRPr="002C3F9C">
        <w:rPr>
          <w:rFonts w:ascii="Arial" w:hAnsi="Arial" w:cs="Arial"/>
          <w:lang w:val="en-US"/>
        </w:rPr>
        <w:t>. This case concerns the criminal proceedings against 34 individuals accused of subversive activities and the subsequent trial before the extraordinary court martial, during the military dictatorship. The applicant Governments alleged violations of Articles 3 and 6 of the Convention.</w:t>
      </w:r>
      <w:r w:rsidRPr="002C3F9C">
        <w:rPr>
          <w:rStyle w:val="Appelnotedebasdep"/>
          <w:rFonts w:ascii="Arial" w:hAnsi="Arial" w:cs="Arial"/>
          <w:lang w:val="en-US"/>
        </w:rPr>
        <w:footnoteReference w:id="239"/>
      </w:r>
      <w:r w:rsidRPr="002C3F9C">
        <w:rPr>
          <w:rFonts w:ascii="Arial" w:hAnsi="Arial" w:cs="Arial"/>
          <w:lang w:val="en-US"/>
        </w:rPr>
        <w:t xml:space="preserve"> Following Greece’s denunciation of the Conve</w:t>
      </w:r>
      <w:r>
        <w:rPr>
          <w:rFonts w:ascii="Arial" w:hAnsi="Arial" w:cs="Arial"/>
          <w:lang w:val="en-US"/>
        </w:rPr>
        <w:t>n</w:t>
      </w:r>
      <w:r w:rsidRPr="002C3F9C">
        <w:rPr>
          <w:rFonts w:ascii="Arial" w:hAnsi="Arial" w:cs="Arial"/>
          <w:lang w:val="en-US"/>
        </w:rPr>
        <w:t>tion and its ceasing to be a Party to the Convention on 13 June 1970 the Commission declared that it could not adequately continue its functions. The Committee of Ministers took note of the Commission’s report in 1971. However, on 28 November 1974, after the restoration of democracy, Greece rejoined the Council of Europe and became again a Contracting Party. Subsequently, all Parties requested that the proceedings should be closed by the Commission. The applicant Governments presumed that all the individuals were no longer detained or imprisoned. The Commission consequently decided to accede to the Parties’ concordant requests to close the proceedings and to strike out the application off its list.</w:t>
      </w:r>
      <w:r w:rsidRPr="002C3F9C">
        <w:rPr>
          <w:rStyle w:val="Appelnotedebasdep"/>
          <w:rFonts w:ascii="Arial" w:hAnsi="Arial" w:cs="Arial"/>
          <w:lang w:val="en-US"/>
        </w:rPr>
        <w:footnoteReference w:id="240"/>
      </w:r>
    </w:p>
    <w:p w14:paraId="27E8616F" w14:textId="77777777" w:rsidR="002218C4" w:rsidRDefault="002218C4" w:rsidP="002218C4">
      <w:pPr>
        <w:pStyle w:val="ECHRParaSpaced"/>
        <w:ind w:firstLine="340"/>
        <w:rPr>
          <w:rFonts w:ascii="Arial" w:hAnsi="Arial" w:cs="Arial"/>
        </w:rPr>
      </w:pPr>
      <w:r w:rsidRPr="002C3F9C">
        <w:rPr>
          <w:rFonts w:ascii="Arial" w:eastAsia="Times New Roman" w:hAnsi="Arial" w:cs="Arial"/>
          <w:lang w:eastAsia="fr-FR"/>
        </w:rPr>
        <w:t>12</w:t>
      </w:r>
      <w:r>
        <w:rPr>
          <w:rFonts w:ascii="Arial" w:eastAsia="Times New Roman" w:hAnsi="Arial" w:cs="Arial"/>
          <w:lang w:eastAsia="fr-FR"/>
        </w:rPr>
        <w:t>3</w:t>
      </w:r>
      <w:r w:rsidRPr="002C3F9C">
        <w:rPr>
          <w:rFonts w:ascii="Arial" w:eastAsia="Times New Roman" w:hAnsi="Arial" w:cs="Arial"/>
          <w:lang w:eastAsia="fr-FR"/>
        </w:rPr>
        <w:t>.</w:t>
      </w:r>
      <w:r w:rsidRPr="002C3F9C">
        <w:rPr>
          <w:rFonts w:ascii="Arial" w:hAnsi="Arial" w:cs="Arial"/>
        </w:rPr>
        <w:t xml:space="preserve"> </w:t>
      </w:r>
      <w:r w:rsidRPr="002C3F9C">
        <w:rPr>
          <w:rFonts w:ascii="Arial" w:hAnsi="Arial" w:cs="Arial"/>
          <w:lang w:val="en-US"/>
        </w:rPr>
        <w:t xml:space="preserve">In 1982, the first friendly settlement was reached according to ex-Article 28 § b) in the case </w:t>
      </w:r>
      <w:r w:rsidRPr="002C3F9C">
        <w:rPr>
          <w:rFonts w:ascii="Arial" w:hAnsi="Arial" w:cs="Arial"/>
          <w:i/>
          <w:lang w:val="en-US"/>
        </w:rPr>
        <w:t>Denmark, France, Norway, Sweden and the Netherlands v. Turkey</w:t>
      </w:r>
      <w:r w:rsidRPr="002C3F9C">
        <w:rPr>
          <w:rFonts w:ascii="Arial" w:hAnsi="Arial" w:cs="Arial"/>
          <w:lang w:val="en-US"/>
        </w:rPr>
        <w:t>.</w:t>
      </w:r>
      <w:r w:rsidRPr="002C3F9C">
        <w:rPr>
          <w:rStyle w:val="Appelnotedebasdep"/>
          <w:rFonts w:ascii="Arial" w:hAnsi="Arial" w:cs="Arial"/>
          <w:lang w:val="en-US"/>
        </w:rPr>
        <w:footnoteReference w:id="241"/>
      </w:r>
      <w:r w:rsidRPr="002C3F9C">
        <w:rPr>
          <w:rFonts w:ascii="Arial" w:hAnsi="Arial" w:cs="Arial"/>
          <w:lang w:val="en-US"/>
        </w:rPr>
        <w:t xml:space="preserve"> The applications related to the situation in Turkey between 12 September 1980 and 1 July 1982. The applicant Governments alleged violations of Articles 3 of the Convention (torture and inhuman and degrading treatment of detainees constituting a systematic practice), Articles 5 and 6  (detention and criminal proceedings under martial law) and Articles 9, 10 and 11 (restrictions on political parties, trade unions and the press).The Commission declared the application admissible in 1983.</w:t>
      </w:r>
      <w:r w:rsidRPr="002C3F9C">
        <w:rPr>
          <w:rStyle w:val="Appelnotedebasdep"/>
          <w:rFonts w:ascii="Arial" w:hAnsi="Arial" w:cs="Arial"/>
          <w:lang w:val="en-US"/>
        </w:rPr>
        <w:footnoteReference w:id="242"/>
      </w:r>
      <w:r w:rsidRPr="002C3F9C">
        <w:rPr>
          <w:rFonts w:ascii="Arial" w:hAnsi="Arial" w:cs="Arial"/>
          <w:lang w:val="en-US"/>
        </w:rPr>
        <w:t xml:space="preserve"> In 1985, the Parties presented, in the light of the developments in Turkey with a view to re-establishing effective democracy and securing </w:t>
      </w:r>
      <w:r w:rsidRPr="002C3F9C">
        <w:rPr>
          <w:rFonts w:ascii="Arial" w:hAnsi="Arial" w:cs="Arial"/>
          <w:lang w:val="en-US"/>
        </w:rPr>
        <w:lastRenderedPageBreak/>
        <w:t>compliance with the Convention, their joint proposal for a settlement of the case and informed the Commission that they had reached a friendly settlement. The Commission decided to discontinue the contentious proceedings under former Article 28 b).</w:t>
      </w:r>
      <w:r w:rsidRPr="002C3F9C">
        <w:rPr>
          <w:rStyle w:val="Appelnotedebasdep"/>
          <w:rFonts w:ascii="Arial" w:hAnsi="Arial" w:cs="Arial"/>
          <w:lang w:val="en-US"/>
        </w:rPr>
        <w:footnoteReference w:id="243"/>
      </w:r>
      <w:r w:rsidRPr="002C3F9C">
        <w:rPr>
          <w:rFonts w:ascii="Arial" w:hAnsi="Arial" w:cs="Arial"/>
          <w:lang w:val="en-US"/>
        </w:rPr>
        <w:t xml:space="preserve"> It noted in particular a number of measures taken by Turkey regarding criminal prosecutions and convictions concerning cases of torture, progressive lifting of the martial law in the country and that the friendly settlement provided for further progress in relation to the matters raised in the case namely conditions and procedures of detention, further implementation of personal rights and freedoms and the issue of amnesty. Noting the willingness of the five applicant Governments, including the measures taken by Turkey with a view to reestablishing an effective democracy and securing compliance with the rights and freedoms in the Convention and having special regard to the fact that the terms of the settlement </w:t>
      </w:r>
      <w:proofErr w:type="gramStart"/>
      <w:r w:rsidRPr="002C3F9C">
        <w:rPr>
          <w:rFonts w:ascii="Arial" w:hAnsi="Arial" w:cs="Arial"/>
          <w:lang w:val="en-US"/>
        </w:rPr>
        <w:t>provides</w:t>
      </w:r>
      <w:proofErr w:type="gramEnd"/>
      <w:r w:rsidRPr="002C3F9C">
        <w:rPr>
          <w:rFonts w:ascii="Arial" w:hAnsi="Arial" w:cs="Arial"/>
          <w:lang w:val="en-US"/>
        </w:rPr>
        <w:t xml:space="preserve"> for further progress and continued information to the Commission. Therefore, it concluded that the settlement reached was secured, in the sense of Article 28 § b. </w:t>
      </w:r>
    </w:p>
    <w:p w14:paraId="18EE9B0B" w14:textId="77777777" w:rsidR="002218C4" w:rsidRDefault="002218C4" w:rsidP="002218C4">
      <w:pPr>
        <w:pStyle w:val="ECHRParaSpaced"/>
        <w:ind w:firstLine="340"/>
        <w:rPr>
          <w:rFonts w:ascii="Arial" w:hAnsi="Arial" w:cs="Arial"/>
        </w:rPr>
      </w:pPr>
      <w:r w:rsidRPr="002C3F9C">
        <w:rPr>
          <w:rFonts w:ascii="Arial" w:hAnsi="Arial" w:cs="Arial"/>
        </w:rPr>
        <w:t>12</w:t>
      </w:r>
      <w:r>
        <w:rPr>
          <w:rFonts w:ascii="Arial" w:hAnsi="Arial" w:cs="Arial"/>
        </w:rPr>
        <w:t>4</w:t>
      </w:r>
      <w:r w:rsidRPr="002C3F9C">
        <w:rPr>
          <w:rFonts w:ascii="Arial" w:hAnsi="Arial" w:cs="Arial"/>
        </w:rPr>
        <w:t xml:space="preserve">. The Court has accepted the friendly settlement reached between the Parties in the inter-State case, </w:t>
      </w:r>
      <w:r w:rsidRPr="002C3F9C">
        <w:rPr>
          <w:rFonts w:ascii="Arial" w:hAnsi="Arial" w:cs="Arial"/>
          <w:i/>
        </w:rPr>
        <w:t>De</w:t>
      </w:r>
      <w:r>
        <w:rPr>
          <w:rFonts w:ascii="Arial" w:hAnsi="Arial" w:cs="Arial"/>
          <w:i/>
        </w:rPr>
        <w:t>n</w:t>
      </w:r>
      <w:r w:rsidRPr="002C3F9C">
        <w:rPr>
          <w:rFonts w:ascii="Arial" w:hAnsi="Arial" w:cs="Arial"/>
          <w:i/>
        </w:rPr>
        <w:t>mark v. Turkey</w:t>
      </w:r>
      <w:r w:rsidRPr="002C3F9C">
        <w:rPr>
          <w:rFonts w:ascii="Arial" w:hAnsi="Arial" w:cs="Arial"/>
        </w:rPr>
        <w:t>.</w:t>
      </w:r>
      <w:r w:rsidRPr="002C3F9C">
        <w:rPr>
          <w:rStyle w:val="Appelnotedebasdep"/>
          <w:rFonts w:ascii="Arial" w:hAnsi="Arial" w:cs="Arial"/>
          <w:bCs/>
          <w:iCs/>
        </w:rPr>
        <w:t xml:space="preserve"> </w:t>
      </w:r>
      <w:r w:rsidRPr="002C3F9C">
        <w:rPr>
          <w:rStyle w:val="Appelnotedebasdep"/>
          <w:rFonts w:ascii="Arial" w:hAnsi="Arial" w:cs="Arial"/>
          <w:bCs/>
          <w:iCs/>
        </w:rPr>
        <w:footnoteReference w:id="244"/>
      </w:r>
      <w:r w:rsidRPr="002C3F9C">
        <w:rPr>
          <w:rFonts w:ascii="Arial" w:hAnsi="Arial" w:cs="Arial"/>
        </w:rPr>
        <w:t xml:space="preserve"> </w:t>
      </w:r>
      <w:r w:rsidRPr="002C3F9C">
        <w:rPr>
          <w:rFonts w:ascii="Arial" w:hAnsi="Arial" w:cs="Arial"/>
          <w:color w:val="000000" w:themeColor="text1"/>
        </w:rPr>
        <w:t xml:space="preserve">The applicant Government lodged an inter-State application against Turkey alleging the ill-treatment of a Danish citizen while in custody in Turkey, in contravention of Article 3 of the Convention. In 1999, the Court declared the application admissible. In 2000, the agents of the Danish and Turkish governments submitted formal declarations according to which they had reached a friendly settlement, under Article 39 of the Convention. </w:t>
      </w:r>
      <w:r w:rsidRPr="002C3F9C">
        <w:rPr>
          <w:rFonts w:ascii="Arial" w:hAnsi="Arial" w:cs="Arial"/>
        </w:rPr>
        <w:t>The Court took note of the friendly settlement reached between the parties observing that the parties had agreed to the payment of a sum of money to the applicant Government, a statement of regret was made by the respondent Government, changes had been introduced to the Turkish legal and administrative framework in response of torture and ill-treatment and that the respondent Government had undertaken to make further improvements concerning the occurrence of incidents of torture and ill-treatment and to continue their co-operation with international human rights bodies, in particular the European Committee for the Prevention of Torture and Inhuman or Degrading Treatment or Punishment.</w:t>
      </w:r>
      <w:r w:rsidRPr="002C3F9C">
        <w:rPr>
          <w:rStyle w:val="Appelnotedebasdep"/>
          <w:rFonts w:ascii="Arial" w:hAnsi="Arial" w:cs="Arial"/>
          <w:bCs/>
          <w:iCs/>
        </w:rPr>
        <w:footnoteReference w:id="245"/>
      </w:r>
    </w:p>
    <w:p w14:paraId="14BEC5EC" w14:textId="77777777" w:rsidR="002218C4" w:rsidRDefault="002218C4" w:rsidP="002218C4">
      <w:pPr>
        <w:pStyle w:val="ECHRParaSpaced"/>
        <w:ind w:firstLine="340"/>
        <w:rPr>
          <w:rFonts w:ascii="Arial" w:hAnsi="Arial" w:cs="Arial"/>
          <w:bCs/>
          <w:iCs/>
        </w:rPr>
      </w:pPr>
      <w:r w:rsidRPr="002C3F9C">
        <w:rPr>
          <w:rFonts w:ascii="Arial" w:hAnsi="Arial" w:cs="Arial"/>
          <w:bCs/>
          <w:iCs/>
        </w:rPr>
        <w:t>12</w:t>
      </w:r>
      <w:r>
        <w:rPr>
          <w:rFonts w:ascii="Arial" w:hAnsi="Arial" w:cs="Arial"/>
          <w:bCs/>
          <w:iCs/>
        </w:rPr>
        <w:t>5</w:t>
      </w:r>
      <w:r w:rsidRPr="002C3F9C">
        <w:rPr>
          <w:rFonts w:ascii="Arial" w:hAnsi="Arial" w:cs="Arial"/>
          <w:bCs/>
          <w:iCs/>
        </w:rPr>
        <w:t>. Some authors have argued that while the feasibility of friendly settlements as a solution to inter-State cases depends on the nature of the application and that the Court may not be able to assume a leading role in friendly-settlement negotiations, the Court can, nonetheless, assist by providing the initial impetus and creating a suitable framework for the negotiations.</w:t>
      </w:r>
      <w:r w:rsidRPr="002C3F9C">
        <w:rPr>
          <w:rStyle w:val="Appelnotedebasdep"/>
          <w:rFonts w:ascii="Arial" w:hAnsi="Arial" w:cs="Arial"/>
          <w:bCs/>
          <w:iCs/>
        </w:rPr>
        <w:footnoteReference w:id="246"/>
      </w:r>
      <w:r w:rsidRPr="002C3F9C">
        <w:rPr>
          <w:rFonts w:ascii="Arial" w:hAnsi="Arial" w:cs="Arial"/>
          <w:bCs/>
          <w:iCs/>
        </w:rPr>
        <w:t xml:space="preserve"> The most essential features of the Court’s assistance would be to provide the parties with procedural stability and a balanced framework as a starting point for their negotiations. This would require a roadmap that sets out the necessary elements and a clear timetable for negotiations. Such a roadmap would need to be standardised so that it can be adapted to different situations and ease the Court’s workload as much as possible. The conduct of the negotiations would fall on the State Parties themselves.</w:t>
      </w:r>
      <w:r w:rsidRPr="002C3F9C">
        <w:rPr>
          <w:rStyle w:val="Appelnotedebasdep"/>
          <w:rFonts w:ascii="Arial" w:hAnsi="Arial" w:cs="Arial"/>
          <w:bCs/>
          <w:iCs/>
        </w:rPr>
        <w:footnoteReference w:id="247"/>
      </w:r>
      <w:r w:rsidRPr="002C3F9C">
        <w:rPr>
          <w:rFonts w:ascii="Arial" w:hAnsi="Arial" w:cs="Arial"/>
          <w:bCs/>
          <w:iCs/>
        </w:rPr>
        <w:t xml:space="preserve"> In this view, the Court’s roadmap could also include models for friendly settlement in individual applications relating to inter-State applications, according to which applicants would be incentivised to accept friendly settlement by being offered a slightly higher sum of money than what a violation judgment would provide. In order to make this mechanism as effective as possible</w:t>
      </w:r>
      <w:r>
        <w:rPr>
          <w:rFonts w:ascii="Arial" w:hAnsi="Arial" w:cs="Arial"/>
          <w:bCs/>
          <w:iCs/>
        </w:rPr>
        <w:t>,</w:t>
      </w:r>
      <w:r w:rsidRPr="002C3F9C">
        <w:rPr>
          <w:rFonts w:ascii="Arial" w:hAnsi="Arial" w:cs="Arial"/>
          <w:bCs/>
          <w:iCs/>
        </w:rPr>
        <w:t xml:space="preserve"> a clause would have to be included in the inter-State friendly settlement according to which </w:t>
      </w:r>
      <w:r w:rsidRPr="002C3F9C">
        <w:rPr>
          <w:rFonts w:ascii="Arial" w:hAnsi="Arial" w:cs="Arial"/>
          <w:bCs/>
          <w:iCs/>
        </w:rPr>
        <w:lastRenderedPageBreak/>
        <w:t>the States Parties should strongly encourage the affected individuals to accept the model friendly settlement.</w:t>
      </w:r>
      <w:r w:rsidRPr="002C3F9C">
        <w:rPr>
          <w:rStyle w:val="Appelnotedebasdep"/>
          <w:rFonts w:ascii="Arial" w:hAnsi="Arial" w:cs="Arial"/>
          <w:bCs/>
          <w:iCs/>
        </w:rPr>
        <w:t xml:space="preserve"> </w:t>
      </w:r>
      <w:r w:rsidRPr="002C3F9C">
        <w:rPr>
          <w:rStyle w:val="Appelnotedebasdep"/>
          <w:rFonts w:ascii="Arial" w:hAnsi="Arial" w:cs="Arial"/>
          <w:bCs/>
          <w:iCs/>
        </w:rPr>
        <w:footnoteReference w:id="248"/>
      </w:r>
      <w:r w:rsidRPr="002C3F9C">
        <w:rPr>
          <w:rFonts w:ascii="Arial" w:hAnsi="Arial" w:cs="Arial"/>
          <w:bCs/>
          <w:iCs/>
        </w:rPr>
        <w:t xml:space="preserve">  </w:t>
      </w:r>
    </w:p>
    <w:p w14:paraId="75BBA8CD" w14:textId="77777777" w:rsidR="002218C4" w:rsidRPr="00C34914" w:rsidRDefault="002218C4" w:rsidP="002218C4">
      <w:pPr>
        <w:pStyle w:val="ECHRParaSpaced"/>
        <w:ind w:firstLine="340"/>
        <w:rPr>
          <w:rFonts w:ascii="Arial" w:hAnsi="Arial" w:cs="Arial"/>
          <w:bCs/>
          <w:iCs/>
          <w:sz w:val="24"/>
          <w:szCs w:val="24"/>
        </w:rPr>
      </w:pPr>
    </w:p>
    <w:p w14:paraId="3B47B7E9" w14:textId="77777777" w:rsidR="002218C4" w:rsidRPr="00C34914" w:rsidRDefault="002218C4" w:rsidP="002218C4">
      <w:pPr>
        <w:pStyle w:val="Titre2"/>
        <w:rPr>
          <w:rFonts w:ascii="Arial" w:hAnsi="Arial" w:cs="Arial"/>
          <w:i/>
          <w:iCs/>
          <w:sz w:val="24"/>
          <w:szCs w:val="24"/>
          <w:lang w:val="en-GB"/>
        </w:rPr>
      </w:pPr>
      <w:bookmarkStart w:id="100" w:name="_Toc83293380"/>
      <w:r w:rsidRPr="00C34914">
        <w:rPr>
          <w:rFonts w:ascii="Arial" w:hAnsi="Arial" w:cs="Arial"/>
          <w:i/>
          <w:iCs/>
          <w:sz w:val="24"/>
          <w:szCs w:val="24"/>
          <w:lang w:val="en-GB"/>
        </w:rPr>
        <w:t>2.  Other aspects</w:t>
      </w:r>
      <w:bookmarkEnd w:id="100"/>
    </w:p>
    <w:p w14:paraId="49672DCD" w14:textId="77777777" w:rsidR="002218C4" w:rsidRDefault="002218C4" w:rsidP="002218C4">
      <w:pPr>
        <w:pStyle w:val="ECHRParaSpaced"/>
        <w:ind w:firstLine="340"/>
        <w:rPr>
          <w:rFonts w:ascii="Arial" w:hAnsi="Arial" w:cs="Arial"/>
          <w:i/>
        </w:rPr>
      </w:pPr>
      <w:r w:rsidRPr="00A46ACD">
        <w:rPr>
          <w:rFonts w:ascii="Arial" w:hAnsi="Arial" w:cs="Arial"/>
        </w:rPr>
        <w:t>1</w:t>
      </w:r>
      <w:r>
        <w:rPr>
          <w:rFonts w:ascii="Arial" w:hAnsi="Arial" w:cs="Arial"/>
        </w:rPr>
        <w:t>26</w:t>
      </w:r>
      <w:r w:rsidRPr="00A46ACD">
        <w:rPr>
          <w:rFonts w:ascii="Arial" w:hAnsi="Arial" w:cs="Arial"/>
        </w:rPr>
        <w:t xml:space="preserve">. Where an applicant refuses the terms of a friendly-settlement proposals pursuant to Rule 52 of the Rules of Court, the Party concerned may file with the Court a request to strike the application out of the list in accordance with Article 37 § 1 of the Convention. Such request shall be accompanied by a </w:t>
      </w:r>
      <w:r w:rsidRPr="00A46ACD">
        <w:rPr>
          <w:rFonts w:ascii="Arial" w:hAnsi="Arial" w:cs="Arial"/>
          <w:b/>
          <w:i/>
        </w:rPr>
        <w:t>unilateral declaration</w:t>
      </w:r>
      <w:r w:rsidRPr="00A46ACD">
        <w:rPr>
          <w:rFonts w:ascii="Arial" w:hAnsi="Arial" w:cs="Arial"/>
        </w:rPr>
        <w:t xml:space="preserve"> under Rule 62 A of the Rules of Court, acknowledging that there has been a violation of the Convention in the applicant’s case together with an undertaking to provide adequate redress and, as appropriate, to take necessary remedial measures. The submission of a unilateral declaration is public and adversarial proceedings are conducted separately from and with due respect for the confidentiality of any friendly-settlement proceedings. Exceptionally a request and accompanying declaration may be filed with the Court even in the absence of a prior attempt to reach a friendly settlement. The Court may strike an application out of its list, if it is satisfied that the declaration offers a sufficient basis for assuming that respect for human rights as defined in the Convention and the Protocols thereto does not require it to continue its examination of the application.</w:t>
      </w:r>
      <w:r w:rsidRPr="00A46ACD">
        <w:rPr>
          <w:rFonts w:ascii="Arial" w:hAnsi="Arial" w:cs="Arial"/>
          <w:i/>
        </w:rPr>
        <w:t xml:space="preserve"> </w:t>
      </w:r>
    </w:p>
    <w:p w14:paraId="1654E83E" w14:textId="77777777" w:rsidR="002218C4" w:rsidRDefault="002218C4" w:rsidP="002218C4">
      <w:pPr>
        <w:pStyle w:val="ECHRParaSpaced"/>
        <w:ind w:firstLine="340"/>
        <w:rPr>
          <w:rStyle w:val="sb8d990e2"/>
          <w:rFonts w:ascii="Arial" w:hAnsi="Arial" w:cs="Arial"/>
          <w:i/>
        </w:rPr>
      </w:pPr>
      <w:r w:rsidRPr="00A46ACD">
        <w:rPr>
          <w:rFonts w:ascii="Arial" w:hAnsi="Arial" w:cs="Arial"/>
        </w:rPr>
        <w:t>1</w:t>
      </w:r>
      <w:r>
        <w:rPr>
          <w:rFonts w:ascii="Arial" w:hAnsi="Arial" w:cs="Arial"/>
        </w:rPr>
        <w:t>27</w:t>
      </w:r>
      <w:r w:rsidRPr="00A46ACD">
        <w:rPr>
          <w:rFonts w:ascii="Arial" w:hAnsi="Arial" w:cs="Arial"/>
        </w:rPr>
        <w:t xml:space="preserve">. </w:t>
      </w:r>
      <w:r w:rsidRPr="00A46ACD">
        <w:rPr>
          <w:rStyle w:val="sb8d990e2"/>
          <w:rFonts w:ascii="Arial" w:hAnsi="Arial" w:cs="Arial"/>
          <w:color w:val="000000"/>
          <w:lang w:val="en-US"/>
        </w:rPr>
        <w:t xml:space="preserve">The Court </w:t>
      </w:r>
      <w:r w:rsidRPr="00A46ACD">
        <w:rPr>
          <w:rStyle w:val="sb8d990e2"/>
          <w:rFonts w:ascii="Arial" w:hAnsi="Arial" w:cs="Arial"/>
          <w:lang w:val="en-US"/>
        </w:rPr>
        <w:t xml:space="preserve">has </w:t>
      </w:r>
      <w:r w:rsidRPr="00A46ACD">
        <w:rPr>
          <w:rStyle w:val="sb8d990e2"/>
          <w:rFonts w:ascii="Arial" w:hAnsi="Arial" w:cs="Arial"/>
          <w:color w:val="000000"/>
          <w:lang w:val="en-US"/>
        </w:rPr>
        <w:t>consider</w:t>
      </w:r>
      <w:r w:rsidRPr="00A46ACD">
        <w:rPr>
          <w:rStyle w:val="sb8d990e2"/>
          <w:rFonts w:ascii="Arial" w:hAnsi="Arial" w:cs="Arial"/>
          <w:lang w:val="en-US"/>
        </w:rPr>
        <w:t>ed</w:t>
      </w:r>
      <w:r w:rsidRPr="00A46ACD">
        <w:rPr>
          <w:rStyle w:val="sb8d990e2"/>
          <w:rFonts w:ascii="Arial" w:hAnsi="Arial" w:cs="Arial"/>
          <w:color w:val="000000"/>
          <w:lang w:val="en-US"/>
        </w:rPr>
        <w:t xml:space="preserve"> </w:t>
      </w:r>
      <w:r w:rsidRPr="00A46ACD">
        <w:rPr>
          <w:rStyle w:val="sb8d990e2"/>
          <w:rFonts w:ascii="Arial" w:hAnsi="Arial" w:cs="Arial"/>
          <w:lang w:val="en-US"/>
        </w:rPr>
        <w:t xml:space="preserve">in the context of individual applications </w:t>
      </w:r>
      <w:r w:rsidRPr="00A46ACD">
        <w:rPr>
          <w:rStyle w:val="sb8d990e2"/>
          <w:rFonts w:ascii="Arial" w:hAnsi="Arial" w:cs="Arial"/>
          <w:color w:val="000000"/>
          <w:lang w:val="en-US"/>
        </w:rPr>
        <w:t>that, under certain circumstances, it may be appropriate to strike out an application under Article 37 § 1 (c) of the Convention on the basis of a unilateral declaration by the respondent Government. In this respect</w:t>
      </w:r>
      <w:r>
        <w:rPr>
          <w:rStyle w:val="sb8d990e2"/>
          <w:rFonts w:ascii="Arial" w:hAnsi="Arial" w:cs="Arial"/>
          <w:color w:val="000000"/>
          <w:lang w:val="en-US"/>
        </w:rPr>
        <w:t>,</w:t>
      </w:r>
      <w:r w:rsidRPr="00A46ACD">
        <w:rPr>
          <w:rStyle w:val="sb8d990e2"/>
          <w:rFonts w:ascii="Arial" w:hAnsi="Arial" w:cs="Arial"/>
          <w:color w:val="000000"/>
          <w:lang w:val="en-US"/>
        </w:rPr>
        <w:t xml:space="preserve"> in determining whether the unilateral declaration offers a sufficient basis for finding respect for human rights as defined in the Convention, the Court will look at a number of factors such as whether the facts are in dispute between the parties, whether there is an admission of responsibility or liability for any violation of the Convention alleged by the applicant, </w:t>
      </w:r>
      <w:r>
        <w:rPr>
          <w:rStyle w:val="sb8d990e2"/>
          <w:rFonts w:ascii="Arial" w:hAnsi="Arial" w:cs="Arial"/>
          <w:color w:val="000000"/>
          <w:lang w:val="en-US"/>
        </w:rPr>
        <w:t xml:space="preserve">and </w:t>
      </w:r>
      <w:r w:rsidRPr="00A46ACD">
        <w:rPr>
          <w:rStyle w:val="sb8d990e2"/>
          <w:rFonts w:ascii="Arial" w:hAnsi="Arial" w:cs="Arial"/>
          <w:color w:val="000000"/>
          <w:lang w:val="en-US"/>
        </w:rPr>
        <w:t>whether the applicant’s grievances under the Convention are adequately addressed.</w:t>
      </w:r>
      <w:r w:rsidRPr="00A46ACD">
        <w:rPr>
          <w:rStyle w:val="Appelnotedebasdep"/>
          <w:rFonts w:ascii="Arial" w:hAnsi="Arial" w:cs="Arial"/>
          <w:color w:val="000000"/>
          <w:lang w:val="en-US"/>
        </w:rPr>
        <w:footnoteReference w:id="249"/>
      </w:r>
      <w:r w:rsidRPr="00A46ACD">
        <w:rPr>
          <w:rStyle w:val="sb8d990e2"/>
          <w:rFonts w:ascii="Arial" w:hAnsi="Arial" w:cs="Arial"/>
          <w:color w:val="000000"/>
          <w:lang w:val="en-US"/>
        </w:rPr>
        <w:t xml:space="preserve"> Also, the Court rejects requests for striking cases out of the list on the basis of unilateral declarations when it considers the serious nature of the allegations of human rights violations</w:t>
      </w:r>
      <w:r w:rsidRPr="00A46ACD">
        <w:rPr>
          <w:rStyle w:val="Appelnotedebasdep"/>
          <w:rFonts w:ascii="Arial" w:hAnsi="Arial" w:cs="Arial"/>
          <w:color w:val="000000"/>
          <w:lang w:val="en-US"/>
        </w:rPr>
        <w:footnoteReference w:id="250"/>
      </w:r>
      <w:r w:rsidRPr="00A46ACD">
        <w:rPr>
          <w:rStyle w:val="sb8d990e2"/>
          <w:rFonts w:ascii="Arial" w:hAnsi="Arial" w:cs="Arial"/>
          <w:color w:val="000000"/>
          <w:lang w:val="en-US"/>
        </w:rPr>
        <w:t xml:space="preserve"> or that accepting the request would contribute to keep the situation unchanged without a guarantee that a solution would be found in the near future; which would not help the Court accomplish its role under Article 19 of the Convention, that is ensuring the observance of the engagements undertaken by the High Contracting Parties in the Convention and the Protocols thereto.</w:t>
      </w:r>
      <w:r w:rsidRPr="00A46ACD">
        <w:rPr>
          <w:rStyle w:val="Appelnotedebasdep"/>
          <w:rFonts w:ascii="Arial" w:hAnsi="Arial" w:cs="Arial"/>
          <w:color w:val="000000"/>
          <w:lang w:val="en-US"/>
        </w:rPr>
        <w:footnoteReference w:id="251"/>
      </w:r>
      <w:r w:rsidRPr="00A46ACD">
        <w:rPr>
          <w:rStyle w:val="sb8d990e2"/>
          <w:rFonts w:ascii="Arial" w:hAnsi="Arial" w:cs="Arial"/>
          <w:color w:val="000000"/>
          <w:lang w:val="en-US"/>
        </w:rPr>
        <w:t xml:space="preserve"> </w:t>
      </w:r>
    </w:p>
    <w:p w14:paraId="525E5309" w14:textId="77777777" w:rsidR="002218C4" w:rsidRDefault="002218C4" w:rsidP="002218C4">
      <w:pPr>
        <w:pStyle w:val="ECHRParaSpaced"/>
        <w:ind w:firstLine="340"/>
        <w:rPr>
          <w:rFonts w:ascii="Arial" w:hAnsi="Arial" w:cs="Arial"/>
          <w:i/>
        </w:rPr>
      </w:pPr>
      <w:r w:rsidRPr="00A46ACD">
        <w:rPr>
          <w:rFonts w:ascii="Arial" w:hAnsi="Arial" w:cs="Arial"/>
        </w:rPr>
        <w:t>1</w:t>
      </w:r>
      <w:r>
        <w:rPr>
          <w:rFonts w:ascii="Arial" w:hAnsi="Arial" w:cs="Arial"/>
        </w:rPr>
        <w:t>28</w:t>
      </w:r>
      <w:r w:rsidRPr="00A46ACD">
        <w:rPr>
          <w:rFonts w:ascii="Arial" w:hAnsi="Arial" w:cs="Arial"/>
        </w:rPr>
        <w:t>. The number of unilateral declarations in 2020 was 402, representing a decrease</w:t>
      </w:r>
      <w:r w:rsidRPr="00A46ACD">
        <w:rPr>
          <w:rFonts w:ascii="Arial" w:hAnsi="Arial" w:cs="Arial"/>
          <w:b/>
          <w:color w:val="FF0000"/>
        </w:rPr>
        <w:t xml:space="preserve"> </w:t>
      </w:r>
      <w:r w:rsidRPr="00A46ACD">
        <w:rPr>
          <w:rFonts w:ascii="Arial" w:hAnsi="Arial" w:cs="Arial"/>
        </w:rPr>
        <w:t>by 73% compared to 2019, with 1 511</w:t>
      </w:r>
      <w:r w:rsidRPr="00A46ACD">
        <w:rPr>
          <w:rFonts w:ascii="Arial" w:hAnsi="Arial" w:cs="Arial"/>
          <w:b/>
        </w:rPr>
        <w:t xml:space="preserve"> </w:t>
      </w:r>
      <w:r w:rsidRPr="00A46ACD">
        <w:rPr>
          <w:rFonts w:ascii="Arial" w:hAnsi="Arial" w:cs="Arial"/>
        </w:rPr>
        <w:t>declarations.</w:t>
      </w:r>
      <w:r w:rsidRPr="00A46ACD">
        <w:rPr>
          <w:rStyle w:val="Appelnotedebasdep"/>
          <w:rFonts w:ascii="Arial" w:hAnsi="Arial" w:cs="Arial"/>
        </w:rPr>
        <w:footnoteReference w:id="252"/>
      </w:r>
      <w:r w:rsidRPr="00A46ACD">
        <w:rPr>
          <w:rFonts w:ascii="Arial" w:hAnsi="Arial" w:cs="Arial"/>
        </w:rPr>
        <w:t xml:space="preserve"> </w:t>
      </w:r>
      <w:bookmarkStart w:id="101" w:name="_Hlk69402921"/>
    </w:p>
    <w:p w14:paraId="07A4692C" w14:textId="77777777" w:rsidR="002218C4" w:rsidRDefault="002218C4" w:rsidP="002218C4">
      <w:pPr>
        <w:pStyle w:val="ECHRParaSpaced"/>
        <w:ind w:firstLine="340"/>
        <w:rPr>
          <w:rFonts w:ascii="Arial" w:hAnsi="Arial" w:cs="Arial"/>
          <w:i/>
        </w:rPr>
      </w:pPr>
      <w:r w:rsidRPr="00A46ACD">
        <w:rPr>
          <w:rFonts w:ascii="Arial" w:hAnsi="Arial" w:cs="Arial"/>
          <w:lang w:val="en-US"/>
        </w:rPr>
        <w:t>1</w:t>
      </w:r>
      <w:r>
        <w:rPr>
          <w:rFonts w:ascii="Arial" w:hAnsi="Arial" w:cs="Arial"/>
          <w:lang w:val="en-US"/>
        </w:rPr>
        <w:t>29</w:t>
      </w:r>
      <w:r w:rsidRPr="00A46ACD">
        <w:rPr>
          <w:rFonts w:ascii="Arial" w:hAnsi="Arial" w:cs="Arial"/>
          <w:lang w:val="en-US"/>
        </w:rPr>
        <w:t>. As regards individual applications relating to inter-State disputes</w:t>
      </w:r>
      <w:r>
        <w:rPr>
          <w:rFonts w:ascii="Arial" w:hAnsi="Arial" w:cs="Arial"/>
          <w:lang w:val="en-US"/>
        </w:rPr>
        <w:t>,</w:t>
      </w:r>
      <w:r w:rsidRPr="00A46ACD">
        <w:rPr>
          <w:rFonts w:ascii="Arial" w:hAnsi="Arial" w:cs="Arial"/>
          <w:lang w:val="en-US"/>
        </w:rPr>
        <w:t xml:space="preserve"> mention can be made of the </w:t>
      </w:r>
      <w:r w:rsidRPr="00A46ACD">
        <w:rPr>
          <w:rFonts w:ascii="Arial" w:hAnsi="Arial" w:cs="Arial"/>
          <w:b/>
          <w:i/>
          <w:lang w:val="en-US"/>
        </w:rPr>
        <w:t>pilot judgment</w:t>
      </w:r>
      <w:r w:rsidRPr="00A46ACD">
        <w:rPr>
          <w:rFonts w:ascii="Arial" w:hAnsi="Arial" w:cs="Arial"/>
          <w:lang w:val="en-US"/>
        </w:rPr>
        <w:t xml:space="preserve"> in the case of </w:t>
      </w:r>
      <w:proofErr w:type="spellStart"/>
      <w:r w:rsidRPr="00A46ACD">
        <w:rPr>
          <w:rFonts w:ascii="Arial" w:hAnsi="Arial" w:cs="Arial"/>
          <w:i/>
          <w:lang w:val="en-US"/>
        </w:rPr>
        <w:t>Xenides-Arestis</w:t>
      </w:r>
      <w:proofErr w:type="spellEnd"/>
      <w:r w:rsidRPr="00A46ACD">
        <w:rPr>
          <w:rFonts w:ascii="Arial" w:hAnsi="Arial" w:cs="Arial"/>
          <w:i/>
          <w:lang w:val="en-US"/>
        </w:rPr>
        <w:t xml:space="preserve"> v. Turkey</w:t>
      </w:r>
      <w:r w:rsidRPr="00A46ACD">
        <w:rPr>
          <w:rFonts w:ascii="Arial" w:hAnsi="Arial" w:cs="Arial"/>
          <w:lang w:val="en-US"/>
        </w:rPr>
        <w:t>.</w:t>
      </w:r>
      <w:r w:rsidRPr="00A46ACD">
        <w:rPr>
          <w:rStyle w:val="Appelnotedebasdep"/>
          <w:rFonts w:ascii="Arial" w:hAnsi="Arial" w:cs="Arial"/>
          <w:lang w:val="en-US"/>
        </w:rPr>
        <w:footnoteReference w:id="253"/>
      </w:r>
      <w:r w:rsidRPr="00A46ACD">
        <w:rPr>
          <w:rFonts w:ascii="Arial" w:hAnsi="Arial" w:cs="Arial"/>
          <w:lang w:val="en-US"/>
        </w:rPr>
        <w:t xml:space="preserve"> The Court found that the </w:t>
      </w:r>
      <w:r w:rsidRPr="00A46ACD">
        <w:rPr>
          <w:rFonts w:ascii="Arial" w:hAnsi="Arial" w:cs="Arial"/>
          <w:color w:val="000000"/>
          <w:shd w:val="clear" w:color="auto" w:fill="FFFFFF"/>
        </w:rPr>
        <w:t xml:space="preserve">violation of the applicant’s rights under Article 8 of the Convention and Article 1 of Protocol No. 1 originated in a widespread problem affecting large numbers of people, namely the unjustified hindrance of her “respect for her home” and “peaceful enjoyment of her </w:t>
      </w:r>
      <w:r w:rsidRPr="00A46ACD">
        <w:rPr>
          <w:rFonts w:ascii="Arial" w:hAnsi="Arial" w:cs="Arial"/>
          <w:color w:val="000000"/>
          <w:shd w:val="clear" w:color="auto" w:fill="FFFFFF"/>
        </w:rPr>
        <w:lastRenderedPageBreak/>
        <w:t>possessions” as a matter of “Turkish Republic of Northern Cyprus” (“TRNC”) policy</w:t>
      </w:r>
      <w:r w:rsidRPr="00A46ACD">
        <w:rPr>
          <w:rFonts w:ascii="Arial" w:hAnsi="Arial" w:cs="Arial"/>
          <w:color w:val="000000"/>
        </w:rPr>
        <w:t>.</w:t>
      </w:r>
      <w:r w:rsidRPr="00A46ACD">
        <w:rPr>
          <w:rStyle w:val="Appelnotedebasdep"/>
          <w:rFonts w:ascii="Arial" w:hAnsi="Arial" w:cs="Arial"/>
          <w:lang w:val="en-US"/>
        </w:rPr>
        <w:footnoteReference w:id="254"/>
      </w:r>
      <w:r w:rsidRPr="00A46ACD">
        <w:rPr>
          <w:rStyle w:val="Appelnotedebasdep"/>
          <w:rFonts w:ascii="Arial" w:hAnsi="Arial" w:cs="Arial"/>
          <w:lang w:val="en-US"/>
        </w:rPr>
        <w:t xml:space="preserve"> </w:t>
      </w:r>
      <w:r w:rsidRPr="00A46ACD">
        <w:rPr>
          <w:rFonts w:ascii="Arial" w:hAnsi="Arial" w:cs="Arial"/>
          <w:color w:val="000000"/>
          <w:shd w:val="clear" w:color="auto" w:fill="FFFFFF"/>
        </w:rPr>
        <w:t>In this connection the Court noted that approximately 1.400 property cases which were pending before it were brought primarily by Greek Cypriots against Turkey.</w:t>
      </w:r>
      <w:r w:rsidRPr="00A46ACD">
        <w:rPr>
          <w:rStyle w:val="Appelnotedebasdep"/>
          <w:rFonts w:ascii="Arial" w:hAnsi="Arial" w:cs="Arial"/>
          <w:lang w:val="en-US"/>
        </w:rPr>
        <w:footnoteReference w:id="255"/>
      </w:r>
      <w:r w:rsidRPr="00A46ACD">
        <w:rPr>
          <w:rStyle w:val="Appelnotedebasdep"/>
          <w:rFonts w:ascii="Arial" w:hAnsi="Arial" w:cs="Arial"/>
          <w:lang w:val="en-US"/>
        </w:rPr>
        <w:t xml:space="preserve"> </w:t>
      </w:r>
      <w:r w:rsidRPr="00A46ACD">
        <w:rPr>
          <w:rFonts w:ascii="Arial" w:hAnsi="Arial" w:cs="Arial"/>
          <w:color w:val="000000"/>
          <w:shd w:val="clear" w:color="auto" w:fill="FFFFFF"/>
        </w:rPr>
        <w:t xml:space="preserve">The Court considered that the respondent State must introduce a remedy which secures genuinely effective redress for the Convention violations identified in the judgment in relation to the present applicant as well as in respect of all similar applications pending before it, in accordance with the principles for the protection of the rights laid down in Article 8 of the Convention and Article 1 of Protocol No. 1 and in line with its admissibility decision of 14 March 2005. Such a remedy should be available within three months from the date on which the judgment was </w:t>
      </w:r>
      <w:proofErr w:type="gramStart"/>
      <w:r w:rsidRPr="00A46ACD">
        <w:rPr>
          <w:rFonts w:ascii="Arial" w:hAnsi="Arial" w:cs="Arial"/>
          <w:color w:val="000000"/>
          <w:shd w:val="clear" w:color="auto" w:fill="FFFFFF"/>
        </w:rPr>
        <w:t>delivered</w:t>
      </w:r>
      <w:proofErr w:type="gramEnd"/>
      <w:r w:rsidRPr="00A46ACD">
        <w:rPr>
          <w:rFonts w:ascii="Arial" w:hAnsi="Arial" w:cs="Arial"/>
          <w:color w:val="000000"/>
          <w:shd w:val="clear" w:color="auto" w:fill="FFFFFF"/>
        </w:rPr>
        <w:t xml:space="preserve"> and redress should be afforded three months thereafter.</w:t>
      </w:r>
      <w:r w:rsidRPr="00A46ACD">
        <w:rPr>
          <w:rStyle w:val="Appelnotedebasdep"/>
          <w:rFonts w:ascii="Arial" w:hAnsi="Arial" w:cs="Arial"/>
          <w:lang w:val="en-US"/>
        </w:rPr>
        <w:footnoteReference w:id="256"/>
      </w:r>
    </w:p>
    <w:p w14:paraId="49637BD9" w14:textId="77777777" w:rsidR="002218C4" w:rsidRDefault="002218C4" w:rsidP="002218C4">
      <w:pPr>
        <w:pStyle w:val="ECHRParaSpaced"/>
        <w:ind w:firstLine="340"/>
        <w:rPr>
          <w:rStyle w:val="sb8d990e2"/>
          <w:rFonts w:ascii="Arial" w:hAnsi="Arial" w:cs="Arial"/>
          <w:i/>
        </w:rPr>
      </w:pPr>
      <w:r w:rsidRPr="00A46ACD">
        <w:rPr>
          <w:rFonts w:ascii="Arial" w:hAnsi="Arial" w:cs="Arial"/>
          <w:lang w:val="en-US"/>
        </w:rPr>
        <w:t>13</w:t>
      </w:r>
      <w:r>
        <w:rPr>
          <w:rFonts w:ascii="Arial" w:hAnsi="Arial" w:cs="Arial"/>
          <w:lang w:val="en-US"/>
        </w:rPr>
        <w:t>0</w:t>
      </w:r>
      <w:r w:rsidRPr="00A46ACD">
        <w:rPr>
          <w:rFonts w:ascii="Arial" w:hAnsi="Arial" w:cs="Arial"/>
          <w:lang w:val="en-US"/>
        </w:rPr>
        <w:t xml:space="preserve">. </w:t>
      </w:r>
      <w:r w:rsidRPr="00A46ACD">
        <w:rPr>
          <w:rFonts w:ascii="Arial" w:hAnsi="Arial" w:cs="Arial"/>
          <w:color w:val="000000" w:themeColor="text1"/>
          <w:lang w:val="en-US"/>
        </w:rPr>
        <w:t xml:space="preserve">Following the pilot judgment in the </w:t>
      </w:r>
      <w:proofErr w:type="spellStart"/>
      <w:r w:rsidRPr="00A46ACD">
        <w:rPr>
          <w:rFonts w:ascii="Arial" w:hAnsi="Arial" w:cs="Arial"/>
          <w:color w:val="000000" w:themeColor="text1"/>
          <w:lang w:val="en-US"/>
        </w:rPr>
        <w:t>Xenides</w:t>
      </w:r>
      <w:proofErr w:type="spellEnd"/>
      <w:r w:rsidRPr="00A46ACD">
        <w:rPr>
          <w:rFonts w:ascii="Arial" w:hAnsi="Arial" w:cs="Arial"/>
          <w:color w:val="000000" w:themeColor="text1"/>
          <w:lang w:val="en-US"/>
        </w:rPr>
        <w:t xml:space="preserve"> </w:t>
      </w:r>
      <w:proofErr w:type="spellStart"/>
      <w:r w:rsidRPr="00A46ACD">
        <w:rPr>
          <w:rFonts w:ascii="Arial" w:hAnsi="Arial" w:cs="Arial"/>
          <w:color w:val="000000" w:themeColor="text1"/>
          <w:lang w:val="en-US"/>
        </w:rPr>
        <w:t>Arestis</w:t>
      </w:r>
      <w:proofErr w:type="spellEnd"/>
      <w:r w:rsidRPr="00A46ACD">
        <w:rPr>
          <w:rFonts w:ascii="Arial" w:hAnsi="Arial" w:cs="Arial"/>
          <w:color w:val="000000" w:themeColor="text1"/>
          <w:lang w:val="en-US"/>
        </w:rPr>
        <w:t xml:space="preserve"> case</w:t>
      </w:r>
      <w:r>
        <w:rPr>
          <w:rFonts w:ascii="Arial" w:hAnsi="Arial" w:cs="Arial"/>
          <w:color w:val="000000" w:themeColor="text1"/>
          <w:lang w:val="en-US"/>
        </w:rPr>
        <w:t>,</w:t>
      </w:r>
      <w:r w:rsidRPr="00A46ACD">
        <w:rPr>
          <w:rFonts w:ascii="Arial" w:hAnsi="Arial" w:cs="Arial"/>
          <w:color w:val="000000" w:themeColor="text1"/>
          <w:lang w:val="en-US"/>
        </w:rPr>
        <w:t xml:space="preserve"> </w:t>
      </w:r>
      <w:r w:rsidRPr="00A46ACD">
        <w:rPr>
          <w:rFonts w:ascii="Arial" w:hAnsi="Arial" w:cs="Arial"/>
          <w:color w:val="000000" w:themeColor="text1"/>
        </w:rPr>
        <w:t xml:space="preserve">an Immovable Property Commission (IPC) was set up in the northern part of Cyprus under Law No. 67/2005 on the compensation, exchange or restitution of immovable property. </w:t>
      </w:r>
      <w:r w:rsidRPr="00A46ACD">
        <w:rPr>
          <w:rStyle w:val="sc916d4d3"/>
          <w:rFonts w:ascii="Arial" w:hAnsi="Arial" w:cs="Arial"/>
          <w:color w:val="000000" w:themeColor="text1"/>
        </w:rPr>
        <w:t>In its inadmissibility decision in </w:t>
      </w:r>
      <w:r w:rsidRPr="00A46ACD">
        <w:rPr>
          <w:rStyle w:val="s9e48bbcd"/>
          <w:rFonts w:ascii="Arial" w:hAnsi="Arial" w:cs="Arial"/>
          <w:i/>
          <w:iCs/>
          <w:color w:val="000000" w:themeColor="text1"/>
        </w:rPr>
        <w:t>Demopoulos</w:t>
      </w:r>
      <w:r w:rsidRPr="00A46ACD">
        <w:rPr>
          <w:rStyle w:val="sc916d4d3"/>
          <w:rFonts w:ascii="Arial" w:hAnsi="Arial" w:cs="Arial"/>
          <w:color w:val="000000" w:themeColor="text1"/>
        </w:rPr>
        <w:t> </w:t>
      </w:r>
      <w:r w:rsidRPr="00A46ACD">
        <w:rPr>
          <w:rStyle w:val="s9e48bbcd"/>
          <w:rFonts w:ascii="Arial" w:hAnsi="Arial" w:cs="Arial"/>
          <w:i/>
          <w:iCs/>
          <w:color w:val="000000" w:themeColor="text1"/>
        </w:rPr>
        <w:t>and others v. Turkey,</w:t>
      </w:r>
      <w:r w:rsidRPr="00A46ACD">
        <w:rPr>
          <w:rStyle w:val="sc916d4d3"/>
          <w:rFonts w:ascii="Arial" w:hAnsi="Arial" w:cs="Arial"/>
          <w:color w:val="000000" w:themeColor="text1"/>
        </w:rPr>
        <w:t> the Court found that Law No. 67/2005 “provides an accessible</w:t>
      </w:r>
      <w:r w:rsidRPr="00A46ACD">
        <w:rPr>
          <w:rStyle w:val="sc916d4d3"/>
          <w:rFonts w:ascii="Arial" w:hAnsi="Arial" w:cs="Arial"/>
          <w:color w:val="000000" w:themeColor="text1"/>
          <w:shd w:val="clear" w:color="auto" w:fill="FFFFFF"/>
        </w:rPr>
        <w:t xml:space="preserve"> and effective framework of redress in respect of complaints about interference with the property owned by Greek Cypriots”.</w:t>
      </w:r>
      <w:r w:rsidRPr="00A46ACD">
        <w:rPr>
          <w:rStyle w:val="Appelnotedebasdep"/>
          <w:rFonts w:ascii="Arial" w:hAnsi="Arial" w:cs="Arial"/>
          <w:color w:val="000000" w:themeColor="text1"/>
        </w:rPr>
        <w:t xml:space="preserve"> </w:t>
      </w:r>
      <w:r w:rsidRPr="00A46ACD">
        <w:rPr>
          <w:rStyle w:val="Appelnotedebasdep"/>
          <w:rFonts w:ascii="Arial" w:hAnsi="Arial" w:cs="Arial"/>
          <w:color w:val="000000" w:themeColor="text1"/>
        </w:rPr>
        <w:footnoteReference w:id="257"/>
      </w:r>
      <w:r w:rsidRPr="00A46ACD">
        <w:rPr>
          <w:rFonts w:ascii="Arial" w:hAnsi="Arial" w:cs="Arial"/>
          <w:color w:val="000000" w:themeColor="text1"/>
        </w:rPr>
        <w:t xml:space="preserve"> </w:t>
      </w:r>
      <w:r w:rsidRPr="00A46ACD">
        <w:rPr>
          <w:rFonts w:ascii="Arial" w:hAnsi="Arial" w:cs="Arial"/>
        </w:rPr>
        <w:t xml:space="preserve">In the inter-State case </w:t>
      </w:r>
      <w:r w:rsidRPr="00A46ACD">
        <w:rPr>
          <w:rFonts w:ascii="Arial" w:hAnsi="Arial" w:cs="Arial"/>
          <w:i/>
        </w:rPr>
        <w:t xml:space="preserve">Cyprus v. Turkey </w:t>
      </w:r>
      <w:r w:rsidRPr="00A46ACD">
        <w:rPr>
          <w:rFonts w:ascii="Arial" w:hAnsi="Arial" w:cs="Arial"/>
        </w:rPr>
        <w:t xml:space="preserve">on 12 May 2014, </w:t>
      </w:r>
      <w:r w:rsidRPr="00A46ACD">
        <w:rPr>
          <w:rStyle w:val="sb8d990e2"/>
          <w:rFonts w:ascii="Arial" w:hAnsi="Arial" w:cs="Arial"/>
          <w:color w:val="000000"/>
          <w:shd w:val="clear" w:color="auto" w:fill="FFFFFF"/>
        </w:rPr>
        <w:t>the Court considered that “the decision in the case of </w:t>
      </w:r>
      <w:r w:rsidRPr="00A46ACD">
        <w:rPr>
          <w:rStyle w:val="s6b621b36"/>
          <w:rFonts w:ascii="Arial" w:hAnsi="Arial" w:cs="Arial"/>
          <w:i/>
          <w:iCs/>
          <w:color w:val="000000"/>
          <w:shd w:val="clear" w:color="auto" w:fill="FFFFFF"/>
        </w:rPr>
        <w:t>Demopoulos and Others</w:t>
      </w:r>
      <w:r w:rsidRPr="00A46ACD">
        <w:rPr>
          <w:rStyle w:val="sb8d990e2"/>
          <w:rFonts w:ascii="Arial" w:hAnsi="Arial" w:cs="Arial"/>
          <w:color w:val="000000"/>
          <w:shd w:val="clear" w:color="auto" w:fill="FFFFFF"/>
        </w:rPr>
        <w:t>, cited above, to the effect that cases presented by individuals concerning violation-of-property complaints were to be rejected for non-exhaustion of domestic remedies, cannot be considered, taken on its own, to dispose of the question of Turkey’s compliance with Part III of the operative provisions of the principal judgment in the inter-State case.</w:t>
      </w:r>
      <w:r w:rsidRPr="00A46ACD">
        <w:rPr>
          <w:rStyle w:val="sb8d990e2"/>
          <w:rFonts w:ascii="Arial" w:hAnsi="Arial" w:cs="Arial"/>
        </w:rPr>
        <w:t>”</w:t>
      </w:r>
      <w:r w:rsidRPr="00A46ACD">
        <w:rPr>
          <w:rStyle w:val="Appelnotedebasdep"/>
          <w:rFonts w:ascii="Arial" w:hAnsi="Arial" w:cs="Arial"/>
        </w:rPr>
        <w:footnoteReference w:id="258"/>
      </w:r>
    </w:p>
    <w:p w14:paraId="08931CE3" w14:textId="77777777" w:rsidR="002218C4" w:rsidRDefault="002218C4" w:rsidP="002218C4">
      <w:pPr>
        <w:pStyle w:val="ECHRParaSpaced"/>
        <w:ind w:firstLine="340"/>
        <w:rPr>
          <w:rFonts w:ascii="Arial" w:hAnsi="Arial" w:cs="Arial"/>
          <w:i/>
        </w:rPr>
      </w:pPr>
      <w:r w:rsidRPr="00A46ACD">
        <w:rPr>
          <w:rFonts w:ascii="Arial" w:hAnsi="Arial" w:cs="Arial"/>
        </w:rPr>
        <w:t>13</w:t>
      </w:r>
      <w:r>
        <w:rPr>
          <w:rFonts w:ascii="Arial" w:hAnsi="Arial" w:cs="Arial"/>
        </w:rPr>
        <w:t>1</w:t>
      </w:r>
      <w:r w:rsidRPr="00A46ACD">
        <w:rPr>
          <w:rFonts w:ascii="Arial" w:hAnsi="Arial" w:cs="Arial"/>
        </w:rPr>
        <w:t xml:space="preserve">. </w:t>
      </w:r>
      <w:bookmarkStart w:id="103" w:name="_Hlk71294886"/>
      <w:r w:rsidRPr="00A46ACD">
        <w:rPr>
          <w:rFonts w:ascii="Arial" w:hAnsi="Arial" w:cs="Arial"/>
        </w:rPr>
        <w:t xml:space="preserve">The potential of the pilot judgment procedure in cases relating to inter-State disputes as a means of facilitating their friendly settlement </w:t>
      </w:r>
      <w:bookmarkEnd w:id="103"/>
      <w:r w:rsidRPr="00A46ACD">
        <w:rPr>
          <w:rFonts w:ascii="Arial" w:hAnsi="Arial" w:cs="Arial"/>
        </w:rPr>
        <w:t>is an area of inquiry worth exploring further. The pilot judgment procedure was developed and is employed by the Court where the facts of an application reveal the existence of a structural or systemic problem or other similar dysfunction in the State concerned which has given rise or may give rise to similar applications.</w:t>
      </w:r>
      <w:r w:rsidRPr="00A46ACD">
        <w:rPr>
          <w:rStyle w:val="Appelnotedebasdep"/>
          <w:rFonts w:ascii="Arial" w:hAnsi="Arial" w:cs="Arial"/>
        </w:rPr>
        <w:footnoteReference w:id="259"/>
      </w:r>
      <w:r w:rsidRPr="00A46ACD">
        <w:rPr>
          <w:rFonts w:ascii="Arial" w:hAnsi="Arial" w:cs="Arial"/>
        </w:rPr>
        <w:t xml:space="preserve"> </w:t>
      </w:r>
    </w:p>
    <w:p w14:paraId="0EC7D6E8" w14:textId="77777777" w:rsidR="002218C4" w:rsidRPr="00A46ACD" w:rsidRDefault="002218C4" w:rsidP="002218C4">
      <w:pPr>
        <w:pStyle w:val="ECHRParaSpaced"/>
        <w:ind w:firstLine="340"/>
        <w:rPr>
          <w:rFonts w:ascii="Arial" w:hAnsi="Arial" w:cs="Arial"/>
          <w:i/>
        </w:rPr>
      </w:pPr>
      <w:r w:rsidRPr="00A46ACD">
        <w:rPr>
          <w:rFonts w:ascii="Arial" w:hAnsi="Arial" w:cs="Arial"/>
          <w:lang w:val="en-US"/>
        </w:rPr>
        <w:t>13</w:t>
      </w:r>
      <w:r>
        <w:rPr>
          <w:rFonts w:ascii="Arial" w:hAnsi="Arial" w:cs="Arial"/>
          <w:lang w:val="en-US"/>
        </w:rPr>
        <w:t>2</w:t>
      </w:r>
      <w:r w:rsidRPr="00A46ACD">
        <w:rPr>
          <w:rFonts w:ascii="Arial" w:hAnsi="Arial" w:cs="Arial"/>
          <w:lang w:val="en-US"/>
        </w:rPr>
        <w:t>. Some authors argued that the method of pilot judgment should be used also in the context of inter-State applications, which address systemic human rights violations.</w:t>
      </w:r>
      <w:r w:rsidRPr="00A46ACD">
        <w:rPr>
          <w:rStyle w:val="Appelnotedebasdep"/>
          <w:rFonts w:ascii="Arial" w:hAnsi="Arial" w:cs="Arial"/>
          <w:lang w:val="en-US"/>
        </w:rPr>
        <w:footnoteReference w:id="260"/>
      </w:r>
      <w:r w:rsidRPr="00A46ACD">
        <w:rPr>
          <w:rFonts w:ascii="Arial" w:hAnsi="Arial" w:cs="Arial"/>
          <w:lang w:val="en-US"/>
        </w:rPr>
        <w:t xml:space="preserve"> The pilot judgment approach allows addressing large-scale human rights violations through managerial methods, thus, in a cooperative and sovereignty-preserving manner rather than with sanctions. It is argued that a constructive legal dialogue is a worthwhile option and thus should be open to the Court in inter-State cases. This methodology should not be the only means for the Court to resolve the dispute. So far, no pilot judgment has been adopted in connection with an inter-State case.</w:t>
      </w:r>
    </w:p>
    <w:bookmarkEnd w:id="101"/>
    <w:p w14:paraId="238C3CBA" w14:textId="77777777" w:rsidR="002218C4" w:rsidRPr="00A46ACD" w:rsidRDefault="002218C4" w:rsidP="002218C4">
      <w:pPr>
        <w:pStyle w:val="ECHRParaSpaced"/>
        <w:rPr>
          <w:rFonts w:ascii="Arial" w:hAnsi="Arial" w:cs="Arial"/>
          <w:strike/>
        </w:rPr>
      </w:pPr>
    </w:p>
    <w:p w14:paraId="5602791F" w14:textId="77777777" w:rsidR="002218C4" w:rsidRPr="00080BB7" w:rsidRDefault="002218C4" w:rsidP="002218C4">
      <w:pPr>
        <w:pStyle w:val="Titre1"/>
        <w:rPr>
          <w:rFonts w:ascii="Arial" w:hAnsi="Arial" w:cs="Arial"/>
          <w:b/>
          <w:bCs/>
          <w:sz w:val="24"/>
          <w:szCs w:val="24"/>
          <w:lang w:val="en-GB"/>
        </w:rPr>
      </w:pPr>
      <w:bookmarkStart w:id="105" w:name="_Toc45123292"/>
      <w:bookmarkStart w:id="106" w:name="_Toc83293381"/>
      <w:r w:rsidRPr="00080BB7">
        <w:rPr>
          <w:rFonts w:ascii="Arial" w:hAnsi="Arial" w:cs="Arial"/>
          <w:b/>
          <w:bCs/>
          <w:sz w:val="24"/>
          <w:szCs w:val="24"/>
          <w:lang w:val="en-GB"/>
        </w:rPr>
        <w:t>IX. CONCLUSIONS</w:t>
      </w:r>
      <w:bookmarkEnd w:id="105"/>
      <w:bookmarkEnd w:id="106"/>
      <w:r w:rsidRPr="00080BB7">
        <w:rPr>
          <w:rFonts w:ascii="Arial" w:hAnsi="Arial" w:cs="Arial"/>
          <w:b/>
          <w:bCs/>
          <w:sz w:val="24"/>
          <w:szCs w:val="24"/>
          <w:lang w:val="en-GB"/>
        </w:rPr>
        <w:t xml:space="preserve"> </w:t>
      </w:r>
    </w:p>
    <w:p w14:paraId="37ED7407" w14:textId="77777777" w:rsidR="002218C4" w:rsidRDefault="002218C4" w:rsidP="002218C4">
      <w:pPr>
        <w:pStyle w:val="ECHRParaSpaced"/>
        <w:ind w:firstLine="340"/>
        <w:rPr>
          <w:rFonts w:ascii="Arial" w:hAnsi="Arial" w:cs="Arial"/>
        </w:rPr>
      </w:pPr>
      <w:r w:rsidRPr="00A46ACD">
        <w:rPr>
          <w:rFonts w:ascii="Arial" w:hAnsi="Arial" w:cs="Arial"/>
        </w:rPr>
        <w:t>1</w:t>
      </w:r>
      <w:r>
        <w:rPr>
          <w:rFonts w:ascii="Arial" w:hAnsi="Arial" w:cs="Arial"/>
        </w:rPr>
        <w:t>33</w:t>
      </w:r>
      <w:r w:rsidRPr="00A46ACD">
        <w:rPr>
          <w:rFonts w:ascii="Arial" w:hAnsi="Arial" w:cs="Arial"/>
        </w:rPr>
        <w:t xml:space="preserve">. Processing inter-State cases and the high number of individual applications when they concern inter-State </w:t>
      </w:r>
      <w:r w:rsidRPr="009E0AFB">
        <w:rPr>
          <w:rFonts w:ascii="Arial" w:hAnsi="Arial" w:cs="Arial"/>
        </w:rPr>
        <w:t xml:space="preserve">cases or </w:t>
      </w:r>
      <w:r w:rsidRPr="00A46ACD">
        <w:rPr>
          <w:rFonts w:ascii="Arial" w:hAnsi="Arial" w:cs="Arial"/>
        </w:rPr>
        <w:t xml:space="preserve">conflicts raises exceptional challenges for the Court </w:t>
      </w:r>
      <w:r w:rsidRPr="00A46ACD">
        <w:rPr>
          <w:rFonts w:ascii="Arial" w:hAnsi="Arial" w:cs="Arial"/>
          <w:bCs/>
          <w:lang w:val="en-US"/>
        </w:rPr>
        <w:t>and States-Parties to the dispute</w:t>
      </w:r>
      <w:r w:rsidRPr="00A46ACD">
        <w:rPr>
          <w:rFonts w:ascii="Arial" w:hAnsi="Arial" w:cs="Arial"/>
        </w:rPr>
        <w:t xml:space="preserve"> as these cases are particularly time-consuming and complex as a result of their nature and dimension. While the Convention does not </w:t>
      </w:r>
      <w:r>
        <w:rPr>
          <w:rFonts w:ascii="Arial" w:hAnsi="Arial" w:cs="Arial"/>
        </w:rPr>
        <w:t xml:space="preserve">specifically </w:t>
      </w:r>
      <w:r w:rsidRPr="00A46ACD">
        <w:rPr>
          <w:rFonts w:ascii="Arial" w:hAnsi="Arial" w:cs="Arial"/>
        </w:rPr>
        <w:t>address the relationship between inter-State cases and related individual applications</w:t>
      </w:r>
      <w:r>
        <w:rPr>
          <w:rFonts w:ascii="Arial" w:hAnsi="Arial" w:cs="Arial"/>
        </w:rPr>
        <w:t>,</w:t>
      </w:r>
      <w:r w:rsidRPr="00A46ACD">
        <w:rPr>
          <w:rFonts w:ascii="Arial" w:hAnsi="Arial" w:cs="Arial"/>
        </w:rPr>
        <w:t xml:space="preserve"> the Court’s practices seek to ensure efficiency </w:t>
      </w:r>
      <w:r>
        <w:rPr>
          <w:rFonts w:ascii="Arial" w:hAnsi="Arial" w:cs="Arial"/>
        </w:rPr>
        <w:t xml:space="preserve">in </w:t>
      </w:r>
      <w:r w:rsidRPr="00A46ACD">
        <w:rPr>
          <w:rFonts w:ascii="Arial" w:hAnsi="Arial" w:cs="Arial"/>
        </w:rPr>
        <w:t>the processing of these applications</w:t>
      </w:r>
      <w:r>
        <w:rPr>
          <w:rFonts w:ascii="Arial" w:hAnsi="Arial" w:cs="Arial"/>
        </w:rPr>
        <w:t xml:space="preserve">. For example, </w:t>
      </w:r>
      <w:r w:rsidRPr="00F8452C">
        <w:rPr>
          <w:rFonts w:ascii="Arial" w:hAnsi="Arial" w:cs="Arial"/>
        </w:rPr>
        <w:t>where an inter-State case is pending, individual applications raising the same issues or deriving from the same underlying circumstances are, in principle and in so far as practicable, not decided before the overarching issues stemming from the inter-State proceedings have been determined in the inter-State case. The Court also</w:t>
      </w:r>
      <w:r>
        <w:rPr>
          <w:rFonts w:ascii="Arial" w:hAnsi="Arial" w:cs="Arial"/>
        </w:rPr>
        <w:t xml:space="preserve"> adjusts the processing of inter-State cases </w:t>
      </w:r>
      <w:r w:rsidRPr="003D7BC6">
        <w:rPr>
          <w:rFonts w:ascii="Arial" w:hAnsi="Arial" w:cs="Arial"/>
        </w:rPr>
        <w:t>according to geographical or time criteria or the legal questions raised</w:t>
      </w:r>
      <w:r w:rsidRPr="00A46ACD">
        <w:rPr>
          <w:rFonts w:ascii="Arial" w:hAnsi="Arial" w:cs="Arial"/>
        </w:rPr>
        <w:t xml:space="preserve">. The DH-SYSC-IV will continue to examine the desirability and feasibility of </w:t>
      </w:r>
      <w:r>
        <w:rPr>
          <w:rFonts w:ascii="Arial" w:hAnsi="Arial" w:cs="Arial"/>
        </w:rPr>
        <w:t>supporting</w:t>
      </w:r>
      <w:r w:rsidRPr="00A46ACD">
        <w:rPr>
          <w:rFonts w:ascii="Arial" w:hAnsi="Arial" w:cs="Arial"/>
        </w:rPr>
        <w:t xml:space="preserve"> the formalisation of such practices and will engage with the question</w:t>
      </w:r>
      <w:r>
        <w:rPr>
          <w:rFonts w:ascii="Arial" w:hAnsi="Arial" w:cs="Arial"/>
        </w:rPr>
        <w:t>s raised, in particular the</w:t>
      </w:r>
      <w:r w:rsidRPr="00A46ACD">
        <w:rPr>
          <w:rFonts w:ascii="Arial" w:hAnsi="Arial" w:cs="Arial"/>
        </w:rPr>
        <w:t xml:space="preserve"> exchange of stances in respect of individual applications </w:t>
      </w:r>
      <w:r>
        <w:rPr>
          <w:rFonts w:ascii="Arial" w:hAnsi="Arial" w:cs="Arial"/>
        </w:rPr>
        <w:t>before</w:t>
      </w:r>
      <w:r w:rsidRPr="00A46ACD">
        <w:rPr>
          <w:rFonts w:ascii="Arial" w:hAnsi="Arial" w:cs="Arial"/>
        </w:rPr>
        <w:t xml:space="preserve"> a decision on admissibility or a judgment on the merits of the related inter-State case is delivered.</w:t>
      </w:r>
    </w:p>
    <w:p w14:paraId="2B88FB40" w14:textId="77777777" w:rsidR="002218C4" w:rsidRDefault="002218C4" w:rsidP="002218C4">
      <w:pPr>
        <w:pStyle w:val="ECHRParaSpaced"/>
        <w:ind w:firstLine="340"/>
        <w:rPr>
          <w:rFonts w:ascii="Arial" w:hAnsi="Arial" w:cs="Arial"/>
          <w:color w:val="FF0000"/>
          <w:lang w:bidi="en-US"/>
        </w:rPr>
      </w:pPr>
      <w:r w:rsidRPr="00A46ACD">
        <w:rPr>
          <w:rFonts w:ascii="Arial" w:hAnsi="Arial" w:cs="Arial"/>
        </w:rPr>
        <w:t>1</w:t>
      </w:r>
      <w:r>
        <w:rPr>
          <w:rFonts w:ascii="Arial" w:hAnsi="Arial" w:cs="Arial"/>
        </w:rPr>
        <w:t>34</w:t>
      </w:r>
      <w:r w:rsidRPr="00A46ACD">
        <w:rPr>
          <w:rFonts w:ascii="Arial" w:hAnsi="Arial" w:cs="Arial"/>
        </w:rPr>
        <w:t>. The DH-SYSC-IV notes that, on one view, it is suggested that a new admissibility criterion for inter-State applications be introduced according to which an inter-State application may be lodged only under the condition that the applicant State has reasonabl</w:t>
      </w:r>
      <w:r>
        <w:rPr>
          <w:rFonts w:ascii="Arial" w:hAnsi="Arial" w:cs="Arial"/>
        </w:rPr>
        <w:t>y</w:t>
      </w:r>
      <w:r w:rsidRPr="00A46ACD">
        <w:rPr>
          <w:rFonts w:ascii="Arial" w:hAnsi="Arial" w:cs="Arial"/>
        </w:rPr>
        <w:t xml:space="preserve"> explained why the affected individuals or legal entities cannot apply to the Court independently. </w:t>
      </w:r>
      <w:r>
        <w:rPr>
          <w:rFonts w:ascii="Arial" w:hAnsi="Arial" w:cs="Arial"/>
        </w:rPr>
        <w:t>On t</w:t>
      </w:r>
      <w:r w:rsidRPr="00A46ACD">
        <w:rPr>
          <w:rFonts w:ascii="Arial" w:hAnsi="Arial" w:cs="Arial"/>
        </w:rPr>
        <w:t>his view</w:t>
      </w:r>
      <w:r>
        <w:rPr>
          <w:rFonts w:ascii="Arial" w:hAnsi="Arial" w:cs="Arial"/>
        </w:rPr>
        <w:t>,</w:t>
      </w:r>
      <w:r w:rsidRPr="00A46ACD">
        <w:rPr>
          <w:rFonts w:ascii="Arial" w:hAnsi="Arial" w:cs="Arial"/>
        </w:rPr>
        <w:t xml:space="preserve"> an inter-State application or part thereof </w:t>
      </w:r>
      <w:r>
        <w:rPr>
          <w:rFonts w:ascii="Arial" w:hAnsi="Arial" w:cs="Arial"/>
        </w:rPr>
        <w:t>would have to be</w:t>
      </w:r>
      <w:r w:rsidRPr="00A46ACD">
        <w:rPr>
          <w:rFonts w:ascii="Arial" w:hAnsi="Arial" w:cs="Arial"/>
        </w:rPr>
        <w:t xml:space="preserve"> declared inadmissible if at least one similar application from a concrete person is pending before the Court. </w:t>
      </w:r>
      <w:r>
        <w:rPr>
          <w:rFonts w:ascii="Arial" w:hAnsi="Arial" w:cs="Arial"/>
        </w:rPr>
        <w:t>Noting</w:t>
      </w:r>
      <w:r w:rsidRPr="00A46ACD">
        <w:rPr>
          <w:rFonts w:ascii="Arial" w:hAnsi="Arial" w:cs="Arial"/>
        </w:rPr>
        <w:t xml:space="preserve"> that this </w:t>
      </w:r>
      <w:r>
        <w:rPr>
          <w:rFonts w:ascii="Arial" w:hAnsi="Arial" w:cs="Arial"/>
        </w:rPr>
        <w:t>point of view</w:t>
      </w:r>
      <w:r w:rsidRPr="00A46ACD">
        <w:rPr>
          <w:rFonts w:ascii="Arial" w:hAnsi="Arial" w:cs="Arial"/>
        </w:rPr>
        <w:t xml:space="preserve"> </w:t>
      </w:r>
      <w:r w:rsidRPr="009E0AFB">
        <w:rPr>
          <w:rFonts w:ascii="Arial" w:hAnsi="Arial" w:cs="Arial"/>
        </w:rPr>
        <w:t xml:space="preserve">would </w:t>
      </w:r>
      <w:r w:rsidRPr="00A46ACD">
        <w:rPr>
          <w:rFonts w:ascii="Arial" w:hAnsi="Arial" w:cs="Arial"/>
        </w:rPr>
        <w:t>impl</w:t>
      </w:r>
      <w:r w:rsidRPr="009E0AFB">
        <w:rPr>
          <w:rFonts w:ascii="Arial" w:hAnsi="Arial" w:cs="Arial"/>
        </w:rPr>
        <w:t>y</w:t>
      </w:r>
      <w:r>
        <w:rPr>
          <w:rFonts w:ascii="Arial" w:hAnsi="Arial" w:cs="Arial"/>
        </w:rPr>
        <w:t xml:space="preserve"> </w:t>
      </w:r>
      <w:r w:rsidRPr="00A46ACD">
        <w:rPr>
          <w:rFonts w:ascii="Arial" w:hAnsi="Arial" w:cs="Arial"/>
        </w:rPr>
        <w:t>amendments to the Convention</w:t>
      </w:r>
      <w:r>
        <w:rPr>
          <w:rFonts w:ascii="Arial" w:hAnsi="Arial" w:cs="Arial"/>
        </w:rPr>
        <w:t>,</w:t>
      </w:r>
      <w:r w:rsidRPr="00A46ACD">
        <w:rPr>
          <w:rFonts w:ascii="Arial" w:hAnsi="Arial" w:cs="Arial"/>
        </w:rPr>
        <w:t xml:space="preserve"> the DH-SYSC-IV will continue to examine whether a new admissibility criterion is necessary.</w:t>
      </w:r>
    </w:p>
    <w:p w14:paraId="411B7D66" w14:textId="77777777" w:rsidR="002218C4" w:rsidRDefault="002218C4" w:rsidP="002218C4">
      <w:pPr>
        <w:pStyle w:val="ECHRParaSpaced"/>
        <w:ind w:firstLine="340"/>
        <w:rPr>
          <w:rFonts w:ascii="Arial" w:hAnsi="Arial" w:cs="Arial"/>
          <w:color w:val="FF0000"/>
          <w:lang w:bidi="en-US"/>
        </w:rPr>
      </w:pPr>
      <w:r w:rsidRPr="00A46ACD">
        <w:rPr>
          <w:rFonts w:ascii="Arial" w:hAnsi="Arial" w:cs="Arial"/>
        </w:rPr>
        <w:t>1</w:t>
      </w:r>
      <w:r>
        <w:rPr>
          <w:rFonts w:ascii="Arial" w:hAnsi="Arial" w:cs="Arial"/>
        </w:rPr>
        <w:t>35</w:t>
      </w:r>
      <w:r w:rsidRPr="00A46ACD">
        <w:rPr>
          <w:rFonts w:ascii="Arial" w:hAnsi="Arial" w:cs="Arial"/>
        </w:rPr>
        <w:t>. In practice few inter-State cases relating to the same events or</w:t>
      </w:r>
      <w:r>
        <w:rPr>
          <w:rFonts w:ascii="Arial" w:hAnsi="Arial" w:cs="Arial"/>
        </w:rPr>
        <w:t xml:space="preserve"> the same</w:t>
      </w:r>
      <w:r w:rsidRPr="00A46ACD">
        <w:rPr>
          <w:rFonts w:ascii="Arial" w:hAnsi="Arial" w:cs="Arial"/>
        </w:rPr>
        <w:t xml:space="preserve"> subject-matter have been brought in parallel before the Court and other international bodies or have raised questions regarding the possibility of diverging or conflicting decisions. </w:t>
      </w:r>
      <w:r w:rsidRPr="00A46ACD">
        <w:rPr>
          <w:rFonts w:ascii="Arial" w:hAnsi="Arial" w:cs="Arial"/>
          <w:bCs/>
        </w:rPr>
        <w:t>However, such risks should not be excluded in the future and when they arise, they should be mitigated.</w:t>
      </w:r>
      <w:r w:rsidRPr="00A46ACD">
        <w:rPr>
          <w:rFonts w:ascii="Arial" w:hAnsi="Arial" w:cs="Arial"/>
          <w:color w:val="FF0000"/>
          <w:lang w:val="en-US"/>
        </w:rPr>
        <w:t xml:space="preserve"> </w:t>
      </w:r>
      <w:r w:rsidRPr="00EF0DFF">
        <w:rPr>
          <w:rFonts w:ascii="Arial" w:hAnsi="Arial" w:cs="Arial"/>
        </w:rPr>
        <w:t>Situations of diverging or conflicting jurisprudence between the Court and other international bodies</w:t>
      </w:r>
      <w:r>
        <w:rPr>
          <w:rFonts w:ascii="Arial" w:hAnsi="Arial" w:cs="Arial"/>
        </w:rPr>
        <w:t>, notably the HRC,</w:t>
      </w:r>
      <w:r w:rsidRPr="00EF0DFF">
        <w:rPr>
          <w:rFonts w:ascii="Arial" w:hAnsi="Arial" w:cs="Arial"/>
        </w:rPr>
        <w:t xml:space="preserve"> in cases involving the same facts, parties and </w:t>
      </w:r>
      <w:proofErr w:type="gramStart"/>
      <w:r w:rsidRPr="00EF0DFF">
        <w:rPr>
          <w:rFonts w:ascii="Arial" w:hAnsi="Arial" w:cs="Arial"/>
        </w:rPr>
        <w:t>subject-matter</w:t>
      </w:r>
      <w:proofErr w:type="gramEnd"/>
      <w:r w:rsidRPr="00EF0DFF">
        <w:rPr>
          <w:rFonts w:ascii="Arial" w:hAnsi="Arial" w:cs="Arial"/>
        </w:rPr>
        <w:t xml:space="preserve"> have occurred in practice with respect to individual applications</w:t>
      </w:r>
      <w:r w:rsidRPr="009E0AFB">
        <w:rPr>
          <w:rFonts w:ascii="Arial" w:hAnsi="Arial" w:cs="Arial"/>
        </w:rPr>
        <w:t xml:space="preserve">. This has </w:t>
      </w:r>
      <w:r w:rsidRPr="00EF0DFF">
        <w:rPr>
          <w:rFonts w:ascii="Arial" w:hAnsi="Arial" w:cs="Arial"/>
        </w:rPr>
        <w:t>rais</w:t>
      </w:r>
      <w:r w:rsidRPr="009E0AFB">
        <w:rPr>
          <w:rFonts w:ascii="Arial" w:hAnsi="Arial" w:cs="Arial"/>
        </w:rPr>
        <w:t xml:space="preserve">ed </w:t>
      </w:r>
      <w:r w:rsidRPr="00EF0DFF">
        <w:rPr>
          <w:rFonts w:ascii="Arial" w:hAnsi="Arial" w:cs="Arial"/>
        </w:rPr>
        <w:t xml:space="preserve">concerns about legal certainty for States Parties on how to </w:t>
      </w:r>
      <w:r w:rsidRPr="009E0AFB">
        <w:rPr>
          <w:rFonts w:ascii="Arial" w:hAnsi="Arial" w:cs="Arial"/>
        </w:rPr>
        <w:t xml:space="preserve">respect </w:t>
      </w:r>
      <w:r w:rsidRPr="00EF0DFF">
        <w:rPr>
          <w:rFonts w:ascii="Arial" w:hAnsi="Arial" w:cs="Arial"/>
        </w:rPr>
        <w:t>their</w:t>
      </w:r>
      <w:r>
        <w:rPr>
          <w:rFonts w:ascii="Arial" w:hAnsi="Arial" w:cs="Arial"/>
        </w:rPr>
        <w:t xml:space="preserve"> </w:t>
      </w:r>
      <w:r w:rsidRPr="009E0AFB">
        <w:rPr>
          <w:rFonts w:ascii="Arial" w:hAnsi="Arial" w:cs="Arial"/>
        </w:rPr>
        <w:t>human right</w:t>
      </w:r>
      <w:r>
        <w:rPr>
          <w:rFonts w:ascii="Arial" w:hAnsi="Arial" w:cs="Arial"/>
        </w:rPr>
        <w:t xml:space="preserve"> </w:t>
      </w:r>
      <w:r w:rsidRPr="00EF0DFF">
        <w:rPr>
          <w:rFonts w:ascii="Arial" w:hAnsi="Arial" w:cs="Arial"/>
        </w:rPr>
        <w:t xml:space="preserve">obligations, for individuals as regards the scope of their rights, </w:t>
      </w:r>
      <w:r>
        <w:rPr>
          <w:rFonts w:ascii="Arial" w:hAnsi="Arial" w:cs="Arial"/>
        </w:rPr>
        <w:t>and</w:t>
      </w:r>
      <w:r w:rsidRPr="00EF0DFF">
        <w:rPr>
          <w:rFonts w:ascii="Arial" w:hAnsi="Arial" w:cs="Arial"/>
        </w:rPr>
        <w:t xml:space="preserve"> potentially undermining the coherence of human rights law and/or the credibility of human rights institutions.</w:t>
      </w:r>
      <w:r w:rsidRPr="00A46ACD">
        <w:rPr>
          <w:rFonts w:ascii="Arial" w:hAnsi="Arial" w:cs="Arial"/>
        </w:rPr>
        <w:t xml:space="preserve"> Hence, the Court should continue to ensure, to the extent possible, a harmonious interpretation of substantive rights under the Convention with other international human rights protection regimes and continue its judicial dialogue with other international bodies. </w:t>
      </w:r>
      <w:r w:rsidRPr="00A46ACD">
        <w:rPr>
          <w:rFonts w:ascii="Arial" w:hAnsi="Arial" w:cs="Arial"/>
          <w:bCs/>
        </w:rPr>
        <w:t>The DH-SYSC-IV notes that the CDDH report on the place of the European Convention on Human Rights in the European and international legal order</w:t>
      </w:r>
      <w:r>
        <w:rPr>
          <w:rFonts w:ascii="Arial" w:hAnsi="Arial" w:cs="Arial"/>
          <w:bCs/>
        </w:rPr>
        <w:t xml:space="preserve">, will, in its entirety, </w:t>
      </w:r>
      <w:r w:rsidRPr="00A46ACD">
        <w:rPr>
          <w:rFonts w:ascii="Arial" w:hAnsi="Arial" w:cs="Arial"/>
          <w:bCs/>
        </w:rPr>
        <w:t xml:space="preserve">be the basis for any possible future consideration of questions raised regarding the Court’s interpretation and application of the Convention in manner which is consistent with international law.  </w:t>
      </w:r>
    </w:p>
    <w:p w14:paraId="56A67FE7" w14:textId="77777777" w:rsidR="002218C4" w:rsidRDefault="002218C4" w:rsidP="002218C4">
      <w:pPr>
        <w:pStyle w:val="ECHRParaSpaced"/>
        <w:ind w:firstLine="340"/>
        <w:rPr>
          <w:rFonts w:ascii="Arial" w:hAnsi="Arial" w:cs="Arial"/>
          <w:color w:val="FF0000"/>
          <w:lang w:bidi="en-US"/>
        </w:rPr>
      </w:pPr>
      <w:r w:rsidRPr="00A46ACD">
        <w:rPr>
          <w:rFonts w:ascii="Arial" w:hAnsi="Arial" w:cs="Arial"/>
          <w:lang w:val="en-US"/>
        </w:rPr>
        <w:t>1</w:t>
      </w:r>
      <w:r>
        <w:rPr>
          <w:rFonts w:ascii="Arial" w:hAnsi="Arial" w:cs="Arial"/>
          <w:lang w:val="en-US"/>
        </w:rPr>
        <w:t>36</w:t>
      </w:r>
      <w:r w:rsidRPr="00A46ACD">
        <w:rPr>
          <w:rFonts w:ascii="Arial" w:hAnsi="Arial" w:cs="Arial"/>
          <w:lang w:val="en-US"/>
        </w:rPr>
        <w:t xml:space="preserve">. One of the challenges arising in relation to the establishment of the facts in inter-State cases is that </w:t>
      </w:r>
      <w:proofErr w:type="gramStart"/>
      <w:r w:rsidRPr="00A46ACD">
        <w:rPr>
          <w:rFonts w:ascii="Arial" w:hAnsi="Arial" w:cs="Arial"/>
          <w:lang w:val="en-US"/>
        </w:rPr>
        <w:t>a number of</w:t>
      </w:r>
      <w:proofErr w:type="gramEnd"/>
      <w:r w:rsidRPr="00A46ACD">
        <w:rPr>
          <w:rFonts w:ascii="Arial" w:hAnsi="Arial" w:cs="Arial"/>
          <w:lang w:val="en-US"/>
        </w:rPr>
        <w:t xml:space="preserve"> witnesses summoned fail to attend the hearing. While the Court approaches this issue in terms of assessing whether the respondent State has met its co-operation obligations and drawing, where appropriate, adverse inferences, member States should consider the question of what steps they need to take to ensure the attendance of witnesses at the Court’s hearings pursuant to Article 38 of the Convention. The </w:t>
      </w:r>
      <w:r w:rsidRPr="00A46ACD">
        <w:rPr>
          <w:rFonts w:ascii="Arial" w:hAnsi="Arial" w:cs="Arial"/>
          <w:bCs/>
        </w:rPr>
        <w:t>DH-SYSC-IV will continue to examine this issue from the perspective of the States Parties obligations under Article 38 and will engage closer with the question of t</w:t>
      </w:r>
      <w:r w:rsidRPr="00A46ACD">
        <w:rPr>
          <w:rFonts w:ascii="Arial" w:hAnsi="Arial" w:cs="Arial"/>
        </w:rPr>
        <w:t xml:space="preserve">he desirability and feasibility of organising hearings with witnesses by means of information technology. </w:t>
      </w:r>
    </w:p>
    <w:p w14:paraId="4C85B68E" w14:textId="77777777" w:rsidR="002218C4" w:rsidRDefault="002218C4" w:rsidP="002218C4">
      <w:pPr>
        <w:pStyle w:val="ECHRParaSpaced"/>
        <w:ind w:firstLine="340"/>
        <w:rPr>
          <w:rFonts w:ascii="Arial" w:hAnsi="Arial" w:cs="Arial"/>
          <w:color w:val="FF0000"/>
          <w:lang w:bidi="en-US"/>
        </w:rPr>
      </w:pPr>
      <w:bookmarkStart w:id="107" w:name="_Hlk77688669"/>
      <w:r w:rsidRPr="001E3755">
        <w:rPr>
          <w:rFonts w:ascii="Arial" w:hAnsi="Arial" w:cs="Arial"/>
          <w:lang w:val="en-US"/>
        </w:rPr>
        <w:lastRenderedPageBreak/>
        <w:t>1</w:t>
      </w:r>
      <w:r>
        <w:rPr>
          <w:rFonts w:ascii="Arial" w:hAnsi="Arial" w:cs="Arial"/>
          <w:lang w:val="en-US"/>
        </w:rPr>
        <w:t>37</w:t>
      </w:r>
      <w:r w:rsidRPr="001E3755">
        <w:rPr>
          <w:rFonts w:ascii="Arial" w:hAnsi="Arial" w:cs="Arial"/>
          <w:lang w:val="en-US"/>
        </w:rPr>
        <w:t xml:space="preserve">. The approach of the Court nowadays is not to carry out on-the-spot investigations </w:t>
      </w:r>
      <w:proofErr w:type="gramStart"/>
      <w:r w:rsidRPr="001E3755">
        <w:rPr>
          <w:rFonts w:ascii="Arial" w:hAnsi="Arial" w:cs="Arial"/>
          <w:lang w:val="en-US"/>
        </w:rPr>
        <w:t>due to the fact that</w:t>
      </w:r>
      <w:proofErr w:type="gramEnd"/>
      <w:r w:rsidRPr="001E3755">
        <w:rPr>
          <w:rFonts w:ascii="Arial" w:hAnsi="Arial" w:cs="Arial"/>
          <w:lang w:val="en-US"/>
        </w:rPr>
        <w:t xml:space="preserve"> they are time consuming and expensive. Also, in some cases there are practical difficulties which may ultimately influence the Court’s ability to ensure that its proceedings are fair to all the parties. With </w:t>
      </w:r>
      <w:proofErr w:type="gramStart"/>
      <w:r w:rsidRPr="001E3755">
        <w:rPr>
          <w:rFonts w:ascii="Arial" w:hAnsi="Arial" w:cs="Arial"/>
          <w:lang w:val="en-US"/>
        </w:rPr>
        <w:t>particular regard</w:t>
      </w:r>
      <w:proofErr w:type="gramEnd"/>
      <w:r w:rsidRPr="001E3755">
        <w:rPr>
          <w:rFonts w:ascii="Arial" w:hAnsi="Arial" w:cs="Arial"/>
          <w:lang w:val="en-US"/>
        </w:rPr>
        <w:t xml:space="preserve"> to on-the-spot investigations, challenges arise as a result of the</w:t>
      </w:r>
      <w:r w:rsidRPr="00A4296E">
        <w:rPr>
          <w:rFonts w:ascii="Arial" w:hAnsi="Arial" w:cs="Arial"/>
          <w:lang w:val="en-US"/>
        </w:rPr>
        <w:t xml:space="preserve"> possible</w:t>
      </w:r>
      <w:r w:rsidRPr="001E3755">
        <w:rPr>
          <w:rFonts w:ascii="Arial" w:hAnsi="Arial" w:cs="Arial"/>
          <w:lang w:val="en-US"/>
        </w:rPr>
        <w:t xml:space="preserve"> reluctance of national authorities to support and facilitate the activities of the Court’s delegation. </w:t>
      </w:r>
      <w:r w:rsidRPr="001E3755">
        <w:rPr>
          <w:rFonts w:ascii="Arial" w:hAnsi="Arial" w:cs="Arial"/>
        </w:rPr>
        <w:t>The DH-SYSV-IV will continue to engage with the question whether it is feasible and/or desirable that fact-finding missions are organised by the Court in inter-State cases and the application of States Parties obligations under Article 38 in this context.</w:t>
      </w:r>
      <w:r w:rsidRPr="00A46ACD">
        <w:rPr>
          <w:rFonts w:ascii="Arial" w:hAnsi="Arial" w:cs="Arial"/>
        </w:rPr>
        <w:t xml:space="preserve"> </w:t>
      </w:r>
    </w:p>
    <w:bookmarkEnd w:id="107"/>
    <w:p w14:paraId="40B9462B" w14:textId="77777777" w:rsidR="002218C4" w:rsidRDefault="002218C4" w:rsidP="002218C4">
      <w:pPr>
        <w:pStyle w:val="ECHRParaSpaced"/>
        <w:ind w:firstLine="340"/>
        <w:rPr>
          <w:rFonts w:ascii="Arial" w:hAnsi="Arial" w:cs="Arial"/>
          <w:color w:val="FF0000"/>
          <w:lang w:bidi="en-US"/>
        </w:rPr>
      </w:pPr>
      <w:r w:rsidRPr="00A46ACD">
        <w:rPr>
          <w:rFonts w:ascii="Arial" w:hAnsi="Arial" w:cs="Arial"/>
        </w:rPr>
        <w:t>1</w:t>
      </w:r>
      <w:r>
        <w:rPr>
          <w:rFonts w:ascii="Arial" w:hAnsi="Arial" w:cs="Arial"/>
        </w:rPr>
        <w:t>38</w:t>
      </w:r>
      <w:r w:rsidRPr="00A46ACD">
        <w:rPr>
          <w:rFonts w:ascii="Arial" w:hAnsi="Arial" w:cs="Arial"/>
        </w:rPr>
        <w:t>. When applying Article 41 of the Convention to inter-</w:t>
      </w:r>
      <w:r w:rsidRPr="00901719">
        <w:rPr>
          <w:rFonts w:ascii="Arial" w:hAnsi="Arial" w:cs="Arial"/>
        </w:rPr>
        <w:t>State cases, the Court</w:t>
      </w:r>
      <w:r w:rsidRPr="00A46ACD">
        <w:rPr>
          <w:rFonts w:ascii="Arial" w:hAnsi="Arial" w:cs="Arial"/>
        </w:rPr>
        <w:t xml:space="preserve"> bases itself on a determination of a sufficiently precise and objectively identifiable group of people whose rights were violated for purposes of awarding just satisfaction in respect of the violations found. </w:t>
      </w:r>
      <w:r>
        <w:rPr>
          <w:rFonts w:ascii="Arial" w:hAnsi="Arial" w:cs="Arial"/>
        </w:rPr>
        <w:t>I</w:t>
      </w:r>
      <w:r w:rsidRPr="00A46ACD">
        <w:rPr>
          <w:rFonts w:ascii="Arial" w:hAnsi="Arial" w:cs="Arial"/>
        </w:rPr>
        <w:t>n practice the Court invites the applicant government to submit a list of identifiable individuals who are the victims of violations at the just satisfaction phase of the proceedings</w:t>
      </w:r>
      <w:r>
        <w:rPr>
          <w:rFonts w:ascii="Arial" w:hAnsi="Arial" w:cs="Arial"/>
        </w:rPr>
        <w:t>. T</w:t>
      </w:r>
      <w:r w:rsidRPr="00A46ACD">
        <w:rPr>
          <w:rFonts w:ascii="Arial" w:hAnsi="Arial" w:cs="Arial"/>
        </w:rPr>
        <w:t xml:space="preserve">he DH-SYSC-IV notes that on one view the list should be submitted at the outset of the inter-State procedure. The Drafting Group will discuss this point further in conjunction with its discussion on the desirability and feasibility of a formalisation of the Court’s current practices, notably in the Rules of Court. Particular attention will be given to the discharge of the States Parties obligations under Article 38 as a means of mitigating risks of awarding just satisfaction to individuals who are not eligible for such an award due to various reasons could be decreased. The submission of the observations on just satisfaction by the States Parties concerned within the time-limits fixed by the judgment on the merits for the parties’ exchange of such observations, </w:t>
      </w:r>
      <w:r w:rsidRPr="00A4296E">
        <w:rPr>
          <w:rFonts w:ascii="Arial" w:hAnsi="Arial" w:cs="Arial"/>
        </w:rPr>
        <w:t xml:space="preserve">can </w:t>
      </w:r>
      <w:r w:rsidRPr="00A46ACD">
        <w:rPr>
          <w:rFonts w:ascii="Arial" w:hAnsi="Arial" w:cs="Arial"/>
        </w:rPr>
        <w:t xml:space="preserve">help to handle inter-State cases more efficiently and avoid undue delays between the judgment on the merits and the just satisfaction judgment. </w:t>
      </w:r>
    </w:p>
    <w:p w14:paraId="1EC5BEA2" w14:textId="77777777" w:rsidR="002218C4" w:rsidRPr="00A46ACD" w:rsidRDefault="002218C4" w:rsidP="002218C4">
      <w:pPr>
        <w:pStyle w:val="ECHRParaSpaced"/>
        <w:ind w:firstLine="340"/>
        <w:rPr>
          <w:rFonts w:ascii="Arial" w:hAnsi="Arial" w:cs="Arial"/>
          <w:color w:val="FF0000"/>
          <w:lang w:bidi="en-US"/>
        </w:rPr>
      </w:pPr>
      <w:r w:rsidRPr="00A46ACD">
        <w:rPr>
          <w:rFonts w:ascii="Arial" w:hAnsi="Arial" w:cs="Arial"/>
          <w:lang w:val="en-US"/>
        </w:rPr>
        <w:t>1</w:t>
      </w:r>
      <w:r>
        <w:rPr>
          <w:rFonts w:ascii="Arial" w:hAnsi="Arial" w:cs="Arial"/>
          <w:lang w:val="en-US"/>
        </w:rPr>
        <w:t>39</w:t>
      </w:r>
      <w:r w:rsidRPr="00A46ACD">
        <w:rPr>
          <w:rFonts w:ascii="Arial" w:hAnsi="Arial" w:cs="Arial"/>
          <w:lang w:val="en-US"/>
        </w:rPr>
        <w:t xml:space="preserve">. The analysis of the Court’s practice reveals that the friendly settlement mechanism enshrined in Article 39 of the Convention offers potential for the State </w:t>
      </w:r>
      <w:r>
        <w:rPr>
          <w:rFonts w:ascii="Arial" w:hAnsi="Arial" w:cs="Arial"/>
          <w:lang w:val="en-US"/>
        </w:rPr>
        <w:t>P</w:t>
      </w:r>
      <w:r w:rsidRPr="00A46ACD">
        <w:rPr>
          <w:rFonts w:ascii="Arial" w:hAnsi="Arial" w:cs="Arial"/>
          <w:lang w:val="en-US"/>
        </w:rPr>
        <w:t xml:space="preserve">arties in cases related to inter-State disputes to engage in dialogue and undertake negotiations with a view to reaching a friendly settlement of the matter. Respect for the human rights is guaranteed by the involvement of the Court. The friendly settlement procedure, which is carried out by the consent of both parties and which </w:t>
      </w:r>
      <w:proofErr w:type="gramStart"/>
      <w:r w:rsidRPr="00A46ACD">
        <w:rPr>
          <w:rFonts w:ascii="Arial" w:hAnsi="Arial" w:cs="Arial"/>
          <w:lang w:val="en-US"/>
        </w:rPr>
        <w:t>has to</w:t>
      </w:r>
      <w:proofErr w:type="gramEnd"/>
      <w:r w:rsidRPr="00A46ACD">
        <w:rPr>
          <w:rFonts w:ascii="Arial" w:hAnsi="Arial" w:cs="Arial"/>
          <w:lang w:val="en-US"/>
        </w:rPr>
        <w:t xml:space="preserve"> remain fully confidential, creates opportunities for a variety of measures to be adopted to remedy the alleged violations of the Convention. Also, the application of the pilot judgment procedure in individual applications related to inter-State disputes may hold potential for facilitating their resolution through friendly settlement. In addition to providing redress to the victims, friendly settlements may provide for measures that have a wide impact on society in terms of effecting change by protecting and promoting compliance with the Convention. Therefore, the DH-SYSC-IV will continue its reflections on how to promote recourse to the friendly settlement mechanism of the Convention. </w:t>
      </w:r>
    </w:p>
    <w:p w14:paraId="232F0C9E" w14:textId="77777777" w:rsidR="002218C4" w:rsidRDefault="002218C4" w:rsidP="002218C4">
      <w:pPr>
        <w:rPr>
          <w:lang w:val="en-GB"/>
        </w:rPr>
      </w:pPr>
    </w:p>
    <w:p w14:paraId="5F03D2FA" w14:textId="77777777" w:rsidR="002218C4" w:rsidRDefault="002218C4" w:rsidP="002218C4">
      <w:pPr>
        <w:rPr>
          <w:lang w:val="en-GB"/>
        </w:rPr>
      </w:pPr>
    </w:p>
    <w:p w14:paraId="30C1A8E6" w14:textId="77777777" w:rsidR="002218C4" w:rsidRDefault="002218C4" w:rsidP="002218C4">
      <w:pPr>
        <w:rPr>
          <w:lang w:val="en-GB"/>
        </w:rPr>
      </w:pPr>
    </w:p>
    <w:p w14:paraId="10793E7F" w14:textId="77777777" w:rsidR="002218C4" w:rsidRDefault="002218C4" w:rsidP="002218C4">
      <w:pPr>
        <w:rPr>
          <w:lang w:val="en-GB"/>
        </w:rPr>
      </w:pPr>
    </w:p>
    <w:p w14:paraId="165F57CB" w14:textId="77777777" w:rsidR="002218C4" w:rsidRDefault="002218C4" w:rsidP="002218C4">
      <w:pPr>
        <w:rPr>
          <w:lang w:val="en-GB"/>
        </w:rPr>
      </w:pPr>
    </w:p>
    <w:p w14:paraId="62B7CF6D" w14:textId="77777777" w:rsidR="002218C4" w:rsidRDefault="002218C4" w:rsidP="002218C4">
      <w:pPr>
        <w:rPr>
          <w:lang w:val="en-GB"/>
        </w:rPr>
      </w:pPr>
    </w:p>
    <w:p w14:paraId="409D69C8" w14:textId="77777777" w:rsidR="002218C4" w:rsidRDefault="002218C4" w:rsidP="002218C4">
      <w:pPr>
        <w:rPr>
          <w:lang w:val="en-GB"/>
        </w:rPr>
      </w:pPr>
    </w:p>
    <w:p w14:paraId="71EFE7AF" w14:textId="77777777" w:rsidR="002218C4" w:rsidRDefault="002218C4" w:rsidP="002218C4">
      <w:pPr>
        <w:rPr>
          <w:lang w:val="en-GB"/>
        </w:rPr>
      </w:pPr>
    </w:p>
    <w:p w14:paraId="1B981019" w14:textId="77777777" w:rsidR="002218C4" w:rsidRDefault="002218C4" w:rsidP="002218C4">
      <w:pPr>
        <w:rPr>
          <w:lang w:val="en-GB"/>
        </w:rPr>
      </w:pPr>
    </w:p>
    <w:p w14:paraId="33AE5BBC" w14:textId="77777777" w:rsidR="002218C4" w:rsidRDefault="002218C4" w:rsidP="002218C4">
      <w:pPr>
        <w:rPr>
          <w:lang w:val="en-GB"/>
        </w:rPr>
      </w:pPr>
    </w:p>
    <w:p w14:paraId="43020E2B" w14:textId="77777777" w:rsidR="002218C4" w:rsidRDefault="002218C4" w:rsidP="002218C4">
      <w:pPr>
        <w:spacing w:after="200" w:line="276" w:lineRule="auto"/>
        <w:rPr>
          <w:lang w:val="en-GB"/>
        </w:rPr>
      </w:pPr>
      <w:r>
        <w:rPr>
          <w:lang w:val="en-GB"/>
        </w:rPr>
        <w:br w:type="page"/>
      </w:r>
    </w:p>
    <w:p w14:paraId="40E65D6A" w14:textId="77777777" w:rsidR="002218C4" w:rsidRPr="002B5544" w:rsidRDefault="002218C4" w:rsidP="002218C4">
      <w:pPr>
        <w:pStyle w:val="ECHRTitleCentreTOC1"/>
        <w:rPr>
          <w:rFonts w:ascii="Arial" w:hAnsi="Arial" w:cs="Arial"/>
          <w:color w:val="auto"/>
          <w:sz w:val="22"/>
        </w:rPr>
      </w:pPr>
      <w:bookmarkStart w:id="108" w:name="_Toc83293382"/>
      <w:r w:rsidRPr="002B5544">
        <w:rPr>
          <w:rFonts w:ascii="Arial" w:hAnsi="Arial" w:cs="Arial"/>
          <w:color w:val="auto"/>
          <w:sz w:val="24"/>
          <w:szCs w:val="24"/>
        </w:rPr>
        <w:lastRenderedPageBreak/>
        <w:t>Appendix</w:t>
      </w:r>
      <w:r>
        <w:rPr>
          <w:rFonts w:ascii="Arial" w:hAnsi="Arial" w:cs="Arial"/>
          <w:color w:val="auto"/>
          <w:sz w:val="24"/>
          <w:szCs w:val="24"/>
        </w:rPr>
        <w:t xml:space="preserve">: </w:t>
      </w:r>
      <w:r w:rsidRPr="002B5544">
        <w:rPr>
          <w:rFonts w:ascii="Arial" w:hAnsi="Arial" w:cs="Arial"/>
          <w:color w:val="auto"/>
          <w:sz w:val="22"/>
        </w:rPr>
        <w:t>Statistical report</w:t>
      </w:r>
      <w:r w:rsidRPr="002B5544">
        <w:rPr>
          <w:rFonts w:ascii="Arial" w:hAnsi="Arial" w:cs="Arial"/>
          <w:color w:val="auto"/>
          <w:sz w:val="22"/>
          <w:lang w:val="en-US"/>
        </w:rPr>
        <w:t xml:space="preserve"> </w:t>
      </w:r>
      <w:r w:rsidRPr="002B5544">
        <w:rPr>
          <w:rFonts w:ascii="Arial" w:hAnsi="Arial" w:cs="Arial"/>
          <w:color w:val="auto"/>
          <w:sz w:val="22"/>
        </w:rPr>
        <w:t>on applications linked to inter-State disputes as of 1 January 2021</w:t>
      </w:r>
      <w:bookmarkEnd w:id="108"/>
    </w:p>
    <w:p w14:paraId="609A8485" w14:textId="77777777" w:rsidR="002218C4" w:rsidRPr="002B5544" w:rsidRDefault="002218C4" w:rsidP="002218C4">
      <w:pPr>
        <w:pStyle w:val="ECHRParaSpaced"/>
        <w:rPr>
          <w:i/>
          <w:iCs/>
        </w:rPr>
      </w:pPr>
      <w:bookmarkStart w:id="109" w:name="_Hlk69834270"/>
      <w:r w:rsidRPr="002B5544">
        <w:rPr>
          <w:rFonts w:ascii="Arial" w:hAnsi="Arial" w:cs="Arial"/>
          <w:i/>
          <w:iCs/>
          <w:shd w:val="clear" w:color="auto" w:fill="FFFFFF"/>
        </w:rPr>
        <w:t xml:space="preserve">This document is provided by the Registry of the Court. It does not engage the responsibility of DH-SYSC-IV </w:t>
      </w:r>
      <w:r w:rsidRPr="002B5544">
        <w:rPr>
          <w:rFonts w:ascii="Arial" w:hAnsi="Arial" w:cs="Arial"/>
          <w:i/>
          <w:iCs/>
          <w:bdr w:val="none" w:sz="0" w:space="0" w:color="auto" w:frame="1"/>
          <w:shd w:val="clear" w:color="auto" w:fill="FFFFFF"/>
        </w:rPr>
        <w:t>and should not be regarded as placing upon the information contained in it any official interpretation by the members of DH-SYSC-IV capable of binding them.</w:t>
      </w:r>
      <w:r w:rsidRPr="002B5544">
        <w:rPr>
          <w:rFonts w:ascii="Arial" w:hAnsi="Arial" w:cs="Arial"/>
          <w:i/>
          <w:iCs/>
          <w:shd w:val="clear" w:color="auto" w:fill="FFFFFF"/>
        </w:rPr>
        <w:t xml:space="preserve"> </w:t>
      </w:r>
    </w:p>
    <w:bookmarkEnd w:id="109"/>
    <w:p w14:paraId="22DADA6E" w14:textId="77777777" w:rsidR="002218C4" w:rsidRPr="001D4A23" w:rsidRDefault="002218C4" w:rsidP="002218C4">
      <w:pPr>
        <w:rPr>
          <w:rFonts w:ascii="Arial" w:hAnsi="Arial" w:cs="Arial"/>
          <w:b/>
          <w:bCs/>
          <w:u w:val="single"/>
          <w:lang w:val="en-GB"/>
        </w:rPr>
      </w:pPr>
      <w:r w:rsidRPr="001D4A23">
        <w:rPr>
          <w:rFonts w:ascii="Arial" w:hAnsi="Arial" w:cs="Arial"/>
          <w:b/>
          <w:bCs/>
          <w:u w:val="single"/>
          <w:lang w:val="en-GB"/>
        </w:rPr>
        <w:t>Explanation of terms for statistical purposes</w:t>
      </w:r>
    </w:p>
    <w:p w14:paraId="40FA67F5" w14:textId="77777777" w:rsidR="002218C4" w:rsidRPr="002B5544" w:rsidRDefault="002218C4" w:rsidP="002218C4">
      <w:pPr>
        <w:pStyle w:val="ECHRParaSpaced"/>
        <w:rPr>
          <w:rFonts w:ascii="Arial" w:hAnsi="Arial" w:cs="Arial"/>
        </w:rPr>
      </w:pPr>
      <w:r w:rsidRPr="002B5544">
        <w:rPr>
          <w:rFonts w:ascii="Arial" w:hAnsi="Arial" w:cs="Arial"/>
        </w:rPr>
        <w:t>An inter-State case is an application brought by one State against another in accordance with Article 33 of the Convention.</w:t>
      </w:r>
    </w:p>
    <w:p w14:paraId="6172EC1B" w14:textId="77777777" w:rsidR="002218C4" w:rsidRPr="002B5544" w:rsidRDefault="002218C4" w:rsidP="002218C4">
      <w:pPr>
        <w:pStyle w:val="ECHRParaSpaced"/>
        <w:rPr>
          <w:rFonts w:ascii="Arial" w:hAnsi="Arial" w:cs="Arial"/>
        </w:rPr>
      </w:pPr>
      <w:r w:rsidRPr="002B5544">
        <w:rPr>
          <w:rFonts w:ascii="Arial" w:hAnsi="Arial" w:cs="Arial"/>
        </w:rPr>
        <w:t>Applications submitted by individuals, physical persons or legal entities, concerning the issue identified in the inter-state case, irrespective of whether they are directed against the applicant State or respondent State or both, are considered to be related to that “conflict” or “dispute”. In particular, they may concern the control of a territory. The degree of the connection required between the inter-state case and the individual applications always depends on particular circumstances surrounding the “conflict” or “dispute” in question and as well as on the relevant general context, and the Court is free in its evaluation of this question. Individual applications that are considered to be linked to the inter-state case can be lodged with the Court both before and after the introduction of the relevant inter-state case.</w:t>
      </w:r>
    </w:p>
    <w:p w14:paraId="10D8BA4D" w14:textId="77777777" w:rsidR="002218C4" w:rsidRPr="002B5544" w:rsidRDefault="002218C4" w:rsidP="002218C4">
      <w:pPr>
        <w:pStyle w:val="ECHRParaSpaced"/>
        <w:rPr>
          <w:rFonts w:ascii="Arial" w:hAnsi="Arial" w:cs="Arial"/>
        </w:rPr>
      </w:pPr>
      <w:r w:rsidRPr="002B5544">
        <w:rPr>
          <w:rFonts w:ascii="Arial" w:hAnsi="Arial" w:cs="Arial"/>
        </w:rPr>
        <w:t>Such “dispute” situations may exist even if there are no inter-State applications as such where two States have been/will be called upon to answer before the Court for a situation concerning their jurisdiction. In such cases leading cases are identified to deal with these situations.</w:t>
      </w:r>
    </w:p>
    <w:p w14:paraId="656FE46D" w14:textId="77777777" w:rsidR="002218C4" w:rsidRPr="004E1BEB" w:rsidRDefault="002218C4" w:rsidP="002218C4">
      <w:pPr>
        <w:pStyle w:val="ECHRParaSpaced"/>
        <w:rPr>
          <w:rFonts w:ascii="Arial" w:hAnsi="Arial" w:cs="Arial"/>
        </w:rPr>
      </w:pPr>
      <w:r w:rsidRPr="004E1BEB">
        <w:rPr>
          <w:rFonts w:ascii="Arial" w:hAnsi="Arial" w:cs="Arial"/>
        </w:rPr>
        <w:t>It is the need to resolve an overarching issue or issues that should determine whether cases are regarded as linked to an inter-State dispute (an analogy can be drawn with pilot-judgment proceedings in this respect).</w:t>
      </w:r>
    </w:p>
    <w:p w14:paraId="109B1C3E" w14:textId="77777777" w:rsidR="002218C4" w:rsidRDefault="002218C4" w:rsidP="002218C4">
      <w:pPr>
        <w:rPr>
          <w:rFonts w:ascii="Arial" w:hAnsi="Arial" w:cs="Arial"/>
          <w:b/>
          <w:bCs/>
          <w:sz w:val="22"/>
          <w:szCs w:val="22"/>
          <w:u w:val="single"/>
          <w:lang w:val="en-GB"/>
        </w:rPr>
      </w:pPr>
    </w:p>
    <w:p w14:paraId="2997268E" w14:textId="77777777" w:rsidR="002218C4" w:rsidRPr="004E1BEB" w:rsidRDefault="002218C4" w:rsidP="002218C4">
      <w:pPr>
        <w:rPr>
          <w:rFonts w:ascii="Arial" w:hAnsi="Arial" w:cs="Arial"/>
          <w:b/>
          <w:bCs/>
          <w:sz w:val="22"/>
          <w:szCs w:val="22"/>
          <w:u w:val="single"/>
          <w:vertAlign w:val="superscript"/>
          <w:lang w:val="en-GB"/>
        </w:rPr>
      </w:pPr>
      <w:r w:rsidRPr="004E1BEB">
        <w:rPr>
          <w:rFonts w:ascii="Arial" w:hAnsi="Arial" w:cs="Arial"/>
          <w:b/>
          <w:bCs/>
          <w:sz w:val="22"/>
          <w:szCs w:val="22"/>
          <w:u w:val="single"/>
          <w:lang w:val="en-GB"/>
        </w:rPr>
        <w:t>I.  Individual applications linked to the hostilities in “South Ossetia” and “Abkhazia”</w:t>
      </w:r>
      <w:r w:rsidRPr="004E1BEB">
        <w:rPr>
          <w:rFonts w:ascii="Arial" w:hAnsi="Arial" w:cs="Arial"/>
          <w:b/>
          <w:bCs/>
          <w:sz w:val="22"/>
          <w:szCs w:val="22"/>
          <w:u w:val="single"/>
          <w:vertAlign w:val="superscript"/>
        </w:rPr>
        <w:footnoteReference w:id="261"/>
      </w:r>
    </w:p>
    <w:p w14:paraId="26AED99F" w14:textId="77777777" w:rsidR="002218C4" w:rsidRPr="004E1BEB" w:rsidRDefault="002218C4" w:rsidP="002218C4">
      <w:pPr>
        <w:rPr>
          <w:rFonts w:ascii="Arial" w:hAnsi="Arial" w:cs="Arial"/>
          <w:b/>
          <w:bCs/>
          <w:sz w:val="22"/>
          <w:szCs w:val="22"/>
          <w:lang w:val="en-GB"/>
        </w:rPr>
      </w:pPr>
      <w:r w:rsidRPr="004E1BEB">
        <w:rPr>
          <w:rFonts w:ascii="Arial" w:hAnsi="Arial" w:cs="Arial"/>
          <w:b/>
          <w:bCs/>
          <w:sz w:val="22"/>
          <w:szCs w:val="22"/>
          <w:lang w:val="en-GB"/>
        </w:rPr>
        <w:t>A.  Pending applications</w:t>
      </w:r>
    </w:p>
    <w:p w14:paraId="1CDF7FE8" w14:textId="77777777" w:rsidR="002218C4" w:rsidRPr="004E1BEB" w:rsidRDefault="002218C4" w:rsidP="002218C4">
      <w:pPr>
        <w:rPr>
          <w:rFonts w:ascii="Arial" w:hAnsi="Arial" w:cs="Arial"/>
          <w:sz w:val="22"/>
          <w:szCs w:val="22"/>
          <w:lang w:val="en-GB"/>
        </w:rPr>
      </w:pPr>
      <w:r w:rsidRPr="004E1BEB">
        <w:rPr>
          <w:rFonts w:ascii="Arial" w:hAnsi="Arial" w:cs="Arial"/>
          <w:sz w:val="22"/>
          <w:szCs w:val="22"/>
          <w:lang w:val="en-GB"/>
        </w:rPr>
        <w:t xml:space="preserve">In total, </w:t>
      </w:r>
      <w:r w:rsidRPr="004E1BEB">
        <w:rPr>
          <w:rFonts w:ascii="Arial" w:hAnsi="Arial" w:cs="Arial"/>
          <w:bCs/>
          <w:sz w:val="22"/>
          <w:szCs w:val="22"/>
          <w:lang w:val="en-GB"/>
        </w:rPr>
        <w:t xml:space="preserve">3,416 </w:t>
      </w:r>
      <w:r w:rsidRPr="004E1BEB">
        <w:rPr>
          <w:rFonts w:ascii="Arial" w:hAnsi="Arial" w:cs="Arial"/>
          <w:sz w:val="22"/>
          <w:szCs w:val="22"/>
          <w:lang w:val="en-GB"/>
        </w:rPr>
        <w:t>applications were lodged before the Court with relation to “South Ossetia” (3,216 against Georgia, 178 against Russia and 22 against both States). 19 applications were lodged with relation to “Abkhazia”.</w:t>
      </w:r>
    </w:p>
    <w:p w14:paraId="453AA446" w14:textId="77777777" w:rsidR="002218C4" w:rsidRPr="004E1BEB" w:rsidRDefault="002218C4" w:rsidP="002218C4">
      <w:pPr>
        <w:pStyle w:val="ECHRParaSpaced"/>
        <w:spacing w:after="0"/>
        <w:rPr>
          <w:rFonts w:ascii="Arial" w:hAnsi="Arial" w:cs="Arial"/>
          <w:bCs/>
        </w:rPr>
      </w:pPr>
      <w:r w:rsidRPr="004E1BEB">
        <w:rPr>
          <w:rFonts w:ascii="Arial" w:hAnsi="Arial" w:cs="Arial"/>
        </w:rPr>
        <w:t>1.  </w:t>
      </w:r>
      <w:r w:rsidRPr="004E1BEB">
        <w:rPr>
          <w:rFonts w:ascii="Arial" w:hAnsi="Arial" w:cs="Arial"/>
          <w:b/>
        </w:rPr>
        <w:t>Concerning the applications related to hostilities between Georgia and Russia in “South Ossetia” at the beginning of August 2008:</w:t>
      </w:r>
      <w:r w:rsidRPr="004E1BEB">
        <w:rPr>
          <w:rFonts w:ascii="Arial" w:hAnsi="Arial" w:cs="Arial"/>
        </w:rPr>
        <w:t xml:space="preserve"> there is currently one pending inter-State case </w:t>
      </w:r>
      <w:r w:rsidRPr="004E1BEB">
        <w:rPr>
          <w:rFonts w:ascii="Arial" w:hAnsi="Arial" w:cs="Arial"/>
          <w:i/>
        </w:rPr>
        <w:t>Georgia v. Russia</w:t>
      </w:r>
      <w:r w:rsidRPr="004E1BEB">
        <w:rPr>
          <w:rFonts w:ascii="Arial" w:hAnsi="Arial" w:cs="Arial"/>
        </w:rPr>
        <w:t xml:space="preserve"> (II) (no. </w:t>
      </w:r>
      <w:hyperlink r:id="rId27" w:history="1">
        <w:r w:rsidRPr="004E1BEB">
          <w:rPr>
            <w:rStyle w:val="Lienhypertexte"/>
            <w:rFonts w:ascii="Arial" w:hAnsi="Arial" w:cs="Arial"/>
            <w:color w:val="auto"/>
          </w:rPr>
          <w:t>38263/08</w:t>
        </w:r>
      </w:hyperlink>
      <w:r w:rsidRPr="004E1BEB">
        <w:rPr>
          <w:rFonts w:ascii="Arial" w:hAnsi="Arial" w:cs="Arial"/>
        </w:rPr>
        <w:t>), in which a judgment on merits was delivered on 21 January 2021 and the question of the application of Article 41 of the Convention has been reserved. Out of 579 pending applications</w:t>
      </w:r>
      <w:r w:rsidRPr="004E1BEB">
        <w:rPr>
          <w:rStyle w:val="Appelnotedebasdep"/>
          <w:rFonts w:ascii="Arial" w:hAnsi="Arial" w:cs="Arial"/>
          <w:bCs/>
        </w:rPr>
        <w:footnoteReference w:id="262"/>
      </w:r>
      <w:r w:rsidRPr="004E1BEB">
        <w:rPr>
          <w:rFonts w:ascii="Arial" w:hAnsi="Arial" w:cs="Arial"/>
        </w:rPr>
        <w:t xml:space="preserve">, </w:t>
      </w:r>
      <w:r w:rsidRPr="004E1BEB">
        <w:rPr>
          <w:rFonts w:ascii="Arial" w:hAnsi="Arial" w:cs="Arial"/>
          <w:bCs/>
        </w:rPr>
        <w:t>383</w:t>
      </w:r>
      <w:r w:rsidRPr="004E1BEB">
        <w:rPr>
          <w:rFonts w:ascii="Arial" w:hAnsi="Arial" w:cs="Arial"/>
          <w:b/>
          <w:bCs/>
        </w:rPr>
        <w:t xml:space="preserve"> </w:t>
      </w:r>
      <w:r w:rsidRPr="004E1BEB">
        <w:rPr>
          <w:rFonts w:ascii="Arial" w:hAnsi="Arial" w:cs="Arial"/>
          <w:bCs/>
        </w:rPr>
        <w:t xml:space="preserve">are pending against Georgia, </w:t>
      </w:r>
      <w:r w:rsidRPr="004E1BEB">
        <w:rPr>
          <w:rFonts w:ascii="Arial" w:hAnsi="Arial" w:cs="Arial"/>
        </w:rPr>
        <w:t>174 are pending against Russia and 22 are pending against both States. Out of these pending applications, 180 were communicated to the respondent Governments.</w:t>
      </w:r>
    </w:p>
    <w:p w14:paraId="75BCE5B9" w14:textId="77777777" w:rsidR="002218C4" w:rsidRPr="004E1BEB" w:rsidRDefault="002218C4" w:rsidP="002218C4">
      <w:pPr>
        <w:rPr>
          <w:rFonts w:ascii="Arial" w:hAnsi="Arial" w:cs="Arial"/>
          <w:sz w:val="22"/>
          <w:szCs w:val="22"/>
          <w:lang w:val="en-GB"/>
        </w:rPr>
      </w:pPr>
      <w:r w:rsidRPr="004E1BEB">
        <w:rPr>
          <w:rFonts w:ascii="Arial" w:hAnsi="Arial" w:cs="Arial"/>
          <w:sz w:val="22"/>
          <w:szCs w:val="22"/>
          <w:lang w:val="en-GB"/>
        </w:rPr>
        <w:t>2.  </w:t>
      </w:r>
      <w:r w:rsidRPr="004E1BEB">
        <w:rPr>
          <w:rFonts w:ascii="Arial" w:hAnsi="Arial" w:cs="Arial"/>
          <w:b/>
          <w:sz w:val="22"/>
          <w:szCs w:val="22"/>
          <w:lang w:val="en-GB"/>
        </w:rPr>
        <w:t>As to the applications lodged concerning various issues in the region of “Abkhazia”</w:t>
      </w:r>
      <w:r w:rsidRPr="004E1BEB">
        <w:rPr>
          <w:rFonts w:ascii="Arial" w:hAnsi="Arial" w:cs="Arial"/>
          <w:sz w:val="22"/>
          <w:szCs w:val="22"/>
          <w:lang w:val="en-GB"/>
        </w:rPr>
        <w:t>, 16 individual applications are pending: 3 against Russia, 1 against Georgia and 12 against both States. 11 of these were communicated to the respondent Governments.</w:t>
      </w:r>
    </w:p>
    <w:p w14:paraId="6AC5D14E" w14:textId="77777777" w:rsidR="002218C4" w:rsidRPr="004E1BEB" w:rsidRDefault="002218C4" w:rsidP="002218C4">
      <w:pPr>
        <w:rPr>
          <w:rFonts w:ascii="Arial" w:hAnsi="Arial" w:cs="Arial"/>
          <w:sz w:val="22"/>
          <w:szCs w:val="22"/>
          <w:lang w:val="en-GB"/>
        </w:rPr>
      </w:pPr>
      <w:r w:rsidRPr="004E1BEB">
        <w:rPr>
          <w:rFonts w:ascii="Arial" w:hAnsi="Arial" w:cs="Arial"/>
          <w:sz w:val="22"/>
          <w:szCs w:val="22"/>
          <w:lang w:val="en-GB"/>
        </w:rPr>
        <w:t xml:space="preserve">In addition to that, one pending inter-State case </w:t>
      </w:r>
      <w:r w:rsidRPr="004E1BEB">
        <w:rPr>
          <w:rFonts w:ascii="Arial" w:hAnsi="Arial" w:cs="Arial"/>
          <w:i/>
          <w:iCs/>
          <w:sz w:val="22"/>
          <w:szCs w:val="22"/>
          <w:lang w:val="en-GB"/>
        </w:rPr>
        <w:t>Georgia v. Russia</w:t>
      </w:r>
      <w:r w:rsidRPr="004E1BEB">
        <w:rPr>
          <w:rFonts w:ascii="Arial" w:hAnsi="Arial" w:cs="Arial"/>
          <w:sz w:val="22"/>
          <w:szCs w:val="22"/>
          <w:lang w:val="en-GB"/>
        </w:rPr>
        <w:t xml:space="preserve"> (IV) (no. 39611/18) relates to the alleged recent deterioration of the human rights situation along the administrative boundary lines between Georgian-controlled territory and “Abkhazia” and “South Ossetia”. The case was communicated to the respondent Government and then adjourned pending the delivery of the judgment in </w:t>
      </w:r>
      <w:r w:rsidRPr="004E1BEB">
        <w:rPr>
          <w:rFonts w:ascii="Arial" w:hAnsi="Arial" w:cs="Arial"/>
          <w:i/>
          <w:iCs/>
          <w:sz w:val="22"/>
          <w:szCs w:val="22"/>
          <w:lang w:val="en-GB"/>
        </w:rPr>
        <w:t>Georgia v. Russia</w:t>
      </w:r>
      <w:r w:rsidRPr="004E1BEB">
        <w:rPr>
          <w:rFonts w:ascii="Arial" w:hAnsi="Arial" w:cs="Arial"/>
          <w:sz w:val="22"/>
          <w:szCs w:val="22"/>
          <w:lang w:val="en-GB"/>
        </w:rPr>
        <w:t xml:space="preserve"> (II).</w:t>
      </w:r>
    </w:p>
    <w:p w14:paraId="41FB9B24" w14:textId="77777777" w:rsidR="002218C4" w:rsidRPr="004E1BEB" w:rsidRDefault="002218C4" w:rsidP="002218C4">
      <w:pPr>
        <w:rPr>
          <w:rFonts w:ascii="Arial" w:hAnsi="Arial" w:cs="Arial"/>
          <w:b/>
          <w:bCs/>
          <w:sz w:val="22"/>
          <w:szCs w:val="22"/>
          <w:lang w:val="en-GB"/>
        </w:rPr>
      </w:pPr>
      <w:r w:rsidRPr="004E1BEB">
        <w:rPr>
          <w:rFonts w:ascii="Arial" w:hAnsi="Arial" w:cs="Arial"/>
          <w:b/>
          <w:bCs/>
          <w:sz w:val="22"/>
          <w:szCs w:val="22"/>
          <w:lang w:val="en-GB"/>
        </w:rPr>
        <w:lastRenderedPageBreak/>
        <w:t>B.  Finished applications</w:t>
      </w:r>
    </w:p>
    <w:p w14:paraId="6C7B8D04" w14:textId="77777777" w:rsidR="002218C4" w:rsidRPr="004E1BEB" w:rsidRDefault="002218C4" w:rsidP="002218C4">
      <w:pPr>
        <w:rPr>
          <w:rFonts w:ascii="Arial" w:hAnsi="Arial" w:cs="Arial"/>
          <w:sz w:val="22"/>
          <w:szCs w:val="22"/>
          <w:lang w:val="en-GB"/>
        </w:rPr>
      </w:pPr>
      <w:r w:rsidRPr="004E1BEB">
        <w:rPr>
          <w:rFonts w:ascii="Arial" w:hAnsi="Arial" w:cs="Arial"/>
          <w:sz w:val="22"/>
          <w:szCs w:val="22"/>
          <w:lang w:val="en-GB"/>
        </w:rPr>
        <w:t>1.  </w:t>
      </w:r>
      <w:r w:rsidRPr="004E1BEB">
        <w:rPr>
          <w:rFonts w:ascii="Arial" w:hAnsi="Arial" w:cs="Arial"/>
          <w:b/>
          <w:sz w:val="22"/>
          <w:szCs w:val="22"/>
          <w:lang w:val="en-GB"/>
        </w:rPr>
        <w:t>Concerning the applications related to hostilities between Georgia and Russia in “South Ossetia” at the beginning of August 2008:</w:t>
      </w:r>
      <w:r w:rsidRPr="004E1BEB">
        <w:rPr>
          <w:rFonts w:ascii="Arial" w:hAnsi="Arial" w:cs="Arial"/>
          <w:sz w:val="22"/>
          <w:szCs w:val="22"/>
          <w:lang w:val="en-GB"/>
        </w:rPr>
        <w:t xml:space="preserve"> 1,554 applications</w:t>
      </w:r>
      <w:r w:rsidRPr="004E1BEB">
        <w:rPr>
          <w:rStyle w:val="Appelnotedebasdep"/>
          <w:rFonts w:ascii="Arial" w:hAnsi="Arial" w:cs="Arial"/>
          <w:sz w:val="22"/>
          <w:szCs w:val="22"/>
        </w:rPr>
        <w:footnoteReference w:id="263"/>
      </w:r>
      <w:r w:rsidRPr="004E1BEB">
        <w:rPr>
          <w:rFonts w:ascii="Arial" w:hAnsi="Arial" w:cs="Arial"/>
          <w:sz w:val="22"/>
          <w:szCs w:val="22"/>
          <w:lang w:val="en-GB"/>
        </w:rPr>
        <w:t xml:space="preserve"> were struck out of the Court’s list in 2010. Furthermore, three leading cases</w:t>
      </w:r>
      <w:r w:rsidRPr="004E1BEB">
        <w:rPr>
          <w:rStyle w:val="Appelnotedebasdep"/>
          <w:rFonts w:ascii="Arial" w:hAnsi="Arial" w:cs="Arial"/>
          <w:sz w:val="22"/>
          <w:szCs w:val="22"/>
        </w:rPr>
        <w:footnoteReference w:id="264"/>
      </w:r>
      <w:r w:rsidRPr="004E1BEB">
        <w:rPr>
          <w:rFonts w:ascii="Arial" w:hAnsi="Arial" w:cs="Arial"/>
          <w:sz w:val="22"/>
          <w:szCs w:val="22"/>
          <w:lang w:val="en-GB"/>
        </w:rPr>
        <w:t xml:space="preserve"> were decided by a Chamber in November 2018, resulting in six applications being declared inadmissible and one application being communicated to the Government. These leading decisions served </w:t>
      </w:r>
      <w:r>
        <w:rPr>
          <w:rFonts w:ascii="Arial" w:hAnsi="Arial" w:cs="Arial"/>
          <w:sz w:val="22"/>
          <w:szCs w:val="22"/>
          <w:lang w:val="en-GB"/>
        </w:rPr>
        <w:t xml:space="preserve">as </w:t>
      </w:r>
      <w:r w:rsidRPr="004E1BEB">
        <w:rPr>
          <w:rFonts w:ascii="Arial" w:hAnsi="Arial" w:cs="Arial"/>
          <w:sz w:val="22"/>
          <w:szCs w:val="22"/>
          <w:lang w:val="en-GB"/>
        </w:rPr>
        <w:t xml:space="preserve">the basis for subsequent inadmissibility decisions. In total, the Court declared inadmissible 1,282 applications and struck out 1,555 applications out of </w:t>
      </w:r>
      <w:r w:rsidRPr="004E1BEB">
        <w:rPr>
          <w:rFonts w:ascii="Arial" w:hAnsi="Arial" w:cs="Arial"/>
          <w:bCs/>
          <w:sz w:val="22"/>
          <w:szCs w:val="22"/>
          <w:lang w:val="en-GB"/>
        </w:rPr>
        <w:t>3,416 applications lodged</w:t>
      </w:r>
      <w:r w:rsidRPr="004E1BEB">
        <w:rPr>
          <w:rFonts w:ascii="Arial" w:hAnsi="Arial" w:cs="Arial"/>
          <w:sz w:val="22"/>
          <w:szCs w:val="22"/>
          <w:lang w:val="en-GB"/>
        </w:rPr>
        <w:t>.</w:t>
      </w:r>
    </w:p>
    <w:p w14:paraId="5ADDC398" w14:textId="77777777" w:rsidR="002218C4" w:rsidRPr="004E1BEB" w:rsidRDefault="002218C4" w:rsidP="002218C4">
      <w:pPr>
        <w:tabs>
          <w:tab w:val="left" w:pos="6237"/>
        </w:tabs>
        <w:rPr>
          <w:rFonts w:ascii="Arial" w:hAnsi="Arial" w:cs="Arial"/>
          <w:sz w:val="22"/>
          <w:szCs w:val="22"/>
          <w:lang w:val="en-GB"/>
        </w:rPr>
      </w:pPr>
      <w:r w:rsidRPr="004E1BEB">
        <w:rPr>
          <w:rFonts w:ascii="Arial" w:hAnsi="Arial" w:cs="Arial"/>
          <w:sz w:val="22"/>
          <w:szCs w:val="22"/>
          <w:lang w:val="en-GB"/>
        </w:rPr>
        <w:t>2.  </w:t>
      </w:r>
      <w:r w:rsidRPr="004E1BEB">
        <w:rPr>
          <w:rFonts w:ascii="Arial" w:hAnsi="Arial" w:cs="Arial"/>
          <w:b/>
          <w:sz w:val="22"/>
          <w:szCs w:val="22"/>
          <w:lang w:val="en-GB"/>
        </w:rPr>
        <w:t>As to the applications lodged concerning various issues in the region of “Abkhazia”</w:t>
      </w:r>
      <w:r w:rsidRPr="004E1BEB">
        <w:rPr>
          <w:rFonts w:ascii="Arial" w:hAnsi="Arial" w:cs="Arial"/>
          <w:sz w:val="22"/>
          <w:szCs w:val="22"/>
          <w:lang w:val="en-GB"/>
        </w:rPr>
        <w:t>, three applications were declared inadmissible.</w:t>
      </w:r>
    </w:p>
    <w:p w14:paraId="08A582DA" w14:textId="77777777" w:rsidR="002218C4" w:rsidRPr="004E1BEB" w:rsidRDefault="002218C4" w:rsidP="002218C4">
      <w:pPr>
        <w:rPr>
          <w:rFonts w:ascii="Arial" w:hAnsi="Arial" w:cs="Arial"/>
          <w:sz w:val="22"/>
          <w:szCs w:val="22"/>
          <w:lang w:val="en-GB"/>
        </w:rPr>
      </w:pPr>
      <w:r w:rsidRPr="004E1BEB">
        <w:rPr>
          <w:rFonts w:ascii="Arial" w:hAnsi="Arial" w:cs="Arial"/>
          <w:sz w:val="22"/>
          <w:szCs w:val="22"/>
          <w:lang w:val="en-GB"/>
        </w:rPr>
        <w:t xml:space="preserve">3.  There were also 10 applications lodged concerning essentially the alleged existence of an administrative practice involving the </w:t>
      </w:r>
      <w:r w:rsidRPr="004E1BEB">
        <w:rPr>
          <w:rFonts w:ascii="Arial" w:hAnsi="Arial" w:cs="Arial"/>
          <w:b/>
          <w:sz w:val="22"/>
          <w:szCs w:val="22"/>
          <w:lang w:val="en-GB"/>
        </w:rPr>
        <w:t>arrest, detention and collective expulsion of Georgian nationals from Russia</w:t>
      </w:r>
      <w:r w:rsidRPr="004E1BEB">
        <w:rPr>
          <w:rFonts w:ascii="Arial" w:hAnsi="Arial" w:cs="Arial"/>
          <w:sz w:val="22"/>
          <w:szCs w:val="22"/>
          <w:lang w:val="en-GB"/>
        </w:rPr>
        <w:t xml:space="preserve"> in autumn 2006. They were all follow-up cases to the leading case </w:t>
      </w:r>
      <w:r w:rsidRPr="004E1BEB">
        <w:rPr>
          <w:rFonts w:ascii="Arial" w:hAnsi="Arial" w:cs="Arial"/>
          <w:i/>
          <w:sz w:val="22"/>
          <w:szCs w:val="22"/>
          <w:lang w:val="en-GB"/>
        </w:rPr>
        <w:t>Georgia v. Russia (I)</w:t>
      </w:r>
      <w:r w:rsidRPr="004E1BEB">
        <w:rPr>
          <w:rFonts w:ascii="Arial" w:hAnsi="Arial" w:cs="Arial"/>
          <w:sz w:val="22"/>
          <w:szCs w:val="22"/>
          <w:lang w:val="en-GB"/>
        </w:rPr>
        <w:t xml:space="preserve"> [GC] (no. </w:t>
      </w:r>
      <w:hyperlink r:id="rId28" w:history="1">
        <w:r w:rsidRPr="004E1BEB">
          <w:rPr>
            <w:rStyle w:val="Lienhypertexte"/>
            <w:rFonts w:ascii="Arial" w:hAnsi="Arial" w:cs="Arial"/>
            <w:color w:val="auto"/>
            <w:sz w:val="22"/>
            <w:szCs w:val="22"/>
            <w:lang w:val="en-GB"/>
          </w:rPr>
          <w:t>13255/07</w:t>
        </w:r>
      </w:hyperlink>
      <w:r w:rsidRPr="004E1BEB">
        <w:rPr>
          <w:rFonts w:ascii="Arial" w:hAnsi="Arial" w:cs="Arial"/>
          <w:sz w:val="22"/>
          <w:szCs w:val="22"/>
          <w:lang w:val="en-GB"/>
        </w:rPr>
        <w:t>)</w:t>
      </w:r>
      <w:r w:rsidRPr="004E1BEB">
        <w:rPr>
          <w:rStyle w:val="Appelnotedebasdep"/>
          <w:rFonts w:ascii="Arial" w:hAnsi="Arial" w:cs="Arial"/>
          <w:sz w:val="22"/>
          <w:szCs w:val="22"/>
        </w:rPr>
        <w:footnoteReference w:id="265"/>
      </w:r>
      <w:r w:rsidRPr="004E1BEB">
        <w:rPr>
          <w:rFonts w:ascii="Arial" w:hAnsi="Arial" w:cs="Arial"/>
          <w:sz w:val="22"/>
          <w:szCs w:val="22"/>
          <w:lang w:val="en-GB"/>
        </w:rPr>
        <w:t>. All 10 applications were decided: 9 resulted in judgments and one was struck out for a friendly settlement.</w:t>
      </w:r>
    </w:p>
    <w:p w14:paraId="5099967F" w14:textId="77777777" w:rsidR="002218C4" w:rsidRPr="004E1BEB" w:rsidRDefault="002218C4" w:rsidP="002218C4">
      <w:pPr>
        <w:rPr>
          <w:rFonts w:ascii="Arial" w:hAnsi="Arial" w:cs="Arial"/>
          <w:b/>
          <w:bCs/>
          <w:sz w:val="22"/>
          <w:szCs w:val="22"/>
          <w:u w:val="single"/>
          <w:lang w:val="en-GB"/>
        </w:rPr>
      </w:pPr>
    </w:p>
    <w:p w14:paraId="2F2F73E8" w14:textId="77777777" w:rsidR="002218C4" w:rsidRPr="004E1BEB" w:rsidRDefault="002218C4" w:rsidP="002218C4">
      <w:pPr>
        <w:rPr>
          <w:rFonts w:ascii="Arial" w:hAnsi="Arial" w:cs="Arial"/>
          <w:b/>
          <w:bCs/>
          <w:sz w:val="22"/>
          <w:szCs w:val="22"/>
          <w:u w:val="single"/>
          <w:lang w:val="en-GB"/>
        </w:rPr>
      </w:pPr>
      <w:r w:rsidRPr="004E1BEB">
        <w:rPr>
          <w:rFonts w:ascii="Arial" w:hAnsi="Arial" w:cs="Arial"/>
          <w:b/>
          <w:bCs/>
          <w:sz w:val="22"/>
          <w:szCs w:val="22"/>
          <w:u w:val="single"/>
          <w:lang w:val="en-GB"/>
        </w:rPr>
        <w:t>II.  Individual applications linked to the conflict in Eastern Ukraine and Crimea</w:t>
      </w:r>
    </w:p>
    <w:p w14:paraId="4A7E6917" w14:textId="77777777" w:rsidR="002218C4" w:rsidRDefault="002218C4" w:rsidP="002218C4">
      <w:pPr>
        <w:rPr>
          <w:rFonts w:ascii="Arial" w:hAnsi="Arial" w:cs="Arial"/>
          <w:b/>
          <w:bCs/>
          <w:sz w:val="22"/>
          <w:szCs w:val="22"/>
          <w:lang w:val="en-GB"/>
        </w:rPr>
      </w:pPr>
    </w:p>
    <w:p w14:paraId="6E928114" w14:textId="77777777" w:rsidR="002218C4" w:rsidRPr="003E6C33" w:rsidRDefault="002218C4" w:rsidP="002218C4">
      <w:pPr>
        <w:rPr>
          <w:rFonts w:ascii="Arial" w:hAnsi="Arial" w:cs="Arial"/>
          <w:b/>
          <w:bCs/>
          <w:sz w:val="22"/>
          <w:szCs w:val="22"/>
          <w:lang w:val="en-GB"/>
        </w:rPr>
      </w:pPr>
      <w:r w:rsidRPr="004E1BEB">
        <w:rPr>
          <w:rFonts w:ascii="Arial" w:hAnsi="Arial" w:cs="Arial"/>
          <w:b/>
          <w:bCs/>
          <w:sz w:val="22"/>
          <w:szCs w:val="22"/>
          <w:lang w:val="en-GB"/>
        </w:rPr>
        <w:t>A.  Pending applications</w:t>
      </w:r>
    </w:p>
    <w:p w14:paraId="056EC16C" w14:textId="77777777" w:rsidR="002218C4" w:rsidRPr="004E1BEB" w:rsidRDefault="002218C4" w:rsidP="002218C4">
      <w:pPr>
        <w:rPr>
          <w:rFonts w:ascii="Arial" w:hAnsi="Arial" w:cs="Arial"/>
          <w:sz w:val="22"/>
          <w:szCs w:val="22"/>
          <w:lang w:val="en-GB"/>
        </w:rPr>
      </w:pPr>
      <w:r w:rsidRPr="004E1BEB">
        <w:rPr>
          <w:rFonts w:ascii="Arial" w:hAnsi="Arial" w:cs="Arial"/>
          <w:sz w:val="22"/>
          <w:szCs w:val="22"/>
          <w:lang w:val="en-GB"/>
        </w:rPr>
        <w:t xml:space="preserve">At present </w:t>
      </w:r>
      <w:r w:rsidRPr="004E1BEB">
        <w:rPr>
          <w:rFonts w:ascii="Arial" w:hAnsi="Arial" w:cs="Arial"/>
          <w:b/>
          <w:sz w:val="22"/>
          <w:szCs w:val="22"/>
          <w:lang w:val="en-GB"/>
        </w:rPr>
        <w:t>10,262 applications were lodged with the Court</w:t>
      </w:r>
      <w:r w:rsidRPr="004E1BEB">
        <w:rPr>
          <w:rFonts w:ascii="Arial" w:hAnsi="Arial" w:cs="Arial"/>
          <w:sz w:val="22"/>
          <w:szCs w:val="22"/>
          <w:lang w:val="en-GB"/>
        </w:rPr>
        <w:t xml:space="preserve"> </w:t>
      </w:r>
      <w:r w:rsidRPr="004E1BEB">
        <w:rPr>
          <w:rFonts w:ascii="Arial" w:hAnsi="Arial" w:cs="Arial"/>
          <w:b/>
          <w:sz w:val="22"/>
          <w:szCs w:val="22"/>
          <w:lang w:val="en-GB"/>
        </w:rPr>
        <w:t>concerning the events in Eastern Ukraine and Crimea</w:t>
      </w:r>
      <w:r w:rsidRPr="004E1BEB">
        <w:rPr>
          <w:rFonts w:ascii="Arial" w:hAnsi="Arial" w:cs="Arial"/>
          <w:sz w:val="22"/>
          <w:szCs w:val="22"/>
          <w:lang w:val="en-GB"/>
        </w:rPr>
        <w:t>,</w:t>
      </w:r>
      <w:r w:rsidRPr="004E1BEB">
        <w:rPr>
          <w:rFonts w:ascii="Arial" w:hAnsi="Arial" w:cs="Arial"/>
          <w:b/>
          <w:sz w:val="22"/>
          <w:szCs w:val="22"/>
          <w:lang w:val="en-GB"/>
        </w:rPr>
        <w:t xml:space="preserve"> </w:t>
      </w:r>
      <w:r w:rsidRPr="004E1BEB">
        <w:rPr>
          <w:rFonts w:ascii="Arial" w:hAnsi="Arial" w:cs="Arial"/>
          <w:sz w:val="22"/>
          <w:szCs w:val="22"/>
          <w:lang w:val="en-GB"/>
        </w:rPr>
        <w:t>out of which 7,898 are still pending.</w:t>
      </w:r>
      <w:r w:rsidRPr="004E1BEB">
        <w:rPr>
          <w:rFonts w:ascii="Arial" w:hAnsi="Arial" w:cs="Arial"/>
          <w:b/>
          <w:sz w:val="22"/>
          <w:szCs w:val="22"/>
          <w:lang w:val="en-GB"/>
        </w:rPr>
        <w:t xml:space="preserve"> </w:t>
      </w:r>
      <w:r w:rsidRPr="004E1BEB">
        <w:rPr>
          <w:rFonts w:ascii="Arial" w:hAnsi="Arial" w:cs="Arial"/>
          <w:sz w:val="22"/>
          <w:szCs w:val="22"/>
          <w:lang w:val="en-GB"/>
        </w:rPr>
        <w:t>216 of pending applications were communicated.</w:t>
      </w:r>
      <w:r w:rsidRPr="004E1BEB">
        <w:rPr>
          <w:rFonts w:ascii="Arial" w:hAnsi="Arial" w:cs="Arial"/>
          <w:b/>
          <w:sz w:val="22"/>
          <w:szCs w:val="22"/>
          <w:lang w:val="en-GB"/>
        </w:rPr>
        <w:t xml:space="preserve"> </w:t>
      </w:r>
      <w:r w:rsidRPr="004E1BEB">
        <w:rPr>
          <w:rFonts w:ascii="Arial" w:hAnsi="Arial" w:cs="Arial"/>
          <w:sz w:val="22"/>
          <w:szCs w:val="22"/>
          <w:lang w:val="en-GB"/>
        </w:rPr>
        <w:t xml:space="preserve">These cases are linked to the pending inter-State cases of </w:t>
      </w:r>
      <w:bookmarkStart w:id="110" w:name="_Hlk62547534"/>
      <w:r w:rsidRPr="004E1BEB">
        <w:rPr>
          <w:rFonts w:ascii="Arial" w:hAnsi="Arial" w:cs="Arial"/>
          <w:i/>
          <w:iCs/>
          <w:sz w:val="22"/>
          <w:szCs w:val="22"/>
          <w:lang w:val="en-GB"/>
        </w:rPr>
        <w:t>Ukraine v. Russia</w:t>
      </w:r>
      <w:r w:rsidRPr="004E1BEB">
        <w:rPr>
          <w:rFonts w:ascii="Arial" w:hAnsi="Arial" w:cs="Arial"/>
          <w:sz w:val="22"/>
          <w:szCs w:val="22"/>
          <w:lang w:val="en-GB"/>
        </w:rPr>
        <w:t xml:space="preserve"> </w:t>
      </w:r>
      <w:r w:rsidRPr="004E1BEB">
        <w:rPr>
          <w:rFonts w:ascii="Arial" w:hAnsi="Arial" w:cs="Arial"/>
          <w:i/>
          <w:iCs/>
          <w:sz w:val="22"/>
          <w:szCs w:val="22"/>
          <w:lang w:val="en-GB"/>
        </w:rPr>
        <w:t>(re Crimea)</w:t>
      </w:r>
      <w:r w:rsidRPr="004E1BEB">
        <w:rPr>
          <w:rFonts w:ascii="Arial" w:hAnsi="Arial" w:cs="Arial"/>
          <w:sz w:val="22"/>
          <w:szCs w:val="22"/>
          <w:lang w:val="en-GB"/>
        </w:rPr>
        <w:t xml:space="preserve"> (nos. </w:t>
      </w:r>
      <w:hyperlink r:id="rId29" w:history="1">
        <w:r w:rsidRPr="004E1BEB">
          <w:rPr>
            <w:rStyle w:val="Lienhypertexte"/>
            <w:rFonts w:ascii="Arial" w:hAnsi="Arial" w:cs="Arial"/>
            <w:color w:val="auto"/>
            <w:sz w:val="22"/>
            <w:szCs w:val="22"/>
            <w:lang w:val="en-GB"/>
          </w:rPr>
          <w:t>20958/14</w:t>
        </w:r>
      </w:hyperlink>
      <w:bookmarkEnd w:id="110"/>
      <w:r w:rsidRPr="004E1BEB">
        <w:rPr>
          <w:rFonts w:ascii="Arial" w:hAnsi="Arial" w:cs="Arial"/>
          <w:sz w:val="22"/>
          <w:szCs w:val="22"/>
          <w:lang w:val="en-GB"/>
        </w:rPr>
        <w:t xml:space="preserve"> and 38334/18</w:t>
      </w:r>
      <w:r w:rsidRPr="004E1BEB">
        <w:rPr>
          <w:rStyle w:val="Appelnotedebasdep"/>
          <w:rFonts w:ascii="Arial" w:hAnsi="Arial" w:cs="Arial"/>
          <w:sz w:val="22"/>
          <w:szCs w:val="22"/>
        </w:rPr>
        <w:footnoteReference w:id="266"/>
      </w:r>
      <w:r w:rsidRPr="004E1BEB">
        <w:rPr>
          <w:rFonts w:ascii="Arial" w:hAnsi="Arial" w:cs="Arial"/>
          <w:sz w:val="22"/>
          <w:szCs w:val="22"/>
          <w:lang w:val="en-GB"/>
        </w:rPr>
        <w:t xml:space="preserve">), and </w:t>
      </w:r>
      <w:r w:rsidRPr="004E1BEB">
        <w:rPr>
          <w:rFonts w:ascii="Arial" w:hAnsi="Arial" w:cs="Arial"/>
          <w:i/>
          <w:iCs/>
          <w:sz w:val="22"/>
          <w:szCs w:val="22"/>
          <w:lang w:val="en-GB"/>
        </w:rPr>
        <w:t>Ukraine and the Netherlands v. Russia</w:t>
      </w:r>
      <w:r w:rsidRPr="004E1BEB">
        <w:rPr>
          <w:rFonts w:ascii="Arial" w:hAnsi="Arial" w:cs="Arial"/>
          <w:sz w:val="22"/>
          <w:szCs w:val="22"/>
          <w:lang w:val="en-GB"/>
        </w:rPr>
        <w:t xml:space="preserve"> (nos. 8019/16, 43800/14 and 28525/20)</w:t>
      </w:r>
      <w:r w:rsidRPr="004E1BEB">
        <w:rPr>
          <w:rStyle w:val="Appelnotedebasdep"/>
          <w:rFonts w:ascii="Arial" w:hAnsi="Arial" w:cs="Arial"/>
          <w:sz w:val="22"/>
          <w:szCs w:val="22"/>
        </w:rPr>
        <w:footnoteReference w:id="267"/>
      </w:r>
      <w:r w:rsidRPr="004E1BEB">
        <w:rPr>
          <w:rFonts w:ascii="Arial" w:hAnsi="Arial" w:cs="Arial"/>
          <w:sz w:val="22"/>
          <w:szCs w:val="22"/>
          <w:lang w:val="en-GB"/>
        </w:rPr>
        <w:t xml:space="preserve">. There is one other inter-State application lodged by Ukraine against Russia pending before the Court – </w:t>
      </w:r>
      <w:r w:rsidRPr="004E1BEB">
        <w:rPr>
          <w:rFonts w:ascii="Arial" w:hAnsi="Arial" w:cs="Arial"/>
          <w:i/>
          <w:sz w:val="22"/>
          <w:szCs w:val="22"/>
          <w:lang w:val="en-GB"/>
        </w:rPr>
        <w:t>Ukraine v. Russia</w:t>
      </w:r>
      <w:r w:rsidRPr="004E1BEB">
        <w:rPr>
          <w:rFonts w:ascii="Arial" w:hAnsi="Arial" w:cs="Arial"/>
          <w:sz w:val="22"/>
          <w:szCs w:val="22"/>
          <w:lang w:val="en-GB"/>
        </w:rPr>
        <w:t xml:space="preserve"> (VIII) (no. 55855/18). For details, please see the ECHR factsheet on </w:t>
      </w:r>
      <w:hyperlink r:id="rId30" w:history="1">
        <w:r w:rsidRPr="004E1BEB">
          <w:rPr>
            <w:rStyle w:val="Lienhypertexte"/>
            <w:rFonts w:ascii="Arial" w:hAnsi="Arial" w:cs="Arial"/>
            <w:color w:val="auto"/>
            <w:sz w:val="22"/>
            <w:szCs w:val="22"/>
            <w:lang w:val="en-GB"/>
          </w:rPr>
          <w:t>Armed conflicts</w:t>
        </w:r>
      </w:hyperlink>
      <w:r w:rsidRPr="004E1BEB">
        <w:rPr>
          <w:rFonts w:ascii="Arial" w:hAnsi="Arial" w:cs="Arial"/>
          <w:sz w:val="22"/>
          <w:szCs w:val="22"/>
          <w:lang w:val="en-GB"/>
        </w:rPr>
        <w:t xml:space="preserve"> (p. 15-18) and the </w:t>
      </w:r>
      <w:hyperlink r:id="rId31" w:history="1">
        <w:r w:rsidRPr="004E1BEB">
          <w:rPr>
            <w:rStyle w:val="Lienhypertexte"/>
            <w:rFonts w:ascii="Arial" w:hAnsi="Arial" w:cs="Arial"/>
            <w:color w:val="auto"/>
            <w:sz w:val="22"/>
            <w:szCs w:val="22"/>
            <w:lang w:val="en-GB"/>
          </w:rPr>
          <w:t>Q &amp; A on Inter-State Cases</w:t>
        </w:r>
      </w:hyperlink>
      <w:r w:rsidRPr="004E1BEB">
        <w:rPr>
          <w:rFonts w:ascii="Arial" w:hAnsi="Arial" w:cs="Arial"/>
          <w:sz w:val="22"/>
          <w:szCs w:val="22"/>
          <w:lang w:val="en-GB"/>
        </w:rPr>
        <w:t>.</w:t>
      </w:r>
    </w:p>
    <w:p w14:paraId="04FF081B" w14:textId="77777777" w:rsidR="002218C4" w:rsidRPr="004E1BEB" w:rsidRDefault="002218C4" w:rsidP="002218C4">
      <w:pPr>
        <w:rPr>
          <w:rFonts w:ascii="Arial" w:hAnsi="Arial" w:cs="Arial"/>
          <w:sz w:val="22"/>
          <w:szCs w:val="22"/>
          <w:lang w:val="en-GB"/>
        </w:rPr>
      </w:pPr>
      <w:r w:rsidRPr="004E1BEB">
        <w:rPr>
          <w:rFonts w:ascii="Arial" w:hAnsi="Arial" w:cs="Arial"/>
          <w:b/>
          <w:sz w:val="22"/>
          <w:szCs w:val="22"/>
          <w:lang w:val="en-GB"/>
        </w:rPr>
        <w:t>6,879 pending applications concern Eastern Ukraine</w:t>
      </w:r>
      <w:r w:rsidRPr="004E1BEB">
        <w:rPr>
          <w:rFonts w:ascii="Arial" w:hAnsi="Arial" w:cs="Arial"/>
          <w:sz w:val="22"/>
          <w:szCs w:val="22"/>
          <w:lang w:val="en-GB"/>
        </w:rPr>
        <w:t>. 6,033 of these were lodged against Ukraine, 48 were lodged against Russia and 791 were lodged against both States and 7 applications were lodged against Russia, Ukraine and the United Kingdom. In this group, eight applications relate to the destruction of Malaysia Airlines commercial flight MH17 over the territory of Eastern Ukraine on 17 July 2014 (6 applications, out of 8 pending, lodged by 384 applicants, were communicated</w:t>
      </w:r>
      <w:r w:rsidRPr="004E1BEB">
        <w:rPr>
          <w:rStyle w:val="Appelnotedebasdep"/>
          <w:rFonts w:ascii="Arial" w:hAnsi="Arial" w:cs="Arial"/>
          <w:sz w:val="22"/>
          <w:szCs w:val="22"/>
        </w:rPr>
        <w:footnoteReference w:id="268"/>
      </w:r>
      <w:r w:rsidRPr="004E1BEB">
        <w:rPr>
          <w:rFonts w:ascii="Arial" w:hAnsi="Arial" w:cs="Arial"/>
          <w:sz w:val="22"/>
          <w:szCs w:val="22"/>
          <w:lang w:val="en-GB"/>
        </w:rPr>
        <w:t>).</w:t>
      </w:r>
    </w:p>
    <w:p w14:paraId="46E6AC4E" w14:textId="77777777" w:rsidR="002218C4" w:rsidRDefault="002218C4" w:rsidP="002218C4">
      <w:pPr>
        <w:rPr>
          <w:rFonts w:ascii="Arial" w:hAnsi="Arial" w:cs="Arial"/>
          <w:sz w:val="22"/>
          <w:szCs w:val="22"/>
          <w:lang w:val="en-GB"/>
        </w:rPr>
      </w:pPr>
      <w:r w:rsidRPr="004E1BEB">
        <w:rPr>
          <w:rFonts w:ascii="Arial" w:hAnsi="Arial" w:cs="Arial"/>
          <w:sz w:val="22"/>
          <w:szCs w:val="22"/>
          <w:lang w:val="en-GB"/>
        </w:rPr>
        <w:t>The remaining</w:t>
      </w:r>
      <w:r w:rsidRPr="004E1BEB">
        <w:rPr>
          <w:rFonts w:ascii="Arial" w:hAnsi="Arial" w:cs="Arial"/>
          <w:b/>
          <w:sz w:val="22"/>
          <w:szCs w:val="22"/>
          <w:lang w:val="en-GB"/>
        </w:rPr>
        <w:t xml:space="preserve"> 1,019 pending applications concern Crimea</w:t>
      </w:r>
      <w:r w:rsidRPr="004E1BEB">
        <w:rPr>
          <w:rFonts w:ascii="Arial" w:hAnsi="Arial" w:cs="Arial"/>
          <w:sz w:val="22"/>
          <w:szCs w:val="22"/>
          <w:lang w:val="en-GB"/>
        </w:rPr>
        <w:t>. 896 of these were lodged against Russia, 10 were lodged against Ukraine and 110 were lodged against both States, one is lodged against Russia and Serbia, one is lodged against Austria and 16 other member States and one is lodged against Ukraine and 31 other member States.</w:t>
      </w:r>
    </w:p>
    <w:p w14:paraId="1A6D0487" w14:textId="77777777" w:rsidR="002218C4" w:rsidRPr="004E1BEB" w:rsidRDefault="002218C4" w:rsidP="002218C4">
      <w:pPr>
        <w:rPr>
          <w:rFonts w:ascii="Arial" w:hAnsi="Arial" w:cs="Arial"/>
          <w:b/>
          <w:bCs/>
          <w:sz w:val="22"/>
          <w:szCs w:val="22"/>
          <w:lang w:val="en-GB"/>
        </w:rPr>
      </w:pPr>
      <w:r w:rsidRPr="004E1BEB">
        <w:rPr>
          <w:rFonts w:ascii="Arial" w:hAnsi="Arial" w:cs="Arial"/>
          <w:b/>
          <w:bCs/>
          <w:sz w:val="22"/>
          <w:szCs w:val="22"/>
          <w:lang w:val="en-GB"/>
        </w:rPr>
        <w:t>B.  Finished applications</w:t>
      </w:r>
    </w:p>
    <w:p w14:paraId="635380DD" w14:textId="77777777" w:rsidR="002218C4" w:rsidRPr="004E1BEB" w:rsidRDefault="002218C4" w:rsidP="002218C4">
      <w:pPr>
        <w:rPr>
          <w:rFonts w:ascii="Arial" w:hAnsi="Arial" w:cs="Arial"/>
          <w:sz w:val="22"/>
          <w:szCs w:val="22"/>
          <w:lang w:val="en-GB"/>
        </w:rPr>
      </w:pPr>
      <w:r w:rsidRPr="004E1BEB">
        <w:rPr>
          <w:rFonts w:ascii="Arial" w:hAnsi="Arial" w:cs="Arial"/>
          <w:sz w:val="22"/>
          <w:szCs w:val="22"/>
          <w:lang w:val="en-GB"/>
        </w:rPr>
        <w:t xml:space="preserve">An inadmissibility decision was adopted in the leading case of </w:t>
      </w:r>
      <w:proofErr w:type="spellStart"/>
      <w:r w:rsidRPr="004E1BEB">
        <w:rPr>
          <w:rFonts w:ascii="Arial" w:hAnsi="Arial" w:cs="Arial"/>
          <w:i/>
          <w:iCs/>
          <w:sz w:val="22"/>
          <w:szCs w:val="22"/>
          <w:lang w:val="en-GB"/>
        </w:rPr>
        <w:t>Lisnyy</w:t>
      </w:r>
      <w:proofErr w:type="spellEnd"/>
      <w:r w:rsidRPr="004E1BEB">
        <w:rPr>
          <w:rFonts w:ascii="Arial" w:hAnsi="Arial" w:cs="Arial"/>
          <w:i/>
          <w:iCs/>
          <w:sz w:val="22"/>
          <w:szCs w:val="22"/>
          <w:lang w:val="en-GB"/>
        </w:rPr>
        <w:t xml:space="preserve"> v. Ukraine and Russia</w:t>
      </w:r>
      <w:r w:rsidRPr="004E1BEB">
        <w:rPr>
          <w:rStyle w:val="Appelnotedebasdep"/>
          <w:rFonts w:ascii="Arial" w:hAnsi="Arial" w:cs="Arial"/>
          <w:i/>
          <w:iCs/>
          <w:sz w:val="22"/>
          <w:szCs w:val="22"/>
        </w:rPr>
        <w:footnoteReference w:id="269"/>
      </w:r>
      <w:r w:rsidRPr="004E1BEB">
        <w:rPr>
          <w:rFonts w:ascii="Arial" w:hAnsi="Arial" w:cs="Arial"/>
          <w:sz w:val="22"/>
          <w:szCs w:val="22"/>
          <w:lang w:val="en-GB"/>
        </w:rPr>
        <w:t xml:space="preserve">, in which the Court declared inadmissible for complete lack of evidence the applicants’ various complaints concerning, </w:t>
      </w:r>
      <w:r w:rsidRPr="004E1BEB">
        <w:rPr>
          <w:rFonts w:ascii="Arial" w:hAnsi="Arial" w:cs="Arial"/>
          <w:i/>
          <w:iCs/>
          <w:sz w:val="22"/>
          <w:szCs w:val="22"/>
          <w:lang w:val="en-GB"/>
        </w:rPr>
        <w:t>inter alia</w:t>
      </w:r>
      <w:r w:rsidRPr="004E1BEB">
        <w:rPr>
          <w:rFonts w:ascii="Arial" w:hAnsi="Arial" w:cs="Arial"/>
          <w:sz w:val="22"/>
          <w:szCs w:val="22"/>
          <w:lang w:val="en-GB"/>
        </w:rPr>
        <w:t>, the shelling of their homes during the hostilities in Eastern Ukraine from the beginning of April 2014 onwards.</w:t>
      </w:r>
    </w:p>
    <w:p w14:paraId="1583859D" w14:textId="77777777" w:rsidR="002218C4" w:rsidRPr="004E1BEB" w:rsidRDefault="002218C4" w:rsidP="002218C4">
      <w:pPr>
        <w:rPr>
          <w:rFonts w:ascii="Arial" w:hAnsi="Arial" w:cs="Arial"/>
          <w:bCs/>
          <w:sz w:val="22"/>
          <w:szCs w:val="22"/>
          <w:lang w:val="en-US"/>
        </w:rPr>
      </w:pPr>
      <w:r w:rsidRPr="004E1BEB">
        <w:rPr>
          <w:rFonts w:ascii="Arial" w:hAnsi="Arial" w:cs="Arial"/>
          <w:b/>
          <w:sz w:val="22"/>
          <w:szCs w:val="22"/>
          <w:lang w:val="en-GB"/>
        </w:rPr>
        <w:lastRenderedPageBreak/>
        <w:t xml:space="preserve">Concerning issues in Eastern Ukraine, </w:t>
      </w:r>
      <w:r w:rsidRPr="004E1BEB">
        <w:rPr>
          <w:rFonts w:ascii="Arial" w:hAnsi="Arial" w:cs="Arial"/>
          <w:bCs/>
          <w:sz w:val="22"/>
          <w:szCs w:val="22"/>
          <w:lang w:val="en-US"/>
        </w:rPr>
        <w:t>1,677 applications were declared inadmissible</w:t>
      </w:r>
      <w:r w:rsidRPr="004E1BEB">
        <w:rPr>
          <w:rStyle w:val="Appelnotedebasdep"/>
          <w:rFonts w:ascii="Arial" w:hAnsi="Arial" w:cs="Arial"/>
          <w:bCs/>
          <w:sz w:val="22"/>
          <w:szCs w:val="22"/>
          <w:lang w:val="en-US"/>
        </w:rPr>
        <w:footnoteReference w:id="270"/>
      </w:r>
      <w:r w:rsidRPr="004E1BEB">
        <w:rPr>
          <w:rFonts w:ascii="Arial" w:hAnsi="Arial" w:cs="Arial"/>
          <w:bCs/>
          <w:sz w:val="22"/>
          <w:szCs w:val="22"/>
          <w:lang w:val="en-US"/>
        </w:rPr>
        <w:t xml:space="preserve"> and 348 were struck out of the list of cases.</w:t>
      </w:r>
    </w:p>
    <w:p w14:paraId="71A99E04" w14:textId="77777777" w:rsidR="002218C4" w:rsidRPr="004E1BEB" w:rsidRDefault="002218C4" w:rsidP="002218C4">
      <w:pPr>
        <w:rPr>
          <w:rFonts w:ascii="Arial" w:hAnsi="Arial" w:cs="Arial"/>
          <w:bCs/>
          <w:sz w:val="22"/>
          <w:szCs w:val="22"/>
          <w:lang w:val="en-US"/>
        </w:rPr>
      </w:pPr>
      <w:r w:rsidRPr="004E1BEB">
        <w:rPr>
          <w:rFonts w:ascii="Arial" w:hAnsi="Arial" w:cs="Arial"/>
          <w:b/>
          <w:sz w:val="22"/>
          <w:szCs w:val="22"/>
          <w:lang w:val="en-GB"/>
        </w:rPr>
        <w:t xml:space="preserve">Concerning issues in Crimea, </w:t>
      </w:r>
      <w:r w:rsidRPr="004E1BEB">
        <w:rPr>
          <w:rFonts w:ascii="Arial" w:hAnsi="Arial" w:cs="Arial"/>
          <w:bCs/>
          <w:sz w:val="22"/>
          <w:szCs w:val="22"/>
          <w:lang w:val="en-US"/>
        </w:rPr>
        <w:t xml:space="preserve">320 applications were declared inadmissible and 26 were struck out of the list of cases. In addition, one inter-State case was struck out of the list of cases (see </w:t>
      </w:r>
      <w:r w:rsidRPr="004E1BEB">
        <w:rPr>
          <w:rFonts w:ascii="Arial" w:hAnsi="Arial" w:cs="Arial"/>
          <w:bCs/>
          <w:i/>
          <w:sz w:val="22"/>
          <w:szCs w:val="22"/>
          <w:lang w:val="en-US"/>
        </w:rPr>
        <w:t>Ukraine v. Russia (III)</w:t>
      </w:r>
      <w:r w:rsidRPr="004E1BEB">
        <w:rPr>
          <w:rFonts w:ascii="Arial" w:hAnsi="Arial" w:cs="Arial"/>
          <w:bCs/>
          <w:sz w:val="22"/>
          <w:szCs w:val="22"/>
          <w:lang w:val="en-US"/>
        </w:rPr>
        <w:t xml:space="preserve"> (dec.), no. </w:t>
      </w:r>
      <w:hyperlink r:id="rId32" w:history="1">
        <w:r w:rsidRPr="004E1BEB">
          <w:rPr>
            <w:rStyle w:val="Lienhypertexte"/>
            <w:rFonts w:ascii="Arial" w:hAnsi="Arial" w:cs="Arial"/>
            <w:bCs/>
            <w:color w:val="auto"/>
            <w:sz w:val="22"/>
            <w:szCs w:val="22"/>
            <w:lang w:val="en-US"/>
          </w:rPr>
          <w:t>49537/14</w:t>
        </w:r>
      </w:hyperlink>
      <w:r w:rsidRPr="004E1BEB">
        <w:rPr>
          <w:rFonts w:ascii="Arial" w:hAnsi="Arial" w:cs="Arial"/>
          <w:bCs/>
          <w:sz w:val="22"/>
          <w:szCs w:val="22"/>
          <w:lang w:val="en-US"/>
        </w:rPr>
        <w:t>, 1 September 2015).</w:t>
      </w:r>
    </w:p>
    <w:p w14:paraId="131FF252" w14:textId="77777777" w:rsidR="002218C4" w:rsidRPr="004E1BEB" w:rsidRDefault="002218C4" w:rsidP="002218C4">
      <w:pPr>
        <w:rPr>
          <w:rFonts w:ascii="Arial" w:hAnsi="Arial" w:cs="Arial"/>
          <w:sz w:val="22"/>
          <w:szCs w:val="22"/>
          <w:lang w:val="en-GB"/>
        </w:rPr>
      </w:pPr>
      <w:r w:rsidRPr="004E1BEB">
        <w:rPr>
          <w:rFonts w:ascii="Arial" w:hAnsi="Arial" w:cs="Arial"/>
          <w:sz w:val="22"/>
          <w:szCs w:val="22"/>
          <w:lang w:val="en-GB"/>
        </w:rPr>
        <w:t>In total, the Court decided 2,371</w:t>
      </w:r>
      <w:r w:rsidRPr="004E1BEB">
        <w:rPr>
          <w:rStyle w:val="Appelnotedebasdep"/>
          <w:rFonts w:ascii="Arial" w:hAnsi="Arial" w:cs="Arial"/>
          <w:sz w:val="22"/>
          <w:szCs w:val="22"/>
        </w:rPr>
        <w:footnoteReference w:id="271"/>
      </w:r>
      <w:r w:rsidRPr="004E1BEB">
        <w:rPr>
          <w:rFonts w:ascii="Arial" w:hAnsi="Arial" w:cs="Arial"/>
          <w:sz w:val="22"/>
          <w:szCs w:val="22"/>
          <w:lang w:val="en-GB"/>
        </w:rPr>
        <w:t xml:space="preserve"> applications out of 10,262 applications lodged.</w:t>
      </w:r>
    </w:p>
    <w:p w14:paraId="4B9FF8CC" w14:textId="77777777" w:rsidR="002218C4" w:rsidRPr="004E1BEB" w:rsidRDefault="002218C4" w:rsidP="002218C4">
      <w:pPr>
        <w:rPr>
          <w:rFonts w:ascii="Arial" w:hAnsi="Arial" w:cs="Arial"/>
          <w:b/>
          <w:bCs/>
          <w:sz w:val="22"/>
          <w:szCs w:val="22"/>
          <w:u w:val="single"/>
          <w:lang w:val="en-GB"/>
        </w:rPr>
      </w:pPr>
    </w:p>
    <w:p w14:paraId="53188F1D" w14:textId="77777777" w:rsidR="002218C4" w:rsidRPr="004E1BEB" w:rsidRDefault="002218C4" w:rsidP="002218C4">
      <w:pPr>
        <w:rPr>
          <w:rFonts w:ascii="Arial" w:hAnsi="Arial" w:cs="Arial"/>
          <w:b/>
          <w:bCs/>
          <w:sz w:val="22"/>
          <w:szCs w:val="22"/>
          <w:u w:val="single"/>
          <w:lang w:val="en-GB"/>
        </w:rPr>
      </w:pPr>
      <w:r w:rsidRPr="004E1BEB">
        <w:rPr>
          <w:rFonts w:ascii="Arial" w:hAnsi="Arial" w:cs="Arial"/>
          <w:b/>
          <w:bCs/>
          <w:sz w:val="22"/>
          <w:szCs w:val="22"/>
          <w:u w:val="single"/>
          <w:lang w:val="en-GB"/>
        </w:rPr>
        <w:t>III.  Individual applications linked to the conflict over Nagorno-Karabakh</w:t>
      </w:r>
    </w:p>
    <w:p w14:paraId="70371FAD" w14:textId="77777777" w:rsidR="002218C4" w:rsidRPr="004E1BEB" w:rsidRDefault="002218C4" w:rsidP="002218C4">
      <w:pPr>
        <w:rPr>
          <w:rFonts w:ascii="Arial" w:hAnsi="Arial" w:cs="Arial"/>
          <w:b/>
          <w:bCs/>
          <w:sz w:val="22"/>
          <w:szCs w:val="22"/>
          <w:lang w:val="en-GB"/>
        </w:rPr>
      </w:pPr>
      <w:r w:rsidRPr="004E1BEB">
        <w:rPr>
          <w:rFonts w:ascii="Arial" w:hAnsi="Arial" w:cs="Arial"/>
          <w:b/>
          <w:bCs/>
          <w:sz w:val="22"/>
          <w:szCs w:val="22"/>
          <w:lang w:val="en-GB"/>
        </w:rPr>
        <w:t>A.  Pending applications</w:t>
      </w:r>
    </w:p>
    <w:p w14:paraId="0DC72F61" w14:textId="77777777" w:rsidR="002218C4" w:rsidRPr="004E1BEB" w:rsidRDefault="002218C4" w:rsidP="002218C4">
      <w:pPr>
        <w:rPr>
          <w:rFonts w:ascii="Arial" w:hAnsi="Arial" w:cs="Arial"/>
          <w:sz w:val="22"/>
          <w:szCs w:val="22"/>
          <w:lang w:val="en-GB"/>
        </w:rPr>
      </w:pPr>
      <w:r w:rsidRPr="004E1BEB">
        <w:rPr>
          <w:rFonts w:ascii="Arial" w:hAnsi="Arial" w:cs="Arial"/>
          <w:sz w:val="22"/>
          <w:szCs w:val="22"/>
          <w:lang w:val="en-GB"/>
        </w:rPr>
        <w:t>Out of 2,342 applications lodged, there are 1,470 applications pending before the Court, which relate to the conflict over Nagorno-Karabakh: 874 against Armenia and 596 against Azerbaijan.</w:t>
      </w:r>
    </w:p>
    <w:p w14:paraId="2D7155B6" w14:textId="77777777" w:rsidR="002218C4" w:rsidRPr="004E1BEB" w:rsidRDefault="002218C4" w:rsidP="002218C4">
      <w:pPr>
        <w:rPr>
          <w:rFonts w:ascii="Arial" w:hAnsi="Arial" w:cs="Arial"/>
          <w:sz w:val="22"/>
          <w:szCs w:val="22"/>
          <w:lang w:val="en-GB"/>
        </w:rPr>
      </w:pPr>
      <w:r w:rsidRPr="004E1BEB">
        <w:rPr>
          <w:rFonts w:ascii="Arial" w:hAnsi="Arial" w:cs="Arial"/>
          <w:sz w:val="22"/>
          <w:szCs w:val="22"/>
          <w:lang w:val="en-GB"/>
        </w:rPr>
        <w:t xml:space="preserve">In addition, in view of recent events in the region, three inter-State applications were lodged before the Court: </w:t>
      </w:r>
      <w:r w:rsidRPr="004E1BEB">
        <w:rPr>
          <w:rFonts w:ascii="Arial" w:hAnsi="Arial" w:cs="Arial"/>
          <w:i/>
          <w:iCs/>
          <w:sz w:val="22"/>
          <w:szCs w:val="22"/>
          <w:lang w:val="en-GB"/>
        </w:rPr>
        <w:t>Armenia v. Azerbaijan</w:t>
      </w:r>
      <w:r w:rsidRPr="004E1BEB">
        <w:rPr>
          <w:rFonts w:ascii="Arial" w:hAnsi="Arial" w:cs="Arial"/>
          <w:sz w:val="22"/>
          <w:szCs w:val="22"/>
          <w:lang w:val="en-GB"/>
        </w:rPr>
        <w:t xml:space="preserve"> </w:t>
      </w:r>
      <w:bookmarkStart w:id="111" w:name="_Hlk62811975"/>
      <w:r w:rsidRPr="004E1BEB">
        <w:rPr>
          <w:rFonts w:ascii="Arial" w:hAnsi="Arial" w:cs="Arial"/>
          <w:sz w:val="22"/>
          <w:szCs w:val="22"/>
          <w:lang w:val="en-GB"/>
        </w:rPr>
        <w:t>(no. 42521/20)</w:t>
      </w:r>
      <w:bookmarkEnd w:id="111"/>
      <w:r w:rsidRPr="004E1BEB">
        <w:rPr>
          <w:rFonts w:ascii="Arial" w:hAnsi="Arial" w:cs="Arial"/>
          <w:sz w:val="22"/>
          <w:szCs w:val="22"/>
          <w:lang w:val="en-GB"/>
        </w:rPr>
        <w:t xml:space="preserve">, </w:t>
      </w:r>
      <w:r w:rsidRPr="004E1BEB">
        <w:rPr>
          <w:rFonts w:ascii="Arial" w:hAnsi="Arial" w:cs="Arial"/>
          <w:i/>
          <w:iCs/>
          <w:sz w:val="22"/>
          <w:szCs w:val="22"/>
          <w:lang w:val="en-GB"/>
        </w:rPr>
        <w:t>Armenia v. Turkey</w:t>
      </w:r>
      <w:r w:rsidRPr="004E1BEB">
        <w:rPr>
          <w:rFonts w:ascii="Arial" w:hAnsi="Arial" w:cs="Arial"/>
          <w:sz w:val="22"/>
          <w:szCs w:val="22"/>
          <w:lang w:val="en-GB"/>
        </w:rPr>
        <w:t xml:space="preserve"> (no. 43517/20) and </w:t>
      </w:r>
      <w:r w:rsidRPr="004E1BEB">
        <w:rPr>
          <w:rFonts w:ascii="Arial" w:hAnsi="Arial" w:cs="Arial"/>
          <w:i/>
          <w:iCs/>
          <w:sz w:val="22"/>
          <w:szCs w:val="22"/>
          <w:lang w:val="en-GB"/>
        </w:rPr>
        <w:t>Azerbaijan v. Armenia</w:t>
      </w:r>
      <w:r w:rsidRPr="004E1BEB">
        <w:rPr>
          <w:rFonts w:ascii="Arial" w:hAnsi="Arial" w:cs="Arial"/>
          <w:sz w:val="22"/>
          <w:szCs w:val="22"/>
          <w:lang w:val="en-GB"/>
        </w:rPr>
        <w:t xml:space="preserve"> (no. 47319/20). For details, please see the </w:t>
      </w:r>
      <w:hyperlink r:id="rId33" w:history="1">
        <w:r w:rsidRPr="004E1BEB">
          <w:rPr>
            <w:rStyle w:val="Lienhypertexte"/>
            <w:rFonts w:ascii="Arial" w:hAnsi="Arial" w:cs="Arial"/>
            <w:color w:val="auto"/>
            <w:sz w:val="22"/>
            <w:szCs w:val="22"/>
            <w:lang w:val="en-GB"/>
          </w:rPr>
          <w:t>Q &amp; A on Inter-State Cases</w:t>
        </w:r>
      </w:hyperlink>
      <w:r w:rsidRPr="004E1BEB">
        <w:rPr>
          <w:rFonts w:ascii="Arial" w:hAnsi="Arial" w:cs="Arial"/>
          <w:sz w:val="22"/>
          <w:szCs w:val="22"/>
          <w:lang w:val="en-GB"/>
        </w:rPr>
        <w:t>.</w:t>
      </w:r>
    </w:p>
    <w:p w14:paraId="6FF1E6CE" w14:textId="77777777" w:rsidR="002218C4" w:rsidRPr="004E1BEB" w:rsidRDefault="002218C4" w:rsidP="002218C4">
      <w:pPr>
        <w:pStyle w:val="ECHRParaSpaced"/>
        <w:spacing w:after="0"/>
        <w:rPr>
          <w:rFonts w:ascii="Arial" w:hAnsi="Arial" w:cs="Arial"/>
        </w:rPr>
      </w:pPr>
      <w:r w:rsidRPr="004E1BEB">
        <w:rPr>
          <w:rFonts w:ascii="Arial" w:hAnsi="Arial" w:cs="Arial"/>
        </w:rPr>
        <w:t>1.  </w:t>
      </w:r>
      <w:r w:rsidRPr="004E1BEB">
        <w:rPr>
          <w:rFonts w:ascii="Arial" w:hAnsi="Arial" w:cs="Arial"/>
          <w:b/>
          <w:bCs/>
        </w:rPr>
        <w:t>Displaced persons’ continued inability to return to their homes and property from which they fled in the years 1988-93</w:t>
      </w:r>
      <w:r w:rsidRPr="004E1BEB">
        <w:rPr>
          <w:rFonts w:ascii="Arial" w:hAnsi="Arial" w:cs="Arial"/>
        </w:rPr>
        <w:t xml:space="preserve">: there are 811 pending follow-up </w:t>
      </w:r>
      <w:proofErr w:type="spellStart"/>
      <w:r w:rsidRPr="004E1BEB">
        <w:rPr>
          <w:rFonts w:ascii="Arial" w:hAnsi="Arial" w:cs="Arial"/>
          <w:i/>
        </w:rPr>
        <w:t>Chiragov</w:t>
      </w:r>
      <w:proofErr w:type="spellEnd"/>
      <w:r w:rsidRPr="004E1BEB">
        <w:rPr>
          <w:rFonts w:ascii="Arial" w:hAnsi="Arial" w:cs="Arial"/>
          <w:i/>
        </w:rPr>
        <w:t>-</w:t>
      </w:r>
      <w:r w:rsidRPr="004E1BEB">
        <w:rPr>
          <w:rFonts w:ascii="Arial" w:hAnsi="Arial" w:cs="Arial"/>
        </w:rPr>
        <w:t xml:space="preserve"> and </w:t>
      </w:r>
      <w:r w:rsidRPr="004E1BEB">
        <w:rPr>
          <w:rFonts w:ascii="Arial" w:hAnsi="Arial" w:cs="Arial"/>
          <w:i/>
        </w:rPr>
        <w:t>Sargsyan</w:t>
      </w:r>
      <w:r w:rsidRPr="004E1BEB">
        <w:rPr>
          <w:rStyle w:val="Appelnotedebasdep"/>
          <w:rFonts w:ascii="Arial" w:hAnsi="Arial" w:cs="Arial"/>
        </w:rPr>
        <w:footnoteReference w:id="272"/>
      </w:r>
      <w:r w:rsidRPr="004E1BEB">
        <w:rPr>
          <w:rFonts w:ascii="Arial" w:hAnsi="Arial" w:cs="Arial"/>
        </w:rPr>
        <w:t>-type applications with similar complaints – 414 against Armenia and 397 against Azerbaijan.</w:t>
      </w:r>
    </w:p>
    <w:p w14:paraId="2E3055D0" w14:textId="77777777" w:rsidR="002218C4" w:rsidRPr="004E1BEB" w:rsidRDefault="002218C4" w:rsidP="002218C4">
      <w:pPr>
        <w:rPr>
          <w:rFonts w:ascii="Arial" w:hAnsi="Arial" w:cs="Arial"/>
          <w:sz w:val="22"/>
          <w:szCs w:val="22"/>
          <w:lang w:val="en-GB"/>
        </w:rPr>
      </w:pPr>
      <w:r w:rsidRPr="004E1BEB">
        <w:rPr>
          <w:rFonts w:ascii="Arial" w:hAnsi="Arial" w:cs="Arial"/>
          <w:sz w:val="22"/>
          <w:szCs w:val="22"/>
          <w:lang w:val="en-GB"/>
        </w:rPr>
        <w:t>2.  </w:t>
      </w:r>
      <w:r w:rsidRPr="004E1BEB">
        <w:rPr>
          <w:rFonts w:ascii="Arial" w:hAnsi="Arial" w:cs="Arial"/>
          <w:b/>
          <w:bCs/>
          <w:sz w:val="22"/>
          <w:szCs w:val="22"/>
          <w:lang w:val="en-GB"/>
        </w:rPr>
        <w:t>“Four-day war” in April 2016</w:t>
      </w:r>
      <w:r w:rsidRPr="004E1BEB">
        <w:rPr>
          <w:rFonts w:ascii="Arial" w:hAnsi="Arial" w:cs="Arial"/>
          <w:sz w:val="22"/>
          <w:szCs w:val="22"/>
          <w:lang w:val="en-GB"/>
        </w:rPr>
        <w:t xml:space="preserve">: has </w:t>
      </w:r>
      <w:proofErr w:type="spellStart"/>
      <w:proofErr w:type="gramStart"/>
      <w:r w:rsidRPr="004E1BEB">
        <w:rPr>
          <w:rFonts w:ascii="Arial" w:hAnsi="Arial" w:cs="Arial"/>
          <w:sz w:val="22"/>
          <w:szCs w:val="22"/>
          <w:lang w:val="en-GB"/>
        </w:rPr>
        <w:t>lead</w:t>
      </w:r>
      <w:proofErr w:type="spellEnd"/>
      <w:proofErr w:type="gramEnd"/>
      <w:r w:rsidRPr="004E1BEB">
        <w:rPr>
          <w:rFonts w:ascii="Arial" w:hAnsi="Arial" w:cs="Arial"/>
          <w:sz w:val="22"/>
          <w:szCs w:val="22"/>
          <w:lang w:val="en-GB"/>
        </w:rPr>
        <w:t xml:space="preserve"> to 1,085 applications lodged, out of which 590 are still pending, divided into two groups:</w:t>
      </w:r>
    </w:p>
    <w:p w14:paraId="0F58D279" w14:textId="77777777" w:rsidR="002218C4" w:rsidRPr="004E1BEB" w:rsidRDefault="002218C4" w:rsidP="002218C4">
      <w:pPr>
        <w:pStyle w:val="Paragraphedeliste"/>
        <w:numPr>
          <w:ilvl w:val="0"/>
          <w:numId w:val="33"/>
        </w:numPr>
        <w:spacing w:before="120" w:after="0" w:line="240" w:lineRule="auto"/>
        <w:jc w:val="both"/>
        <w:rPr>
          <w:rFonts w:ascii="Arial" w:hAnsi="Arial" w:cs="Arial"/>
        </w:rPr>
      </w:pPr>
      <w:r w:rsidRPr="004E1BEB">
        <w:rPr>
          <w:rFonts w:ascii="Arial" w:hAnsi="Arial" w:cs="Arial"/>
        </w:rPr>
        <w:t xml:space="preserve">562 applications in this group are still pending (439 against Armenia and 123 against Azerbaijan) with complaints by civilians on both sides, predominantly regarding </w:t>
      </w:r>
      <w:r w:rsidRPr="004E1BEB">
        <w:rPr>
          <w:rFonts w:ascii="Arial" w:hAnsi="Arial" w:cs="Arial"/>
          <w:bCs/>
        </w:rPr>
        <w:t>damage and destruction of property</w:t>
      </w:r>
      <w:r w:rsidRPr="004E1BEB">
        <w:rPr>
          <w:rFonts w:ascii="Arial" w:hAnsi="Arial" w:cs="Arial"/>
        </w:rPr>
        <w:t xml:space="preserve"> but a handful of cases also involve the killing of civilians. Of these, 5 applications were communicated to the respondent Governments.</w:t>
      </w:r>
    </w:p>
    <w:p w14:paraId="5D8F317D" w14:textId="77777777" w:rsidR="002218C4" w:rsidRPr="004E1BEB" w:rsidRDefault="002218C4" w:rsidP="002218C4">
      <w:pPr>
        <w:pStyle w:val="Paragraphedeliste"/>
        <w:numPr>
          <w:ilvl w:val="0"/>
          <w:numId w:val="33"/>
        </w:numPr>
        <w:spacing w:before="120" w:after="0" w:line="240" w:lineRule="auto"/>
        <w:jc w:val="both"/>
        <w:rPr>
          <w:rFonts w:ascii="Arial" w:hAnsi="Arial" w:cs="Arial"/>
        </w:rPr>
      </w:pPr>
      <w:r w:rsidRPr="004E1BEB">
        <w:rPr>
          <w:rFonts w:ascii="Arial" w:hAnsi="Arial" w:cs="Arial"/>
        </w:rPr>
        <w:t xml:space="preserve">Another 28 pending applications (5 against Armenia and 23 against Azerbaijan) concern </w:t>
      </w:r>
      <w:r w:rsidRPr="004E1BEB">
        <w:rPr>
          <w:rFonts w:ascii="Arial" w:hAnsi="Arial" w:cs="Arial"/>
          <w:bCs/>
        </w:rPr>
        <w:t>mutilation of dead (mostly) soldiers’ bodies</w:t>
      </w:r>
      <w:r w:rsidRPr="004E1BEB">
        <w:rPr>
          <w:rFonts w:ascii="Arial" w:hAnsi="Arial" w:cs="Arial"/>
        </w:rPr>
        <w:t>. All the applications were communicated to the respondent Governments.</w:t>
      </w:r>
    </w:p>
    <w:p w14:paraId="596A77D4" w14:textId="77777777" w:rsidR="002218C4" w:rsidRPr="004E1BEB" w:rsidRDefault="002218C4" w:rsidP="002218C4">
      <w:pPr>
        <w:pStyle w:val="ECHRParaSpaced"/>
        <w:spacing w:after="0"/>
        <w:rPr>
          <w:rFonts w:ascii="Arial" w:hAnsi="Arial" w:cs="Arial"/>
        </w:rPr>
      </w:pPr>
      <w:r w:rsidRPr="004E1BEB">
        <w:rPr>
          <w:rFonts w:ascii="Arial" w:hAnsi="Arial" w:cs="Arial"/>
        </w:rPr>
        <w:t>3.  There are also 6 pending applications against Azerbaijan concerning the detention and alleged torture/killing of Armenian citizens in Azerbaijan. They were all communicated to the respondent Government.</w:t>
      </w:r>
    </w:p>
    <w:p w14:paraId="6483DDAD" w14:textId="77777777" w:rsidR="002218C4" w:rsidRPr="004E1BEB" w:rsidRDefault="002218C4" w:rsidP="002218C4">
      <w:pPr>
        <w:pStyle w:val="ECHRParaSpaced"/>
        <w:spacing w:after="0"/>
        <w:rPr>
          <w:rFonts w:ascii="Arial" w:hAnsi="Arial" w:cs="Arial"/>
        </w:rPr>
      </w:pPr>
      <w:r w:rsidRPr="004E1BEB">
        <w:rPr>
          <w:rFonts w:ascii="Arial" w:hAnsi="Arial" w:cs="Arial"/>
        </w:rPr>
        <w:t xml:space="preserve">4.  As on 1 January 2021, there were 44 individual applications concerning individuals allegedly captured by Azerbaijan since the start of the recent conflict in late September 2020. The two inter-State applications </w:t>
      </w:r>
      <w:r w:rsidRPr="004E1BEB">
        <w:rPr>
          <w:rFonts w:ascii="Arial" w:hAnsi="Arial" w:cs="Arial"/>
          <w:i/>
          <w:iCs/>
        </w:rPr>
        <w:t>Armenia v. Azerbaijan</w:t>
      </w:r>
      <w:r w:rsidRPr="004E1BEB">
        <w:rPr>
          <w:rFonts w:ascii="Arial" w:hAnsi="Arial" w:cs="Arial"/>
        </w:rPr>
        <w:t xml:space="preserve"> (no. 42521/20) and </w:t>
      </w:r>
      <w:r w:rsidRPr="004E1BEB">
        <w:rPr>
          <w:rFonts w:ascii="Arial" w:hAnsi="Arial" w:cs="Arial"/>
          <w:i/>
          <w:iCs/>
        </w:rPr>
        <w:t>Azerbaijan v. Armenia</w:t>
      </w:r>
      <w:r w:rsidRPr="004E1BEB">
        <w:rPr>
          <w:rFonts w:ascii="Arial" w:hAnsi="Arial" w:cs="Arial"/>
        </w:rPr>
        <w:t xml:space="preserve"> (no. 47319/20) also concern alleged captives. The mentioned applications concern 203 individuals allegedly captured by Azerbaijan and 13 individuals allegedly captured by Armenia. Rule 39 was applied in almost all these applications.</w:t>
      </w:r>
    </w:p>
    <w:p w14:paraId="31DC11A3" w14:textId="77777777" w:rsidR="002218C4" w:rsidRPr="004E1BEB" w:rsidRDefault="002218C4" w:rsidP="002218C4">
      <w:pPr>
        <w:pStyle w:val="ECHRParaSpaced"/>
        <w:rPr>
          <w:rFonts w:ascii="Arial" w:hAnsi="Arial" w:cs="Arial"/>
        </w:rPr>
      </w:pPr>
      <w:r w:rsidRPr="004E1BEB">
        <w:rPr>
          <w:rFonts w:ascii="Arial" w:hAnsi="Arial" w:cs="Arial"/>
        </w:rPr>
        <w:t>5.  Another 19 pending applications concern various issues, such as killing of soldiers in December 2016 or arrest, sentencing and detention in Nagorno-Karabakh of Azerbaijani nationals in 2015.</w:t>
      </w:r>
    </w:p>
    <w:p w14:paraId="629D613F" w14:textId="77777777" w:rsidR="002218C4" w:rsidRPr="004E1BEB" w:rsidRDefault="002218C4" w:rsidP="002218C4">
      <w:pPr>
        <w:pStyle w:val="ECHRParaSpaced"/>
        <w:rPr>
          <w:rFonts w:ascii="Arial" w:hAnsi="Arial" w:cs="Arial"/>
        </w:rPr>
      </w:pPr>
    </w:p>
    <w:p w14:paraId="4AA88F38" w14:textId="77777777" w:rsidR="002218C4" w:rsidRPr="004E1BEB" w:rsidRDefault="002218C4" w:rsidP="002218C4">
      <w:pPr>
        <w:rPr>
          <w:rFonts w:ascii="Arial" w:hAnsi="Arial" w:cs="Arial"/>
          <w:b/>
          <w:bCs/>
          <w:sz w:val="22"/>
          <w:szCs w:val="22"/>
          <w:lang w:val="en-GB"/>
        </w:rPr>
      </w:pPr>
      <w:r w:rsidRPr="004E1BEB">
        <w:rPr>
          <w:rFonts w:ascii="Arial" w:hAnsi="Arial" w:cs="Arial"/>
          <w:b/>
          <w:bCs/>
          <w:sz w:val="22"/>
          <w:szCs w:val="22"/>
          <w:lang w:val="en-GB"/>
        </w:rPr>
        <w:t>B.  Finished applications</w:t>
      </w:r>
    </w:p>
    <w:p w14:paraId="3F8B2F4F" w14:textId="77777777" w:rsidR="002218C4" w:rsidRPr="004E1BEB" w:rsidRDefault="002218C4" w:rsidP="002218C4">
      <w:pPr>
        <w:pStyle w:val="JuPara"/>
        <w:ind w:firstLine="0"/>
        <w:rPr>
          <w:rFonts w:ascii="Arial" w:hAnsi="Arial" w:cs="Arial"/>
          <w:sz w:val="22"/>
          <w:szCs w:val="22"/>
        </w:rPr>
      </w:pPr>
      <w:r w:rsidRPr="004E1BEB">
        <w:rPr>
          <w:rFonts w:ascii="Arial" w:hAnsi="Arial" w:cs="Arial"/>
          <w:b/>
          <w:sz w:val="22"/>
          <w:szCs w:val="22"/>
        </w:rPr>
        <w:t>1.</w:t>
      </w:r>
      <w:r w:rsidRPr="004E1BEB">
        <w:rPr>
          <w:rFonts w:ascii="Arial" w:hAnsi="Arial" w:cs="Arial"/>
          <w:sz w:val="22"/>
          <w:szCs w:val="22"/>
        </w:rPr>
        <w:t>  </w:t>
      </w:r>
      <w:r w:rsidRPr="004E1BEB">
        <w:rPr>
          <w:rFonts w:ascii="Arial" w:hAnsi="Arial" w:cs="Arial"/>
          <w:b/>
          <w:bCs/>
          <w:sz w:val="22"/>
          <w:szCs w:val="22"/>
        </w:rPr>
        <w:t>Displaced persons’ continued inability to return to their homes and property from which they fled in the years 1988-93</w:t>
      </w:r>
      <w:r w:rsidRPr="004E1BEB">
        <w:rPr>
          <w:rFonts w:ascii="Arial" w:hAnsi="Arial" w:cs="Arial"/>
          <w:sz w:val="22"/>
          <w:szCs w:val="22"/>
        </w:rPr>
        <w:t xml:space="preserve">: two leading cases were examined and decided by a Grand Chamber (see </w:t>
      </w:r>
      <w:proofErr w:type="spellStart"/>
      <w:r w:rsidRPr="004E1BEB">
        <w:rPr>
          <w:rFonts w:ascii="Arial" w:hAnsi="Arial" w:cs="Arial"/>
          <w:i/>
          <w:sz w:val="22"/>
          <w:szCs w:val="22"/>
        </w:rPr>
        <w:t>Chiragov</w:t>
      </w:r>
      <w:proofErr w:type="spellEnd"/>
      <w:r w:rsidRPr="004E1BEB">
        <w:rPr>
          <w:rFonts w:ascii="Arial" w:hAnsi="Arial" w:cs="Arial"/>
          <w:i/>
          <w:sz w:val="22"/>
          <w:szCs w:val="22"/>
        </w:rPr>
        <w:t xml:space="preserve"> and Others v. Armenia</w:t>
      </w:r>
      <w:r w:rsidRPr="004E1BEB">
        <w:rPr>
          <w:rFonts w:ascii="Arial" w:hAnsi="Arial" w:cs="Arial"/>
          <w:sz w:val="22"/>
          <w:szCs w:val="22"/>
        </w:rPr>
        <w:t xml:space="preserve"> and </w:t>
      </w:r>
      <w:r w:rsidRPr="004E1BEB">
        <w:rPr>
          <w:rFonts w:ascii="Arial" w:hAnsi="Arial" w:cs="Arial"/>
          <w:i/>
          <w:sz w:val="22"/>
          <w:szCs w:val="22"/>
        </w:rPr>
        <w:t>Sargsyan v. Azerbaijan,</w:t>
      </w:r>
      <w:r w:rsidRPr="004E1BEB">
        <w:rPr>
          <w:rFonts w:ascii="Arial" w:hAnsi="Arial" w:cs="Arial"/>
          <w:sz w:val="22"/>
          <w:szCs w:val="22"/>
        </w:rPr>
        <w:t xml:space="preserve"> cited </w:t>
      </w:r>
      <w:r w:rsidRPr="004E1BEB">
        <w:rPr>
          <w:rFonts w:ascii="Arial" w:hAnsi="Arial" w:cs="Arial"/>
          <w:sz w:val="22"/>
          <w:szCs w:val="22"/>
        </w:rPr>
        <w:lastRenderedPageBreak/>
        <w:t xml:space="preserve">above). For further details, see </w:t>
      </w:r>
      <w:hyperlink r:id="rId34" w:history="1">
        <w:r w:rsidRPr="004E1BEB">
          <w:rPr>
            <w:rStyle w:val="Lienhypertexte"/>
            <w:rFonts w:ascii="Arial" w:hAnsi="Arial" w:cs="Arial"/>
            <w:color w:val="auto"/>
            <w:sz w:val="22"/>
            <w:szCs w:val="22"/>
          </w:rPr>
          <w:t>Guide on Article 1 of the European Convention on Human Rights</w:t>
        </w:r>
      </w:hyperlink>
      <w:r w:rsidRPr="004E1BEB">
        <w:rPr>
          <w:rFonts w:ascii="Arial" w:hAnsi="Arial" w:cs="Arial"/>
          <w:sz w:val="22"/>
          <w:szCs w:val="22"/>
        </w:rPr>
        <w:t xml:space="preserve"> (p. 23) and the ECHR factsheet on </w:t>
      </w:r>
      <w:hyperlink r:id="rId35" w:history="1">
        <w:r w:rsidRPr="004E1BEB">
          <w:rPr>
            <w:rStyle w:val="Lienhypertexte"/>
            <w:rFonts w:ascii="Arial" w:hAnsi="Arial" w:cs="Arial"/>
            <w:color w:val="auto"/>
            <w:sz w:val="22"/>
            <w:szCs w:val="22"/>
          </w:rPr>
          <w:t>Armed conflicts</w:t>
        </w:r>
      </w:hyperlink>
      <w:r w:rsidRPr="004E1BEB">
        <w:rPr>
          <w:rFonts w:ascii="Arial" w:hAnsi="Arial" w:cs="Arial"/>
          <w:sz w:val="22"/>
          <w:szCs w:val="22"/>
        </w:rPr>
        <w:t xml:space="preserve"> (p. 6-7).</w:t>
      </w:r>
    </w:p>
    <w:p w14:paraId="59A2CCFA" w14:textId="77777777" w:rsidR="002218C4" w:rsidRPr="004E1BEB" w:rsidRDefault="002218C4" w:rsidP="002218C4">
      <w:pPr>
        <w:pStyle w:val="JuPara"/>
        <w:ind w:firstLine="0"/>
        <w:rPr>
          <w:rFonts w:ascii="Arial" w:hAnsi="Arial" w:cs="Arial"/>
          <w:sz w:val="22"/>
          <w:szCs w:val="22"/>
        </w:rPr>
      </w:pPr>
      <w:r w:rsidRPr="004E1BEB">
        <w:rPr>
          <w:rFonts w:ascii="Arial" w:hAnsi="Arial" w:cs="Arial"/>
          <w:sz w:val="22"/>
          <w:szCs w:val="22"/>
        </w:rPr>
        <w:t>Furthermore, 90 applications were declared inadmissible (87 against Armenia and 3 against Azerbaijan); and 285 applications were struck out of the list of cases (183 against Armenia and 102 against Azerbaijan). In total, 375 applications were finished by the end of 2020.</w:t>
      </w:r>
    </w:p>
    <w:p w14:paraId="559E8682" w14:textId="77777777" w:rsidR="002218C4" w:rsidRPr="004E1BEB" w:rsidRDefault="002218C4" w:rsidP="002218C4">
      <w:pPr>
        <w:keepNext/>
        <w:keepLines/>
        <w:rPr>
          <w:rFonts w:ascii="Arial" w:hAnsi="Arial" w:cs="Arial"/>
          <w:sz w:val="22"/>
          <w:szCs w:val="22"/>
          <w:lang w:val="en-GB"/>
        </w:rPr>
      </w:pPr>
      <w:r w:rsidRPr="004E1BEB">
        <w:rPr>
          <w:rFonts w:ascii="Arial" w:hAnsi="Arial" w:cs="Arial"/>
          <w:b/>
          <w:sz w:val="22"/>
          <w:szCs w:val="22"/>
          <w:lang w:val="en-GB"/>
        </w:rPr>
        <w:t>2.</w:t>
      </w:r>
      <w:r w:rsidRPr="004E1BEB">
        <w:rPr>
          <w:rFonts w:ascii="Arial" w:hAnsi="Arial" w:cs="Arial"/>
          <w:sz w:val="22"/>
          <w:szCs w:val="22"/>
          <w:lang w:val="en-GB"/>
        </w:rPr>
        <w:t>  </w:t>
      </w:r>
      <w:r w:rsidRPr="004E1BEB">
        <w:rPr>
          <w:rFonts w:ascii="Arial" w:hAnsi="Arial" w:cs="Arial"/>
          <w:b/>
          <w:bCs/>
          <w:sz w:val="22"/>
          <w:szCs w:val="22"/>
          <w:lang w:val="en-GB"/>
        </w:rPr>
        <w:t>“Four-day war” in April 2016</w:t>
      </w:r>
      <w:r w:rsidRPr="004E1BEB">
        <w:rPr>
          <w:rFonts w:ascii="Arial" w:hAnsi="Arial" w:cs="Arial"/>
          <w:sz w:val="22"/>
          <w:szCs w:val="22"/>
          <w:lang w:val="en-GB"/>
        </w:rPr>
        <w:t>:</w:t>
      </w:r>
    </w:p>
    <w:p w14:paraId="3D9B1473" w14:textId="77777777" w:rsidR="002218C4" w:rsidRPr="004E1BEB" w:rsidRDefault="002218C4" w:rsidP="002218C4">
      <w:pPr>
        <w:pStyle w:val="JuPara"/>
        <w:keepNext/>
        <w:keepLines/>
        <w:ind w:firstLine="0"/>
        <w:rPr>
          <w:rFonts w:ascii="Arial" w:hAnsi="Arial" w:cs="Arial"/>
          <w:sz w:val="22"/>
          <w:szCs w:val="22"/>
        </w:rPr>
      </w:pPr>
      <w:r w:rsidRPr="004E1BEB">
        <w:rPr>
          <w:rFonts w:ascii="Arial" w:hAnsi="Arial" w:cs="Arial"/>
          <w:sz w:val="22"/>
          <w:szCs w:val="22"/>
        </w:rPr>
        <w:t>Two leading applications, one against Armenia and the other against Azerbaijan, were rejected as unsubstantiated</w:t>
      </w:r>
      <w:r w:rsidRPr="004E1BEB">
        <w:rPr>
          <w:rStyle w:val="Appelnotedebasdep"/>
          <w:rFonts w:ascii="Arial" w:hAnsi="Arial" w:cs="Arial"/>
          <w:sz w:val="22"/>
          <w:szCs w:val="22"/>
        </w:rPr>
        <w:footnoteReference w:id="273"/>
      </w:r>
      <w:r w:rsidRPr="004E1BEB">
        <w:rPr>
          <w:rFonts w:ascii="Arial" w:hAnsi="Arial" w:cs="Arial"/>
          <w:sz w:val="22"/>
          <w:szCs w:val="22"/>
        </w:rPr>
        <w:t>. Furthermore, 493 applications (255 against Armenia and 238 against Azerbaijan) were subsequently declared inadmissible.</w:t>
      </w:r>
    </w:p>
    <w:p w14:paraId="016C56D9" w14:textId="77777777" w:rsidR="002218C4" w:rsidRPr="004E1BEB" w:rsidRDefault="002218C4" w:rsidP="002218C4">
      <w:pPr>
        <w:pStyle w:val="JuPara"/>
        <w:ind w:firstLine="0"/>
        <w:rPr>
          <w:rFonts w:ascii="Arial" w:hAnsi="Arial" w:cs="Arial"/>
          <w:sz w:val="22"/>
          <w:szCs w:val="22"/>
        </w:rPr>
      </w:pPr>
      <w:r w:rsidRPr="004E1BEB">
        <w:rPr>
          <w:rFonts w:ascii="Arial" w:hAnsi="Arial" w:cs="Arial"/>
          <w:sz w:val="22"/>
          <w:szCs w:val="22"/>
        </w:rPr>
        <w:t>In total, the Court declared inadmissible 495 applications out of 1,085 applications lodged under this head.</w:t>
      </w:r>
    </w:p>
    <w:p w14:paraId="344C78DB" w14:textId="77777777" w:rsidR="002218C4" w:rsidRPr="004E1BEB" w:rsidRDefault="002218C4" w:rsidP="002218C4">
      <w:pPr>
        <w:pStyle w:val="JuPara"/>
        <w:keepNext/>
        <w:keepLines/>
        <w:ind w:firstLine="0"/>
        <w:rPr>
          <w:rFonts w:ascii="Arial" w:hAnsi="Arial" w:cs="Arial"/>
          <w:sz w:val="22"/>
          <w:szCs w:val="22"/>
        </w:rPr>
      </w:pPr>
      <w:r w:rsidRPr="004E1BEB">
        <w:rPr>
          <w:rFonts w:ascii="Arial" w:hAnsi="Arial" w:cs="Arial"/>
          <w:b/>
          <w:bCs/>
          <w:sz w:val="22"/>
          <w:szCs w:val="22"/>
        </w:rPr>
        <w:t>3.  Detention and alleged torture/killing of Armenian citizens in Azerbaijan</w:t>
      </w:r>
      <w:r w:rsidRPr="004E1BEB">
        <w:rPr>
          <w:rFonts w:ascii="Arial" w:hAnsi="Arial" w:cs="Arial"/>
          <w:sz w:val="22"/>
          <w:szCs w:val="22"/>
        </w:rPr>
        <w:t>:</w:t>
      </w:r>
    </w:p>
    <w:p w14:paraId="74C541F9" w14:textId="77777777" w:rsidR="002218C4" w:rsidRPr="004E1BEB" w:rsidRDefault="002218C4" w:rsidP="002218C4">
      <w:pPr>
        <w:pStyle w:val="JuPara"/>
        <w:keepNext/>
        <w:keepLines/>
        <w:ind w:firstLine="0"/>
        <w:rPr>
          <w:rFonts w:ascii="Arial" w:hAnsi="Arial" w:cs="Arial"/>
          <w:sz w:val="22"/>
          <w:szCs w:val="22"/>
        </w:rPr>
      </w:pPr>
      <w:r w:rsidRPr="004E1BEB">
        <w:rPr>
          <w:rFonts w:ascii="Arial" w:hAnsi="Arial" w:cs="Arial"/>
          <w:sz w:val="22"/>
          <w:szCs w:val="22"/>
        </w:rPr>
        <w:t xml:space="preserve">One case in this group resulted in a judgment (see </w:t>
      </w:r>
      <w:proofErr w:type="spellStart"/>
      <w:r w:rsidRPr="004E1BEB">
        <w:rPr>
          <w:rFonts w:ascii="Arial" w:hAnsi="Arial" w:cs="Arial"/>
          <w:i/>
          <w:sz w:val="22"/>
          <w:szCs w:val="22"/>
        </w:rPr>
        <w:t>Saribekyan</w:t>
      </w:r>
      <w:proofErr w:type="spellEnd"/>
      <w:r w:rsidRPr="004E1BEB">
        <w:rPr>
          <w:rFonts w:ascii="Arial" w:hAnsi="Arial" w:cs="Arial"/>
          <w:i/>
          <w:sz w:val="22"/>
          <w:szCs w:val="22"/>
        </w:rPr>
        <w:t xml:space="preserve"> and </w:t>
      </w:r>
      <w:proofErr w:type="spellStart"/>
      <w:r w:rsidRPr="004E1BEB">
        <w:rPr>
          <w:rFonts w:ascii="Arial" w:hAnsi="Arial" w:cs="Arial"/>
          <w:i/>
          <w:sz w:val="22"/>
          <w:szCs w:val="22"/>
        </w:rPr>
        <w:t>Balyan</w:t>
      </w:r>
      <w:proofErr w:type="spellEnd"/>
      <w:r w:rsidRPr="004E1BEB">
        <w:rPr>
          <w:rFonts w:ascii="Arial" w:hAnsi="Arial" w:cs="Arial"/>
          <w:i/>
          <w:sz w:val="22"/>
          <w:szCs w:val="22"/>
        </w:rPr>
        <w:t xml:space="preserve"> v. Azerbaijan</w:t>
      </w:r>
      <w:r w:rsidRPr="004E1BEB">
        <w:rPr>
          <w:rFonts w:ascii="Arial" w:hAnsi="Arial" w:cs="Arial"/>
          <w:sz w:val="22"/>
          <w:szCs w:val="22"/>
        </w:rPr>
        <w:t>, no. 35746/11, 30 January 2020).</w:t>
      </w:r>
    </w:p>
    <w:p w14:paraId="4E80DFAF" w14:textId="77777777" w:rsidR="002218C4" w:rsidRPr="004E1BEB" w:rsidRDefault="002218C4" w:rsidP="002218C4">
      <w:pPr>
        <w:pStyle w:val="JuPara"/>
        <w:keepNext/>
        <w:keepLines/>
        <w:ind w:firstLine="0"/>
        <w:rPr>
          <w:rFonts w:ascii="Arial" w:hAnsi="Arial" w:cs="Arial"/>
          <w:sz w:val="22"/>
          <w:szCs w:val="22"/>
        </w:rPr>
      </w:pPr>
    </w:p>
    <w:p w14:paraId="4112264C" w14:textId="77777777" w:rsidR="002218C4" w:rsidRPr="00BB5EA5" w:rsidRDefault="002218C4" w:rsidP="002218C4">
      <w:pPr>
        <w:rPr>
          <w:rFonts w:ascii="Arial" w:hAnsi="Arial" w:cs="Arial"/>
          <w:b/>
          <w:bCs/>
          <w:strike/>
          <w:sz w:val="22"/>
          <w:szCs w:val="22"/>
          <w:u w:val="single"/>
          <w:lang w:val="en-GB"/>
        </w:rPr>
      </w:pPr>
      <w:r w:rsidRPr="004E1BEB">
        <w:rPr>
          <w:rFonts w:ascii="Arial" w:hAnsi="Arial" w:cs="Arial"/>
          <w:b/>
          <w:bCs/>
          <w:sz w:val="22"/>
          <w:szCs w:val="22"/>
          <w:u w:val="single"/>
          <w:lang w:val="en-GB"/>
        </w:rPr>
        <w:t xml:space="preserve">IV.  Individual applications related to </w:t>
      </w:r>
      <w:r w:rsidRPr="00080BB7">
        <w:rPr>
          <w:rFonts w:ascii="Arial" w:hAnsi="Arial" w:cs="Arial"/>
          <w:b/>
          <w:bCs/>
          <w:sz w:val="22"/>
          <w:szCs w:val="22"/>
          <w:u w:val="single"/>
          <w:lang w:val="en-GB"/>
        </w:rPr>
        <w:t>Transdniestria</w:t>
      </w:r>
      <w:r>
        <w:rPr>
          <w:rFonts w:ascii="Arial" w:hAnsi="Arial" w:cs="Arial"/>
          <w:b/>
          <w:bCs/>
          <w:strike/>
          <w:sz w:val="22"/>
          <w:szCs w:val="22"/>
          <w:u w:val="single"/>
          <w:lang w:val="en-GB"/>
        </w:rPr>
        <w:t xml:space="preserve"> </w:t>
      </w:r>
    </w:p>
    <w:p w14:paraId="705416C3" w14:textId="77777777" w:rsidR="002218C4" w:rsidRPr="004E1BEB" w:rsidRDefault="002218C4" w:rsidP="002218C4">
      <w:pPr>
        <w:rPr>
          <w:rFonts w:ascii="Arial" w:hAnsi="Arial" w:cs="Arial"/>
          <w:b/>
          <w:bCs/>
          <w:sz w:val="22"/>
          <w:szCs w:val="22"/>
          <w:lang w:val="en-GB"/>
        </w:rPr>
      </w:pPr>
      <w:r w:rsidRPr="004E1BEB">
        <w:rPr>
          <w:rFonts w:ascii="Arial" w:hAnsi="Arial" w:cs="Arial"/>
          <w:b/>
          <w:bCs/>
          <w:sz w:val="22"/>
          <w:szCs w:val="22"/>
          <w:lang w:val="en-GB"/>
        </w:rPr>
        <w:t>A.  Pending applications</w:t>
      </w:r>
    </w:p>
    <w:p w14:paraId="64FA18EB" w14:textId="77777777" w:rsidR="002218C4" w:rsidRPr="004E1BEB" w:rsidRDefault="002218C4" w:rsidP="002218C4">
      <w:pPr>
        <w:pStyle w:val="ECHRParaSpaced"/>
        <w:spacing w:after="0"/>
        <w:rPr>
          <w:rFonts w:ascii="Arial" w:hAnsi="Arial" w:cs="Arial"/>
        </w:rPr>
      </w:pPr>
      <w:r w:rsidRPr="004E1BEB">
        <w:rPr>
          <w:rFonts w:ascii="Arial" w:hAnsi="Arial" w:cs="Arial"/>
        </w:rPr>
        <w:t xml:space="preserve">Out of 153 applications lodged concerning acts </w:t>
      </w:r>
      <w:r w:rsidRPr="00080BB7">
        <w:rPr>
          <w:rFonts w:ascii="Arial" w:hAnsi="Arial" w:cs="Arial"/>
        </w:rPr>
        <w:t>committed in the “Moldovan Republic of Transdniestria” (“MRT”) 44 applications are still pending: 5 against</w:t>
      </w:r>
      <w:r w:rsidRPr="004E1BEB">
        <w:rPr>
          <w:rFonts w:ascii="Arial" w:hAnsi="Arial" w:cs="Arial"/>
        </w:rPr>
        <w:t xml:space="preserve"> Russia, 1 against the Republic of Moldova, 35 against the Republic of Moldova and Russia and 3 against the Republic of Moldova, Russia and Ukraine.</w:t>
      </w:r>
    </w:p>
    <w:p w14:paraId="699AE6BB" w14:textId="77777777" w:rsidR="002218C4" w:rsidRPr="004E1BEB" w:rsidRDefault="002218C4" w:rsidP="002218C4">
      <w:pPr>
        <w:pStyle w:val="ECHRParaSpaced"/>
        <w:spacing w:after="0"/>
        <w:rPr>
          <w:rFonts w:ascii="Arial" w:hAnsi="Arial" w:cs="Arial"/>
        </w:rPr>
      </w:pPr>
      <w:r w:rsidRPr="004E1BEB">
        <w:rPr>
          <w:rFonts w:ascii="Arial" w:hAnsi="Arial" w:cs="Arial"/>
        </w:rPr>
        <w:t xml:space="preserve">21 out of 44 applications were communicated to the respondent Governments and another one resulted in a judgment on </w:t>
      </w:r>
      <w:r>
        <w:rPr>
          <w:rFonts w:ascii="Arial" w:hAnsi="Arial" w:cs="Arial"/>
        </w:rPr>
        <w:t xml:space="preserve">the </w:t>
      </w:r>
      <w:r w:rsidRPr="004E1BEB">
        <w:rPr>
          <w:rFonts w:ascii="Arial" w:hAnsi="Arial" w:cs="Arial"/>
        </w:rPr>
        <w:t>merits</w:t>
      </w:r>
      <w:r w:rsidRPr="004E1BEB">
        <w:rPr>
          <w:rStyle w:val="Appelnotedebasdep"/>
          <w:rFonts w:ascii="Arial" w:hAnsi="Arial" w:cs="Arial"/>
        </w:rPr>
        <w:footnoteReference w:id="274"/>
      </w:r>
      <w:r w:rsidRPr="004E1BEB">
        <w:rPr>
          <w:rFonts w:ascii="Arial" w:hAnsi="Arial" w:cs="Arial"/>
        </w:rPr>
        <w:t>.</w:t>
      </w:r>
    </w:p>
    <w:p w14:paraId="76927B55" w14:textId="77777777" w:rsidR="002218C4" w:rsidRPr="00381CA8" w:rsidRDefault="002218C4" w:rsidP="002218C4">
      <w:pPr>
        <w:rPr>
          <w:rFonts w:ascii="Arial" w:hAnsi="Arial" w:cs="Arial"/>
          <w:b/>
          <w:bCs/>
          <w:sz w:val="22"/>
          <w:szCs w:val="22"/>
          <w:lang w:val="en-GB"/>
        </w:rPr>
      </w:pPr>
      <w:r w:rsidRPr="00381CA8">
        <w:rPr>
          <w:rFonts w:ascii="Arial" w:hAnsi="Arial" w:cs="Arial"/>
          <w:b/>
          <w:bCs/>
          <w:sz w:val="22"/>
          <w:szCs w:val="22"/>
          <w:lang w:val="en-GB"/>
        </w:rPr>
        <w:t>B.  Finished applications</w:t>
      </w:r>
    </w:p>
    <w:p w14:paraId="6C925F31" w14:textId="77777777" w:rsidR="002218C4" w:rsidRPr="004E1BEB" w:rsidRDefault="002218C4" w:rsidP="002218C4">
      <w:pPr>
        <w:pStyle w:val="ECHRParaSpaced"/>
        <w:rPr>
          <w:rFonts w:ascii="Arial" w:hAnsi="Arial" w:cs="Arial"/>
        </w:rPr>
      </w:pPr>
      <w:r w:rsidRPr="004E1BEB">
        <w:rPr>
          <w:rFonts w:ascii="Arial" w:hAnsi="Arial" w:cs="Arial"/>
        </w:rPr>
        <w:t>Two leading cases, concerning 4 applications, were examined and decided by a Grand Chamber</w:t>
      </w:r>
      <w:r w:rsidRPr="004E1BEB">
        <w:rPr>
          <w:rStyle w:val="Appelnotedebasdep"/>
          <w:rFonts w:ascii="Arial" w:hAnsi="Arial" w:cs="Arial"/>
        </w:rPr>
        <w:footnoteReference w:id="275"/>
      </w:r>
      <w:r w:rsidRPr="004E1BEB">
        <w:rPr>
          <w:rFonts w:ascii="Arial" w:hAnsi="Arial" w:cs="Arial"/>
        </w:rPr>
        <w:t xml:space="preserve">. The first case concerned the complaint by children and parents from the Moldovan community in </w:t>
      </w:r>
      <w:r w:rsidRPr="00080BB7">
        <w:rPr>
          <w:rFonts w:ascii="Arial" w:hAnsi="Arial" w:cs="Arial"/>
        </w:rPr>
        <w:t xml:space="preserve">Transdniestria </w:t>
      </w:r>
      <w:r w:rsidRPr="004E1BEB">
        <w:rPr>
          <w:rFonts w:ascii="Arial" w:hAnsi="Arial" w:cs="Arial"/>
        </w:rPr>
        <w:t xml:space="preserve">about the effects of a language policy adopted in 1992 and 1994 by the separatist regime forbidding the use of the Latin alphabet in schools and the subsequent measures taken to enforce the policy. The second case concerned conditions of detention of a man suspected of fraud, as ordered by the courts </w:t>
      </w:r>
      <w:r w:rsidRPr="00080BB7">
        <w:rPr>
          <w:rFonts w:ascii="Arial" w:hAnsi="Arial" w:cs="Arial"/>
        </w:rPr>
        <w:t>of the self-proclaimed “Moldavian Republic of Transdniestria” (the “MRT”)</w:t>
      </w:r>
      <w:r w:rsidRPr="004E1BEB">
        <w:rPr>
          <w:rFonts w:ascii="Arial" w:hAnsi="Arial" w:cs="Arial"/>
        </w:rPr>
        <w:t xml:space="preserve">. For more information, see </w:t>
      </w:r>
      <w:hyperlink r:id="rId36" w:history="1">
        <w:r w:rsidRPr="004E1BEB">
          <w:rPr>
            <w:rStyle w:val="Lienhypertexte"/>
            <w:rFonts w:ascii="Arial" w:hAnsi="Arial" w:cs="Arial"/>
            <w:color w:val="auto"/>
          </w:rPr>
          <w:t>Guide on Article 1 of the European Convention on Human Rights</w:t>
        </w:r>
      </w:hyperlink>
      <w:r w:rsidRPr="004E1BEB">
        <w:rPr>
          <w:rFonts w:ascii="Arial" w:hAnsi="Arial" w:cs="Arial"/>
        </w:rPr>
        <w:t xml:space="preserve"> (p. 22-23).</w:t>
      </w:r>
    </w:p>
    <w:p w14:paraId="465AC99F" w14:textId="77777777" w:rsidR="002218C4" w:rsidRPr="004E1BEB" w:rsidRDefault="002218C4" w:rsidP="002218C4">
      <w:pPr>
        <w:pStyle w:val="ECHRParaSpaced"/>
        <w:rPr>
          <w:rFonts w:ascii="Arial" w:hAnsi="Arial" w:cs="Arial"/>
        </w:rPr>
      </w:pPr>
      <w:r w:rsidRPr="004E1BEB">
        <w:rPr>
          <w:rFonts w:ascii="Arial" w:hAnsi="Arial" w:cs="Arial"/>
        </w:rPr>
        <w:t>In total, the Court decided 109 applications out of 153 applications lodged: 62 applications resulted in judgments, 43 applications were declared inadmissible and 4 were struck out of the list of cases.</w:t>
      </w:r>
    </w:p>
    <w:p w14:paraId="23F5A51E" w14:textId="77777777" w:rsidR="002218C4" w:rsidRDefault="002218C4" w:rsidP="002218C4">
      <w:pPr>
        <w:rPr>
          <w:rFonts w:ascii="Arial" w:hAnsi="Arial" w:cs="Arial"/>
          <w:b/>
          <w:bCs/>
          <w:sz w:val="22"/>
          <w:szCs w:val="22"/>
          <w:u w:val="single"/>
          <w:lang w:val="en-GB"/>
        </w:rPr>
      </w:pPr>
    </w:p>
    <w:p w14:paraId="21CC26E6" w14:textId="77777777" w:rsidR="002218C4" w:rsidRPr="004E1BEB" w:rsidRDefault="002218C4" w:rsidP="002218C4">
      <w:pPr>
        <w:rPr>
          <w:rFonts w:ascii="Arial" w:hAnsi="Arial" w:cs="Arial"/>
          <w:b/>
          <w:bCs/>
          <w:sz w:val="22"/>
          <w:szCs w:val="22"/>
          <w:u w:val="single"/>
          <w:lang w:val="en-GB"/>
        </w:rPr>
      </w:pPr>
      <w:r w:rsidRPr="004E1BEB">
        <w:rPr>
          <w:rFonts w:ascii="Arial" w:hAnsi="Arial" w:cs="Arial"/>
          <w:b/>
          <w:bCs/>
          <w:sz w:val="22"/>
          <w:szCs w:val="22"/>
          <w:u w:val="single"/>
          <w:lang w:val="en-GB"/>
        </w:rPr>
        <w:t xml:space="preserve">V.  Individual applications related to </w:t>
      </w:r>
      <w:proofErr w:type="spellStart"/>
      <w:r w:rsidRPr="004E1BEB">
        <w:rPr>
          <w:rFonts w:ascii="Arial" w:hAnsi="Arial" w:cs="Arial"/>
          <w:b/>
          <w:bCs/>
          <w:sz w:val="22"/>
          <w:szCs w:val="22"/>
          <w:u w:val="single"/>
          <w:lang w:val="en-GB"/>
        </w:rPr>
        <w:t>nothern</w:t>
      </w:r>
      <w:proofErr w:type="spellEnd"/>
      <w:r w:rsidRPr="004E1BEB">
        <w:rPr>
          <w:rFonts w:ascii="Arial" w:hAnsi="Arial" w:cs="Arial"/>
          <w:b/>
          <w:bCs/>
          <w:sz w:val="22"/>
          <w:szCs w:val="22"/>
          <w:u w:val="single"/>
          <w:lang w:val="en-GB"/>
        </w:rPr>
        <w:t xml:space="preserve"> Cyprus</w:t>
      </w:r>
    </w:p>
    <w:p w14:paraId="2FFD0578" w14:textId="77777777" w:rsidR="002218C4" w:rsidRPr="00381CA8" w:rsidRDefault="002218C4" w:rsidP="002218C4">
      <w:pPr>
        <w:rPr>
          <w:rFonts w:ascii="Arial" w:hAnsi="Arial" w:cs="Arial"/>
          <w:b/>
          <w:bCs/>
          <w:sz w:val="22"/>
          <w:szCs w:val="22"/>
          <w:lang w:val="en-GB"/>
        </w:rPr>
      </w:pPr>
      <w:r w:rsidRPr="00381CA8">
        <w:rPr>
          <w:rFonts w:ascii="Arial" w:hAnsi="Arial" w:cs="Arial"/>
          <w:b/>
          <w:bCs/>
          <w:sz w:val="22"/>
          <w:szCs w:val="22"/>
          <w:lang w:val="en-GB"/>
        </w:rPr>
        <w:t>A.  Pending applications</w:t>
      </w:r>
    </w:p>
    <w:p w14:paraId="18C7A41D" w14:textId="77777777" w:rsidR="002218C4" w:rsidRPr="004E1BEB" w:rsidRDefault="002218C4" w:rsidP="002218C4">
      <w:pPr>
        <w:pStyle w:val="ECHRParaSpaced"/>
        <w:rPr>
          <w:rFonts w:ascii="Arial" w:hAnsi="Arial" w:cs="Arial"/>
        </w:rPr>
      </w:pPr>
      <w:r w:rsidRPr="004E1BEB">
        <w:rPr>
          <w:rFonts w:ascii="Arial" w:hAnsi="Arial" w:cs="Arial"/>
        </w:rPr>
        <w:t xml:space="preserve">The inter-State case </w:t>
      </w:r>
      <w:r w:rsidRPr="004E1BEB">
        <w:rPr>
          <w:rFonts w:ascii="Arial" w:hAnsi="Arial" w:cs="Arial"/>
          <w:i/>
        </w:rPr>
        <w:t>Cyprus v. Turkey</w:t>
      </w:r>
      <w:r w:rsidRPr="004E1BEB">
        <w:rPr>
          <w:rStyle w:val="Appelnotedebasdep"/>
          <w:rFonts w:ascii="Arial" w:hAnsi="Arial" w:cs="Arial"/>
          <w:i/>
        </w:rPr>
        <w:footnoteReference w:id="276"/>
      </w:r>
      <w:r w:rsidRPr="004E1BEB">
        <w:rPr>
          <w:rFonts w:ascii="Arial" w:hAnsi="Arial" w:cs="Arial"/>
        </w:rPr>
        <w:t xml:space="preserve"> examined by a Grand Chamber concerned the situation that existed in northern</w:t>
      </w:r>
      <w:r>
        <w:rPr>
          <w:rFonts w:ascii="Arial" w:hAnsi="Arial" w:cs="Arial"/>
        </w:rPr>
        <w:t xml:space="preserve"> </w:t>
      </w:r>
      <w:r w:rsidRPr="004E1BEB">
        <w:rPr>
          <w:rFonts w:ascii="Arial" w:hAnsi="Arial" w:cs="Arial"/>
        </w:rPr>
        <w:t>Cyprus since the conduct of military operations there by Turkey in July and August 1974 and the continuing division of the territory of Cyprus</w:t>
      </w:r>
      <w:r w:rsidRPr="004E1BEB">
        <w:rPr>
          <w:rStyle w:val="Appelnotedebasdep"/>
          <w:rFonts w:ascii="Arial" w:hAnsi="Arial" w:cs="Arial"/>
          <w:i/>
        </w:rPr>
        <w:footnoteReference w:id="277"/>
      </w:r>
      <w:r w:rsidRPr="004E1BEB">
        <w:rPr>
          <w:rFonts w:ascii="Arial" w:hAnsi="Arial" w:cs="Arial"/>
        </w:rPr>
        <w:t xml:space="preserve">. For </w:t>
      </w:r>
      <w:r w:rsidRPr="004E1BEB">
        <w:rPr>
          <w:rFonts w:ascii="Arial" w:hAnsi="Arial" w:cs="Arial"/>
        </w:rPr>
        <w:lastRenderedPageBreak/>
        <w:t xml:space="preserve">more information, see </w:t>
      </w:r>
      <w:hyperlink r:id="rId37" w:history="1">
        <w:r w:rsidRPr="004E1BEB">
          <w:rPr>
            <w:rStyle w:val="Lienhypertexte"/>
            <w:rFonts w:ascii="Arial" w:hAnsi="Arial" w:cs="Arial"/>
            <w:color w:val="auto"/>
          </w:rPr>
          <w:t>Guide on Article 1 of the European Convention on Human Rights</w:t>
        </w:r>
      </w:hyperlink>
      <w:r w:rsidRPr="004E1BEB">
        <w:rPr>
          <w:rFonts w:ascii="Arial" w:hAnsi="Arial" w:cs="Arial"/>
        </w:rPr>
        <w:t xml:space="preserve"> (p. 20-21) and the ECHR factsheet on </w:t>
      </w:r>
      <w:hyperlink r:id="rId38" w:history="1">
        <w:r w:rsidRPr="004E1BEB">
          <w:rPr>
            <w:rStyle w:val="Lienhypertexte"/>
            <w:rFonts w:ascii="Arial" w:hAnsi="Arial" w:cs="Arial"/>
            <w:color w:val="auto"/>
          </w:rPr>
          <w:t>Armed conflicts</w:t>
        </w:r>
      </w:hyperlink>
      <w:r w:rsidRPr="004E1BEB">
        <w:rPr>
          <w:rFonts w:ascii="Arial" w:hAnsi="Arial" w:cs="Arial"/>
        </w:rPr>
        <w:t xml:space="preserve"> (p. 1-3).</w:t>
      </w:r>
    </w:p>
    <w:p w14:paraId="3DEFA601" w14:textId="77777777" w:rsidR="002218C4" w:rsidRPr="004E1BEB" w:rsidRDefault="002218C4" w:rsidP="002218C4">
      <w:pPr>
        <w:pStyle w:val="ECHRParaSpaced"/>
        <w:rPr>
          <w:rFonts w:ascii="Arial" w:hAnsi="Arial" w:cs="Arial"/>
        </w:rPr>
      </w:pPr>
      <w:r w:rsidRPr="004E1BEB">
        <w:rPr>
          <w:rFonts w:ascii="Arial" w:hAnsi="Arial" w:cs="Arial"/>
        </w:rPr>
        <w:t>Out of 1,815 applications lodged concerning Cypriot property issues 99 applications are still pending against Turkey, including 2 applications communicated to the respondent Government.</w:t>
      </w:r>
    </w:p>
    <w:p w14:paraId="2DC05A6B" w14:textId="77777777" w:rsidR="002218C4" w:rsidRPr="004E1BEB" w:rsidRDefault="002218C4" w:rsidP="002218C4">
      <w:pPr>
        <w:rPr>
          <w:rFonts w:ascii="Arial" w:hAnsi="Arial" w:cs="Arial"/>
          <w:b/>
          <w:bCs/>
          <w:sz w:val="22"/>
          <w:szCs w:val="22"/>
          <w:lang w:val="en-GB"/>
        </w:rPr>
      </w:pPr>
      <w:r w:rsidRPr="004E1BEB">
        <w:rPr>
          <w:rFonts w:ascii="Arial" w:hAnsi="Arial" w:cs="Arial"/>
          <w:b/>
          <w:bCs/>
          <w:sz w:val="22"/>
          <w:szCs w:val="22"/>
          <w:lang w:val="en-GB"/>
        </w:rPr>
        <w:t>B.  Finished applications</w:t>
      </w:r>
    </w:p>
    <w:p w14:paraId="47597D7B" w14:textId="77777777" w:rsidR="002218C4" w:rsidRPr="004E1BEB" w:rsidRDefault="002218C4" w:rsidP="002218C4">
      <w:pPr>
        <w:pStyle w:val="ECHRParaSpaced"/>
        <w:rPr>
          <w:rFonts w:ascii="Arial" w:hAnsi="Arial" w:cs="Arial"/>
        </w:rPr>
      </w:pPr>
      <w:r w:rsidRPr="004E1BEB">
        <w:rPr>
          <w:rFonts w:ascii="Arial" w:hAnsi="Arial" w:cs="Arial"/>
        </w:rPr>
        <w:t>Three judgments concerning Cypriot property issues were delivered by the Court. 1,699 applications were declared inadmissible, including a leading post-</w:t>
      </w:r>
      <w:proofErr w:type="spellStart"/>
      <w:r w:rsidRPr="004E1BEB">
        <w:rPr>
          <w:rFonts w:ascii="Arial" w:hAnsi="Arial" w:cs="Arial"/>
          <w:i/>
        </w:rPr>
        <w:t>Loizidou</w:t>
      </w:r>
      <w:proofErr w:type="spellEnd"/>
      <w:r w:rsidRPr="004E1BEB">
        <w:rPr>
          <w:rFonts w:ascii="Arial" w:hAnsi="Arial" w:cs="Arial"/>
        </w:rPr>
        <w:t xml:space="preserve"> case</w:t>
      </w:r>
      <w:r w:rsidRPr="004E1BEB">
        <w:rPr>
          <w:rStyle w:val="Appelnotedebasdep"/>
          <w:rFonts w:ascii="Arial" w:hAnsi="Arial" w:cs="Arial"/>
        </w:rPr>
        <w:footnoteReference w:id="278"/>
      </w:r>
      <w:r w:rsidRPr="004E1BEB">
        <w:rPr>
          <w:rFonts w:ascii="Arial" w:hAnsi="Arial" w:cs="Arial"/>
        </w:rPr>
        <w:t>. 14 applications were struck out of the list of cases, including one struck out for a friendly settlement.</w:t>
      </w:r>
    </w:p>
    <w:p w14:paraId="4F2FC3E1" w14:textId="4497D46B" w:rsidR="002218C4" w:rsidRPr="004E1BEB" w:rsidRDefault="002218C4" w:rsidP="002218C4">
      <w:pPr>
        <w:pStyle w:val="ECHRParaSpaced"/>
        <w:spacing w:after="0"/>
        <w:rPr>
          <w:rFonts w:ascii="Arial" w:hAnsi="Arial" w:cs="Arial"/>
        </w:rPr>
      </w:pPr>
      <w:r w:rsidRPr="004E1BEB">
        <w:rPr>
          <w:rFonts w:ascii="Arial" w:hAnsi="Arial" w:cs="Arial"/>
        </w:rPr>
        <w:t>In total 1,716 applications were decided by the Court out of 1,815 lodged.</w:t>
      </w:r>
      <w:r>
        <w:rPr>
          <w:rFonts w:ascii="Arial" w:hAnsi="Arial" w:cs="Arial"/>
        </w:rPr>
        <w:t xml:space="preserve"> </w:t>
      </w:r>
    </w:p>
    <w:p w14:paraId="573F1AD6" w14:textId="77777777" w:rsidR="002218C4" w:rsidRPr="002218C4" w:rsidRDefault="002218C4" w:rsidP="002218C4">
      <w:pPr>
        <w:pStyle w:val="Abstract"/>
        <w:rPr>
          <w:rFonts w:ascii="Arial" w:hAnsi="Arial" w:cs="Arial"/>
          <w:b/>
          <w:bCs/>
          <w:sz w:val="22"/>
          <w:szCs w:val="18"/>
          <w:lang w:val="en-GB"/>
        </w:rPr>
      </w:pPr>
    </w:p>
    <w:bookmarkEnd w:id="5"/>
    <w:p w14:paraId="37C08F54" w14:textId="77777777" w:rsidR="00DC51E6" w:rsidRPr="00FF6EEE" w:rsidRDefault="00DC51E6" w:rsidP="00DC51E6">
      <w:pPr>
        <w:rPr>
          <w:rFonts w:ascii="Arial" w:hAnsi="Arial" w:cs="Arial"/>
          <w:sz w:val="22"/>
          <w:szCs w:val="22"/>
          <w:lang w:val="en-GB"/>
        </w:rPr>
      </w:pPr>
    </w:p>
    <w:sectPr w:rsidR="00DC51E6" w:rsidRPr="00FF6EEE">
      <w:headerReference w:type="even" r:id="rId39"/>
      <w:headerReference w:type="default" r:id="rId40"/>
      <w:footerReference w:type="even" r:id="rId41"/>
      <w:footerReference w:type="default" r:id="rId42"/>
      <w:headerReference w:type="first" r:id="rId43"/>
      <w:pgSz w:w="11906" w:h="16838" w:code="9"/>
      <w:pgMar w:top="1536" w:right="1418" w:bottom="1418" w:left="1418" w:header="1080" w:footer="5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0D5E1" w14:textId="77777777" w:rsidR="00276E8F" w:rsidRDefault="00276E8F" w:rsidP="00DC51E6">
      <w:r>
        <w:separator/>
      </w:r>
    </w:p>
  </w:endnote>
  <w:endnote w:type="continuationSeparator" w:id="0">
    <w:p w14:paraId="69354BE4" w14:textId="77777777" w:rsidR="00276E8F" w:rsidRDefault="00276E8F" w:rsidP="00DC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Italic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00041"/>
      <w:docPartObj>
        <w:docPartGallery w:val="Page Numbers (Bottom of Page)"/>
        <w:docPartUnique/>
      </w:docPartObj>
    </w:sdtPr>
    <w:sdtEndPr>
      <w:rPr>
        <w:noProof/>
      </w:rPr>
    </w:sdtEndPr>
    <w:sdtContent>
      <w:p w14:paraId="0CB1B6F1" w14:textId="77777777" w:rsidR="000C68FA" w:rsidRDefault="000C68FA">
        <w:pPr>
          <w:pStyle w:val="Pieddepage"/>
          <w:framePr w:wrap="around" w:vAnchor="text" w:hAnchor="margin" w:xAlign="center" w:y="1"/>
          <w:jc w:val="cente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2</w:t>
        </w:r>
        <w:r>
          <w:rPr>
            <w:rFonts w:ascii="Arial" w:hAnsi="Arial" w:cs="Arial"/>
            <w:noProof/>
            <w:sz w:val="20"/>
            <w:szCs w:val="20"/>
          </w:rPr>
          <w:fldChar w:fldCharType="end"/>
        </w:r>
      </w:p>
    </w:sdtContent>
  </w:sdt>
  <w:p w14:paraId="18C3E0CB" w14:textId="77777777" w:rsidR="000C68FA" w:rsidRDefault="000C68FA">
    <w:pPr>
      <w:framePr w:wrap="around" w:vAnchor="text" w:hAnchor="margin" w:xAlign="center" w:y="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7719189"/>
      <w:docPartObj>
        <w:docPartGallery w:val="Page Numbers (Bottom of Page)"/>
        <w:docPartUnique/>
      </w:docPartObj>
    </w:sdtPr>
    <w:sdtEndPr>
      <w:rPr>
        <w:noProof/>
      </w:rPr>
    </w:sdtEndPr>
    <w:sdtContent>
      <w:p w14:paraId="1019CD26" w14:textId="77777777" w:rsidR="000C68FA" w:rsidRDefault="000C68FA">
        <w:pPr>
          <w:pStyle w:val="Pieddepage"/>
          <w:jc w:val="cente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84</w:t>
        </w:r>
        <w:r>
          <w:rPr>
            <w:rFonts w:ascii="Arial" w:hAnsi="Arial" w:cs="Arial"/>
            <w:noProof/>
            <w:sz w:val="20"/>
            <w:szCs w:val="20"/>
          </w:rPr>
          <w:fldChar w:fldCharType="end"/>
        </w:r>
      </w:p>
    </w:sdtContent>
  </w:sdt>
  <w:p w14:paraId="48DFD836" w14:textId="77777777" w:rsidR="000C68FA" w:rsidRDefault="000C68F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B603F" w14:textId="77777777" w:rsidR="00276E8F" w:rsidRDefault="00276E8F" w:rsidP="00DC51E6">
      <w:r>
        <w:separator/>
      </w:r>
    </w:p>
  </w:footnote>
  <w:footnote w:type="continuationSeparator" w:id="0">
    <w:p w14:paraId="6DFEA359" w14:textId="77777777" w:rsidR="00276E8F" w:rsidRDefault="00276E8F" w:rsidP="00DC51E6">
      <w:r>
        <w:continuationSeparator/>
      </w:r>
    </w:p>
  </w:footnote>
  <w:footnote w:id="1">
    <w:p w14:paraId="767A73AA" w14:textId="77777777" w:rsidR="000C68FA" w:rsidRPr="00C5791B" w:rsidRDefault="000C68FA" w:rsidP="002218C4">
      <w:pPr>
        <w:pStyle w:val="Sansinterligne"/>
        <w:spacing w:line="200" w:lineRule="exact"/>
        <w:rPr>
          <w:rFonts w:ascii="Arial" w:hAnsi="Arial" w:cs="Arial"/>
          <w:sz w:val="18"/>
          <w:szCs w:val="18"/>
          <w:lang w:val="en-GB"/>
        </w:rPr>
      </w:pPr>
      <w:r w:rsidRPr="00C5791B">
        <w:rPr>
          <w:rStyle w:val="Appelnotedebasdep"/>
          <w:rFonts w:ascii="Arial" w:hAnsi="Arial" w:cs="Arial"/>
        </w:rPr>
        <w:footnoteRef/>
      </w:r>
      <w:r w:rsidRPr="00C5791B">
        <w:rPr>
          <w:rFonts w:ascii="Arial" w:hAnsi="Arial" w:cs="Arial"/>
          <w:sz w:val="18"/>
          <w:szCs w:val="18"/>
          <w:lang w:val="en-GB"/>
        </w:rPr>
        <w:t xml:space="preserve">  See document </w:t>
      </w:r>
      <w:hyperlink r:id="rId1" w:history="1">
        <w:r w:rsidRPr="00C5791B">
          <w:rPr>
            <w:rStyle w:val="Lienhypertexte"/>
            <w:rFonts w:ascii="Arial" w:hAnsi="Arial" w:cs="Arial"/>
            <w:sz w:val="18"/>
            <w:szCs w:val="18"/>
            <w:lang w:val="en-GB"/>
          </w:rPr>
          <w:t>CDDH(2019)R92Addendum2</w:t>
        </w:r>
      </w:hyperlink>
      <w:r w:rsidRPr="00C5791B">
        <w:rPr>
          <w:rFonts w:ascii="Arial" w:hAnsi="Arial" w:cs="Arial"/>
          <w:sz w:val="18"/>
          <w:szCs w:val="18"/>
          <w:lang w:val="en-GB"/>
        </w:rPr>
        <w:t>.</w:t>
      </w:r>
    </w:p>
  </w:footnote>
  <w:footnote w:id="2">
    <w:p w14:paraId="52B4344C" w14:textId="77777777" w:rsidR="000C68FA" w:rsidRPr="00C5791B" w:rsidRDefault="000C68FA" w:rsidP="002218C4">
      <w:pPr>
        <w:pStyle w:val="Sansinterligne"/>
        <w:spacing w:line="200" w:lineRule="exact"/>
        <w:rPr>
          <w:rFonts w:ascii="Arial" w:hAnsi="Arial" w:cs="Arial"/>
          <w:sz w:val="18"/>
          <w:szCs w:val="18"/>
          <w:lang w:val="en-GB"/>
        </w:rPr>
      </w:pPr>
      <w:r w:rsidRPr="00C5791B">
        <w:rPr>
          <w:rStyle w:val="Appelnotedebasdep"/>
          <w:rFonts w:ascii="Arial" w:hAnsi="Arial" w:cs="Arial"/>
        </w:rPr>
        <w:footnoteRef/>
      </w:r>
      <w:r w:rsidRPr="00C5791B">
        <w:rPr>
          <w:rFonts w:ascii="Arial" w:hAnsi="Arial" w:cs="Arial"/>
          <w:sz w:val="18"/>
          <w:szCs w:val="18"/>
          <w:lang w:val="en-GB"/>
        </w:rPr>
        <w:t xml:space="preserve">  See </w:t>
      </w:r>
      <w:hyperlink r:id="rId2" w:history="1">
        <w:r w:rsidRPr="00C5791B">
          <w:rPr>
            <w:rStyle w:val="Lienhypertexte"/>
            <w:rFonts w:ascii="Arial" w:hAnsi="Arial" w:cs="Arial"/>
            <w:sz w:val="18"/>
            <w:szCs w:val="18"/>
            <w:lang w:val="en-GB"/>
          </w:rPr>
          <w:t>CM/Del/Dec(2018)1317/1.5</w:t>
        </w:r>
      </w:hyperlink>
      <w:r w:rsidRPr="00C5791B">
        <w:rPr>
          <w:rFonts w:ascii="Arial" w:hAnsi="Arial" w:cs="Arial"/>
          <w:sz w:val="18"/>
          <w:szCs w:val="18"/>
          <w:lang w:val="en-GB"/>
        </w:rPr>
        <w:t>.</w:t>
      </w:r>
    </w:p>
  </w:footnote>
  <w:footnote w:id="3">
    <w:p w14:paraId="6647250B" w14:textId="77777777" w:rsidR="000C68FA" w:rsidRPr="00C5791B" w:rsidRDefault="000C68FA" w:rsidP="002218C4">
      <w:pPr>
        <w:pStyle w:val="Sansinterligne"/>
        <w:spacing w:line="200" w:lineRule="exact"/>
        <w:rPr>
          <w:rFonts w:ascii="Arial" w:hAnsi="Arial" w:cs="Arial"/>
          <w:sz w:val="18"/>
          <w:szCs w:val="18"/>
          <w:lang w:val="en-GB"/>
        </w:rPr>
      </w:pPr>
      <w:r w:rsidRPr="00C5791B">
        <w:rPr>
          <w:rStyle w:val="Appelnotedebasdep"/>
          <w:rFonts w:ascii="Arial" w:hAnsi="Arial" w:cs="Arial"/>
        </w:rPr>
        <w:footnoteRef/>
      </w:r>
      <w:r w:rsidRPr="00C5791B">
        <w:rPr>
          <w:rFonts w:ascii="Arial" w:hAnsi="Arial" w:cs="Arial"/>
          <w:sz w:val="18"/>
          <w:szCs w:val="18"/>
          <w:lang w:val="en-GB"/>
        </w:rPr>
        <w:t xml:space="preserve">  See </w:t>
      </w:r>
      <w:hyperlink r:id="rId3" w:history="1">
        <w:r w:rsidRPr="00C5791B">
          <w:rPr>
            <w:rStyle w:val="Lienhypertexte"/>
            <w:rFonts w:ascii="Arial" w:hAnsi="Arial" w:cs="Arial"/>
            <w:bCs/>
            <w:sz w:val="18"/>
            <w:szCs w:val="18"/>
            <w:lang w:val="en-GB"/>
          </w:rPr>
          <w:t>CDDH(2019)R91</w:t>
        </w:r>
      </w:hyperlink>
      <w:r w:rsidRPr="00C5791B">
        <w:rPr>
          <w:rFonts w:ascii="Arial" w:hAnsi="Arial" w:cs="Arial"/>
          <w:sz w:val="18"/>
          <w:szCs w:val="18"/>
          <w:lang w:val="en-GB"/>
        </w:rPr>
        <w:t>, §§ 25-28.</w:t>
      </w:r>
    </w:p>
  </w:footnote>
  <w:footnote w:id="4">
    <w:p w14:paraId="5265043E" w14:textId="77777777" w:rsidR="000C68FA" w:rsidRPr="00C5791B" w:rsidRDefault="000C68FA" w:rsidP="002218C4">
      <w:pPr>
        <w:pStyle w:val="Sansinterligne"/>
        <w:spacing w:line="200" w:lineRule="exact"/>
        <w:rPr>
          <w:rFonts w:ascii="Arial" w:hAnsi="Arial" w:cs="Arial"/>
          <w:sz w:val="18"/>
          <w:szCs w:val="18"/>
          <w:lang w:val="en-GB"/>
        </w:rPr>
      </w:pPr>
      <w:r w:rsidRPr="00C5791B">
        <w:rPr>
          <w:rStyle w:val="Appelnotedebasdep"/>
          <w:rFonts w:ascii="Arial" w:hAnsi="Arial" w:cs="Arial"/>
        </w:rPr>
        <w:footnoteRef/>
      </w:r>
      <w:r w:rsidRPr="00C5791B">
        <w:rPr>
          <w:rFonts w:ascii="Arial" w:hAnsi="Arial" w:cs="Arial"/>
          <w:sz w:val="18"/>
          <w:szCs w:val="18"/>
          <w:lang w:val="en-GB"/>
        </w:rPr>
        <w:t xml:space="preserve">  See document </w:t>
      </w:r>
      <w:hyperlink r:id="rId4" w:history="1">
        <w:r w:rsidRPr="00C5791B">
          <w:rPr>
            <w:rStyle w:val="Lienhypertexte"/>
            <w:rFonts w:ascii="Arial" w:hAnsi="Arial" w:cs="Arial"/>
            <w:bCs/>
            <w:sz w:val="18"/>
            <w:szCs w:val="18"/>
            <w:lang w:val="en-GB"/>
          </w:rPr>
          <w:t>CDDH-BU(2019)R101 Addendum</w:t>
        </w:r>
      </w:hyperlink>
      <w:r w:rsidRPr="00C5791B">
        <w:rPr>
          <w:rFonts w:ascii="Arial" w:hAnsi="Arial" w:cs="Arial"/>
          <w:sz w:val="18"/>
          <w:szCs w:val="18"/>
          <w:lang w:val="en-GB"/>
        </w:rPr>
        <w:t xml:space="preserve"> of 12 June 2019, §§ 61-91 and Appendices I and II.</w:t>
      </w:r>
    </w:p>
  </w:footnote>
  <w:footnote w:id="5">
    <w:p w14:paraId="086091EC" w14:textId="77777777" w:rsidR="000C68FA" w:rsidRPr="00872D27" w:rsidRDefault="000C68FA" w:rsidP="002218C4">
      <w:pPr>
        <w:pStyle w:val="Sansinterligne"/>
        <w:spacing w:line="200" w:lineRule="exact"/>
        <w:rPr>
          <w:rFonts w:ascii="Arial" w:hAnsi="Arial" w:cs="Arial"/>
          <w:sz w:val="18"/>
          <w:szCs w:val="18"/>
          <w:lang w:val="en-GB"/>
        </w:rPr>
      </w:pPr>
      <w:r w:rsidRPr="00872D27">
        <w:rPr>
          <w:rStyle w:val="Appelnotedebasdep"/>
          <w:rFonts w:ascii="Arial" w:hAnsi="Arial" w:cs="Arial"/>
          <w:sz w:val="18"/>
          <w:szCs w:val="18"/>
        </w:rPr>
        <w:footnoteRef/>
      </w:r>
      <w:r w:rsidRPr="00872D27">
        <w:rPr>
          <w:rFonts w:ascii="Arial" w:hAnsi="Arial" w:cs="Arial"/>
          <w:sz w:val="18"/>
          <w:szCs w:val="18"/>
          <w:lang w:val="en-GB"/>
        </w:rPr>
        <w:t xml:space="preserve">  See document </w:t>
      </w:r>
      <w:hyperlink r:id="rId5" w:history="1">
        <w:r w:rsidRPr="00872D27">
          <w:rPr>
            <w:rStyle w:val="Lienhypertexte"/>
            <w:rFonts w:ascii="Arial" w:hAnsi="Arial" w:cs="Arial"/>
            <w:sz w:val="18"/>
            <w:szCs w:val="18"/>
            <w:lang w:val="en-GB"/>
          </w:rPr>
          <w:t>CDDH(2019)12</w:t>
        </w:r>
      </w:hyperlink>
      <w:r w:rsidRPr="00872D27">
        <w:rPr>
          <w:rFonts w:ascii="Arial" w:hAnsi="Arial" w:cs="Arial"/>
          <w:sz w:val="18"/>
          <w:szCs w:val="18"/>
          <w:lang w:val="en-GB"/>
        </w:rPr>
        <w:t>.</w:t>
      </w:r>
    </w:p>
  </w:footnote>
  <w:footnote w:id="6">
    <w:p w14:paraId="7BCAC493" w14:textId="77777777" w:rsidR="000C68FA" w:rsidRPr="00872D27" w:rsidRDefault="000C68FA" w:rsidP="002218C4">
      <w:pPr>
        <w:pStyle w:val="Sansinterligne"/>
        <w:spacing w:line="200" w:lineRule="exact"/>
        <w:rPr>
          <w:rFonts w:ascii="Arial" w:hAnsi="Arial" w:cs="Arial"/>
          <w:sz w:val="18"/>
          <w:szCs w:val="18"/>
          <w:lang w:val="en-GB"/>
        </w:rPr>
      </w:pPr>
      <w:r w:rsidRPr="00872D27">
        <w:rPr>
          <w:rStyle w:val="Appelnotedebasdep"/>
          <w:rFonts w:ascii="Arial" w:hAnsi="Arial" w:cs="Arial"/>
          <w:sz w:val="18"/>
          <w:szCs w:val="18"/>
        </w:rPr>
        <w:footnoteRef/>
      </w:r>
      <w:r w:rsidRPr="00872D27">
        <w:rPr>
          <w:rFonts w:ascii="Arial" w:hAnsi="Arial" w:cs="Arial"/>
          <w:sz w:val="18"/>
          <w:szCs w:val="18"/>
          <w:lang w:val="en-GB"/>
        </w:rPr>
        <w:t xml:space="preserve">  See for the redacted version of the report </w:t>
      </w:r>
      <w:r w:rsidRPr="00872D27">
        <w:rPr>
          <w:rFonts w:ascii="Arial" w:hAnsi="Arial" w:cs="Arial"/>
          <w:iCs/>
          <w:sz w:val="18"/>
          <w:szCs w:val="18"/>
          <w:lang w:val="en-GB"/>
        </w:rPr>
        <w:t xml:space="preserve">adopted by the Plenary of the Court on 18 June 2018 </w:t>
      </w:r>
      <w:r w:rsidRPr="00872D27">
        <w:rPr>
          <w:rFonts w:ascii="Arial" w:hAnsi="Arial" w:cs="Arial"/>
          <w:sz w:val="18"/>
          <w:szCs w:val="18"/>
          <w:lang w:val="en-GB"/>
        </w:rPr>
        <w:t xml:space="preserve">document </w:t>
      </w:r>
      <w:hyperlink r:id="rId6" w:history="1">
        <w:r w:rsidRPr="00872D27">
          <w:rPr>
            <w:rStyle w:val="Lienhypertexte"/>
            <w:rFonts w:ascii="Arial" w:hAnsi="Arial" w:cs="Arial"/>
            <w:sz w:val="18"/>
            <w:szCs w:val="18"/>
            <w:lang w:val="en-GB"/>
          </w:rPr>
          <w:t>CDDH(2019)22</w:t>
        </w:r>
      </w:hyperlink>
      <w:r w:rsidRPr="00872D27">
        <w:rPr>
          <w:rFonts w:ascii="Arial" w:hAnsi="Arial" w:cs="Arial"/>
          <w:sz w:val="18"/>
          <w:szCs w:val="18"/>
          <w:lang w:val="en-GB"/>
        </w:rPr>
        <w:t>.</w:t>
      </w:r>
    </w:p>
  </w:footnote>
  <w:footnote w:id="7">
    <w:p w14:paraId="2CE4444C" w14:textId="77777777" w:rsidR="000C68FA" w:rsidRPr="00872D27" w:rsidRDefault="000C68FA" w:rsidP="002218C4">
      <w:pPr>
        <w:pStyle w:val="Sansinterligne"/>
        <w:spacing w:line="200" w:lineRule="exact"/>
        <w:rPr>
          <w:rFonts w:ascii="Arial" w:hAnsi="Arial" w:cs="Arial"/>
          <w:sz w:val="18"/>
          <w:szCs w:val="18"/>
          <w:lang w:val="en-GB"/>
        </w:rPr>
      </w:pPr>
      <w:r w:rsidRPr="00872D27">
        <w:rPr>
          <w:rStyle w:val="Appelnotedebasdep"/>
          <w:rFonts w:ascii="Arial" w:hAnsi="Arial" w:cs="Arial"/>
          <w:sz w:val="18"/>
          <w:szCs w:val="18"/>
        </w:rPr>
        <w:footnoteRef/>
      </w:r>
      <w:r w:rsidRPr="00872D27">
        <w:rPr>
          <w:rFonts w:ascii="Arial" w:hAnsi="Arial" w:cs="Arial"/>
          <w:sz w:val="18"/>
          <w:szCs w:val="18"/>
          <w:lang w:val="en-GB"/>
        </w:rPr>
        <w:t>  </w:t>
      </w:r>
      <w:r w:rsidRPr="00872D27">
        <w:rPr>
          <w:rFonts w:ascii="Arial" w:hAnsi="Arial" w:cs="Arial"/>
          <w:iCs/>
          <w:sz w:val="18"/>
          <w:szCs w:val="18"/>
          <w:lang w:val="en-GB"/>
        </w:rPr>
        <w:t xml:space="preserve">Paragraphs 61-91 of document </w:t>
      </w:r>
      <w:hyperlink r:id="rId7" w:history="1">
        <w:r w:rsidRPr="00872D27">
          <w:rPr>
            <w:rStyle w:val="Lienhypertexte"/>
            <w:rFonts w:ascii="Arial" w:hAnsi="Arial" w:cs="Arial"/>
            <w:sz w:val="18"/>
            <w:szCs w:val="18"/>
            <w:lang w:val="en-GB"/>
          </w:rPr>
          <w:t>CDDH-BU(2019)R101 Addendum</w:t>
        </w:r>
      </w:hyperlink>
      <w:r w:rsidRPr="00872D27">
        <w:rPr>
          <w:rStyle w:val="Lienhypertexte"/>
          <w:rFonts w:ascii="Arial" w:hAnsi="Arial" w:cs="Arial"/>
          <w:sz w:val="18"/>
          <w:szCs w:val="18"/>
          <w:lang w:val="en-GB"/>
        </w:rPr>
        <w:t xml:space="preserve"> </w:t>
      </w:r>
      <w:r w:rsidRPr="00872D27">
        <w:rPr>
          <w:rFonts w:ascii="Arial" w:hAnsi="Arial" w:cs="Arial"/>
          <w:iCs/>
          <w:sz w:val="18"/>
          <w:szCs w:val="18"/>
          <w:lang w:val="en-GB"/>
        </w:rPr>
        <w:t xml:space="preserve">have not been provisionally adopted, see document </w:t>
      </w:r>
      <w:hyperlink r:id="rId8" w:history="1">
        <w:r w:rsidRPr="00872D27">
          <w:rPr>
            <w:rStyle w:val="Lienhypertexte"/>
            <w:rFonts w:ascii="Arial" w:hAnsi="Arial" w:cs="Arial"/>
            <w:sz w:val="18"/>
            <w:szCs w:val="18"/>
            <w:lang w:val="en-GB"/>
          </w:rPr>
          <w:t>CDDH(2019)R91</w:t>
        </w:r>
      </w:hyperlink>
      <w:r w:rsidRPr="00872D27">
        <w:rPr>
          <w:rFonts w:ascii="Arial" w:hAnsi="Arial" w:cs="Arial"/>
          <w:iCs/>
          <w:sz w:val="18"/>
          <w:szCs w:val="18"/>
          <w:lang w:val="en-GB"/>
        </w:rPr>
        <w:t>, §§ 25-28.</w:t>
      </w:r>
    </w:p>
  </w:footnote>
  <w:footnote w:id="8">
    <w:p w14:paraId="4C1CEC0E" w14:textId="77777777" w:rsidR="000C68FA" w:rsidRPr="00872D27" w:rsidRDefault="000C68FA" w:rsidP="002218C4">
      <w:pPr>
        <w:pStyle w:val="Sansinterligne"/>
        <w:spacing w:line="200" w:lineRule="exact"/>
        <w:rPr>
          <w:rFonts w:ascii="Arial" w:hAnsi="Arial" w:cs="Arial"/>
          <w:sz w:val="18"/>
          <w:szCs w:val="18"/>
          <w:lang w:val="en-US"/>
        </w:rPr>
      </w:pPr>
      <w:r w:rsidRPr="00872D27">
        <w:rPr>
          <w:rStyle w:val="Appelnotedebasdep"/>
          <w:rFonts w:ascii="Arial" w:hAnsi="Arial" w:cs="Arial"/>
          <w:sz w:val="18"/>
          <w:szCs w:val="18"/>
        </w:rPr>
        <w:footnoteRef/>
      </w:r>
      <w:r w:rsidRPr="00872D27">
        <w:rPr>
          <w:rFonts w:ascii="Arial" w:hAnsi="Arial" w:cs="Arial"/>
          <w:sz w:val="18"/>
          <w:szCs w:val="18"/>
          <w:lang w:val="en-US"/>
        </w:rPr>
        <w:t xml:space="preserve">  Ibid, document </w:t>
      </w:r>
      <w:hyperlink r:id="rId9" w:history="1">
        <w:r w:rsidRPr="00872D27">
          <w:rPr>
            <w:rStyle w:val="Lienhypertexte"/>
            <w:rFonts w:ascii="Arial" w:hAnsi="Arial" w:cs="Arial"/>
            <w:sz w:val="18"/>
            <w:szCs w:val="18"/>
            <w:lang w:val="en-US"/>
          </w:rPr>
          <w:t>CDDH(2019)R91</w:t>
        </w:r>
      </w:hyperlink>
      <w:r w:rsidRPr="00872D27">
        <w:rPr>
          <w:rFonts w:ascii="Arial" w:hAnsi="Arial" w:cs="Arial"/>
          <w:sz w:val="18"/>
          <w:szCs w:val="18"/>
          <w:lang w:val="en-US"/>
        </w:rPr>
        <w:t>, §§ 25-28.</w:t>
      </w:r>
    </w:p>
  </w:footnote>
  <w:footnote w:id="9">
    <w:p w14:paraId="0C98A3C4" w14:textId="77777777" w:rsidR="000C68FA" w:rsidRPr="00872D27" w:rsidRDefault="000C68FA" w:rsidP="002218C4">
      <w:pPr>
        <w:pStyle w:val="Sansinterligne"/>
        <w:spacing w:line="200" w:lineRule="exact"/>
        <w:rPr>
          <w:rFonts w:ascii="Arial" w:hAnsi="Arial" w:cs="Arial"/>
          <w:sz w:val="18"/>
          <w:szCs w:val="18"/>
          <w:lang w:val="en-US"/>
        </w:rPr>
      </w:pPr>
      <w:r w:rsidRPr="00872D27">
        <w:rPr>
          <w:rStyle w:val="Appelnotedebasdep"/>
          <w:rFonts w:ascii="Arial" w:hAnsi="Arial" w:cs="Arial"/>
          <w:sz w:val="18"/>
          <w:szCs w:val="18"/>
        </w:rPr>
        <w:footnoteRef/>
      </w:r>
      <w:r w:rsidRPr="00872D27">
        <w:rPr>
          <w:rFonts w:ascii="Arial" w:hAnsi="Arial" w:cs="Arial"/>
          <w:sz w:val="18"/>
          <w:szCs w:val="18"/>
          <w:lang w:val="en-US"/>
        </w:rPr>
        <w:t xml:space="preserve"> See document </w:t>
      </w:r>
      <w:hyperlink r:id="rId10" w:history="1">
        <w:r w:rsidRPr="00872D27">
          <w:rPr>
            <w:rStyle w:val="Lienhypertexte"/>
            <w:rFonts w:ascii="Arial" w:hAnsi="Arial" w:cs="Arial"/>
            <w:iCs/>
            <w:sz w:val="18"/>
            <w:szCs w:val="18"/>
            <w:lang w:val="en-US"/>
          </w:rPr>
          <w:t>DH-SYSC-IV(2020)01</w:t>
        </w:r>
      </w:hyperlink>
      <w:r w:rsidRPr="00872D27">
        <w:rPr>
          <w:rFonts w:ascii="Arial" w:hAnsi="Arial" w:cs="Arial"/>
          <w:iCs/>
          <w:sz w:val="18"/>
          <w:szCs w:val="18"/>
          <w:lang w:val="en-US"/>
        </w:rPr>
        <w:t>.</w:t>
      </w:r>
    </w:p>
  </w:footnote>
  <w:footnote w:id="10">
    <w:p w14:paraId="56CF3F0A" w14:textId="77777777" w:rsidR="000C68FA" w:rsidRPr="00872D27" w:rsidRDefault="000C68FA" w:rsidP="002218C4">
      <w:pPr>
        <w:pStyle w:val="Sansinterligne"/>
        <w:spacing w:line="200" w:lineRule="exact"/>
        <w:rPr>
          <w:rFonts w:ascii="Arial" w:hAnsi="Arial" w:cs="Arial"/>
          <w:sz w:val="18"/>
          <w:szCs w:val="18"/>
          <w:lang w:val="en-GB"/>
        </w:rPr>
      </w:pPr>
      <w:r w:rsidRPr="00872D27">
        <w:rPr>
          <w:rStyle w:val="Appelnotedebasdep"/>
          <w:rFonts w:ascii="Arial" w:hAnsi="Arial" w:cs="Arial"/>
          <w:sz w:val="18"/>
          <w:szCs w:val="18"/>
        </w:rPr>
        <w:footnoteRef/>
      </w:r>
      <w:r w:rsidRPr="00872D27">
        <w:rPr>
          <w:rFonts w:ascii="Arial" w:hAnsi="Arial" w:cs="Arial"/>
          <w:sz w:val="18"/>
          <w:szCs w:val="18"/>
          <w:lang w:val="en-GB"/>
        </w:rPr>
        <w:t xml:space="preserve"> See document </w:t>
      </w:r>
      <w:hyperlink r:id="rId11" w:history="1">
        <w:r w:rsidRPr="00872D27">
          <w:rPr>
            <w:rStyle w:val="Lienhypertexte"/>
            <w:rFonts w:ascii="Arial" w:hAnsi="Arial" w:cs="Arial"/>
            <w:sz w:val="18"/>
            <w:szCs w:val="18"/>
            <w:lang w:val="en-GB"/>
          </w:rPr>
          <w:t>CDDH(2019)R92</w:t>
        </w:r>
      </w:hyperlink>
      <w:r w:rsidRPr="00872D27">
        <w:rPr>
          <w:rFonts w:ascii="Arial" w:hAnsi="Arial" w:cs="Arial"/>
          <w:sz w:val="18"/>
          <w:szCs w:val="18"/>
          <w:lang w:val="en-GB"/>
        </w:rPr>
        <w:t>.</w:t>
      </w:r>
    </w:p>
  </w:footnote>
  <w:footnote w:id="11">
    <w:p w14:paraId="67B23C3F" w14:textId="77777777" w:rsidR="000C68FA" w:rsidRPr="00872D27" w:rsidRDefault="000C68FA" w:rsidP="002218C4">
      <w:pPr>
        <w:pStyle w:val="SingleTxtG"/>
        <w:spacing w:after="0" w:line="200" w:lineRule="exact"/>
        <w:ind w:left="0"/>
        <w:rPr>
          <w:rFonts w:ascii="Arial" w:hAnsi="Arial" w:cs="Arial"/>
          <w:sz w:val="18"/>
          <w:szCs w:val="18"/>
        </w:rPr>
      </w:pPr>
      <w:r w:rsidRPr="00872D27">
        <w:rPr>
          <w:rStyle w:val="Appelnotedebasdep"/>
          <w:rFonts w:ascii="Arial" w:hAnsi="Arial" w:cs="Arial"/>
          <w:sz w:val="18"/>
          <w:szCs w:val="18"/>
        </w:rPr>
        <w:footnoteRef/>
      </w:r>
      <w:r w:rsidRPr="00872D27">
        <w:rPr>
          <w:rFonts w:ascii="Arial" w:hAnsi="Arial" w:cs="Arial"/>
          <w:sz w:val="18"/>
          <w:szCs w:val="18"/>
        </w:rPr>
        <w:t xml:space="preserve"> See document </w:t>
      </w:r>
      <w:hyperlink r:id="rId12" w:history="1">
        <w:r w:rsidRPr="00872D27">
          <w:rPr>
            <w:rStyle w:val="Lienhypertexte"/>
            <w:rFonts w:ascii="Arial" w:hAnsi="Arial" w:cs="Arial"/>
            <w:sz w:val="18"/>
            <w:szCs w:val="18"/>
          </w:rPr>
          <w:t>CDDH(2019)R92Addendum2</w:t>
        </w:r>
      </w:hyperlink>
    </w:p>
  </w:footnote>
  <w:footnote w:id="12">
    <w:p w14:paraId="3BBE2004" w14:textId="77777777" w:rsidR="000C68FA" w:rsidRPr="00872D27" w:rsidRDefault="000C68FA" w:rsidP="002218C4">
      <w:pPr>
        <w:pStyle w:val="SingleTxtG"/>
        <w:spacing w:after="0" w:line="200" w:lineRule="exact"/>
        <w:ind w:left="0"/>
        <w:rPr>
          <w:rFonts w:ascii="Arial" w:hAnsi="Arial" w:cs="Arial"/>
          <w:sz w:val="18"/>
          <w:szCs w:val="18"/>
        </w:rPr>
      </w:pPr>
      <w:r w:rsidRPr="00872D27">
        <w:rPr>
          <w:rStyle w:val="Appelnotedebasdep"/>
          <w:rFonts w:ascii="Arial" w:hAnsi="Arial" w:cs="Arial"/>
          <w:sz w:val="18"/>
          <w:szCs w:val="18"/>
        </w:rPr>
        <w:footnoteRef/>
      </w:r>
      <w:r w:rsidRPr="00872D27">
        <w:rPr>
          <w:rFonts w:ascii="Arial" w:hAnsi="Arial" w:cs="Arial"/>
          <w:sz w:val="18"/>
          <w:szCs w:val="18"/>
        </w:rPr>
        <w:t xml:space="preserve"> See document </w:t>
      </w:r>
      <w:hyperlink r:id="rId13" w:history="1">
        <w:r w:rsidRPr="00872D27">
          <w:rPr>
            <w:rStyle w:val="Lienhypertexte"/>
            <w:rFonts w:ascii="Arial" w:hAnsi="Arial" w:cs="Arial"/>
            <w:sz w:val="18"/>
            <w:szCs w:val="18"/>
          </w:rPr>
          <w:t>CDDH(2019)R92Addendum1</w:t>
        </w:r>
      </w:hyperlink>
      <w:r w:rsidRPr="00872D27">
        <w:rPr>
          <w:rStyle w:val="Lienhypertexte"/>
          <w:rFonts w:ascii="Arial" w:hAnsi="Arial" w:cs="Arial"/>
          <w:color w:val="161616"/>
          <w:sz w:val="18"/>
          <w:szCs w:val="18"/>
        </w:rPr>
        <w:t>.</w:t>
      </w:r>
    </w:p>
  </w:footnote>
  <w:footnote w:id="13">
    <w:p w14:paraId="07DF1F36" w14:textId="77777777" w:rsidR="000C68FA" w:rsidRPr="00872D27" w:rsidRDefault="000C68FA" w:rsidP="002218C4">
      <w:pPr>
        <w:pStyle w:val="SingleTxtG"/>
        <w:spacing w:after="0" w:line="200" w:lineRule="exact"/>
        <w:ind w:left="0"/>
        <w:rPr>
          <w:rFonts w:ascii="Arial" w:hAnsi="Arial" w:cs="Arial"/>
          <w:sz w:val="18"/>
          <w:szCs w:val="18"/>
        </w:rPr>
      </w:pPr>
      <w:r w:rsidRPr="00872D27">
        <w:rPr>
          <w:rStyle w:val="Appelnotedebasdep"/>
          <w:rFonts w:ascii="Arial" w:hAnsi="Arial" w:cs="Arial"/>
          <w:sz w:val="18"/>
          <w:szCs w:val="18"/>
        </w:rPr>
        <w:footnoteRef/>
      </w:r>
      <w:r w:rsidRPr="00872D27">
        <w:rPr>
          <w:rFonts w:ascii="Arial" w:hAnsi="Arial" w:cs="Arial"/>
          <w:sz w:val="18"/>
          <w:szCs w:val="18"/>
        </w:rPr>
        <w:t xml:space="preserve"> See Ministers’ Deputies decision at the </w:t>
      </w:r>
      <w:r w:rsidRPr="00872D27">
        <w:rPr>
          <w:rStyle w:val="lev"/>
          <w:rFonts w:ascii="Arial" w:hAnsi="Arial" w:cs="Arial"/>
          <w:b w:val="0"/>
          <w:bCs w:val="0"/>
          <w:sz w:val="18"/>
          <w:szCs w:val="18"/>
        </w:rPr>
        <w:t>1363</w:t>
      </w:r>
      <w:r w:rsidRPr="00872D27">
        <w:rPr>
          <w:rStyle w:val="lev"/>
          <w:rFonts w:ascii="Arial" w:hAnsi="Arial" w:cs="Arial"/>
          <w:b w:val="0"/>
          <w:bCs w:val="0"/>
          <w:sz w:val="18"/>
          <w:szCs w:val="18"/>
          <w:vertAlign w:val="superscript"/>
        </w:rPr>
        <w:t>rd</w:t>
      </w:r>
      <w:r w:rsidRPr="00872D27">
        <w:rPr>
          <w:rStyle w:val="lev"/>
          <w:rFonts w:ascii="Arial" w:hAnsi="Arial" w:cs="Arial"/>
          <w:b w:val="0"/>
          <w:bCs w:val="0"/>
          <w:sz w:val="18"/>
          <w:szCs w:val="18"/>
        </w:rPr>
        <w:t xml:space="preserve"> meeting, 11 December 2019, document</w:t>
      </w:r>
      <w:r w:rsidRPr="00872D27">
        <w:rPr>
          <w:rStyle w:val="lev"/>
          <w:rFonts w:ascii="Arial" w:hAnsi="Arial" w:cs="Arial"/>
          <w:sz w:val="18"/>
          <w:szCs w:val="18"/>
        </w:rPr>
        <w:t xml:space="preserve"> </w:t>
      </w:r>
      <w:hyperlink r:id="rId14" w:history="1">
        <w:r w:rsidRPr="00872D27">
          <w:rPr>
            <w:rStyle w:val="Lienhypertexte"/>
            <w:rFonts w:ascii="Arial" w:hAnsi="Arial" w:cs="Arial"/>
            <w:sz w:val="18"/>
            <w:szCs w:val="18"/>
          </w:rPr>
          <w:t>CM/Del/Dec(2019)1363/4.2b</w:t>
        </w:r>
      </w:hyperlink>
      <w:r w:rsidRPr="00872D27">
        <w:rPr>
          <w:rStyle w:val="lev"/>
          <w:rFonts w:ascii="Arial" w:hAnsi="Arial" w:cs="Arial"/>
          <w:color w:val="333333"/>
          <w:sz w:val="18"/>
          <w:szCs w:val="18"/>
        </w:rPr>
        <w:t xml:space="preserve"> </w:t>
      </w:r>
    </w:p>
  </w:footnote>
  <w:footnote w:id="14">
    <w:p w14:paraId="15BD015C" w14:textId="77777777" w:rsidR="000C68FA" w:rsidRPr="00CC6667" w:rsidRDefault="000C68FA" w:rsidP="002218C4">
      <w:pPr>
        <w:pStyle w:val="SingleTxtG"/>
        <w:spacing w:after="0" w:line="200" w:lineRule="exact"/>
        <w:ind w:left="0"/>
        <w:rPr>
          <w:rFonts w:ascii="Arial" w:hAnsi="Arial" w:cs="Arial"/>
          <w:sz w:val="18"/>
          <w:szCs w:val="18"/>
        </w:rPr>
      </w:pPr>
      <w:r w:rsidRPr="00560F13">
        <w:rPr>
          <w:rStyle w:val="Appelnotedebasdep"/>
          <w:rFonts w:ascii="Arial" w:hAnsi="Arial" w:cs="Arial"/>
        </w:rPr>
        <w:footnoteRef/>
      </w:r>
      <w:r w:rsidRPr="00CC6667">
        <w:rPr>
          <w:rFonts w:ascii="Arial" w:hAnsi="Arial" w:cs="Arial"/>
          <w:sz w:val="18"/>
          <w:szCs w:val="18"/>
        </w:rPr>
        <w:t xml:space="preserve"> See document </w:t>
      </w:r>
      <w:hyperlink r:id="rId15" w:history="1">
        <w:r w:rsidRPr="00CC6667">
          <w:rPr>
            <w:rStyle w:val="Lienhypertexte"/>
            <w:rFonts w:ascii="Arial" w:eastAsiaTheme="minorHAnsi" w:hAnsi="Arial" w:cs="Arial"/>
            <w:sz w:val="18"/>
            <w:szCs w:val="18"/>
            <w:lang w:eastAsia="en-US"/>
          </w:rPr>
          <w:t>DD(2020)34E</w:t>
        </w:r>
      </w:hyperlink>
      <w:r w:rsidRPr="00CC6667">
        <w:rPr>
          <w:rFonts w:ascii="Arial" w:hAnsi="Arial" w:cs="Arial"/>
          <w:sz w:val="18"/>
          <w:szCs w:val="18"/>
        </w:rPr>
        <w:t>.</w:t>
      </w:r>
    </w:p>
  </w:footnote>
  <w:footnote w:id="15">
    <w:p w14:paraId="0EE9D661" w14:textId="77777777" w:rsidR="000C68FA" w:rsidRPr="00CC6667" w:rsidRDefault="000C68FA" w:rsidP="002218C4">
      <w:pPr>
        <w:pStyle w:val="SingleTxtG"/>
        <w:spacing w:after="0" w:line="200" w:lineRule="exact"/>
        <w:ind w:left="0"/>
        <w:rPr>
          <w:rFonts w:ascii="Arial" w:hAnsi="Arial" w:cs="Arial"/>
          <w:sz w:val="18"/>
          <w:szCs w:val="18"/>
        </w:rPr>
      </w:pPr>
      <w:r w:rsidRPr="00560F13">
        <w:rPr>
          <w:rStyle w:val="Appelnotedebasdep"/>
          <w:rFonts w:ascii="Arial" w:hAnsi="Arial" w:cs="Arial"/>
        </w:rPr>
        <w:footnoteRef/>
      </w:r>
      <w:r w:rsidRPr="00CC6667">
        <w:rPr>
          <w:rFonts w:ascii="Arial" w:hAnsi="Arial" w:cs="Arial"/>
          <w:sz w:val="18"/>
          <w:szCs w:val="18"/>
        </w:rPr>
        <w:t xml:space="preserve"> See document </w:t>
      </w:r>
      <w:hyperlink r:id="rId16" w:history="1">
        <w:r w:rsidRPr="00CC6667">
          <w:rPr>
            <w:rStyle w:val="Lienhypertexte"/>
            <w:rFonts w:ascii="Arial" w:eastAsiaTheme="majorEastAsia" w:hAnsi="Arial" w:cs="Arial"/>
            <w:sz w:val="18"/>
            <w:szCs w:val="18"/>
          </w:rPr>
          <w:t>CM/Del/Dec(2020)130/4</w:t>
        </w:r>
      </w:hyperlink>
      <w:r w:rsidRPr="00CC6667">
        <w:rPr>
          <w:rFonts w:ascii="Arial" w:hAnsi="Arial" w:cs="Arial"/>
          <w:sz w:val="18"/>
          <w:szCs w:val="18"/>
        </w:rPr>
        <w:t>.</w:t>
      </w:r>
    </w:p>
  </w:footnote>
  <w:footnote w:id="16">
    <w:p w14:paraId="3BD2044E" w14:textId="77777777" w:rsidR="000C68FA" w:rsidRPr="00CC6667" w:rsidRDefault="000C68FA" w:rsidP="002218C4">
      <w:pPr>
        <w:pStyle w:val="SingleTxtG"/>
        <w:spacing w:after="0" w:line="200" w:lineRule="exact"/>
        <w:ind w:left="0"/>
        <w:rPr>
          <w:rFonts w:ascii="Arial" w:hAnsi="Arial" w:cs="Arial"/>
          <w:sz w:val="18"/>
          <w:szCs w:val="18"/>
        </w:rPr>
      </w:pPr>
      <w:r w:rsidRPr="00560F13">
        <w:rPr>
          <w:rStyle w:val="Appelnotedebasdep"/>
          <w:rFonts w:ascii="Arial" w:hAnsi="Arial" w:cs="Arial"/>
        </w:rPr>
        <w:footnoteRef/>
      </w:r>
      <w:r w:rsidRPr="00CC6667">
        <w:rPr>
          <w:rFonts w:ascii="Arial" w:hAnsi="Arial" w:cs="Arial"/>
          <w:sz w:val="18"/>
          <w:szCs w:val="18"/>
        </w:rPr>
        <w:t xml:space="preserve"> See document </w:t>
      </w:r>
      <w:hyperlink r:id="rId17" w:history="1">
        <w:r w:rsidRPr="00CC6667">
          <w:rPr>
            <w:rStyle w:val="Lienhypertexte"/>
            <w:rFonts w:ascii="Arial" w:eastAsiaTheme="majorEastAsia" w:hAnsi="Arial" w:cs="Arial"/>
            <w:sz w:val="18"/>
            <w:szCs w:val="18"/>
          </w:rPr>
          <w:t>CM/Del/Dec(2020)130/4</w:t>
        </w:r>
      </w:hyperlink>
      <w:r w:rsidRPr="00CC6667">
        <w:rPr>
          <w:rFonts w:ascii="Arial" w:hAnsi="Arial" w:cs="Arial"/>
          <w:sz w:val="18"/>
          <w:szCs w:val="18"/>
        </w:rPr>
        <w:t>, paragraph 1.</w:t>
      </w:r>
    </w:p>
  </w:footnote>
  <w:footnote w:id="17">
    <w:p w14:paraId="02FBFF9A" w14:textId="77777777" w:rsidR="000C68FA" w:rsidRPr="00A4296E" w:rsidRDefault="000C68FA" w:rsidP="002218C4">
      <w:pPr>
        <w:pStyle w:val="Notedebasdepage"/>
        <w:spacing w:line="200" w:lineRule="exact"/>
        <w:rPr>
          <w:rFonts w:ascii="Arial" w:hAnsi="Arial" w:cs="Arial"/>
          <w:strike/>
          <w:sz w:val="18"/>
          <w:szCs w:val="18"/>
          <w:lang w:val="en-US"/>
        </w:rPr>
      </w:pPr>
      <w:r w:rsidRPr="00A4296E">
        <w:rPr>
          <w:rFonts w:ascii="Arial" w:hAnsi="Arial" w:cs="Arial"/>
          <w:vertAlign w:val="superscript"/>
          <w:lang w:val="en-GB"/>
        </w:rPr>
        <w:t>1</w:t>
      </w:r>
      <w:r w:rsidRPr="00A4296E">
        <w:rPr>
          <w:rFonts w:ascii="Arial" w:hAnsi="Arial" w:cs="Arial"/>
          <w:sz w:val="18"/>
          <w:szCs w:val="18"/>
          <w:vertAlign w:val="superscript"/>
          <w:lang w:val="en-GB"/>
        </w:rPr>
        <w:t>7</w:t>
      </w:r>
      <w:r w:rsidRPr="00A4296E">
        <w:rPr>
          <w:rFonts w:ascii="Arial" w:hAnsi="Arial" w:cs="Arial"/>
          <w:sz w:val="18"/>
          <w:szCs w:val="18"/>
          <w:lang w:val="en-GB"/>
        </w:rPr>
        <w:t xml:space="preserve"> The full list of inter-State applications is available at </w:t>
      </w:r>
      <w:hyperlink r:id="rId18" w:history="1">
        <w:r w:rsidRPr="00A4296E">
          <w:rPr>
            <w:rFonts w:ascii="Arial" w:hAnsi="Arial" w:cs="Arial"/>
            <w:lang w:val="en-GB"/>
          </w:rPr>
          <w:t>https://echr.coe.int/Documents/InterState_applications_ENG.pdf</w:t>
        </w:r>
      </w:hyperlink>
      <w:r w:rsidRPr="00A4296E">
        <w:rPr>
          <w:rFonts w:ascii="Arial" w:hAnsi="Arial" w:cs="Arial"/>
          <w:lang w:val="en-US"/>
        </w:rPr>
        <w:t xml:space="preserve"> </w:t>
      </w:r>
    </w:p>
  </w:footnote>
  <w:footnote w:id="18">
    <w:p w14:paraId="18897391" w14:textId="77777777" w:rsidR="000C68FA" w:rsidRPr="00143A0E" w:rsidRDefault="000C68FA" w:rsidP="002218C4">
      <w:pPr>
        <w:pStyle w:val="Notedebasdepage"/>
        <w:spacing w:line="200" w:lineRule="exact"/>
        <w:rPr>
          <w:rFonts w:ascii="Arial" w:hAnsi="Arial" w:cs="Arial"/>
          <w:sz w:val="18"/>
          <w:szCs w:val="18"/>
          <w:lang w:val="en-GB"/>
        </w:rPr>
      </w:pPr>
      <w:r w:rsidRPr="00143A0E">
        <w:rPr>
          <w:rStyle w:val="Appelnotedebasdep"/>
          <w:rFonts w:ascii="Arial" w:hAnsi="Arial" w:cs="Arial"/>
          <w:sz w:val="18"/>
          <w:szCs w:val="18"/>
        </w:rPr>
        <w:footnoteRef/>
      </w:r>
      <w:r w:rsidRPr="00143A0E">
        <w:rPr>
          <w:rFonts w:ascii="Arial" w:hAnsi="Arial" w:cs="Arial"/>
          <w:sz w:val="18"/>
          <w:szCs w:val="18"/>
          <w:lang w:val="en-GB"/>
        </w:rPr>
        <w:t xml:space="preserve"> The data is provided by the Registry of the Court, see appendix. This report takes the view that the link between such applications for purposes of their processing is established by the Court.</w:t>
      </w:r>
    </w:p>
  </w:footnote>
  <w:footnote w:id="19">
    <w:p w14:paraId="6C233321" w14:textId="77777777" w:rsidR="000C68FA" w:rsidRPr="00143A0E" w:rsidRDefault="000C68FA" w:rsidP="002218C4">
      <w:pPr>
        <w:pStyle w:val="SingleTxtG"/>
        <w:spacing w:after="0" w:line="200" w:lineRule="exact"/>
        <w:ind w:left="0" w:right="0"/>
        <w:rPr>
          <w:rFonts w:ascii="Arial" w:hAnsi="Arial" w:cs="Arial"/>
          <w:sz w:val="18"/>
          <w:szCs w:val="18"/>
        </w:rPr>
      </w:pPr>
      <w:r w:rsidRPr="00143A0E">
        <w:rPr>
          <w:rStyle w:val="Appelnotedebasdep"/>
          <w:rFonts w:ascii="Arial" w:hAnsi="Arial" w:cs="Arial"/>
          <w:sz w:val="18"/>
          <w:szCs w:val="18"/>
        </w:rPr>
        <w:footnoteRef/>
      </w:r>
      <w:r w:rsidRPr="00143A0E">
        <w:rPr>
          <w:rFonts w:ascii="Arial" w:hAnsi="Arial" w:cs="Arial"/>
          <w:sz w:val="18"/>
          <w:szCs w:val="18"/>
        </w:rPr>
        <w:t xml:space="preserve"> See document </w:t>
      </w:r>
      <w:hyperlink r:id="rId19" w:history="1">
        <w:r w:rsidRPr="00143A0E">
          <w:rPr>
            <w:rStyle w:val="Lienhypertexte"/>
            <w:rFonts w:ascii="Arial" w:hAnsi="Arial" w:cs="Arial"/>
            <w:sz w:val="18"/>
            <w:szCs w:val="18"/>
          </w:rPr>
          <w:t>CDDH(2019)22</w:t>
        </w:r>
      </w:hyperlink>
      <w:r w:rsidRPr="00143A0E">
        <w:rPr>
          <w:rFonts w:ascii="Arial" w:hAnsi="Arial" w:cs="Arial"/>
          <w:sz w:val="18"/>
          <w:szCs w:val="18"/>
        </w:rPr>
        <w:t xml:space="preserve"> § 4. See document </w:t>
      </w:r>
      <w:hyperlink r:id="rId20" w:history="1">
        <w:r w:rsidRPr="00143A0E">
          <w:rPr>
            <w:rStyle w:val="Lienhypertexte"/>
            <w:rFonts w:ascii="Arial" w:eastAsiaTheme="minorHAnsi" w:hAnsi="Arial" w:cs="Arial"/>
            <w:sz w:val="18"/>
            <w:szCs w:val="18"/>
            <w:lang w:eastAsia="en-US"/>
          </w:rPr>
          <w:t>DD(2020)34E</w:t>
        </w:r>
      </w:hyperlink>
      <w:r w:rsidRPr="00143A0E">
        <w:rPr>
          <w:rStyle w:val="Lienhypertexte"/>
          <w:rFonts w:ascii="Arial" w:eastAsiaTheme="minorHAnsi" w:hAnsi="Arial" w:cs="Arial"/>
          <w:sz w:val="18"/>
          <w:szCs w:val="18"/>
          <w:lang w:eastAsia="en-US"/>
        </w:rPr>
        <w:t>, § 18.</w:t>
      </w:r>
    </w:p>
  </w:footnote>
  <w:footnote w:id="20">
    <w:p w14:paraId="1D6D6556" w14:textId="77777777" w:rsidR="000C68FA" w:rsidRPr="00143A0E" w:rsidRDefault="000C68FA" w:rsidP="002218C4">
      <w:pPr>
        <w:pStyle w:val="SingleTxtG"/>
        <w:spacing w:after="0" w:line="200" w:lineRule="exact"/>
        <w:ind w:left="0" w:right="0"/>
        <w:rPr>
          <w:rFonts w:ascii="Arial" w:hAnsi="Arial" w:cs="Arial"/>
          <w:sz w:val="18"/>
          <w:szCs w:val="18"/>
        </w:rPr>
      </w:pPr>
      <w:r w:rsidRPr="00143A0E">
        <w:rPr>
          <w:rStyle w:val="Appelnotedebasdep"/>
          <w:rFonts w:ascii="Arial" w:hAnsi="Arial" w:cs="Arial"/>
          <w:sz w:val="18"/>
          <w:szCs w:val="18"/>
        </w:rPr>
        <w:footnoteRef/>
      </w:r>
      <w:r w:rsidRPr="00143A0E">
        <w:rPr>
          <w:rFonts w:ascii="Arial" w:hAnsi="Arial" w:cs="Arial"/>
          <w:sz w:val="18"/>
          <w:szCs w:val="18"/>
        </w:rPr>
        <w:t xml:space="preserve"> See the </w:t>
      </w:r>
      <w:hyperlink r:id="rId21" w:history="1">
        <w:r w:rsidRPr="00143A0E">
          <w:rPr>
            <w:rStyle w:val="Lienhypertexte"/>
            <w:rFonts w:ascii="Arial" w:hAnsi="Arial" w:cs="Arial"/>
            <w:sz w:val="18"/>
            <w:szCs w:val="18"/>
          </w:rPr>
          <w:t>Copenhagen Declaration</w:t>
        </w:r>
      </w:hyperlink>
      <w:r w:rsidRPr="00143A0E">
        <w:rPr>
          <w:rFonts w:ascii="Arial" w:hAnsi="Arial" w:cs="Arial"/>
          <w:sz w:val="18"/>
          <w:szCs w:val="18"/>
        </w:rPr>
        <w:t>, § 45.</w:t>
      </w:r>
    </w:p>
  </w:footnote>
  <w:footnote w:id="21">
    <w:p w14:paraId="08D560E6" w14:textId="77777777" w:rsidR="000C68FA" w:rsidRPr="00143A0E" w:rsidRDefault="000C68FA" w:rsidP="002218C4">
      <w:pPr>
        <w:pStyle w:val="SingleTxtG"/>
        <w:spacing w:after="0" w:line="200" w:lineRule="exact"/>
        <w:ind w:left="0" w:right="0"/>
        <w:rPr>
          <w:rFonts w:ascii="Arial" w:hAnsi="Arial" w:cs="Arial"/>
          <w:sz w:val="18"/>
          <w:szCs w:val="18"/>
        </w:rPr>
      </w:pPr>
      <w:r w:rsidRPr="00143A0E">
        <w:rPr>
          <w:rStyle w:val="Appelnotedebasdep"/>
          <w:rFonts w:ascii="Arial" w:hAnsi="Arial" w:cs="Arial"/>
          <w:sz w:val="18"/>
          <w:szCs w:val="18"/>
        </w:rPr>
        <w:footnoteRef/>
      </w:r>
      <w:r w:rsidRPr="00143A0E">
        <w:rPr>
          <w:rFonts w:ascii="Arial" w:hAnsi="Arial" w:cs="Arial"/>
          <w:sz w:val="18"/>
          <w:szCs w:val="18"/>
        </w:rPr>
        <w:t xml:space="preserve"> See also document </w:t>
      </w:r>
      <w:hyperlink r:id="rId22" w:history="1">
        <w:r w:rsidRPr="00143A0E">
          <w:rPr>
            <w:rStyle w:val="Lienhypertexte"/>
            <w:rFonts w:ascii="Arial" w:hAnsi="Arial" w:cs="Arial"/>
            <w:sz w:val="18"/>
            <w:szCs w:val="18"/>
          </w:rPr>
          <w:t>CDDH(2019)22</w:t>
        </w:r>
      </w:hyperlink>
      <w:r w:rsidRPr="00143A0E">
        <w:rPr>
          <w:rFonts w:ascii="Arial" w:hAnsi="Arial" w:cs="Arial"/>
          <w:sz w:val="18"/>
          <w:szCs w:val="18"/>
        </w:rPr>
        <w:t>, paragraph 20.</w:t>
      </w:r>
    </w:p>
  </w:footnote>
  <w:footnote w:id="22">
    <w:p w14:paraId="7CF3040F" w14:textId="77777777" w:rsidR="000C68FA" w:rsidRPr="00143A0E" w:rsidRDefault="000C68FA" w:rsidP="002218C4">
      <w:pPr>
        <w:pStyle w:val="SingleTxtG"/>
        <w:spacing w:after="0" w:line="200" w:lineRule="exact"/>
        <w:ind w:left="0" w:right="0"/>
        <w:rPr>
          <w:rFonts w:ascii="Arial" w:hAnsi="Arial" w:cs="Arial"/>
          <w:sz w:val="18"/>
          <w:szCs w:val="18"/>
        </w:rPr>
      </w:pPr>
      <w:r w:rsidRPr="00143A0E">
        <w:rPr>
          <w:rStyle w:val="Appelnotedebasdep"/>
          <w:rFonts w:ascii="Arial" w:hAnsi="Arial" w:cs="Arial"/>
          <w:sz w:val="18"/>
          <w:szCs w:val="18"/>
        </w:rPr>
        <w:footnoteRef/>
      </w:r>
      <w:r w:rsidRPr="00143A0E">
        <w:rPr>
          <w:rFonts w:ascii="Arial" w:hAnsi="Arial" w:cs="Arial"/>
          <w:sz w:val="18"/>
          <w:szCs w:val="18"/>
        </w:rPr>
        <w:t xml:space="preserve"> See document </w:t>
      </w:r>
      <w:hyperlink r:id="rId23" w:history="1">
        <w:r w:rsidRPr="00143A0E">
          <w:rPr>
            <w:rStyle w:val="Lienhypertexte"/>
            <w:rFonts w:ascii="Arial" w:hAnsi="Arial" w:cs="Arial"/>
            <w:bCs/>
            <w:sz w:val="18"/>
            <w:szCs w:val="18"/>
          </w:rPr>
          <w:t>CDDH-BU(2019)R101 Addendum</w:t>
        </w:r>
      </w:hyperlink>
      <w:r w:rsidRPr="00143A0E">
        <w:rPr>
          <w:rFonts w:ascii="Arial" w:hAnsi="Arial" w:cs="Arial"/>
          <w:sz w:val="18"/>
          <w:szCs w:val="18"/>
        </w:rPr>
        <w:t>, paragraph 87.</w:t>
      </w:r>
    </w:p>
  </w:footnote>
  <w:footnote w:id="23">
    <w:p w14:paraId="11EFAF9C" w14:textId="77777777" w:rsidR="000C68FA" w:rsidRPr="00143A0E" w:rsidRDefault="000C68FA" w:rsidP="002218C4">
      <w:pPr>
        <w:pStyle w:val="SingleTxtG"/>
        <w:spacing w:after="0" w:line="200" w:lineRule="exact"/>
        <w:ind w:left="0" w:right="0"/>
        <w:rPr>
          <w:rFonts w:ascii="Arial" w:hAnsi="Arial" w:cs="Arial"/>
          <w:sz w:val="18"/>
          <w:szCs w:val="18"/>
        </w:rPr>
      </w:pPr>
      <w:r w:rsidRPr="00143A0E">
        <w:rPr>
          <w:rStyle w:val="Appelnotedebasdep"/>
          <w:rFonts w:ascii="Arial" w:hAnsi="Arial" w:cs="Arial"/>
          <w:sz w:val="18"/>
          <w:szCs w:val="18"/>
        </w:rPr>
        <w:footnoteRef/>
      </w:r>
      <w:r w:rsidRPr="00143A0E">
        <w:rPr>
          <w:rFonts w:ascii="Arial" w:hAnsi="Arial" w:cs="Arial"/>
          <w:sz w:val="18"/>
          <w:szCs w:val="18"/>
        </w:rPr>
        <w:t xml:space="preserve"> See document </w:t>
      </w:r>
      <w:hyperlink r:id="rId24" w:history="1">
        <w:r w:rsidRPr="00143A0E">
          <w:rPr>
            <w:rStyle w:val="Lienhypertexte"/>
            <w:rFonts w:ascii="Arial" w:hAnsi="Arial" w:cs="Arial"/>
            <w:sz w:val="18"/>
            <w:szCs w:val="18"/>
          </w:rPr>
          <w:t>CDDH(2019)22</w:t>
        </w:r>
      </w:hyperlink>
      <w:r w:rsidRPr="00143A0E">
        <w:rPr>
          <w:rFonts w:ascii="Arial" w:hAnsi="Arial" w:cs="Arial"/>
          <w:sz w:val="18"/>
          <w:szCs w:val="18"/>
        </w:rPr>
        <w:t>, § 31.</w:t>
      </w:r>
    </w:p>
  </w:footnote>
  <w:footnote w:id="24">
    <w:p w14:paraId="3330A666" w14:textId="77777777" w:rsidR="000C68FA" w:rsidRPr="00143A0E" w:rsidRDefault="000C68FA" w:rsidP="002218C4">
      <w:pPr>
        <w:autoSpaceDE w:val="0"/>
        <w:autoSpaceDN w:val="0"/>
        <w:adjustRightInd w:val="0"/>
        <w:spacing w:line="200" w:lineRule="exact"/>
        <w:rPr>
          <w:rFonts w:ascii="Arial" w:hAnsi="Arial" w:cs="Arial"/>
          <w:color w:val="000000"/>
          <w:sz w:val="18"/>
          <w:szCs w:val="18"/>
          <w:lang w:val="en-GB"/>
        </w:rPr>
      </w:pPr>
      <w:r w:rsidRPr="00143A0E">
        <w:rPr>
          <w:rStyle w:val="Appelnotedebasdep"/>
          <w:rFonts w:ascii="Arial" w:hAnsi="Arial" w:cs="Arial"/>
          <w:sz w:val="18"/>
          <w:szCs w:val="18"/>
        </w:rPr>
        <w:footnoteRef/>
      </w:r>
      <w:r w:rsidRPr="00143A0E">
        <w:rPr>
          <w:rFonts w:ascii="Arial" w:hAnsi="Arial" w:cs="Arial"/>
          <w:sz w:val="18"/>
          <w:szCs w:val="18"/>
          <w:lang w:val="en-GB"/>
        </w:rPr>
        <w:t xml:space="preserve"> See compilation of comments in document </w:t>
      </w:r>
      <w:bookmarkStart w:id="14" w:name="_Hlk51753840"/>
      <w:r w:rsidRPr="00143A0E">
        <w:rPr>
          <w:rFonts w:ascii="Arial" w:hAnsi="Arial" w:cs="Arial"/>
          <w:color w:val="000000"/>
          <w:sz w:val="18"/>
          <w:szCs w:val="18"/>
          <w:lang w:val="en-GB"/>
        </w:rPr>
        <w:t>DH-SYSC-IV(2020)06REV</w:t>
      </w:r>
      <w:bookmarkEnd w:id="14"/>
      <w:r w:rsidRPr="00143A0E">
        <w:rPr>
          <w:rFonts w:ascii="Arial" w:hAnsi="Arial" w:cs="Arial"/>
          <w:color w:val="000000"/>
          <w:sz w:val="18"/>
          <w:szCs w:val="18"/>
          <w:lang w:val="en-GB"/>
        </w:rPr>
        <w:t>.</w:t>
      </w:r>
    </w:p>
  </w:footnote>
  <w:footnote w:id="25">
    <w:p w14:paraId="6C6C6FC4" w14:textId="77777777" w:rsidR="000C68FA" w:rsidRPr="00143A0E" w:rsidRDefault="000C68FA" w:rsidP="002218C4">
      <w:pPr>
        <w:pStyle w:val="Notedebasdepage"/>
        <w:spacing w:line="200" w:lineRule="exact"/>
        <w:rPr>
          <w:rFonts w:ascii="Arial" w:hAnsi="Arial" w:cs="Arial"/>
          <w:sz w:val="18"/>
          <w:szCs w:val="18"/>
          <w:lang w:val="en-GB"/>
        </w:rPr>
      </w:pPr>
      <w:r w:rsidRPr="00143A0E">
        <w:rPr>
          <w:rStyle w:val="Appelnotedebasdep"/>
          <w:rFonts w:ascii="Arial" w:hAnsi="Arial" w:cs="Arial"/>
          <w:sz w:val="18"/>
          <w:szCs w:val="18"/>
        </w:rPr>
        <w:footnoteRef/>
      </w:r>
      <w:r w:rsidRPr="00143A0E">
        <w:rPr>
          <w:rFonts w:ascii="Arial" w:hAnsi="Arial" w:cs="Arial"/>
          <w:sz w:val="18"/>
          <w:szCs w:val="18"/>
          <w:lang w:val="en-GB"/>
        </w:rPr>
        <w:t xml:space="preserve"> See document CDDH(2020)R93.</w:t>
      </w:r>
    </w:p>
  </w:footnote>
  <w:footnote w:id="26">
    <w:p w14:paraId="1708B4CE" w14:textId="77777777" w:rsidR="000C68FA" w:rsidRPr="00143A0E" w:rsidRDefault="000C68FA" w:rsidP="002218C4">
      <w:pPr>
        <w:pStyle w:val="SingleTxtG"/>
        <w:spacing w:after="0" w:line="200" w:lineRule="exact"/>
        <w:ind w:left="0"/>
        <w:rPr>
          <w:rFonts w:ascii="Arial" w:hAnsi="Arial" w:cs="Arial"/>
          <w:sz w:val="18"/>
          <w:szCs w:val="18"/>
        </w:rPr>
      </w:pPr>
      <w:r w:rsidRPr="00143A0E">
        <w:rPr>
          <w:rStyle w:val="Appelnotedebasdep"/>
          <w:rFonts w:ascii="Arial" w:hAnsi="Arial" w:cs="Arial"/>
          <w:sz w:val="18"/>
          <w:szCs w:val="18"/>
        </w:rPr>
        <w:footnoteRef/>
      </w:r>
      <w:r w:rsidRPr="00143A0E">
        <w:rPr>
          <w:rFonts w:ascii="Arial" w:hAnsi="Arial" w:cs="Arial"/>
          <w:sz w:val="18"/>
          <w:szCs w:val="18"/>
        </w:rPr>
        <w:t xml:space="preserve"> </w:t>
      </w:r>
      <w:hyperlink r:id="rId25" w:history="1">
        <w:r w:rsidRPr="00143A0E">
          <w:rPr>
            <w:rStyle w:val="Lienhypertexte"/>
            <w:rFonts w:ascii="Arial" w:hAnsi="Arial" w:cs="Arial"/>
            <w:i/>
            <w:sz w:val="18"/>
            <w:szCs w:val="18"/>
          </w:rPr>
          <w:t>Austria v. Italy</w:t>
        </w:r>
      </w:hyperlink>
      <w:r w:rsidRPr="00143A0E">
        <w:rPr>
          <w:rFonts w:ascii="Arial" w:hAnsi="Arial" w:cs="Arial"/>
          <w:sz w:val="18"/>
          <w:szCs w:val="18"/>
        </w:rPr>
        <w:t>, no.788/60, decision of 11 January 1961, page 20.</w:t>
      </w:r>
    </w:p>
  </w:footnote>
  <w:footnote w:id="27">
    <w:p w14:paraId="440D0D64" w14:textId="77777777" w:rsidR="000C68FA" w:rsidRPr="00C5791B" w:rsidRDefault="000C68FA" w:rsidP="002218C4">
      <w:pPr>
        <w:pStyle w:val="SingleTxtG"/>
        <w:spacing w:after="0" w:line="200" w:lineRule="exact"/>
        <w:ind w:left="0"/>
        <w:rPr>
          <w:rFonts w:ascii="Arial" w:hAnsi="Arial" w:cs="Arial"/>
          <w:sz w:val="18"/>
          <w:szCs w:val="18"/>
        </w:rPr>
      </w:pPr>
      <w:r w:rsidRPr="00C5791B">
        <w:rPr>
          <w:rStyle w:val="Appelnotedebasdep"/>
          <w:rFonts w:ascii="Arial" w:hAnsi="Arial" w:cs="Arial"/>
        </w:rPr>
        <w:footnoteRef/>
      </w:r>
      <w:r w:rsidRPr="00C5791B">
        <w:rPr>
          <w:rFonts w:ascii="Arial" w:hAnsi="Arial" w:cs="Arial"/>
          <w:sz w:val="18"/>
          <w:szCs w:val="18"/>
        </w:rPr>
        <w:t xml:space="preserve"> Ibid.</w:t>
      </w:r>
    </w:p>
  </w:footnote>
  <w:footnote w:id="28">
    <w:p w14:paraId="43C784E7" w14:textId="77777777" w:rsidR="000C68FA" w:rsidRPr="00C5791B" w:rsidRDefault="000C68FA" w:rsidP="002218C4">
      <w:pPr>
        <w:pStyle w:val="SingleTxtG"/>
        <w:spacing w:after="0" w:line="200" w:lineRule="exact"/>
        <w:ind w:left="0"/>
        <w:rPr>
          <w:rFonts w:ascii="Arial" w:hAnsi="Arial" w:cs="Arial"/>
          <w:sz w:val="18"/>
          <w:szCs w:val="18"/>
        </w:rPr>
      </w:pPr>
      <w:r w:rsidRPr="00C5791B">
        <w:rPr>
          <w:rStyle w:val="Appelnotedebasdep"/>
          <w:rFonts w:ascii="Arial" w:hAnsi="Arial" w:cs="Arial"/>
        </w:rPr>
        <w:footnoteRef/>
      </w:r>
      <w:r w:rsidRPr="00C5791B">
        <w:rPr>
          <w:rFonts w:ascii="Arial" w:hAnsi="Arial" w:cs="Arial"/>
          <w:sz w:val="18"/>
          <w:szCs w:val="18"/>
        </w:rPr>
        <w:t xml:space="preserve"> Ibid., page 19.</w:t>
      </w:r>
    </w:p>
  </w:footnote>
  <w:footnote w:id="29">
    <w:p w14:paraId="58426802" w14:textId="77777777" w:rsidR="000C68FA" w:rsidRPr="00C5791B" w:rsidRDefault="000C68FA" w:rsidP="002218C4">
      <w:pPr>
        <w:pStyle w:val="SingleTxtG"/>
        <w:spacing w:after="0" w:line="200" w:lineRule="exact"/>
        <w:ind w:left="0"/>
        <w:rPr>
          <w:rFonts w:ascii="Arial" w:hAnsi="Arial" w:cs="Arial"/>
          <w:sz w:val="18"/>
          <w:szCs w:val="18"/>
        </w:rPr>
      </w:pPr>
      <w:r w:rsidRPr="00C5791B">
        <w:rPr>
          <w:rStyle w:val="Appelnotedebasdep"/>
          <w:rFonts w:ascii="Arial" w:hAnsi="Arial" w:cs="Arial"/>
        </w:rPr>
        <w:footnoteRef/>
      </w:r>
      <w:r w:rsidRPr="00C5791B">
        <w:rPr>
          <w:rFonts w:ascii="Arial" w:hAnsi="Arial" w:cs="Arial"/>
          <w:sz w:val="18"/>
          <w:szCs w:val="18"/>
        </w:rPr>
        <w:t xml:space="preserve"> Ibid.</w:t>
      </w:r>
    </w:p>
  </w:footnote>
  <w:footnote w:id="30">
    <w:p w14:paraId="069D099E" w14:textId="77777777" w:rsidR="000C68FA" w:rsidRPr="00C5791B" w:rsidRDefault="000C68FA" w:rsidP="002218C4">
      <w:pPr>
        <w:pStyle w:val="SingleTxtG"/>
        <w:spacing w:after="0" w:line="200" w:lineRule="exact"/>
        <w:ind w:left="0"/>
        <w:rPr>
          <w:rFonts w:ascii="Arial" w:hAnsi="Arial" w:cs="Arial"/>
          <w:sz w:val="18"/>
          <w:szCs w:val="18"/>
        </w:rPr>
      </w:pPr>
      <w:r w:rsidRPr="00C5791B">
        <w:rPr>
          <w:rStyle w:val="Appelnotedebasdep"/>
          <w:rFonts w:ascii="Arial" w:hAnsi="Arial" w:cs="Arial"/>
        </w:rPr>
        <w:footnoteRef/>
      </w:r>
      <w:r w:rsidRPr="00C5791B">
        <w:rPr>
          <w:rFonts w:ascii="Arial" w:hAnsi="Arial" w:cs="Arial"/>
          <w:sz w:val="18"/>
          <w:szCs w:val="18"/>
        </w:rPr>
        <w:t xml:space="preserve"> See the </w:t>
      </w:r>
      <w:hyperlink r:id="rId26" w:history="1">
        <w:r w:rsidRPr="00C5791B">
          <w:rPr>
            <w:rStyle w:val="Lienhypertexte"/>
            <w:rFonts w:ascii="Arial" w:hAnsi="Arial" w:cs="Arial"/>
            <w:sz w:val="18"/>
            <w:szCs w:val="18"/>
          </w:rPr>
          <w:t>Copenhagen Declaration</w:t>
        </w:r>
      </w:hyperlink>
      <w:r w:rsidRPr="00C5791B">
        <w:rPr>
          <w:rFonts w:ascii="Arial" w:hAnsi="Arial" w:cs="Arial"/>
          <w:sz w:val="18"/>
          <w:szCs w:val="18"/>
        </w:rPr>
        <w:t xml:space="preserve">, §1. See also the speech delivered by Jean-Paul Costa (President of the Court from 19 January 2007 to 3 November 2011) at the High-level Conference of Interlaken (18-19 February 2010), available in the </w:t>
      </w:r>
      <w:hyperlink r:id="rId27" w:history="1">
        <w:r w:rsidRPr="00C5791B">
          <w:rPr>
            <w:rStyle w:val="Lienhypertexte"/>
            <w:rFonts w:ascii="Arial" w:hAnsi="Arial" w:cs="Arial"/>
            <w:sz w:val="18"/>
            <w:szCs w:val="18"/>
          </w:rPr>
          <w:t>proceedings</w:t>
        </w:r>
      </w:hyperlink>
      <w:r w:rsidRPr="00C5791B">
        <w:rPr>
          <w:rFonts w:ascii="Arial" w:hAnsi="Arial" w:cs="Arial"/>
          <w:sz w:val="18"/>
          <w:szCs w:val="18"/>
        </w:rPr>
        <w:t xml:space="preserve"> of the Conference, page 21.</w:t>
      </w:r>
    </w:p>
  </w:footnote>
  <w:footnote w:id="31">
    <w:p w14:paraId="5186B3A9" w14:textId="77777777" w:rsidR="000C68FA" w:rsidRPr="00C5791B" w:rsidRDefault="000C68FA" w:rsidP="002218C4">
      <w:pPr>
        <w:pStyle w:val="SingleTxtG"/>
        <w:spacing w:after="0" w:line="200" w:lineRule="exact"/>
        <w:ind w:left="0" w:right="0"/>
        <w:rPr>
          <w:rFonts w:ascii="Arial" w:hAnsi="Arial" w:cs="Arial"/>
          <w:sz w:val="18"/>
          <w:szCs w:val="18"/>
        </w:rPr>
      </w:pPr>
      <w:r w:rsidRPr="00C5791B">
        <w:rPr>
          <w:rStyle w:val="Appelnotedebasdep"/>
          <w:rFonts w:ascii="Arial" w:hAnsi="Arial" w:cs="Arial"/>
        </w:rPr>
        <w:footnoteRef/>
      </w:r>
      <w:r w:rsidRPr="00C5791B">
        <w:rPr>
          <w:rFonts w:ascii="Arial" w:hAnsi="Arial" w:cs="Arial"/>
          <w:sz w:val="18"/>
          <w:szCs w:val="18"/>
        </w:rPr>
        <w:t xml:space="preserve"> </w:t>
      </w:r>
      <w:bookmarkStart w:id="19" w:name="_Hlk62804374"/>
      <w:r w:rsidRPr="00C5791B">
        <w:fldChar w:fldCharType="begin"/>
      </w:r>
      <w:r w:rsidRPr="00C5791B">
        <w:rPr>
          <w:rFonts w:ascii="Arial" w:hAnsi="Arial" w:cs="Arial"/>
          <w:sz w:val="18"/>
          <w:szCs w:val="18"/>
        </w:rPr>
        <w:instrText xml:space="preserve"> HYPERLINK "http://hudoc.echr.coe.int/eng?i=001-207622" </w:instrText>
      </w:r>
      <w:r w:rsidRPr="00C5791B">
        <w:fldChar w:fldCharType="separate"/>
      </w:r>
      <w:r w:rsidRPr="00C5791B">
        <w:rPr>
          <w:rStyle w:val="Lienhypertexte"/>
          <w:rFonts w:ascii="Arial" w:hAnsi="Arial" w:cs="Arial"/>
          <w:i/>
          <w:iCs/>
          <w:color w:val="auto"/>
          <w:sz w:val="18"/>
          <w:szCs w:val="18"/>
        </w:rPr>
        <w:t>Ukraine v. Russia</w:t>
      </w:r>
      <w:r w:rsidRPr="00C5791B">
        <w:rPr>
          <w:rStyle w:val="Lienhypertexte"/>
          <w:rFonts w:ascii="Arial" w:hAnsi="Arial" w:cs="Arial"/>
          <w:i/>
          <w:iCs/>
          <w:color w:val="auto"/>
          <w:sz w:val="18"/>
          <w:szCs w:val="18"/>
        </w:rPr>
        <w:fldChar w:fldCharType="end"/>
      </w:r>
      <w:r w:rsidRPr="00C5791B">
        <w:rPr>
          <w:rFonts w:ascii="Arial" w:hAnsi="Arial" w:cs="Arial"/>
          <w:i/>
          <w:iCs/>
          <w:sz w:val="18"/>
          <w:szCs w:val="18"/>
        </w:rPr>
        <w:t xml:space="preserve"> (dec) [GC]</w:t>
      </w:r>
      <w:r w:rsidRPr="00C5791B">
        <w:rPr>
          <w:rFonts w:ascii="Arial" w:hAnsi="Arial" w:cs="Arial"/>
          <w:sz w:val="18"/>
          <w:szCs w:val="18"/>
        </w:rPr>
        <w:t>, nos. 20958/14 and 38334/18, § 235, 16 December 2020.</w:t>
      </w:r>
    </w:p>
    <w:bookmarkEnd w:id="19"/>
  </w:footnote>
  <w:footnote w:id="32">
    <w:p w14:paraId="37A73C40" w14:textId="77777777" w:rsidR="000C68FA" w:rsidRPr="00C5791B" w:rsidRDefault="000C68FA" w:rsidP="002218C4">
      <w:pPr>
        <w:pStyle w:val="SingleTxtG"/>
        <w:spacing w:after="0" w:line="200" w:lineRule="exact"/>
        <w:ind w:left="0" w:right="0"/>
        <w:rPr>
          <w:rFonts w:ascii="Arial" w:hAnsi="Arial" w:cs="Arial"/>
          <w:sz w:val="18"/>
          <w:szCs w:val="18"/>
        </w:rPr>
      </w:pPr>
      <w:r w:rsidRPr="00C5791B">
        <w:rPr>
          <w:rStyle w:val="Appelnotedebasdep"/>
          <w:rFonts w:ascii="Arial" w:hAnsi="Arial" w:cs="Arial"/>
        </w:rPr>
        <w:footnoteRef/>
      </w:r>
      <w:r w:rsidRPr="00C5791B">
        <w:rPr>
          <w:rFonts w:ascii="Arial" w:hAnsi="Arial" w:cs="Arial"/>
          <w:sz w:val="18"/>
          <w:szCs w:val="18"/>
        </w:rPr>
        <w:t xml:space="preserve"> </w:t>
      </w:r>
      <w:hyperlink r:id="rId28" w:history="1">
        <w:r w:rsidRPr="00C5791B">
          <w:rPr>
            <w:rStyle w:val="Lienhypertexte"/>
            <w:rFonts w:ascii="Arial" w:hAnsi="Arial" w:cs="Arial"/>
            <w:i/>
            <w:iCs/>
            <w:color w:val="auto"/>
            <w:sz w:val="18"/>
            <w:szCs w:val="18"/>
          </w:rPr>
          <w:t>Ukraine v. Russia</w:t>
        </w:r>
      </w:hyperlink>
      <w:r w:rsidRPr="00C5791B">
        <w:rPr>
          <w:rFonts w:ascii="Arial" w:hAnsi="Arial" w:cs="Arial"/>
          <w:i/>
          <w:iCs/>
          <w:sz w:val="18"/>
          <w:szCs w:val="18"/>
        </w:rPr>
        <w:t xml:space="preserve"> (dec) [GC]</w:t>
      </w:r>
      <w:r w:rsidRPr="00C5791B">
        <w:rPr>
          <w:rFonts w:ascii="Arial" w:hAnsi="Arial" w:cs="Arial"/>
          <w:sz w:val="18"/>
          <w:szCs w:val="18"/>
        </w:rPr>
        <w:t>, nos. 20958/14 and 38334/18, § 238, 16 December 2020.</w:t>
      </w:r>
    </w:p>
  </w:footnote>
  <w:footnote w:id="33">
    <w:p w14:paraId="25BF45A2" w14:textId="77777777" w:rsidR="000C68FA" w:rsidRPr="00C5791B" w:rsidRDefault="000C68FA" w:rsidP="002218C4">
      <w:pPr>
        <w:pStyle w:val="SingleTxtG"/>
        <w:spacing w:after="0" w:line="200" w:lineRule="exact"/>
        <w:ind w:left="0" w:right="0"/>
        <w:rPr>
          <w:rFonts w:ascii="Arial" w:hAnsi="Arial" w:cs="Arial"/>
          <w:sz w:val="18"/>
          <w:szCs w:val="18"/>
        </w:rPr>
      </w:pPr>
      <w:r w:rsidRPr="00C5791B">
        <w:rPr>
          <w:rStyle w:val="Appelnotedebasdep"/>
          <w:rFonts w:ascii="Arial" w:hAnsi="Arial" w:cs="Arial"/>
        </w:rPr>
        <w:footnoteRef/>
      </w:r>
      <w:r w:rsidRPr="00C5791B">
        <w:rPr>
          <w:rFonts w:ascii="Arial" w:hAnsi="Arial" w:cs="Arial"/>
          <w:b/>
          <w:bCs/>
          <w:sz w:val="18"/>
          <w:szCs w:val="18"/>
        </w:rPr>
        <w:t xml:space="preserve"> </w:t>
      </w:r>
      <w:bookmarkStart w:id="20" w:name="_Hlk62738402"/>
      <w:r w:rsidRPr="00C5791B">
        <w:fldChar w:fldCharType="begin"/>
      </w:r>
      <w:r w:rsidRPr="00C5791B">
        <w:rPr>
          <w:rFonts w:ascii="Arial" w:hAnsi="Arial" w:cs="Arial"/>
          <w:sz w:val="18"/>
          <w:szCs w:val="18"/>
        </w:rPr>
        <w:instrText xml:space="preserve"> HYPERLINK "http://hudoc.echr.coe.int/eng?i=001-207757" </w:instrText>
      </w:r>
      <w:r w:rsidRPr="00C5791B">
        <w:fldChar w:fldCharType="separate"/>
      </w:r>
      <w:r w:rsidRPr="00C5791B">
        <w:rPr>
          <w:rStyle w:val="Lienhypertexte"/>
          <w:rFonts w:ascii="Arial" w:hAnsi="Arial" w:cs="Arial"/>
          <w:i/>
          <w:iCs/>
          <w:color w:val="auto"/>
          <w:sz w:val="18"/>
          <w:szCs w:val="18"/>
        </w:rPr>
        <w:t>Georgia v. Russia</w:t>
      </w:r>
      <w:r w:rsidRPr="00C5791B">
        <w:rPr>
          <w:rStyle w:val="Lienhypertexte"/>
          <w:rFonts w:ascii="Arial" w:hAnsi="Arial" w:cs="Arial"/>
          <w:i/>
          <w:iCs/>
          <w:color w:val="auto"/>
          <w:sz w:val="18"/>
          <w:szCs w:val="18"/>
        </w:rPr>
        <w:fldChar w:fldCharType="end"/>
      </w:r>
      <w:r w:rsidRPr="00C5791B">
        <w:rPr>
          <w:rFonts w:ascii="Arial" w:hAnsi="Arial" w:cs="Arial"/>
          <w:sz w:val="18"/>
          <w:szCs w:val="18"/>
        </w:rPr>
        <w:t xml:space="preserve"> (II)</w:t>
      </w:r>
      <w:r w:rsidRPr="00C5791B">
        <w:rPr>
          <w:rFonts w:ascii="Arial" w:hAnsi="Arial" w:cs="Arial"/>
          <w:i/>
          <w:iCs/>
          <w:sz w:val="18"/>
          <w:szCs w:val="18"/>
        </w:rPr>
        <w:t xml:space="preserve"> </w:t>
      </w:r>
      <w:r w:rsidRPr="00C5791B">
        <w:rPr>
          <w:rFonts w:ascii="Arial" w:hAnsi="Arial" w:cs="Arial"/>
          <w:sz w:val="18"/>
          <w:szCs w:val="18"/>
        </w:rPr>
        <w:t xml:space="preserve">(merits) </w:t>
      </w:r>
      <w:r w:rsidRPr="00C5791B">
        <w:rPr>
          <w:rFonts w:ascii="Arial" w:hAnsi="Arial" w:cs="Arial"/>
          <w:i/>
          <w:iCs/>
          <w:sz w:val="18"/>
          <w:szCs w:val="18"/>
        </w:rPr>
        <w:t>[GC]</w:t>
      </w:r>
      <w:r w:rsidRPr="00C5791B">
        <w:rPr>
          <w:rFonts w:ascii="Arial" w:hAnsi="Arial" w:cs="Arial"/>
          <w:sz w:val="18"/>
          <w:szCs w:val="18"/>
        </w:rPr>
        <w:t xml:space="preserve"> no. 38263/08, § 100, 21 January 2021.</w:t>
      </w:r>
      <w:bookmarkEnd w:id="20"/>
    </w:p>
  </w:footnote>
  <w:footnote w:id="34">
    <w:p w14:paraId="35DF1E49" w14:textId="77777777" w:rsidR="000C68FA" w:rsidRPr="00560F13" w:rsidRDefault="000C68FA" w:rsidP="002218C4">
      <w:pPr>
        <w:pStyle w:val="SingleTxtG"/>
        <w:spacing w:after="0" w:line="200" w:lineRule="exact"/>
        <w:ind w:left="0" w:right="0"/>
        <w:rPr>
          <w:rFonts w:ascii="Arial" w:hAnsi="Arial" w:cs="Arial"/>
          <w:b/>
          <w:bCs/>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9" w:history="1">
        <w:r w:rsidRPr="00560F13">
          <w:rPr>
            <w:rStyle w:val="Lienhypertexte"/>
            <w:rFonts w:ascii="Arial" w:hAnsi="Arial" w:cs="Arial"/>
            <w:i/>
            <w:iCs/>
            <w:color w:val="auto"/>
            <w:sz w:val="18"/>
            <w:szCs w:val="18"/>
          </w:rPr>
          <w:t>Georgia v. Russia</w:t>
        </w:r>
      </w:hyperlink>
      <w:r w:rsidRPr="00560F13">
        <w:rPr>
          <w:rFonts w:ascii="Arial" w:hAnsi="Arial" w:cs="Arial"/>
          <w:sz w:val="18"/>
          <w:szCs w:val="18"/>
        </w:rPr>
        <w:t xml:space="preserve"> (II)</w:t>
      </w:r>
      <w:r w:rsidRPr="00560F13">
        <w:rPr>
          <w:rFonts w:ascii="Arial" w:hAnsi="Arial" w:cs="Arial"/>
          <w:i/>
          <w:iCs/>
          <w:sz w:val="18"/>
          <w:szCs w:val="18"/>
        </w:rPr>
        <w:t xml:space="preserve"> </w:t>
      </w:r>
      <w:r w:rsidRPr="00560F13">
        <w:rPr>
          <w:rFonts w:ascii="Arial" w:hAnsi="Arial" w:cs="Arial"/>
          <w:sz w:val="18"/>
          <w:szCs w:val="18"/>
        </w:rPr>
        <w:t>(merits)</w:t>
      </w:r>
      <w:r w:rsidRPr="00560F13">
        <w:rPr>
          <w:rFonts w:ascii="Arial" w:hAnsi="Arial" w:cs="Arial"/>
          <w:i/>
          <w:iCs/>
          <w:sz w:val="18"/>
          <w:szCs w:val="18"/>
        </w:rPr>
        <w:t xml:space="preserve"> [GC</w:t>
      </w:r>
      <w:r w:rsidRPr="00560F13">
        <w:rPr>
          <w:rFonts w:ascii="Arial" w:hAnsi="Arial" w:cs="Arial"/>
          <w:i/>
          <w:sz w:val="18"/>
          <w:szCs w:val="18"/>
        </w:rPr>
        <w:t>]</w:t>
      </w:r>
      <w:r w:rsidRPr="00560F13">
        <w:rPr>
          <w:rFonts w:ascii="Arial" w:hAnsi="Arial" w:cs="Arial"/>
          <w:sz w:val="18"/>
          <w:szCs w:val="18"/>
        </w:rPr>
        <w:t xml:space="preserve"> no. 38263/08, § 101, 21 January 2021.</w:t>
      </w:r>
    </w:p>
  </w:footnote>
  <w:footnote w:id="35">
    <w:p w14:paraId="4B99A678"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r w:rsidRPr="00560F13">
        <w:rPr>
          <w:rFonts w:ascii="Arial" w:hAnsi="Arial" w:cs="Arial"/>
          <w:i/>
          <w:iCs/>
          <w:sz w:val="18"/>
          <w:szCs w:val="18"/>
          <w:u w:val="single"/>
        </w:rPr>
        <w:t>France, Norway, Denmark, Sweden and the Netherlands v. Turkey</w:t>
      </w:r>
      <w:r w:rsidRPr="00560F13">
        <w:rPr>
          <w:rFonts w:ascii="Arial" w:hAnsi="Arial" w:cs="Arial"/>
          <w:sz w:val="18"/>
          <w:szCs w:val="18"/>
        </w:rPr>
        <w:t xml:space="preserve">, nos. 9940-9944/82, Commission decision of 6 December 1983, Decisions and Reports 35, p. 163, § 19; </w:t>
      </w:r>
      <w:hyperlink r:id="rId30" w:history="1">
        <w:r w:rsidRPr="00560F13">
          <w:rPr>
            <w:rStyle w:val="Lienhypertexte"/>
            <w:rFonts w:ascii="Arial" w:hAnsi="Arial" w:cs="Arial"/>
            <w:i/>
            <w:color w:val="auto"/>
            <w:sz w:val="18"/>
            <w:szCs w:val="18"/>
          </w:rPr>
          <w:t>Ireland v. United Kingdom</w:t>
        </w:r>
      </w:hyperlink>
      <w:r w:rsidRPr="00560F13">
        <w:rPr>
          <w:rFonts w:ascii="Arial" w:hAnsi="Arial" w:cs="Arial"/>
          <w:sz w:val="18"/>
          <w:szCs w:val="18"/>
        </w:rPr>
        <w:t xml:space="preserve">, no. 5310/71, § 159, 18 January 1978; </w:t>
      </w:r>
      <w:hyperlink r:id="rId31" w:history="1">
        <w:r w:rsidRPr="00560F13">
          <w:rPr>
            <w:rStyle w:val="Lienhypertexte"/>
            <w:rFonts w:ascii="Arial" w:hAnsi="Arial" w:cs="Arial"/>
            <w:i/>
            <w:iCs/>
            <w:color w:val="auto"/>
            <w:sz w:val="18"/>
            <w:szCs w:val="18"/>
          </w:rPr>
          <w:t>Cyprus v. Turkey (merits) [GC]</w:t>
        </w:r>
      </w:hyperlink>
      <w:r w:rsidRPr="00560F13">
        <w:rPr>
          <w:rFonts w:ascii="Arial" w:hAnsi="Arial" w:cs="Arial"/>
          <w:sz w:val="18"/>
          <w:szCs w:val="18"/>
        </w:rPr>
        <w:t xml:space="preserve">, no.25781/94, § 99, 10 May 2001; </w:t>
      </w:r>
      <w:hyperlink r:id="rId32" w:history="1">
        <w:r w:rsidRPr="00560F13">
          <w:rPr>
            <w:rStyle w:val="Lienhypertexte"/>
            <w:rFonts w:ascii="Arial" w:hAnsi="Arial" w:cs="Arial"/>
            <w:i/>
            <w:iCs/>
            <w:color w:val="auto"/>
            <w:sz w:val="18"/>
            <w:szCs w:val="18"/>
          </w:rPr>
          <w:t>Georgia v. Russia (I) [GC]</w:t>
        </w:r>
      </w:hyperlink>
      <w:r w:rsidRPr="00560F13">
        <w:rPr>
          <w:rFonts w:ascii="Arial" w:hAnsi="Arial" w:cs="Arial"/>
          <w:sz w:val="18"/>
          <w:szCs w:val="18"/>
        </w:rPr>
        <w:t xml:space="preserve">, no.13255/07, 3 July 2014, §§ 122-124; See also </w:t>
      </w:r>
      <w:hyperlink r:id="rId33"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w:t>
      </w:r>
      <w:r w:rsidRPr="00560F13">
        <w:rPr>
          <w:rFonts w:ascii="Arial" w:hAnsi="Arial" w:cs="Arial"/>
          <w:sz w:val="18"/>
          <w:szCs w:val="18"/>
        </w:rPr>
        <w:t>, nos. 20958/14 and 38334/18 § 363, 14 January 2021;</w:t>
      </w:r>
      <w:r w:rsidRPr="00560F13">
        <w:rPr>
          <w:rFonts w:ascii="Arial" w:hAnsi="Arial" w:cs="Arial"/>
          <w:i/>
          <w:iCs/>
          <w:sz w:val="18"/>
          <w:szCs w:val="18"/>
        </w:rPr>
        <w:t xml:space="preserve"> </w:t>
      </w:r>
      <w:hyperlink r:id="rId34" w:history="1">
        <w:r w:rsidRPr="00560F13">
          <w:rPr>
            <w:rStyle w:val="Lienhypertexte"/>
            <w:rFonts w:ascii="Arial" w:hAnsi="Arial" w:cs="Arial"/>
            <w:i/>
            <w:iCs/>
            <w:color w:val="auto"/>
            <w:sz w:val="18"/>
            <w:szCs w:val="18"/>
          </w:rPr>
          <w:t>Georgia v. Russia</w:t>
        </w:r>
      </w:hyperlink>
      <w:r w:rsidRPr="00560F13">
        <w:rPr>
          <w:rFonts w:ascii="Arial" w:hAnsi="Arial" w:cs="Arial"/>
          <w:sz w:val="18"/>
          <w:szCs w:val="18"/>
        </w:rPr>
        <w:t xml:space="preserve"> (II) (merits) </w:t>
      </w:r>
      <w:r w:rsidRPr="00560F13">
        <w:rPr>
          <w:rFonts w:ascii="Arial" w:hAnsi="Arial" w:cs="Arial"/>
          <w:i/>
          <w:iCs/>
          <w:sz w:val="18"/>
          <w:szCs w:val="18"/>
        </w:rPr>
        <w:t xml:space="preserve">[GC] </w:t>
      </w:r>
      <w:r w:rsidRPr="00560F13">
        <w:rPr>
          <w:rFonts w:ascii="Arial" w:hAnsi="Arial" w:cs="Arial"/>
          <w:sz w:val="18"/>
          <w:szCs w:val="18"/>
        </w:rPr>
        <w:t>no. 38263/08, § 102, 21 January 2021.</w:t>
      </w:r>
    </w:p>
  </w:footnote>
  <w:footnote w:id="36">
    <w:p w14:paraId="60941C2A"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35" w:history="1">
        <w:r w:rsidRPr="00560F13">
          <w:rPr>
            <w:rStyle w:val="Lienhypertexte"/>
            <w:rFonts w:ascii="Arial" w:hAnsi="Arial" w:cs="Arial"/>
            <w:i/>
            <w:iCs/>
            <w:color w:val="auto"/>
            <w:sz w:val="18"/>
            <w:szCs w:val="18"/>
          </w:rPr>
          <w:t>Georgia v. Russia</w:t>
        </w:r>
      </w:hyperlink>
      <w:r w:rsidRPr="00560F13">
        <w:rPr>
          <w:rFonts w:ascii="Arial" w:hAnsi="Arial" w:cs="Arial"/>
          <w:sz w:val="18"/>
          <w:szCs w:val="18"/>
        </w:rPr>
        <w:t xml:space="preserve"> (II) (merits) </w:t>
      </w:r>
      <w:r w:rsidRPr="00560F13">
        <w:rPr>
          <w:rFonts w:ascii="Arial" w:hAnsi="Arial" w:cs="Arial"/>
          <w:i/>
          <w:iCs/>
          <w:sz w:val="18"/>
          <w:szCs w:val="18"/>
        </w:rPr>
        <w:t>[GC]</w:t>
      </w:r>
      <w:r w:rsidRPr="00560F13">
        <w:rPr>
          <w:rFonts w:ascii="Arial" w:hAnsi="Arial" w:cs="Arial"/>
          <w:sz w:val="18"/>
          <w:szCs w:val="18"/>
        </w:rPr>
        <w:t xml:space="preserve"> no. 38263/08, § 102, 21 January 2021.</w:t>
      </w:r>
    </w:p>
  </w:footnote>
  <w:footnote w:id="37">
    <w:p w14:paraId="2D09578B"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36"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 [GC]</w:t>
      </w:r>
      <w:r w:rsidRPr="00560F13">
        <w:rPr>
          <w:rFonts w:ascii="Arial" w:hAnsi="Arial" w:cs="Arial"/>
          <w:sz w:val="18"/>
          <w:szCs w:val="18"/>
        </w:rPr>
        <w:t>, nos. 20958/14 and 38334/18, § 260, 16 December 2020.</w:t>
      </w:r>
    </w:p>
  </w:footnote>
  <w:footnote w:id="38">
    <w:p w14:paraId="5A7032A1"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also </w:t>
      </w:r>
      <w:hyperlink r:id="rId37" w:history="1">
        <w:r w:rsidRPr="00560F13">
          <w:rPr>
            <w:rStyle w:val="Lienhypertexte"/>
            <w:rFonts w:ascii="Arial" w:hAnsi="Arial" w:cs="Arial"/>
            <w:i/>
            <w:sz w:val="18"/>
            <w:szCs w:val="18"/>
          </w:rPr>
          <w:t>Austria v. Italy</w:t>
        </w:r>
      </w:hyperlink>
      <w:r w:rsidRPr="00560F13">
        <w:rPr>
          <w:rFonts w:ascii="Arial" w:hAnsi="Arial" w:cs="Arial"/>
          <w:sz w:val="18"/>
          <w:szCs w:val="18"/>
        </w:rPr>
        <w:t>, quoted above, page 19.</w:t>
      </w:r>
    </w:p>
  </w:footnote>
  <w:footnote w:id="39">
    <w:p w14:paraId="1D53411A"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38" w:history="1">
        <w:r w:rsidRPr="00560F13">
          <w:rPr>
            <w:rStyle w:val="Lienhypertexte"/>
            <w:rFonts w:ascii="Arial" w:hAnsi="Arial" w:cs="Arial"/>
            <w:i/>
            <w:sz w:val="18"/>
            <w:szCs w:val="18"/>
          </w:rPr>
          <w:t>Cyprus v. Turkey (just satisfaction) [GC]</w:t>
        </w:r>
      </w:hyperlink>
      <w:r w:rsidRPr="00560F13">
        <w:rPr>
          <w:rFonts w:ascii="Arial" w:hAnsi="Arial" w:cs="Arial"/>
          <w:sz w:val="18"/>
          <w:szCs w:val="18"/>
        </w:rPr>
        <w:t>, no. 25781/94, § 44, 12 May 2014.</w:t>
      </w:r>
    </w:p>
  </w:footnote>
  <w:footnote w:id="40">
    <w:p w14:paraId="1DF54A87"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39" w:history="1">
        <w:r w:rsidRPr="00560F13">
          <w:rPr>
            <w:rStyle w:val="Lienhypertexte"/>
            <w:rFonts w:ascii="Arial" w:hAnsi="Arial" w:cs="Arial"/>
            <w:i/>
            <w:sz w:val="18"/>
            <w:szCs w:val="18"/>
          </w:rPr>
          <w:t>Ireland v. United Kingdom</w:t>
        </w:r>
      </w:hyperlink>
      <w:r w:rsidRPr="00560F13">
        <w:rPr>
          <w:rFonts w:ascii="Arial" w:hAnsi="Arial" w:cs="Arial"/>
          <w:sz w:val="18"/>
          <w:szCs w:val="18"/>
        </w:rPr>
        <w:t>, no. 5310/71, § 154, 18 January 1978.</w:t>
      </w:r>
    </w:p>
  </w:footnote>
  <w:footnote w:id="41">
    <w:p w14:paraId="6638ECD7"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40" w:history="1">
        <w:r w:rsidRPr="00560F13">
          <w:rPr>
            <w:rStyle w:val="Lienhypertexte"/>
            <w:rFonts w:ascii="Arial" w:hAnsi="Arial" w:cs="Arial"/>
            <w:i/>
            <w:sz w:val="18"/>
            <w:szCs w:val="18"/>
          </w:rPr>
          <w:t>Cyprus v. Turkey (just satisfaction) [GC]</w:t>
        </w:r>
      </w:hyperlink>
      <w:r w:rsidRPr="00560F13">
        <w:rPr>
          <w:rFonts w:ascii="Arial" w:hAnsi="Arial" w:cs="Arial"/>
          <w:sz w:val="18"/>
          <w:szCs w:val="18"/>
        </w:rPr>
        <w:t xml:space="preserve">, no. 25781/94, § 45, 12 May 2014. </w:t>
      </w:r>
    </w:p>
  </w:footnote>
  <w:footnote w:id="42">
    <w:p w14:paraId="30E2DF1B"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41" w:history="1">
        <w:r w:rsidRPr="00C5791B">
          <w:rPr>
            <w:rStyle w:val="Lienhypertexte"/>
            <w:rFonts w:ascii="Arial" w:hAnsi="Arial" w:cs="Arial"/>
            <w:i/>
            <w:iCs/>
            <w:sz w:val="18"/>
            <w:szCs w:val="18"/>
          </w:rPr>
          <w:t>Slovenia v Croatia</w:t>
        </w:r>
      </w:hyperlink>
      <w:r w:rsidRPr="00560F13">
        <w:rPr>
          <w:rFonts w:ascii="Arial" w:hAnsi="Arial" w:cs="Arial"/>
          <w:b/>
          <w:bCs/>
          <w:color w:val="FF0000"/>
          <w:sz w:val="18"/>
          <w:szCs w:val="18"/>
        </w:rPr>
        <w:t xml:space="preserve"> </w:t>
      </w:r>
      <w:r w:rsidRPr="00560F13">
        <w:rPr>
          <w:rFonts w:ascii="Arial" w:hAnsi="Arial" w:cs="Arial"/>
          <w:i/>
          <w:iCs/>
          <w:sz w:val="18"/>
          <w:szCs w:val="18"/>
        </w:rPr>
        <w:t>(dec)</w:t>
      </w:r>
      <w:r w:rsidRPr="00560F13">
        <w:rPr>
          <w:rFonts w:ascii="Arial" w:hAnsi="Arial" w:cs="Arial"/>
          <w:sz w:val="18"/>
          <w:szCs w:val="18"/>
        </w:rPr>
        <w:t>, no. 54155/16, § 67, 18 November 2020.</w:t>
      </w:r>
    </w:p>
  </w:footnote>
  <w:footnote w:id="43">
    <w:p w14:paraId="0A95D0F9"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document </w:t>
      </w:r>
      <w:bookmarkStart w:id="24" w:name="_Hlk71277567"/>
      <w:r w:rsidRPr="00560F13">
        <w:fldChar w:fldCharType="begin"/>
      </w:r>
      <w:r w:rsidRPr="00560F13">
        <w:rPr>
          <w:rFonts w:ascii="Arial" w:hAnsi="Arial" w:cs="Arial"/>
          <w:sz w:val="18"/>
          <w:szCs w:val="18"/>
        </w:rPr>
        <w:instrText xml:space="preserve"> HYPERLINK "https://rm.coe.int/steering-committee-for-human-rights-cddh-proposals-for-a-more-efficien/168094e6e1" </w:instrText>
      </w:r>
      <w:r w:rsidRPr="00560F13">
        <w:fldChar w:fldCharType="separate"/>
      </w:r>
      <w:r w:rsidRPr="00560F13">
        <w:rPr>
          <w:rStyle w:val="Lienhypertexte"/>
          <w:rFonts w:ascii="Arial" w:hAnsi="Arial" w:cs="Arial"/>
          <w:sz w:val="18"/>
          <w:szCs w:val="18"/>
        </w:rPr>
        <w:t>CDDH(2019)22</w:t>
      </w:r>
      <w:r w:rsidRPr="00560F13">
        <w:rPr>
          <w:rStyle w:val="Lienhypertexte"/>
          <w:rFonts w:ascii="Arial" w:hAnsi="Arial" w:cs="Arial"/>
          <w:sz w:val="18"/>
          <w:szCs w:val="18"/>
        </w:rPr>
        <w:fldChar w:fldCharType="end"/>
      </w:r>
      <w:r w:rsidRPr="00560F13">
        <w:rPr>
          <w:rFonts w:ascii="Arial" w:hAnsi="Arial" w:cs="Arial"/>
          <w:sz w:val="18"/>
          <w:szCs w:val="18"/>
        </w:rPr>
        <w:t>, § 9</w:t>
      </w:r>
      <w:bookmarkEnd w:id="24"/>
      <w:r w:rsidRPr="00560F13">
        <w:rPr>
          <w:rFonts w:ascii="Arial" w:hAnsi="Arial" w:cs="Arial"/>
          <w:sz w:val="18"/>
          <w:szCs w:val="18"/>
        </w:rPr>
        <w:t>.</w:t>
      </w:r>
    </w:p>
  </w:footnote>
  <w:footnote w:id="44">
    <w:p w14:paraId="307EA2D8"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document </w:t>
      </w:r>
      <w:hyperlink r:id="rId42" w:history="1">
        <w:r w:rsidRPr="00560F13">
          <w:rPr>
            <w:rStyle w:val="Lienhypertexte"/>
            <w:rFonts w:ascii="Arial" w:hAnsi="Arial" w:cs="Arial"/>
            <w:sz w:val="18"/>
            <w:szCs w:val="18"/>
          </w:rPr>
          <w:t>CDDH(2019)22</w:t>
        </w:r>
      </w:hyperlink>
      <w:r w:rsidRPr="00560F13">
        <w:rPr>
          <w:rFonts w:ascii="Arial" w:hAnsi="Arial" w:cs="Arial"/>
          <w:sz w:val="18"/>
          <w:szCs w:val="18"/>
        </w:rPr>
        <w:t>, §10.</w:t>
      </w:r>
    </w:p>
  </w:footnote>
  <w:footnote w:id="45">
    <w:p w14:paraId="053A0FC4"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document </w:t>
      </w:r>
      <w:hyperlink r:id="rId43" w:history="1">
        <w:r w:rsidRPr="00560F13">
          <w:rPr>
            <w:rStyle w:val="Lienhypertexte"/>
            <w:rFonts w:ascii="Arial" w:eastAsiaTheme="minorHAnsi" w:hAnsi="Arial" w:cs="Arial"/>
            <w:sz w:val="18"/>
            <w:szCs w:val="18"/>
            <w:lang w:eastAsia="en-US"/>
          </w:rPr>
          <w:t>DD(2020)34E</w:t>
        </w:r>
      </w:hyperlink>
      <w:r w:rsidRPr="00560F13">
        <w:rPr>
          <w:rStyle w:val="Lienhypertexte"/>
          <w:rFonts w:ascii="Arial" w:eastAsiaTheme="minorHAnsi" w:hAnsi="Arial" w:cs="Arial"/>
          <w:sz w:val="18"/>
          <w:szCs w:val="18"/>
          <w:lang w:eastAsia="en-US"/>
        </w:rPr>
        <w:t>, § 18.</w:t>
      </w:r>
    </w:p>
  </w:footnote>
  <w:footnote w:id="46">
    <w:p w14:paraId="1F7B76C5" w14:textId="77777777" w:rsidR="000C68FA" w:rsidRPr="00C5244F" w:rsidRDefault="000C68FA" w:rsidP="002218C4">
      <w:pPr>
        <w:spacing w:line="200" w:lineRule="exact"/>
        <w:rPr>
          <w:rFonts w:ascii="Arial" w:hAnsi="Arial" w:cs="Arial"/>
          <w:iCs/>
          <w:sz w:val="18"/>
          <w:szCs w:val="18"/>
          <w:lang w:val="en-GB"/>
        </w:rPr>
      </w:pPr>
      <w:r w:rsidRPr="00C5244F">
        <w:rPr>
          <w:rStyle w:val="Appelnotedebasdep"/>
          <w:rFonts w:ascii="Arial" w:hAnsi="Arial" w:cs="Arial"/>
        </w:rPr>
        <w:footnoteRef/>
      </w:r>
      <w:r w:rsidRPr="00C5244F">
        <w:rPr>
          <w:rFonts w:ascii="Arial" w:hAnsi="Arial" w:cs="Arial"/>
          <w:sz w:val="18"/>
          <w:szCs w:val="18"/>
          <w:lang w:val="en-GB"/>
        </w:rPr>
        <w:t xml:space="preserve"> </w:t>
      </w:r>
      <w:r w:rsidRPr="00C5244F">
        <w:rPr>
          <w:rFonts w:ascii="Arial" w:hAnsi="Arial" w:cs="Arial"/>
          <w:iCs/>
          <w:sz w:val="18"/>
          <w:szCs w:val="18"/>
          <w:lang w:val="en-GB"/>
        </w:rPr>
        <w:t xml:space="preserve">Georgia v. Russia (II), no. </w:t>
      </w:r>
      <w:hyperlink r:id="rId44" w:history="1">
        <w:r w:rsidRPr="00C5244F">
          <w:rPr>
            <w:rStyle w:val="Lienhypertexte"/>
            <w:rFonts w:ascii="Arial" w:hAnsi="Arial" w:cs="Arial"/>
            <w:iCs/>
            <w:sz w:val="18"/>
            <w:szCs w:val="18"/>
            <w:lang w:val="en-GB"/>
          </w:rPr>
          <w:t>38263/08</w:t>
        </w:r>
      </w:hyperlink>
      <w:r w:rsidRPr="00C5244F">
        <w:rPr>
          <w:rFonts w:ascii="Arial" w:hAnsi="Arial" w:cs="Arial"/>
          <w:iCs/>
          <w:sz w:val="18"/>
          <w:szCs w:val="18"/>
          <w:lang w:val="en-GB"/>
        </w:rPr>
        <w:t xml:space="preserve">, 21 January 2021; Georgia v. Russia (III), Dec, no. </w:t>
      </w:r>
      <w:hyperlink r:id="rId45" w:history="1">
        <w:r w:rsidRPr="00C5244F">
          <w:rPr>
            <w:rStyle w:val="Lienhypertexte"/>
            <w:rFonts w:ascii="Arial" w:hAnsi="Arial" w:cs="Arial"/>
            <w:iCs/>
            <w:sz w:val="18"/>
            <w:szCs w:val="18"/>
            <w:lang w:val="en-GB"/>
          </w:rPr>
          <w:t>61186/09</w:t>
        </w:r>
      </w:hyperlink>
      <w:r w:rsidRPr="00C5244F">
        <w:rPr>
          <w:rFonts w:ascii="Arial" w:hAnsi="Arial" w:cs="Arial"/>
          <w:iCs/>
          <w:sz w:val="18"/>
          <w:szCs w:val="18"/>
          <w:lang w:val="en-GB"/>
        </w:rPr>
        <w:t xml:space="preserve">, 16 March 2010; Ukraine v. Russia (re Crimea), [GC], Dec, no. </w:t>
      </w:r>
      <w:hyperlink r:id="rId46" w:history="1">
        <w:r w:rsidRPr="00C5244F">
          <w:rPr>
            <w:rStyle w:val="Lienhypertexte"/>
            <w:rFonts w:ascii="Arial" w:hAnsi="Arial" w:cs="Arial"/>
            <w:iCs/>
            <w:sz w:val="18"/>
            <w:szCs w:val="18"/>
            <w:lang w:val="en-GB"/>
          </w:rPr>
          <w:t>20958/14</w:t>
        </w:r>
      </w:hyperlink>
      <w:r w:rsidRPr="00C5244F">
        <w:rPr>
          <w:rFonts w:ascii="Arial" w:hAnsi="Arial" w:cs="Arial"/>
          <w:iCs/>
          <w:sz w:val="18"/>
          <w:szCs w:val="18"/>
          <w:lang w:val="en-GB"/>
        </w:rPr>
        <w:t xml:space="preserve"> and 38334/18, 16 December 2020; Ukraine v. Russia (III), Dec, no. </w:t>
      </w:r>
      <w:hyperlink r:id="rId47" w:history="1">
        <w:r w:rsidRPr="00C5244F">
          <w:rPr>
            <w:rStyle w:val="Lienhypertexte"/>
            <w:rFonts w:ascii="Arial" w:hAnsi="Arial" w:cs="Arial"/>
            <w:iCs/>
            <w:sz w:val="18"/>
            <w:szCs w:val="18"/>
            <w:lang w:val="en-GB"/>
          </w:rPr>
          <w:t>49537/14</w:t>
        </w:r>
      </w:hyperlink>
      <w:r w:rsidRPr="00C5244F">
        <w:rPr>
          <w:rFonts w:ascii="Arial" w:hAnsi="Arial" w:cs="Arial"/>
          <w:iCs/>
          <w:sz w:val="18"/>
          <w:szCs w:val="18"/>
          <w:lang w:val="en-GB"/>
        </w:rPr>
        <w:t xml:space="preserve">, 1 September 2015; </w:t>
      </w:r>
      <w:r w:rsidRPr="00C5244F">
        <w:rPr>
          <w:rFonts w:ascii="Arial" w:eastAsiaTheme="minorHAnsi" w:hAnsi="Arial" w:cs="Arial"/>
          <w:iCs/>
          <w:sz w:val="18"/>
          <w:szCs w:val="18"/>
          <w:lang w:val="en-GB"/>
        </w:rPr>
        <w:t xml:space="preserve">Ukraine v. Russia (VIII), no. 55855/18, lodged on </w:t>
      </w:r>
      <w:r w:rsidRPr="00C5244F">
        <w:rPr>
          <w:rFonts w:ascii="Arial" w:eastAsiaTheme="minorHAnsi" w:hAnsi="Arial" w:cs="Arial"/>
          <w:sz w:val="18"/>
          <w:szCs w:val="18"/>
          <w:lang w:val="en-GB"/>
        </w:rPr>
        <w:t>29 November 2018</w:t>
      </w:r>
      <w:r w:rsidRPr="00C5244F">
        <w:rPr>
          <w:rFonts w:ascii="Arial" w:eastAsiaTheme="minorHAnsi" w:hAnsi="Arial" w:cs="Arial"/>
          <w:iCs/>
          <w:sz w:val="18"/>
          <w:szCs w:val="18"/>
          <w:lang w:val="en-GB"/>
        </w:rPr>
        <w:t>;A</w:t>
      </w:r>
      <w:r w:rsidRPr="00C5244F">
        <w:rPr>
          <w:rFonts w:ascii="Arial" w:hAnsi="Arial" w:cs="Arial"/>
          <w:iCs/>
          <w:sz w:val="18"/>
          <w:szCs w:val="18"/>
          <w:lang w:val="en-GB"/>
        </w:rPr>
        <w:t xml:space="preserve">rmenia v. Azerbaijan, no. 42521/20, </w:t>
      </w:r>
      <w:r w:rsidRPr="00C5244F">
        <w:rPr>
          <w:rFonts w:ascii="Arial" w:eastAsiaTheme="minorHAnsi" w:hAnsi="Arial" w:cs="Arial"/>
          <w:iCs/>
          <w:sz w:val="18"/>
          <w:szCs w:val="18"/>
          <w:lang w:val="en-GB"/>
        </w:rPr>
        <w:t>lodged on 27 September 2020</w:t>
      </w:r>
      <w:r w:rsidRPr="00C5244F">
        <w:rPr>
          <w:rFonts w:ascii="Arial" w:hAnsi="Arial" w:cs="Arial"/>
          <w:iCs/>
          <w:sz w:val="18"/>
          <w:szCs w:val="18"/>
          <w:lang w:val="en-GB"/>
        </w:rPr>
        <w:t>; A</w:t>
      </w:r>
      <w:r w:rsidRPr="00C5244F">
        <w:rPr>
          <w:rFonts w:ascii="Arial" w:eastAsiaTheme="minorHAnsi" w:hAnsi="Arial" w:cs="Arial"/>
          <w:iCs/>
          <w:sz w:val="18"/>
          <w:szCs w:val="18"/>
          <w:lang w:val="en-GB"/>
        </w:rPr>
        <w:t>rmenia v. Turkey, no. 43517/20, lodged on 4 October 2020; Azerbaijan v.</w:t>
      </w:r>
      <w:r w:rsidRPr="00C5244F">
        <w:rPr>
          <w:rFonts w:ascii="Arial" w:hAnsi="Arial" w:cs="Arial"/>
          <w:iCs/>
          <w:sz w:val="18"/>
          <w:szCs w:val="18"/>
          <w:lang w:val="en-GB"/>
        </w:rPr>
        <w:t xml:space="preserve"> Armenia, no.</w:t>
      </w:r>
      <w:r w:rsidRPr="00C5244F">
        <w:rPr>
          <w:rFonts w:ascii="Arial" w:eastAsiaTheme="minorHAnsi" w:hAnsi="Arial" w:cs="Arial"/>
          <w:iCs/>
          <w:sz w:val="18"/>
          <w:szCs w:val="18"/>
          <w:lang w:val="en-GB"/>
        </w:rPr>
        <w:t xml:space="preserve"> 47319/20, lodged on 27 October 2020.</w:t>
      </w:r>
    </w:p>
  </w:footnote>
  <w:footnote w:id="47">
    <w:p w14:paraId="5E882F9E" w14:textId="77777777" w:rsidR="000C68FA" w:rsidRPr="00C5244F" w:rsidRDefault="000C68FA" w:rsidP="002218C4">
      <w:pPr>
        <w:pStyle w:val="Notedebasdepage"/>
        <w:spacing w:line="200" w:lineRule="exact"/>
        <w:rPr>
          <w:rFonts w:ascii="Arial" w:hAnsi="Arial" w:cs="Arial"/>
          <w:sz w:val="18"/>
          <w:szCs w:val="18"/>
          <w:lang w:val="en-GB"/>
        </w:rPr>
      </w:pPr>
      <w:r w:rsidRPr="00C34914">
        <w:rPr>
          <w:rStyle w:val="Appelnotedebasdep"/>
          <w:rFonts w:ascii="Arial" w:hAnsi="Arial" w:cs="Arial"/>
        </w:rPr>
        <w:footnoteRef/>
      </w:r>
      <w:r w:rsidRPr="00C34914">
        <w:rPr>
          <w:rFonts w:ascii="Arial" w:hAnsi="Arial" w:cs="Arial"/>
          <w:sz w:val="18"/>
          <w:szCs w:val="18"/>
          <w:lang w:val="en-GB"/>
        </w:rPr>
        <w:t xml:space="preserve"> The four-months rule was introduced by Protocol No.15 which entered into force on 1 August 2021. According to Article 8, paragraph 3, of Protocol No.15 this rule shall enter into force following the expiration of a period of six months after the date of entry into force of this Protocol.</w:t>
      </w:r>
      <w:r w:rsidRPr="00E6364F">
        <w:rPr>
          <w:rFonts w:ascii="Arial" w:hAnsi="Arial" w:cs="Arial"/>
          <w:sz w:val="18"/>
          <w:szCs w:val="18"/>
          <w:lang w:val="en-GB"/>
        </w:rPr>
        <w:t xml:space="preserve"> </w:t>
      </w:r>
    </w:p>
  </w:footnote>
  <w:footnote w:id="48">
    <w:p w14:paraId="2997A840" w14:textId="77777777" w:rsidR="000C68FA" w:rsidRPr="00560F13" w:rsidRDefault="000C68FA" w:rsidP="002218C4">
      <w:pPr>
        <w:pStyle w:val="SingleTxtG"/>
        <w:spacing w:after="0" w:line="200" w:lineRule="exact"/>
        <w:ind w:left="0" w:right="0"/>
        <w:rPr>
          <w:rFonts w:ascii="Arial" w:hAnsi="Arial" w:cs="Arial"/>
          <w:color w:val="FF0000"/>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48" w:history="1">
        <w:r w:rsidRPr="00560F13">
          <w:rPr>
            <w:rStyle w:val="Lienhypertexte"/>
            <w:rFonts w:ascii="Arial" w:hAnsi="Arial" w:cs="Arial"/>
            <w:i/>
            <w:color w:val="auto"/>
            <w:sz w:val="18"/>
            <w:szCs w:val="18"/>
          </w:rPr>
          <w:t>Ireland v. United Kingdom</w:t>
        </w:r>
      </w:hyperlink>
      <w:r w:rsidRPr="00560F13">
        <w:rPr>
          <w:rFonts w:ascii="Arial" w:hAnsi="Arial" w:cs="Arial"/>
          <w:sz w:val="18"/>
          <w:szCs w:val="18"/>
        </w:rPr>
        <w:t xml:space="preserve">, no. 5310/71, § 159, 18 January 1978; </w:t>
      </w:r>
      <w:hyperlink r:id="rId49"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 [GC] </w:t>
      </w:r>
      <w:r w:rsidRPr="00560F13">
        <w:rPr>
          <w:rFonts w:ascii="Arial" w:hAnsi="Arial" w:cs="Arial"/>
          <w:sz w:val="18"/>
          <w:szCs w:val="18"/>
        </w:rPr>
        <w:t>, nos. 20958/14 and 38334/18, § 363, 16 December 2020.</w:t>
      </w:r>
    </w:p>
  </w:footnote>
  <w:footnote w:id="49">
    <w:p w14:paraId="3A1E6FA6"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50" w:history="1">
        <w:r w:rsidRPr="00560F13">
          <w:rPr>
            <w:rStyle w:val="Lienhypertexte"/>
            <w:rFonts w:ascii="Arial" w:hAnsi="Arial" w:cs="Arial"/>
            <w:i/>
            <w:iCs/>
            <w:sz w:val="18"/>
            <w:szCs w:val="18"/>
          </w:rPr>
          <w:t>Cyprus v. Turkey (merits) [GC]</w:t>
        </w:r>
      </w:hyperlink>
      <w:r w:rsidRPr="00560F13">
        <w:rPr>
          <w:rFonts w:ascii="Arial" w:hAnsi="Arial" w:cs="Arial"/>
          <w:sz w:val="18"/>
          <w:szCs w:val="18"/>
        </w:rPr>
        <w:t xml:space="preserve">, no.25781/94, § 99, 10 May 2001. </w:t>
      </w:r>
    </w:p>
  </w:footnote>
  <w:footnote w:id="50">
    <w:p w14:paraId="3CAE0953" w14:textId="77777777" w:rsidR="000C68FA" w:rsidRPr="00560F13" w:rsidRDefault="000C68FA" w:rsidP="002218C4">
      <w:pPr>
        <w:pStyle w:val="SingleTxtG"/>
        <w:spacing w:after="0" w:line="200" w:lineRule="exact"/>
        <w:ind w:left="0" w:right="0"/>
        <w:rPr>
          <w:rFonts w:ascii="Arial" w:hAnsi="Arial" w:cs="Arial"/>
          <w:color w:val="FF0000"/>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51" w:history="1">
        <w:r w:rsidRPr="00560F13">
          <w:rPr>
            <w:rStyle w:val="Lienhypertexte"/>
            <w:rFonts w:ascii="Arial" w:hAnsi="Arial" w:cs="Arial"/>
            <w:i/>
            <w:color w:val="auto"/>
            <w:sz w:val="18"/>
            <w:szCs w:val="18"/>
          </w:rPr>
          <w:t>Ireland v. United Kingdom</w:t>
        </w:r>
      </w:hyperlink>
      <w:r w:rsidRPr="00560F13">
        <w:rPr>
          <w:rFonts w:ascii="Arial" w:hAnsi="Arial" w:cs="Arial"/>
          <w:sz w:val="18"/>
          <w:szCs w:val="18"/>
        </w:rPr>
        <w:t xml:space="preserve">, no. 5310/71, § 159, 18 January 1978; </w:t>
      </w:r>
      <w:hyperlink r:id="rId52" w:history="1">
        <w:r w:rsidRPr="00560F13">
          <w:rPr>
            <w:rStyle w:val="Lienhypertexte"/>
            <w:rFonts w:ascii="Arial" w:hAnsi="Arial" w:cs="Arial"/>
            <w:i/>
            <w:iCs/>
            <w:color w:val="auto"/>
            <w:sz w:val="18"/>
            <w:szCs w:val="18"/>
          </w:rPr>
          <w:t>Cyprus v. Turkey (merits) [GC]</w:t>
        </w:r>
      </w:hyperlink>
      <w:r w:rsidRPr="00560F13">
        <w:rPr>
          <w:rFonts w:ascii="Arial" w:hAnsi="Arial" w:cs="Arial"/>
          <w:sz w:val="18"/>
          <w:szCs w:val="18"/>
        </w:rPr>
        <w:t xml:space="preserve">, no. 25781/94, § 99, 10 May 2001; </w:t>
      </w:r>
      <w:hyperlink r:id="rId53" w:history="1">
        <w:r w:rsidRPr="00560F13">
          <w:rPr>
            <w:rStyle w:val="Lienhypertexte"/>
            <w:rFonts w:ascii="Arial" w:hAnsi="Arial" w:cs="Arial"/>
            <w:i/>
            <w:iCs/>
            <w:color w:val="auto"/>
            <w:sz w:val="18"/>
            <w:szCs w:val="18"/>
          </w:rPr>
          <w:t>Georgia v. Russia (I) [GC]</w:t>
        </w:r>
      </w:hyperlink>
      <w:r w:rsidRPr="00560F13">
        <w:rPr>
          <w:rFonts w:ascii="Arial" w:hAnsi="Arial" w:cs="Arial"/>
          <w:sz w:val="18"/>
          <w:szCs w:val="18"/>
        </w:rPr>
        <w:t xml:space="preserve">, no.13255/07, 3 July 2014, §. 125; </w:t>
      </w:r>
      <w:hyperlink r:id="rId54"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 [GC]</w:t>
      </w:r>
      <w:r w:rsidRPr="00560F13">
        <w:rPr>
          <w:rFonts w:ascii="Arial" w:hAnsi="Arial" w:cs="Arial"/>
          <w:sz w:val="18"/>
          <w:szCs w:val="18"/>
        </w:rPr>
        <w:t xml:space="preserve">, nos. 20958/14 and 38334/18, § 363, 16 December 2020. See also </w:t>
      </w:r>
      <w:hyperlink r:id="rId55" w:history="1">
        <w:r w:rsidRPr="00560F13">
          <w:rPr>
            <w:rStyle w:val="Lienhypertexte"/>
            <w:rFonts w:ascii="Arial" w:hAnsi="Arial" w:cs="Arial"/>
            <w:i/>
            <w:color w:val="auto"/>
            <w:sz w:val="18"/>
            <w:szCs w:val="18"/>
          </w:rPr>
          <w:t>Denmark, Norway and Sweden and the Netherlands v. Greece</w:t>
        </w:r>
      </w:hyperlink>
      <w:r w:rsidRPr="00560F13">
        <w:rPr>
          <w:rFonts w:ascii="Arial" w:hAnsi="Arial" w:cs="Arial"/>
          <w:sz w:val="18"/>
          <w:szCs w:val="18"/>
        </w:rPr>
        <w:t xml:space="preserve"> nos. 3321/67, 3322/67, 3323/67 and 3344/67, 5 November 1969, the requirement of exhaustion of domestic remedies did not apply taking into consideration that the object of that inter-State application was the determination of the compatibility with the Convention of legislative measures and administrative practices.</w:t>
      </w:r>
    </w:p>
  </w:footnote>
  <w:footnote w:id="51">
    <w:p w14:paraId="7BA87CB5" w14:textId="77777777" w:rsidR="000C68FA" w:rsidRPr="00560F13" w:rsidRDefault="000C68FA" w:rsidP="002218C4">
      <w:pPr>
        <w:pStyle w:val="SingleTxtG"/>
        <w:spacing w:after="0" w:line="200" w:lineRule="exact"/>
        <w:ind w:left="0" w:right="0"/>
        <w:rPr>
          <w:rFonts w:ascii="Arial" w:hAnsi="Arial" w:cs="Arial"/>
          <w:strike/>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56" w:history="1">
        <w:r w:rsidRPr="00560F13">
          <w:rPr>
            <w:rStyle w:val="Lienhypertexte"/>
            <w:rFonts w:ascii="Arial" w:hAnsi="Arial" w:cs="Arial"/>
            <w:i/>
            <w:color w:val="auto"/>
            <w:sz w:val="18"/>
            <w:szCs w:val="18"/>
          </w:rPr>
          <w:t>Ireland v. United Kingdom</w:t>
        </w:r>
      </w:hyperlink>
      <w:r w:rsidRPr="00560F13">
        <w:rPr>
          <w:rFonts w:ascii="Arial" w:hAnsi="Arial" w:cs="Arial"/>
          <w:sz w:val="18"/>
          <w:szCs w:val="18"/>
        </w:rPr>
        <w:t xml:space="preserve">, no. 5310/71, § 159, 18 January 1978; </w:t>
      </w:r>
      <w:hyperlink r:id="rId57" w:history="1">
        <w:r w:rsidRPr="00560F13">
          <w:rPr>
            <w:rStyle w:val="Lienhypertexte"/>
            <w:rFonts w:ascii="Arial" w:hAnsi="Arial" w:cs="Arial"/>
            <w:i/>
            <w:iCs/>
            <w:color w:val="auto"/>
            <w:sz w:val="18"/>
            <w:szCs w:val="18"/>
          </w:rPr>
          <w:t>Cyprus v. Turkey (merits) [GC]</w:t>
        </w:r>
      </w:hyperlink>
      <w:r w:rsidRPr="00560F13">
        <w:rPr>
          <w:rFonts w:ascii="Arial" w:hAnsi="Arial" w:cs="Arial"/>
          <w:sz w:val="18"/>
          <w:szCs w:val="18"/>
        </w:rPr>
        <w:t xml:space="preserve">, no.25781/94, § 99, 10 May 2001; </w:t>
      </w:r>
      <w:hyperlink r:id="rId58" w:history="1">
        <w:r w:rsidRPr="00560F13">
          <w:rPr>
            <w:rStyle w:val="Lienhypertexte"/>
            <w:rFonts w:ascii="Arial" w:hAnsi="Arial" w:cs="Arial"/>
            <w:i/>
            <w:iCs/>
            <w:color w:val="auto"/>
            <w:sz w:val="18"/>
            <w:szCs w:val="18"/>
          </w:rPr>
          <w:t>Georgia v. Russia (I) [GC]</w:t>
        </w:r>
      </w:hyperlink>
      <w:r w:rsidRPr="00560F13">
        <w:rPr>
          <w:rFonts w:ascii="Arial" w:hAnsi="Arial" w:cs="Arial"/>
          <w:sz w:val="18"/>
          <w:szCs w:val="18"/>
        </w:rPr>
        <w:t xml:space="preserve">, no.13255/07, 3 July 2014, §. 125 </w:t>
      </w:r>
    </w:p>
  </w:footnote>
  <w:footnote w:id="52">
    <w:p w14:paraId="09C51781"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59" w:history="1">
        <w:r w:rsidRPr="00560F13">
          <w:rPr>
            <w:rStyle w:val="Lienhypertexte"/>
            <w:rFonts w:ascii="Arial" w:hAnsi="Arial" w:cs="Arial"/>
            <w:i/>
            <w:sz w:val="18"/>
            <w:szCs w:val="18"/>
          </w:rPr>
          <w:t>Donnelly and others v. United Kingdom</w:t>
        </w:r>
      </w:hyperlink>
      <w:r w:rsidRPr="00560F13">
        <w:rPr>
          <w:rFonts w:ascii="Arial" w:hAnsi="Arial" w:cs="Arial"/>
          <w:sz w:val="18"/>
          <w:szCs w:val="18"/>
        </w:rPr>
        <w:t xml:space="preserve">, nos. </w:t>
      </w:r>
      <w:r w:rsidRPr="00560F13">
        <w:rPr>
          <w:rStyle w:val="column"/>
          <w:rFonts w:ascii="Arial" w:hAnsi="Arial" w:cs="Arial"/>
          <w:sz w:val="18"/>
          <w:szCs w:val="18"/>
        </w:rPr>
        <w:t xml:space="preserve">5577-83/72, second admissibility decision, </w:t>
      </w:r>
      <w:r w:rsidRPr="00560F13">
        <w:rPr>
          <w:rFonts w:ascii="Arial" w:hAnsi="Arial" w:cs="Arial"/>
          <w:sz w:val="18"/>
          <w:szCs w:val="18"/>
        </w:rPr>
        <w:t>§ 3,</w:t>
      </w:r>
      <w:r w:rsidRPr="00560F13">
        <w:rPr>
          <w:rStyle w:val="column"/>
          <w:rFonts w:ascii="Arial" w:hAnsi="Arial" w:cs="Arial"/>
          <w:sz w:val="18"/>
          <w:szCs w:val="18"/>
        </w:rPr>
        <w:t xml:space="preserve"> 15 December 1975; </w:t>
      </w:r>
      <w:hyperlink r:id="rId60" w:anchor="{%22fulltext%22:[%22akdivar%20v%20turkey%22],%22documentcollectionid2%22:[%22GRANDCHAMBER%22,%22CHAMBER%22],%22itemid%22:[%22001-58062%22]}" w:history="1">
        <w:r w:rsidRPr="00560F13">
          <w:rPr>
            <w:rStyle w:val="Lienhypertexte"/>
            <w:rFonts w:ascii="Arial" w:hAnsi="Arial" w:cs="Arial"/>
            <w:i/>
            <w:sz w:val="18"/>
            <w:szCs w:val="18"/>
          </w:rPr>
          <w:t>Akdivar and others v. Turkey</w:t>
        </w:r>
      </w:hyperlink>
      <w:r w:rsidRPr="00560F13">
        <w:rPr>
          <w:rStyle w:val="column"/>
          <w:rFonts w:ascii="Arial" w:hAnsi="Arial" w:cs="Arial"/>
          <w:sz w:val="18"/>
          <w:szCs w:val="18"/>
        </w:rPr>
        <w:t xml:space="preserve"> no. </w:t>
      </w:r>
      <w:r w:rsidRPr="00560F13">
        <w:rPr>
          <w:rStyle w:val="column"/>
          <w:rFonts w:ascii="Arial" w:hAnsi="Arial" w:cs="Arial"/>
          <w:color w:val="000000"/>
          <w:sz w:val="18"/>
          <w:szCs w:val="18"/>
        </w:rPr>
        <w:t>21893/93</w:t>
      </w:r>
      <w:r w:rsidRPr="00560F13">
        <w:rPr>
          <w:rFonts w:ascii="Arial" w:hAnsi="Arial" w:cs="Arial"/>
          <w:color w:val="000000"/>
          <w:sz w:val="18"/>
          <w:szCs w:val="18"/>
        </w:rPr>
        <w:t xml:space="preserve">, </w:t>
      </w:r>
      <w:r w:rsidRPr="00560F13">
        <w:rPr>
          <w:rFonts w:ascii="Arial" w:hAnsi="Arial" w:cs="Arial"/>
          <w:sz w:val="18"/>
          <w:szCs w:val="18"/>
        </w:rPr>
        <w:t>§ 67 and 68</w:t>
      </w:r>
      <w:r w:rsidRPr="00560F13">
        <w:rPr>
          <w:rFonts w:ascii="Arial" w:hAnsi="Arial" w:cs="Arial"/>
          <w:color w:val="000000"/>
          <w:sz w:val="18"/>
          <w:szCs w:val="18"/>
        </w:rPr>
        <w:t>, 16 October 1996;</w:t>
      </w:r>
      <w:r w:rsidRPr="00560F13">
        <w:rPr>
          <w:rFonts w:ascii="Arial" w:hAnsi="Arial" w:cs="Arial"/>
          <w:i/>
          <w:iCs/>
          <w:sz w:val="18"/>
          <w:szCs w:val="18"/>
        </w:rPr>
        <w:t xml:space="preserve"> </w:t>
      </w:r>
      <w:hyperlink r:id="rId61" w:history="1">
        <w:r w:rsidRPr="00560F13">
          <w:rPr>
            <w:rStyle w:val="Lienhypertexte"/>
            <w:rFonts w:ascii="Arial" w:hAnsi="Arial" w:cs="Arial"/>
            <w:i/>
            <w:iCs/>
            <w:sz w:val="18"/>
            <w:szCs w:val="18"/>
          </w:rPr>
          <w:t>Aksoy v. Turkey</w:t>
        </w:r>
      </w:hyperlink>
      <w:r w:rsidRPr="00560F13">
        <w:rPr>
          <w:rFonts w:ascii="Arial" w:hAnsi="Arial" w:cs="Arial"/>
          <w:sz w:val="18"/>
          <w:szCs w:val="18"/>
        </w:rPr>
        <w:t xml:space="preserve"> no.</w:t>
      </w:r>
      <w:r w:rsidRPr="00560F13">
        <w:rPr>
          <w:rStyle w:val="Titre1Car"/>
          <w:rFonts w:ascii="Arial" w:hAnsi="Arial" w:cs="Arial"/>
          <w:sz w:val="18"/>
          <w:szCs w:val="18"/>
          <w:lang w:val="en-GB"/>
        </w:rPr>
        <w:t xml:space="preserve"> </w:t>
      </w:r>
      <w:r w:rsidRPr="00560F13">
        <w:rPr>
          <w:rStyle w:val="column"/>
          <w:rFonts w:ascii="Arial" w:hAnsi="Arial" w:cs="Arial"/>
          <w:sz w:val="18"/>
          <w:szCs w:val="18"/>
        </w:rPr>
        <w:t>21987/93</w:t>
      </w:r>
      <w:r w:rsidRPr="00560F13">
        <w:rPr>
          <w:rFonts w:ascii="Arial" w:hAnsi="Arial" w:cs="Arial"/>
          <w:sz w:val="18"/>
          <w:szCs w:val="18"/>
        </w:rPr>
        <w:t>, § 52, 18 December 1996.</w:t>
      </w:r>
    </w:p>
  </w:footnote>
  <w:footnote w:id="53">
    <w:p w14:paraId="69236B21"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The assessment of whether domestic remedies have been exhausted is normally carried out with reference to the state of the proceedings on the date on which the application was lodged with the Court. This rule is, however, subject to exceptions following the creation of new remedies. The Court has applied this exception in in cases concerning the length of proceedings (</w:t>
      </w:r>
      <w:hyperlink r:id="rId62" w:history="1">
        <w:r w:rsidRPr="00560F13">
          <w:rPr>
            <w:rStyle w:val="Lienhypertexte"/>
            <w:rFonts w:ascii="Arial" w:hAnsi="Arial" w:cs="Arial"/>
            <w:i/>
            <w:sz w:val="18"/>
            <w:szCs w:val="18"/>
          </w:rPr>
          <w:t>Predil Anstalt v. Italy</w:t>
        </w:r>
      </w:hyperlink>
      <w:r w:rsidRPr="00560F13">
        <w:rPr>
          <w:rFonts w:ascii="Arial" w:hAnsi="Arial" w:cs="Arial"/>
          <w:iCs/>
          <w:sz w:val="18"/>
          <w:szCs w:val="18"/>
        </w:rPr>
        <w:t xml:space="preserve"> </w:t>
      </w:r>
      <w:r w:rsidRPr="00560F13">
        <w:rPr>
          <w:rFonts w:ascii="Arial" w:hAnsi="Arial" w:cs="Arial"/>
          <w:sz w:val="18"/>
          <w:szCs w:val="18"/>
        </w:rPr>
        <w:t xml:space="preserve">(dec.) no. 31993/96 (French only) ; </w:t>
      </w:r>
      <w:hyperlink r:id="rId63" w:history="1">
        <w:r w:rsidRPr="00560F13">
          <w:rPr>
            <w:rStyle w:val="Lienhypertexte"/>
            <w:rFonts w:ascii="Arial" w:hAnsi="Arial" w:cs="Arial"/>
            <w:i/>
            <w:iCs/>
            <w:sz w:val="18"/>
            <w:szCs w:val="18"/>
          </w:rPr>
          <w:t>Bottaro v. Italy</w:t>
        </w:r>
      </w:hyperlink>
      <w:r w:rsidRPr="00560F13">
        <w:rPr>
          <w:rFonts w:ascii="Arial" w:hAnsi="Arial" w:cs="Arial"/>
          <w:iCs/>
          <w:sz w:val="18"/>
          <w:szCs w:val="18"/>
        </w:rPr>
        <w:t xml:space="preserve"> </w:t>
      </w:r>
      <w:r w:rsidRPr="00560F13">
        <w:rPr>
          <w:rFonts w:ascii="Arial" w:hAnsi="Arial" w:cs="Arial"/>
          <w:sz w:val="18"/>
          <w:szCs w:val="18"/>
        </w:rPr>
        <w:t xml:space="preserve">(dec.), no. 56298/00 (French only) ; </w:t>
      </w:r>
      <w:hyperlink r:id="rId64" w:history="1">
        <w:r w:rsidRPr="00560F13">
          <w:rPr>
            <w:rStyle w:val="Lienhypertexte"/>
            <w:rFonts w:ascii="Arial" w:hAnsi="Arial" w:cs="Arial"/>
            <w:i/>
            <w:iCs/>
            <w:sz w:val="18"/>
            <w:szCs w:val="18"/>
          </w:rPr>
          <w:t>Andrášik and Others v. Slovakia</w:t>
        </w:r>
      </w:hyperlink>
      <w:r w:rsidRPr="00560F13">
        <w:rPr>
          <w:rFonts w:ascii="Arial" w:hAnsi="Arial" w:cs="Arial"/>
          <w:iCs/>
          <w:sz w:val="18"/>
          <w:szCs w:val="18"/>
        </w:rPr>
        <w:t xml:space="preserve"> </w:t>
      </w:r>
      <w:r w:rsidRPr="00560F13">
        <w:rPr>
          <w:rFonts w:ascii="Arial" w:hAnsi="Arial" w:cs="Arial"/>
          <w:sz w:val="18"/>
          <w:szCs w:val="18"/>
        </w:rPr>
        <w:t xml:space="preserve">(dec.), no. 57984/00 ; </w:t>
      </w:r>
      <w:hyperlink r:id="rId65" w:history="1">
        <w:r w:rsidRPr="00560F13">
          <w:rPr>
            <w:rStyle w:val="Lienhypertexte"/>
            <w:rFonts w:ascii="Arial" w:hAnsi="Arial" w:cs="Arial"/>
            <w:i/>
            <w:iCs/>
            <w:sz w:val="18"/>
            <w:szCs w:val="18"/>
          </w:rPr>
          <w:t>Nogolica v. Croatia</w:t>
        </w:r>
      </w:hyperlink>
      <w:r w:rsidRPr="00560F13">
        <w:rPr>
          <w:rFonts w:ascii="Arial" w:hAnsi="Arial" w:cs="Arial"/>
          <w:iCs/>
          <w:sz w:val="18"/>
          <w:szCs w:val="18"/>
        </w:rPr>
        <w:t xml:space="preserve"> </w:t>
      </w:r>
      <w:r w:rsidRPr="00560F13">
        <w:rPr>
          <w:rFonts w:ascii="Arial" w:hAnsi="Arial" w:cs="Arial"/>
          <w:sz w:val="18"/>
          <w:szCs w:val="18"/>
        </w:rPr>
        <w:t xml:space="preserve">(dec.), no. 77784/01; </w:t>
      </w:r>
      <w:hyperlink r:id="rId66" w:history="1">
        <w:r w:rsidRPr="00560F13">
          <w:rPr>
            <w:rStyle w:val="Lienhypertexte"/>
            <w:rFonts w:ascii="Arial" w:hAnsi="Arial" w:cs="Arial"/>
            <w:i/>
            <w:iCs/>
            <w:sz w:val="18"/>
            <w:szCs w:val="18"/>
          </w:rPr>
          <w:t>Brusco v. Italy</w:t>
        </w:r>
      </w:hyperlink>
      <w:r w:rsidRPr="00560F13">
        <w:rPr>
          <w:rFonts w:ascii="Arial" w:hAnsi="Arial" w:cs="Arial"/>
          <w:iCs/>
          <w:sz w:val="18"/>
          <w:szCs w:val="18"/>
        </w:rPr>
        <w:t xml:space="preserve"> </w:t>
      </w:r>
      <w:r w:rsidRPr="00560F13">
        <w:rPr>
          <w:rFonts w:ascii="Arial" w:hAnsi="Arial" w:cs="Arial"/>
          <w:sz w:val="18"/>
          <w:szCs w:val="18"/>
        </w:rPr>
        <w:t xml:space="preserve">(dec.), no. 1466/07 (French only); </w:t>
      </w:r>
      <w:hyperlink r:id="rId67" w:history="1">
        <w:r w:rsidRPr="00560F13">
          <w:rPr>
            <w:rStyle w:val="Lienhypertexte"/>
            <w:rFonts w:ascii="Arial" w:hAnsi="Arial" w:cs="Arial"/>
            <w:i/>
            <w:iCs/>
            <w:sz w:val="18"/>
            <w:szCs w:val="18"/>
          </w:rPr>
          <w:t>Korenjak v. Slovenia</w:t>
        </w:r>
      </w:hyperlink>
      <w:r w:rsidRPr="00560F13">
        <w:rPr>
          <w:rFonts w:ascii="Arial" w:hAnsi="Arial" w:cs="Arial"/>
          <w:iCs/>
          <w:sz w:val="18"/>
          <w:szCs w:val="18"/>
        </w:rPr>
        <w:t xml:space="preserve"> </w:t>
      </w:r>
      <w:r w:rsidRPr="00560F13">
        <w:rPr>
          <w:rFonts w:ascii="Arial" w:hAnsi="Arial" w:cs="Arial"/>
          <w:sz w:val="18"/>
          <w:szCs w:val="18"/>
        </w:rPr>
        <w:t xml:space="preserve">(dec.), §§ 66-71; </w:t>
      </w:r>
      <w:hyperlink r:id="rId68" w:history="1">
        <w:r w:rsidRPr="00560F13">
          <w:rPr>
            <w:rStyle w:val="Lienhypertexte"/>
            <w:rFonts w:ascii="Arial" w:hAnsi="Arial" w:cs="Arial"/>
            <w:i/>
            <w:iCs/>
            <w:sz w:val="18"/>
            <w:szCs w:val="18"/>
          </w:rPr>
          <w:t>Techniki Olympiaki A.E. v. Greece</w:t>
        </w:r>
      </w:hyperlink>
      <w:r w:rsidRPr="00560F13">
        <w:rPr>
          <w:rFonts w:ascii="Arial" w:hAnsi="Arial" w:cs="Arial"/>
          <w:i/>
          <w:iCs/>
          <w:sz w:val="18"/>
          <w:szCs w:val="18"/>
        </w:rPr>
        <w:t xml:space="preserve"> </w:t>
      </w:r>
      <w:r w:rsidRPr="00560F13">
        <w:rPr>
          <w:rFonts w:ascii="Arial" w:hAnsi="Arial" w:cs="Arial"/>
          <w:sz w:val="18"/>
          <w:szCs w:val="18"/>
        </w:rPr>
        <w:t>(dec.); in cases concerning a new compensatory remedy in respect of interferences with property rights (</w:t>
      </w:r>
      <w:hyperlink r:id="rId69" w:history="1">
        <w:r w:rsidRPr="00560F13">
          <w:rPr>
            <w:rStyle w:val="Lienhypertexte"/>
            <w:rFonts w:ascii="Arial" w:hAnsi="Arial" w:cs="Arial"/>
            <w:i/>
            <w:sz w:val="18"/>
            <w:szCs w:val="18"/>
          </w:rPr>
          <w:t>Charzyński v. Poland</w:t>
        </w:r>
      </w:hyperlink>
      <w:r w:rsidRPr="00560F13">
        <w:rPr>
          <w:rFonts w:ascii="Arial" w:hAnsi="Arial" w:cs="Arial"/>
          <w:iCs/>
          <w:sz w:val="18"/>
          <w:szCs w:val="18"/>
        </w:rPr>
        <w:t xml:space="preserve"> </w:t>
      </w:r>
      <w:r w:rsidRPr="00560F13">
        <w:rPr>
          <w:rFonts w:ascii="Arial" w:hAnsi="Arial" w:cs="Arial"/>
          <w:sz w:val="18"/>
          <w:szCs w:val="18"/>
        </w:rPr>
        <w:t xml:space="preserve">(dec.); </w:t>
      </w:r>
      <w:hyperlink r:id="rId70" w:history="1">
        <w:r w:rsidRPr="00560F13">
          <w:rPr>
            <w:rStyle w:val="Lienhypertexte"/>
            <w:rFonts w:ascii="Arial" w:hAnsi="Arial" w:cs="Arial"/>
            <w:i/>
            <w:iCs/>
            <w:sz w:val="18"/>
            <w:szCs w:val="18"/>
          </w:rPr>
          <w:t>Michalak v. Poland</w:t>
        </w:r>
      </w:hyperlink>
      <w:r w:rsidRPr="00560F13">
        <w:rPr>
          <w:rFonts w:ascii="Arial" w:hAnsi="Arial" w:cs="Arial"/>
          <w:iCs/>
          <w:sz w:val="18"/>
          <w:szCs w:val="18"/>
        </w:rPr>
        <w:t xml:space="preserve"> </w:t>
      </w:r>
      <w:r w:rsidRPr="00560F13">
        <w:rPr>
          <w:rFonts w:ascii="Arial" w:hAnsi="Arial" w:cs="Arial"/>
          <w:sz w:val="18"/>
          <w:szCs w:val="18"/>
        </w:rPr>
        <w:t xml:space="preserve">(dec.); </w:t>
      </w:r>
      <w:hyperlink r:id="rId71" w:history="1">
        <w:r w:rsidRPr="00560F13">
          <w:rPr>
            <w:rStyle w:val="Lienhypertexte"/>
            <w:rFonts w:ascii="Arial" w:hAnsi="Arial" w:cs="Arial"/>
            <w:i/>
            <w:iCs/>
            <w:sz w:val="18"/>
            <w:szCs w:val="18"/>
          </w:rPr>
          <w:t>Demopoulos and Others v. Turkey</w:t>
        </w:r>
      </w:hyperlink>
      <w:r w:rsidRPr="00560F13">
        <w:rPr>
          <w:rFonts w:ascii="Arial" w:hAnsi="Arial" w:cs="Arial"/>
          <w:iCs/>
          <w:sz w:val="18"/>
          <w:szCs w:val="18"/>
        </w:rPr>
        <w:t xml:space="preserve"> </w:t>
      </w:r>
      <w:r w:rsidRPr="00560F13">
        <w:rPr>
          <w:rFonts w:ascii="Arial" w:hAnsi="Arial" w:cs="Arial"/>
          <w:sz w:val="18"/>
          <w:szCs w:val="18"/>
        </w:rPr>
        <w:t>(dec.) [GC]); in cases concerning failure to execute domestic judgments (</w:t>
      </w:r>
      <w:hyperlink r:id="rId72" w:history="1">
        <w:r w:rsidRPr="00560F13">
          <w:rPr>
            <w:rStyle w:val="Lienhypertexte"/>
            <w:rFonts w:ascii="Arial" w:hAnsi="Arial" w:cs="Arial"/>
            <w:i/>
            <w:sz w:val="18"/>
            <w:szCs w:val="18"/>
          </w:rPr>
          <w:t>Nagovitsyn and Nalgiyev v. Russia</w:t>
        </w:r>
      </w:hyperlink>
      <w:r w:rsidRPr="00560F13">
        <w:rPr>
          <w:rFonts w:ascii="Arial" w:hAnsi="Arial" w:cs="Arial"/>
          <w:iCs/>
          <w:sz w:val="18"/>
          <w:szCs w:val="18"/>
        </w:rPr>
        <w:t xml:space="preserve"> </w:t>
      </w:r>
      <w:r w:rsidRPr="00560F13">
        <w:rPr>
          <w:rFonts w:ascii="Arial" w:hAnsi="Arial" w:cs="Arial"/>
          <w:sz w:val="18"/>
          <w:szCs w:val="18"/>
        </w:rPr>
        <w:t>(dec.), §§ 36-40;</w:t>
      </w:r>
      <w:r w:rsidRPr="00560F13">
        <w:rPr>
          <w:rFonts w:ascii="Arial" w:hAnsi="Arial" w:cs="Arial"/>
          <w:i/>
          <w:iCs/>
          <w:sz w:val="18"/>
          <w:szCs w:val="18"/>
        </w:rPr>
        <w:t xml:space="preserve"> </w:t>
      </w:r>
      <w:hyperlink r:id="rId73" w:history="1">
        <w:r w:rsidRPr="00560F13">
          <w:rPr>
            <w:rStyle w:val="Lienhypertexte"/>
            <w:rFonts w:ascii="Arial" w:hAnsi="Arial" w:cs="Arial"/>
            <w:i/>
            <w:iCs/>
            <w:sz w:val="18"/>
            <w:szCs w:val="18"/>
          </w:rPr>
          <w:t>Balan v. Moldova</w:t>
        </w:r>
      </w:hyperlink>
      <w:r w:rsidRPr="00560F13">
        <w:rPr>
          <w:rFonts w:ascii="Arial" w:hAnsi="Arial" w:cs="Arial"/>
          <w:iCs/>
          <w:sz w:val="18"/>
          <w:szCs w:val="18"/>
        </w:rPr>
        <w:t xml:space="preserve"> </w:t>
      </w:r>
      <w:r w:rsidRPr="00560F13">
        <w:rPr>
          <w:rFonts w:ascii="Arial" w:hAnsi="Arial" w:cs="Arial"/>
          <w:sz w:val="18"/>
          <w:szCs w:val="18"/>
        </w:rPr>
        <w:t>(dec.)); in cases concerning prison overcrowding (</w:t>
      </w:r>
      <w:hyperlink r:id="rId74" w:history="1">
        <w:r w:rsidRPr="00560F13">
          <w:rPr>
            <w:rStyle w:val="Lienhypertexte"/>
            <w:rFonts w:ascii="Arial" w:hAnsi="Arial" w:cs="Arial"/>
            <w:sz w:val="18"/>
            <w:szCs w:val="18"/>
          </w:rPr>
          <w:t>Łatak v. Poland</w:t>
        </w:r>
      </w:hyperlink>
      <w:r w:rsidRPr="00560F13">
        <w:rPr>
          <w:rFonts w:ascii="Arial" w:hAnsi="Arial" w:cs="Arial"/>
          <w:iCs/>
          <w:sz w:val="18"/>
          <w:szCs w:val="18"/>
        </w:rPr>
        <w:t xml:space="preserve"> </w:t>
      </w:r>
      <w:r w:rsidRPr="00560F13">
        <w:rPr>
          <w:rFonts w:ascii="Arial" w:hAnsi="Arial" w:cs="Arial"/>
          <w:sz w:val="18"/>
          <w:szCs w:val="18"/>
        </w:rPr>
        <w:t xml:space="preserve">(dec.); </w:t>
      </w:r>
      <w:hyperlink r:id="rId75" w:history="1">
        <w:r w:rsidRPr="00560F13">
          <w:rPr>
            <w:rStyle w:val="Lienhypertexte"/>
            <w:rFonts w:ascii="Arial" w:hAnsi="Arial" w:cs="Arial"/>
            <w:sz w:val="18"/>
            <w:szCs w:val="18"/>
          </w:rPr>
          <w:t>Stella and Others v. Italy</w:t>
        </w:r>
      </w:hyperlink>
      <w:r w:rsidRPr="00560F13">
        <w:rPr>
          <w:rFonts w:ascii="Arial" w:hAnsi="Arial" w:cs="Arial"/>
          <w:iCs/>
          <w:sz w:val="18"/>
          <w:szCs w:val="18"/>
        </w:rPr>
        <w:t xml:space="preserve"> </w:t>
      </w:r>
      <w:r w:rsidRPr="00560F13">
        <w:rPr>
          <w:rFonts w:ascii="Arial" w:hAnsi="Arial" w:cs="Arial"/>
          <w:sz w:val="18"/>
          <w:szCs w:val="18"/>
        </w:rPr>
        <w:t>(dec.), §§ 42-45).</w:t>
      </w:r>
    </w:p>
  </w:footnote>
  <w:footnote w:id="54">
    <w:p w14:paraId="0ED1C4D5"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76"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 [GC]</w:t>
      </w:r>
      <w:r w:rsidRPr="00560F13">
        <w:rPr>
          <w:rFonts w:ascii="Arial" w:hAnsi="Arial" w:cs="Arial"/>
          <w:sz w:val="18"/>
          <w:szCs w:val="18"/>
        </w:rPr>
        <w:t>, nos. 20958/14 and 38334/18, § 260, 16 December 2020.</w:t>
      </w:r>
    </w:p>
  </w:footnote>
  <w:footnote w:id="55">
    <w:p w14:paraId="2078CBD0"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bookmarkStart w:id="29" w:name="_Hlk63173159"/>
      <w:r w:rsidRPr="00560F13">
        <w:fldChar w:fldCharType="begin"/>
      </w:r>
      <w:r w:rsidRPr="00560F13">
        <w:rPr>
          <w:rFonts w:ascii="Arial" w:hAnsi="Arial" w:cs="Arial"/>
          <w:sz w:val="18"/>
          <w:szCs w:val="18"/>
        </w:rPr>
        <w:instrText xml:space="preserve"> HYPERLINK "http://hudoc.echr.coe.int/eng?i=001-108097" </w:instrText>
      </w:r>
      <w:r w:rsidRPr="00560F13">
        <w:fldChar w:fldCharType="separate"/>
      </w:r>
      <w:r w:rsidRPr="00560F13">
        <w:rPr>
          <w:rStyle w:val="Lienhypertexte"/>
          <w:rFonts w:ascii="Arial" w:hAnsi="Arial" w:cs="Arial"/>
          <w:i/>
          <w:sz w:val="18"/>
          <w:szCs w:val="18"/>
        </w:rPr>
        <w:t>Georgia v. Russia</w:t>
      </w:r>
      <w:r w:rsidRPr="00560F13">
        <w:rPr>
          <w:rStyle w:val="Lienhypertexte"/>
          <w:rFonts w:ascii="Arial" w:hAnsi="Arial" w:cs="Arial"/>
          <w:sz w:val="18"/>
          <w:szCs w:val="18"/>
        </w:rPr>
        <w:t xml:space="preserve"> (II) (dec)</w:t>
      </w:r>
      <w:r w:rsidRPr="00560F13">
        <w:rPr>
          <w:rStyle w:val="Lienhypertexte"/>
          <w:rFonts w:ascii="Arial" w:hAnsi="Arial" w:cs="Arial"/>
          <w:sz w:val="18"/>
          <w:szCs w:val="18"/>
        </w:rPr>
        <w:fldChar w:fldCharType="end"/>
      </w:r>
      <w:r w:rsidRPr="00560F13">
        <w:rPr>
          <w:rFonts w:ascii="Arial" w:hAnsi="Arial" w:cs="Arial"/>
          <w:sz w:val="18"/>
          <w:szCs w:val="18"/>
        </w:rPr>
        <w:t>, no. 38263/08</w:t>
      </w:r>
      <w:bookmarkEnd w:id="29"/>
      <w:r w:rsidRPr="00560F13">
        <w:rPr>
          <w:rFonts w:ascii="Arial" w:hAnsi="Arial" w:cs="Arial"/>
          <w:sz w:val="18"/>
          <w:szCs w:val="18"/>
        </w:rPr>
        <w:t xml:space="preserve">, § 64, 13 December 2011; </w:t>
      </w:r>
      <w:hyperlink r:id="rId77"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 [GC]</w:t>
      </w:r>
      <w:r w:rsidRPr="00560F13">
        <w:rPr>
          <w:rFonts w:ascii="Arial" w:hAnsi="Arial" w:cs="Arial"/>
          <w:sz w:val="18"/>
          <w:szCs w:val="18"/>
        </w:rPr>
        <w:t xml:space="preserve">, nos. 20958/14 and 38334/18 § 265, 16 December 2020; </w:t>
      </w:r>
      <w:hyperlink r:id="rId78" w:history="1">
        <w:r w:rsidRPr="00560F13">
          <w:rPr>
            <w:rStyle w:val="Lienhypertexte"/>
            <w:rFonts w:ascii="Arial" w:hAnsi="Arial" w:cs="Arial"/>
            <w:i/>
            <w:iCs/>
            <w:color w:val="auto"/>
            <w:sz w:val="18"/>
            <w:szCs w:val="18"/>
          </w:rPr>
          <w:t>Slovenia v Croatia</w:t>
        </w:r>
      </w:hyperlink>
      <w:r w:rsidRPr="00560F13">
        <w:rPr>
          <w:rFonts w:ascii="Arial" w:hAnsi="Arial" w:cs="Arial"/>
          <w:sz w:val="18"/>
          <w:szCs w:val="18"/>
        </w:rPr>
        <w:t xml:space="preserve"> </w:t>
      </w:r>
      <w:r w:rsidRPr="00560F13">
        <w:rPr>
          <w:rFonts w:ascii="Arial" w:hAnsi="Arial" w:cs="Arial"/>
          <w:i/>
          <w:iCs/>
          <w:sz w:val="18"/>
          <w:szCs w:val="18"/>
        </w:rPr>
        <w:t>(dec)</w:t>
      </w:r>
      <w:r w:rsidRPr="00560F13">
        <w:rPr>
          <w:rFonts w:ascii="Arial" w:hAnsi="Arial" w:cs="Arial"/>
          <w:sz w:val="18"/>
          <w:szCs w:val="18"/>
        </w:rPr>
        <w:t>, no. 54155/16, §§ 41, 18 November 2020.</w:t>
      </w:r>
    </w:p>
  </w:footnote>
  <w:footnote w:id="56">
    <w:p w14:paraId="552FB963"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79" w:history="1">
        <w:r w:rsidRPr="00560F13">
          <w:rPr>
            <w:rStyle w:val="Lienhypertexte"/>
            <w:rFonts w:ascii="Arial" w:hAnsi="Arial" w:cs="Arial"/>
            <w:i/>
            <w:iCs/>
            <w:color w:val="auto"/>
            <w:sz w:val="18"/>
            <w:szCs w:val="18"/>
          </w:rPr>
          <w:t>Slovenia v Croatia</w:t>
        </w:r>
      </w:hyperlink>
      <w:r w:rsidRPr="00560F13">
        <w:rPr>
          <w:rFonts w:ascii="Arial" w:hAnsi="Arial" w:cs="Arial"/>
          <w:sz w:val="18"/>
          <w:szCs w:val="18"/>
        </w:rPr>
        <w:t xml:space="preserve"> </w:t>
      </w:r>
      <w:r w:rsidRPr="00560F13">
        <w:rPr>
          <w:rFonts w:ascii="Arial" w:hAnsi="Arial" w:cs="Arial"/>
          <w:i/>
          <w:iCs/>
          <w:sz w:val="18"/>
          <w:szCs w:val="18"/>
        </w:rPr>
        <w:t>(dec)</w:t>
      </w:r>
      <w:r w:rsidRPr="00560F13">
        <w:rPr>
          <w:rFonts w:ascii="Arial" w:hAnsi="Arial" w:cs="Arial"/>
          <w:sz w:val="18"/>
          <w:szCs w:val="18"/>
        </w:rPr>
        <w:t>, no. 54155/16, § 41, 18 November 2020.</w:t>
      </w:r>
      <w:r>
        <w:rPr>
          <w:rFonts w:ascii="Arial" w:hAnsi="Arial" w:cs="Arial"/>
          <w:sz w:val="18"/>
          <w:szCs w:val="18"/>
        </w:rPr>
        <w:t xml:space="preserve"> </w:t>
      </w:r>
    </w:p>
  </w:footnote>
  <w:footnote w:id="57">
    <w:p w14:paraId="22E7E81A"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80" w:history="1">
        <w:r w:rsidRPr="00560F13">
          <w:rPr>
            <w:rStyle w:val="Lienhypertexte"/>
            <w:rFonts w:ascii="Arial" w:hAnsi="Arial" w:cs="Arial"/>
            <w:i/>
            <w:iCs/>
            <w:color w:val="auto"/>
            <w:sz w:val="18"/>
            <w:szCs w:val="18"/>
          </w:rPr>
          <w:t>Slovenia v Croatia</w:t>
        </w:r>
      </w:hyperlink>
      <w:r w:rsidRPr="00560F13">
        <w:rPr>
          <w:rFonts w:ascii="Arial" w:hAnsi="Arial" w:cs="Arial"/>
          <w:sz w:val="18"/>
          <w:szCs w:val="18"/>
        </w:rPr>
        <w:t xml:space="preserve"> </w:t>
      </w:r>
      <w:r w:rsidRPr="00560F13">
        <w:rPr>
          <w:rFonts w:ascii="Arial" w:hAnsi="Arial" w:cs="Arial"/>
          <w:i/>
          <w:iCs/>
          <w:sz w:val="18"/>
          <w:szCs w:val="18"/>
        </w:rPr>
        <w:t>(dec)</w:t>
      </w:r>
      <w:r w:rsidRPr="00560F13">
        <w:rPr>
          <w:rFonts w:ascii="Arial" w:hAnsi="Arial" w:cs="Arial"/>
          <w:sz w:val="18"/>
          <w:szCs w:val="18"/>
        </w:rPr>
        <w:t>, no. 54155/16, § 41, 18 November 2020</w:t>
      </w:r>
      <w:r w:rsidRPr="00080DFA">
        <w:rPr>
          <w:rFonts w:ascii="Arial" w:hAnsi="Arial" w:cs="Arial"/>
          <w:sz w:val="18"/>
          <w:szCs w:val="18"/>
        </w:rPr>
        <w:t xml:space="preserve">. </w:t>
      </w:r>
      <w:bookmarkStart w:id="30" w:name="_Hlk83282291"/>
      <w:r w:rsidRPr="009A43B7">
        <w:rPr>
          <w:rFonts w:ascii="Arial" w:hAnsi="Arial" w:cs="Arial"/>
          <w:sz w:val="18"/>
          <w:szCs w:val="18"/>
        </w:rPr>
        <w:t xml:space="preserve">See also </w:t>
      </w:r>
      <w:r w:rsidRPr="009A43B7">
        <w:rPr>
          <w:rStyle w:val="s6b621b36"/>
          <w:rFonts w:ascii="Arial" w:hAnsi="Arial" w:cs="Arial"/>
          <w:i/>
          <w:iCs/>
          <w:color w:val="000000"/>
          <w:sz w:val="18"/>
          <w:szCs w:val="18"/>
        </w:rPr>
        <w:t>France</w:t>
      </w:r>
      <w:r w:rsidRPr="009A43B7">
        <w:rPr>
          <w:rStyle w:val="s6b621b36"/>
          <w:rFonts w:ascii="Arial" w:hAnsi="Arial" w:cs="Arial"/>
          <w:i/>
          <w:iCs/>
          <w:color w:val="000000"/>
          <w:sz w:val="18"/>
          <w:szCs w:val="18"/>
          <w:shd w:val="clear" w:color="auto" w:fill="FFFFFF"/>
        </w:rPr>
        <w:t>, Norway, Denmark, Sweden and the Netherlands v. Turkey</w:t>
      </w:r>
      <w:r w:rsidRPr="009A43B7">
        <w:rPr>
          <w:rStyle w:val="sb8d990e2"/>
          <w:rFonts w:ascii="Arial" w:hAnsi="Arial" w:cs="Arial"/>
          <w:color w:val="000000"/>
          <w:sz w:val="18"/>
          <w:szCs w:val="18"/>
          <w:shd w:val="clear" w:color="auto" w:fill="FFFFFF"/>
        </w:rPr>
        <w:t>,  at pp. 161-162.</w:t>
      </w:r>
      <w:r>
        <w:rPr>
          <w:rStyle w:val="sb8d990e2"/>
          <w:rFonts w:ascii="Arial" w:hAnsi="Arial" w:cs="Arial"/>
          <w:color w:val="000000"/>
          <w:shd w:val="clear" w:color="auto" w:fill="FFFFFF"/>
        </w:rPr>
        <w:t xml:space="preserve"> </w:t>
      </w:r>
      <w:bookmarkEnd w:id="30"/>
    </w:p>
  </w:footnote>
  <w:footnote w:id="58">
    <w:p w14:paraId="35BFFED2"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81" w:history="1">
        <w:r w:rsidRPr="00560F13">
          <w:rPr>
            <w:rStyle w:val="Lienhypertexte"/>
            <w:rFonts w:ascii="Arial" w:hAnsi="Arial" w:cs="Arial"/>
            <w:i/>
            <w:iCs/>
            <w:color w:val="auto"/>
            <w:sz w:val="18"/>
            <w:szCs w:val="18"/>
          </w:rPr>
          <w:t>Slovenia v Croatia</w:t>
        </w:r>
      </w:hyperlink>
      <w:r w:rsidRPr="00560F13">
        <w:rPr>
          <w:rFonts w:ascii="Arial" w:hAnsi="Arial" w:cs="Arial"/>
          <w:sz w:val="18"/>
          <w:szCs w:val="18"/>
        </w:rPr>
        <w:t xml:space="preserve"> </w:t>
      </w:r>
      <w:r w:rsidRPr="00560F13">
        <w:rPr>
          <w:rFonts w:ascii="Arial" w:hAnsi="Arial" w:cs="Arial"/>
          <w:i/>
          <w:iCs/>
          <w:sz w:val="18"/>
          <w:szCs w:val="18"/>
        </w:rPr>
        <w:t>(dec)</w:t>
      </w:r>
      <w:r w:rsidRPr="00560F13">
        <w:rPr>
          <w:rFonts w:ascii="Arial" w:hAnsi="Arial" w:cs="Arial"/>
          <w:sz w:val="18"/>
          <w:szCs w:val="18"/>
        </w:rPr>
        <w:t>, no. 54155/16, § 41, 18 November 2020.</w:t>
      </w:r>
    </w:p>
  </w:footnote>
  <w:footnote w:id="59">
    <w:p w14:paraId="219F7BCF"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82" w:history="1">
        <w:r w:rsidRPr="00560F13">
          <w:rPr>
            <w:rStyle w:val="Lienhypertexte"/>
            <w:rFonts w:ascii="Arial" w:hAnsi="Arial" w:cs="Arial"/>
            <w:i/>
            <w:color w:val="auto"/>
            <w:sz w:val="18"/>
            <w:szCs w:val="18"/>
          </w:rPr>
          <w:t>Georgia v. Russia</w:t>
        </w:r>
        <w:r w:rsidRPr="00560F13">
          <w:rPr>
            <w:rStyle w:val="Lienhypertexte"/>
            <w:rFonts w:ascii="Arial" w:hAnsi="Arial" w:cs="Arial"/>
            <w:color w:val="auto"/>
            <w:sz w:val="18"/>
            <w:szCs w:val="18"/>
          </w:rPr>
          <w:t xml:space="preserve"> (II) (dec)</w:t>
        </w:r>
      </w:hyperlink>
      <w:r w:rsidRPr="00560F13">
        <w:rPr>
          <w:rFonts w:ascii="Arial" w:hAnsi="Arial" w:cs="Arial"/>
          <w:sz w:val="18"/>
          <w:szCs w:val="18"/>
        </w:rPr>
        <w:t xml:space="preserve">, no. 38263/08, § 65, 13 December 2011; </w:t>
      </w:r>
      <w:hyperlink r:id="rId83"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 [GC]</w:t>
      </w:r>
      <w:r w:rsidRPr="00560F13">
        <w:rPr>
          <w:rFonts w:ascii="Arial" w:hAnsi="Arial" w:cs="Arial"/>
          <w:sz w:val="18"/>
          <w:szCs w:val="18"/>
        </w:rPr>
        <w:t>, nos. 20958/14 and 38334/18, § 265, 16 December 2020.</w:t>
      </w:r>
    </w:p>
  </w:footnote>
  <w:footnote w:id="60">
    <w:p w14:paraId="7E5D6C8B"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84"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 [GC]</w:t>
      </w:r>
      <w:r w:rsidRPr="00560F13">
        <w:rPr>
          <w:rFonts w:ascii="Arial" w:hAnsi="Arial" w:cs="Arial"/>
          <w:sz w:val="18"/>
          <w:szCs w:val="18"/>
        </w:rPr>
        <w:t>, nos. 20958/14 and 38334/18, §§ 265, 352, 16 December 2020.</w:t>
      </w:r>
    </w:p>
  </w:footnote>
  <w:footnote w:id="61">
    <w:p w14:paraId="611A011D"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85"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 [GC]</w:t>
      </w:r>
      <w:r w:rsidRPr="00560F13">
        <w:rPr>
          <w:rFonts w:ascii="Arial" w:hAnsi="Arial" w:cs="Arial"/>
          <w:sz w:val="18"/>
          <w:szCs w:val="18"/>
        </w:rPr>
        <w:t>, nos. 20958/14 and 38334/18, §§ 265, 352, 16 December 2020.</w:t>
      </w:r>
    </w:p>
  </w:footnote>
  <w:footnote w:id="62">
    <w:p w14:paraId="3DA98FAD"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r w:rsidRPr="00560F13">
        <w:rPr>
          <w:rFonts w:ascii="Arial" w:hAnsi="Arial" w:cs="Arial"/>
          <w:i/>
          <w:iCs/>
          <w:sz w:val="18"/>
          <w:szCs w:val="18"/>
          <w:u w:val="single"/>
        </w:rPr>
        <w:t>France, Norway, Denmark, Sweden and the Netherlands v. Turkey</w:t>
      </w:r>
      <w:r w:rsidRPr="00560F13">
        <w:rPr>
          <w:rFonts w:ascii="Arial" w:hAnsi="Arial" w:cs="Arial"/>
          <w:sz w:val="18"/>
          <w:szCs w:val="18"/>
        </w:rPr>
        <w:t xml:space="preserve">, nos. 9940-9944/82, Commission decision of 6 December 1983, Decisions and Reports 35, p. 162. </w:t>
      </w:r>
    </w:p>
  </w:footnote>
  <w:footnote w:id="63">
    <w:p w14:paraId="2CF9A708"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86"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 [GC]</w:t>
      </w:r>
      <w:r w:rsidRPr="00560F13">
        <w:rPr>
          <w:rFonts w:ascii="Arial" w:hAnsi="Arial" w:cs="Arial"/>
          <w:sz w:val="18"/>
          <w:szCs w:val="18"/>
        </w:rPr>
        <w:t>, nos. 20958/14 and 38334/18, § 367, 16 December 2020.</w:t>
      </w:r>
    </w:p>
  </w:footnote>
  <w:footnote w:id="64">
    <w:p w14:paraId="0089A6D1"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87" w:history="1">
        <w:r w:rsidRPr="00560F13">
          <w:rPr>
            <w:rStyle w:val="Lienhypertexte"/>
            <w:rFonts w:ascii="Arial" w:hAnsi="Arial" w:cs="Arial"/>
            <w:i/>
            <w:iCs/>
            <w:color w:val="auto"/>
            <w:sz w:val="18"/>
            <w:szCs w:val="18"/>
          </w:rPr>
          <w:t>Slovenia v Croatia</w:t>
        </w:r>
      </w:hyperlink>
      <w:r w:rsidRPr="00560F13">
        <w:rPr>
          <w:rFonts w:ascii="Arial" w:hAnsi="Arial" w:cs="Arial"/>
          <w:sz w:val="18"/>
          <w:szCs w:val="18"/>
        </w:rPr>
        <w:t xml:space="preserve"> </w:t>
      </w:r>
      <w:r w:rsidRPr="00560F13">
        <w:rPr>
          <w:rFonts w:ascii="Arial" w:hAnsi="Arial" w:cs="Arial"/>
          <w:i/>
          <w:iCs/>
          <w:sz w:val="18"/>
          <w:szCs w:val="18"/>
        </w:rPr>
        <w:t>(dec)</w:t>
      </w:r>
      <w:r w:rsidRPr="00560F13">
        <w:rPr>
          <w:rFonts w:ascii="Arial" w:hAnsi="Arial" w:cs="Arial"/>
          <w:sz w:val="18"/>
          <w:szCs w:val="18"/>
        </w:rPr>
        <w:t>, no. 54155/16, §§ 43, 44, 18 November 2020.</w:t>
      </w:r>
    </w:p>
  </w:footnote>
  <w:footnote w:id="65">
    <w:p w14:paraId="3BD14949" w14:textId="77777777" w:rsidR="000C68FA" w:rsidRPr="00381CA8"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381CA8">
        <w:rPr>
          <w:rFonts w:ascii="Arial" w:hAnsi="Arial" w:cs="Arial"/>
          <w:sz w:val="18"/>
          <w:szCs w:val="18"/>
        </w:rPr>
        <w:t xml:space="preserve"> </w:t>
      </w:r>
      <w:r w:rsidRPr="00381CA8">
        <w:rPr>
          <w:rFonts w:ascii="Arial" w:hAnsi="Arial" w:cs="Arial"/>
          <w:i/>
          <w:sz w:val="18"/>
          <w:szCs w:val="18"/>
        </w:rPr>
        <w:t>Cyprus v. Turkey</w:t>
      </w:r>
      <w:r w:rsidRPr="00381CA8">
        <w:rPr>
          <w:rFonts w:ascii="Arial" w:hAnsi="Arial" w:cs="Arial"/>
          <w:sz w:val="18"/>
          <w:szCs w:val="18"/>
        </w:rPr>
        <w:t xml:space="preserve">, </w:t>
      </w:r>
      <w:hyperlink r:id="rId88" w:history="1">
        <w:r w:rsidRPr="00381CA8">
          <w:rPr>
            <w:rStyle w:val="Lienhypertexte"/>
            <w:rFonts w:ascii="Arial" w:hAnsi="Arial" w:cs="Arial"/>
            <w:color w:val="auto"/>
            <w:sz w:val="18"/>
            <w:szCs w:val="18"/>
          </w:rPr>
          <w:t>nos. 6780/74 and 6950/75</w:t>
        </w:r>
      </w:hyperlink>
      <w:r w:rsidRPr="00381CA8">
        <w:rPr>
          <w:rFonts w:ascii="Arial" w:hAnsi="Arial" w:cs="Arial"/>
          <w:sz w:val="18"/>
          <w:szCs w:val="18"/>
        </w:rPr>
        <w:t xml:space="preserve">, p.138, 26 May 1975; </w:t>
      </w:r>
      <w:hyperlink r:id="rId89" w:anchor="{%22appno%22:[%228007/77%22]}" w:tgtFrame="_blank" w:history="1">
        <w:r w:rsidRPr="00381CA8">
          <w:rPr>
            <w:rStyle w:val="Lienhypertexte"/>
            <w:rFonts w:ascii="Arial" w:hAnsi="Arial" w:cs="Arial"/>
            <w:color w:val="auto"/>
            <w:sz w:val="18"/>
            <w:szCs w:val="18"/>
          </w:rPr>
          <w:t>Cyprus v. Turkey n</w:t>
        </w:r>
        <w:r w:rsidRPr="00381CA8">
          <w:rPr>
            <w:rStyle w:val="Lienhypertexte"/>
            <w:rFonts w:ascii="Arial" w:eastAsiaTheme="majorEastAsia" w:hAnsi="Arial" w:cs="Arial"/>
            <w:color w:val="auto"/>
            <w:sz w:val="18"/>
            <w:szCs w:val="18"/>
          </w:rPr>
          <w:t>o. 8007/77</w:t>
        </w:r>
      </w:hyperlink>
      <w:r w:rsidRPr="00381CA8">
        <w:rPr>
          <w:rStyle w:val="sf6541cea"/>
          <w:rFonts w:ascii="Arial" w:eastAsiaTheme="majorEastAsia" w:hAnsi="Arial" w:cs="Arial"/>
          <w:sz w:val="18"/>
          <w:szCs w:val="18"/>
        </w:rPr>
        <w:t xml:space="preserve">, Dec. 3.10.78, D.R. 13 p. 78, para. 56 at p. 156; </w:t>
      </w:r>
      <w:hyperlink r:id="rId90" w:history="1">
        <w:r w:rsidRPr="00381CA8">
          <w:rPr>
            <w:rStyle w:val="Lienhypertexte"/>
            <w:rFonts w:ascii="Arial" w:hAnsi="Arial" w:cs="Arial"/>
            <w:i/>
            <w:color w:val="auto"/>
            <w:sz w:val="18"/>
            <w:szCs w:val="18"/>
            <w:lang w:eastAsia="ja-JP"/>
          </w:rPr>
          <w:t>Cyprus v. Turkey</w:t>
        </w:r>
        <w:r w:rsidRPr="00381CA8">
          <w:rPr>
            <w:rStyle w:val="Lienhypertexte"/>
            <w:rFonts w:ascii="Arial" w:hAnsi="Arial" w:cs="Arial"/>
            <w:color w:val="auto"/>
            <w:sz w:val="18"/>
            <w:szCs w:val="18"/>
            <w:lang w:eastAsia="ja-JP"/>
          </w:rPr>
          <w:t>, no. 25781/94</w:t>
        </w:r>
      </w:hyperlink>
      <w:r w:rsidRPr="00381CA8">
        <w:rPr>
          <w:rFonts w:ascii="Arial" w:hAnsi="Arial" w:cs="Arial"/>
          <w:sz w:val="18"/>
          <w:szCs w:val="18"/>
          <w:lang w:eastAsia="ja-JP"/>
        </w:rPr>
        <w:t>, p. 135, 28 June 1996.</w:t>
      </w:r>
    </w:p>
  </w:footnote>
  <w:footnote w:id="66">
    <w:p w14:paraId="66F5598C" w14:textId="77777777" w:rsidR="000C68FA" w:rsidRPr="00381CA8"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381CA8">
        <w:rPr>
          <w:rFonts w:ascii="Arial" w:hAnsi="Arial" w:cs="Arial"/>
          <w:sz w:val="18"/>
          <w:szCs w:val="18"/>
        </w:rPr>
        <w:t xml:space="preserve"> </w:t>
      </w:r>
      <w:r w:rsidRPr="00381CA8">
        <w:rPr>
          <w:rFonts w:ascii="Arial" w:hAnsi="Arial" w:cs="Arial"/>
          <w:i/>
          <w:sz w:val="18"/>
          <w:szCs w:val="18"/>
        </w:rPr>
        <w:t>Cyprus v. Turkey</w:t>
      </w:r>
      <w:r w:rsidRPr="00381CA8">
        <w:rPr>
          <w:rFonts w:ascii="Arial" w:hAnsi="Arial" w:cs="Arial"/>
          <w:sz w:val="18"/>
          <w:szCs w:val="18"/>
        </w:rPr>
        <w:t xml:space="preserve">, </w:t>
      </w:r>
      <w:hyperlink r:id="rId91" w:history="1">
        <w:r w:rsidRPr="00381CA8">
          <w:rPr>
            <w:rStyle w:val="Lienhypertexte"/>
            <w:rFonts w:ascii="Arial" w:hAnsi="Arial" w:cs="Arial"/>
            <w:color w:val="auto"/>
            <w:sz w:val="18"/>
            <w:szCs w:val="18"/>
          </w:rPr>
          <w:t>nos. 6780/74 and 6950/75</w:t>
        </w:r>
      </w:hyperlink>
      <w:r w:rsidRPr="00381CA8">
        <w:rPr>
          <w:rFonts w:ascii="Arial" w:hAnsi="Arial" w:cs="Arial"/>
          <w:sz w:val="18"/>
          <w:szCs w:val="18"/>
        </w:rPr>
        <w:t xml:space="preserve">, p.138, 26 May 1975; </w:t>
      </w:r>
      <w:hyperlink r:id="rId92" w:anchor="{%22appno%22:[%228007/77%22]}" w:tgtFrame="_blank" w:history="1">
        <w:r w:rsidRPr="00381CA8">
          <w:rPr>
            <w:rStyle w:val="Lienhypertexte"/>
            <w:rFonts w:ascii="Arial" w:hAnsi="Arial" w:cs="Arial"/>
            <w:color w:val="auto"/>
            <w:sz w:val="18"/>
            <w:szCs w:val="18"/>
          </w:rPr>
          <w:t>Cyprus v. Turkey n</w:t>
        </w:r>
        <w:r w:rsidRPr="00381CA8">
          <w:rPr>
            <w:rStyle w:val="Lienhypertexte"/>
            <w:rFonts w:ascii="Arial" w:eastAsiaTheme="majorEastAsia" w:hAnsi="Arial" w:cs="Arial"/>
            <w:color w:val="auto"/>
            <w:sz w:val="18"/>
            <w:szCs w:val="18"/>
          </w:rPr>
          <w:t>o. 8007/77</w:t>
        </w:r>
      </w:hyperlink>
      <w:r w:rsidRPr="00381CA8">
        <w:rPr>
          <w:rStyle w:val="sf6541cea"/>
          <w:rFonts w:ascii="Arial" w:eastAsiaTheme="majorEastAsia" w:hAnsi="Arial" w:cs="Arial"/>
          <w:sz w:val="18"/>
          <w:szCs w:val="18"/>
        </w:rPr>
        <w:t>, Dec. 3.10.78, D.R. 13 p. 78, para. 56 at p. 156.</w:t>
      </w:r>
    </w:p>
  </w:footnote>
  <w:footnote w:id="67">
    <w:p w14:paraId="6D7947F8"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93"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 [GC]</w:t>
      </w:r>
      <w:r w:rsidRPr="00560F13">
        <w:rPr>
          <w:rFonts w:ascii="Arial" w:hAnsi="Arial" w:cs="Arial"/>
          <w:sz w:val="18"/>
          <w:szCs w:val="18"/>
        </w:rPr>
        <w:t>, nos. 20958/14 and 38334/18, § 271, 16 December 2020.</w:t>
      </w:r>
    </w:p>
  </w:footnote>
  <w:footnote w:id="68">
    <w:p w14:paraId="60CAD573"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94"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 [GC]</w:t>
      </w:r>
      <w:r w:rsidRPr="00560F13">
        <w:rPr>
          <w:rFonts w:ascii="Arial" w:hAnsi="Arial" w:cs="Arial"/>
          <w:sz w:val="18"/>
          <w:szCs w:val="18"/>
        </w:rPr>
        <w:t>, nos. 20958/14 and 38334/18, § 272, 16 December 2020.</w:t>
      </w:r>
    </w:p>
  </w:footnote>
  <w:footnote w:id="69">
    <w:p w14:paraId="606B8D65"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95" w:history="1">
        <w:r w:rsidRPr="00560F13">
          <w:rPr>
            <w:rStyle w:val="Lienhypertexte"/>
            <w:rFonts w:ascii="Arial" w:hAnsi="Arial" w:cs="Arial"/>
            <w:i/>
            <w:iCs/>
            <w:color w:val="auto"/>
            <w:sz w:val="18"/>
            <w:szCs w:val="18"/>
          </w:rPr>
          <w:t>Slovenia v Croatia</w:t>
        </w:r>
      </w:hyperlink>
      <w:r w:rsidRPr="00560F13">
        <w:rPr>
          <w:rFonts w:ascii="Arial" w:hAnsi="Arial" w:cs="Arial"/>
          <w:sz w:val="18"/>
          <w:szCs w:val="18"/>
        </w:rPr>
        <w:t xml:space="preserve"> </w:t>
      </w:r>
      <w:r w:rsidRPr="00560F13">
        <w:rPr>
          <w:rFonts w:ascii="Arial" w:hAnsi="Arial" w:cs="Arial"/>
          <w:i/>
          <w:iCs/>
          <w:sz w:val="18"/>
          <w:szCs w:val="18"/>
        </w:rPr>
        <w:t>(dec)</w:t>
      </w:r>
      <w:r w:rsidRPr="00560F13">
        <w:rPr>
          <w:rFonts w:ascii="Arial" w:hAnsi="Arial" w:cs="Arial"/>
          <w:sz w:val="18"/>
          <w:szCs w:val="18"/>
        </w:rPr>
        <w:t>, no. 54155/16, §§ 46-70, 18 November 2020.</w:t>
      </w:r>
    </w:p>
  </w:footnote>
  <w:footnote w:id="70">
    <w:p w14:paraId="191C35C2"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96" w:history="1">
        <w:r w:rsidRPr="00560F13">
          <w:rPr>
            <w:rStyle w:val="Lienhypertexte"/>
            <w:rFonts w:ascii="Arial" w:hAnsi="Arial" w:cs="Arial"/>
            <w:i/>
            <w:iCs/>
            <w:color w:val="auto"/>
            <w:sz w:val="18"/>
            <w:szCs w:val="18"/>
          </w:rPr>
          <w:t>Slovenia v Croatia</w:t>
        </w:r>
      </w:hyperlink>
      <w:r w:rsidRPr="00560F13">
        <w:rPr>
          <w:rFonts w:ascii="Arial" w:hAnsi="Arial" w:cs="Arial"/>
          <w:sz w:val="18"/>
          <w:szCs w:val="18"/>
        </w:rPr>
        <w:t xml:space="preserve"> </w:t>
      </w:r>
      <w:r w:rsidRPr="00560F13">
        <w:rPr>
          <w:rFonts w:ascii="Arial" w:hAnsi="Arial" w:cs="Arial"/>
          <w:i/>
          <w:iCs/>
          <w:sz w:val="18"/>
          <w:szCs w:val="18"/>
        </w:rPr>
        <w:t>(dec)</w:t>
      </w:r>
      <w:r w:rsidRPr="00560F13">
        <w:rPr>
          <w:rFonts w:ascii="Arial" w:hAnsi="Arial" w:cs="Arial"/>
          <w:sz w:val="18"/>
          <w:szCs w:val="18"/>
        </w:rPr>
        <w:t>, no. 54155/16, § 43, 18 November 2020.</w:t>
      </w:r>
    </w:p>
  </w:footnote>
  <w:footnote w:id="71">
    <w:p w14:paraId="6A4713B0"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97" w:history="1">
        <w:r w:rsidRPr="00560F13">
          <w:rPr>
            <w:rStyle w:val="Lienhypertexte"/>
            <w:rFonts w:ascii="Arial" w:hAnsi="Arial" w:cs="Arial"/>
            <w:i/>
            <w:iCs/>
            <w:color w:val="auto"/>
            <w:sz w:val="18"/>
            <w:szCs w:val="18"/>
          </w:rPr>
          <w:t>Slovenia v Croatia</w:t>
        </w:r>
      </w:hyperlink>
      <w:r w:rsidRPr="00560F13">
        <w:rPr>
          <w:rFonts w:ascii="Arial" w:hAnsi="Arial" w:cs="Arial"/>
          <w:sz w:val="18"/>
          <w:szCs w:val="18"/>
        </w:rPr>
        <w:t xml:space="preserve"> </w:t>
      </w:r>
      <w:r w:rsidRPr="00560F13">
        <w:rPr>
          <w:rFonts w:ascii="Arial" w:hAnsi="Arial" w:cs="Arial"/>
          <w:i/>
          <w:iCs/>
          <w:sz w:val="18"/>
          <w:szCs w:val="18"/>
        </w:rPr>
        <w:t>(dec)</w:t>
      </w:r>
      <w:r w:rsidRPr="00560F13">
        <w:rPr>
          <w:rFonts w:ascii="Arial" w:hAnsi="Arial" w:cs="Arial"/>
          <w:sz w:val="18"/>
          <w:szCs w:val="18"/>
        </w:rPr>
        <w:t>, no. 54155/16, § 76, 18 November 2020.</w:t>
      </w:r>
    </w:p>
  </w:footnote>
  <w:footnote w:id="72">
    <w:p w14:paraId="43CB3A54"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98" w:history="1">
        <w:r w:rsidRPr="00560F13">
          <w:rPr>
            <w:rStyle w:val="Lienhypertexte"/>
            <w:rFonts w:ascii="Arial" w:hAnsi="Arial" w:cs="Arial"/>
            <w:i/>
            <w:iCs/>
            <w:color w:val="auto"/>
            <w:sz w:val="18"/>
            <w:szCs w:val="18"/>
          </w:rPr>
          <w:t>Slovenia v Croatia</w:t>
        </w:r>
      </w:hyperlink>
      <w:r w:rsidRPr="00560F13">
        <w:rPr>
          <w:rFonts w:ascii="Arial" w:hAnsi="Arial" w:cs="Arial"/>
          <w:sz w:val="18"/>
          <w:szCs w:val="18"/>
        </w:rPr>
        <w:t xml:space="preserve"> </w:t>
      </w:r>
      <w:r w:rsidRPr="00560F13">
        <w:rPr>
          <w:rFonts w:ascii="Arial" w:hAnsi="Arial" w:cs="Arial"/>
          <w:i/>
          <w:iCs/>
          <w:sz w:val="18"/>
          <w:szCs w:val="18"/>
        </w:rPr>
        <w:t>(dec)</w:t>
      </w:r>
      <w:r w:rsidRPr="00560F13">
        <w:rPr>
          <w:rFonts w:ascii="Arial" w:hAnsi="Arial" w:cs="Arial"/>
          <w:sz w:val="18"/>
          <w:szCs w:val="18"/>
        </w:rPr>
        <w:t>, no. 54155/16, § 70, 18 November 2020.</w:t>
      </w:r>
    </w:p>
  </w:footnote>
  <w:footnote w:id="73">
    <w:p w14:paraId="668977DD"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document </w:t>
      </w:r>
      <w:hyperlink r:id="rId99" w:history="1">
        <w:r w:rsidRPr="00560F13">
          <w:rPr>
            <w:rStyle w:val="Lienhypertexte"/>
            <w:rFonts w:ascii="Arial" w:hAnsi="Arial" w:cs="Arial"/>
            <w:sz w:val="18"/>
            <w:szCs w:val="18"/>
          </w:rPr>
          <w:t>CDDH(2019)22</w:t>
        </w:r>
      </w:hyperlink>
    </w:p>
  </w:footnote>
  <w:footnote w:id="74">
    <w:p w14:paraId="42C840D6" w14:textId="77777777" w:rsidR="000C68FA" w:rsidRPr="009E0AFB" w:rsidRDefault="000C68FA" w:rsidP="002218C4">
      <w:pPr>
        <w:pStyle w:val="SingleTxtG"/>
        <w:spacing w:after="0" w:line="200" w:lineRule="exact"/>
        <w:ind w:left="0" w:right="0"/>
        <w:rPr>
          <w:color w:val="FF0000"/>
        </w:rPr>
      </w:pPr>
      <w:r w:rsidRPr="00A4296E">
        <w:rPr>
          <w:rFonts w:ascii="Arial" w:hAnsi="Arial" w:cs="Arial"/>
          <w:sz w:val="18"/>
          <w:szCs w:val="18"/>
          <w:vertAlign w:val="superscript"/>
        </w:rPr>
        <w:footnoteRef/>
      </w:r>
      <w:r w:rsidRPr="00A4296E">
        <w:rPr>
          <w:rFonts w:ascii="Arial" w:hAnsi="Arial" w:cs="Arial"/>
          <w:sz w:val="18"/>
          <w:szCs w:val="18"/>
        </w:rPr>
        <w:t xml:space="preserve"> </w:t>
      </w:r>
      <w:r w:rsidRPr="009E0AFB">
        <w:rPr>
          <w:rFonts w:ascii="Arial" w:hAnsi="Arial" w:cs="Arial"/>
          <w:sz w:val="18"/>
          <w:szCs w:val="18"/>
        </w:rPr>
        <w:t xml:space="preserve">See comments of the Russian Federation contained in documents </w:t>
      </w:r>
      <w:hyperlink r:id="rId100" w:history="1">
        <w:r w:rsidRPr="00A4296E">
          <w:t>CDDH(2019)12</w:t>
        </w:r>
      </w:hyperlink>
      <w:r w:rsidRPr="009E0AFB">
        <w:rPr>
          <w:rFonts w:ascii="Arial" w:hAnsi="Arial" w:cs="Arial"/>
          <w:sz w:val="18"/>
          <w:szCs w:val="18"/>
        </w:rPr>
        <w:t>, §§ 3.1. and 3.2; DH-SYSC-IV(2020)05Rev and DH-SYSC-IV(2020)06REV.</w:t>
      </w:r>
    </w:p>
  </w:footnote>
  <w:footnote w:id="75">
    <w:p w14:paraId="176C2CA2"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comments of the Russian Federation contained in document </w:t>
      </w:r>
      <w:hyperlink r:id="rId101" w:history="1">
        <w:r w:rsidRPr="00560F13">
          <w:rPr>
            <w:rStyle w:val="Lienhypertexte"/>
            <w:rFonts w:ascii="Arial" w:hAnsi="Arial" w:cs="Arial"/>
            <w:sz w:val="18"/>
            <w:szCs w:val="18"/>
          </w:rPr>
          <w:t>CDDH(2019)12</w:t>
        </w:r>
      </w:hyperlink>
      <w:r w:rsidRPr="00560F13">
        <w:rPr>
          <w:rFonts w:ascii="Arial" w:hAnsi="Arial" w:cs="Arial"/>
          <w:sz w:val="18"/>
          <w:szCs w:val="18"/>
        </w:rPr>
        <w:t>, §§ 3.1. and 3.2.</w:t>
      </w:r>
    </w:p>
  </w:footnote>
  <w:footnote w:id="76">
    <w:p w14:paraId="2BF902FE"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102" w:history="1">
        <w:r w:rsidRPr="00560F13">
          <w:rPr>
            <w:rStyle w:val="Lienhypertexte"/>
            <w:rFonts w:ascii="Arial" w:hAnsi="Arial" w:cs="Arial"/>
            <w:i/>
            <w:sz w:val="18"/>
            <w:szCs w:val="18"/>
          </w:rPr>
          <w:t>Varnava and others v. Turkey</w:t>
        </w:r>
      </w:hyperlink>
      <w:r w:rsidRPr="00560F13">
        <w:rPr>
          <w:rFonts w:ascii="Arial" w:hAnsi="Arial" w:cs="Arial"/>
          <w:sz w:val="18"/>
          <w:szCs w:val="18"/>
        </w:rPr>
        <w:t>, nos. 16064/90, 16065/90, 16066/90, 16068/90, 16069/90, 16070/90, 16071/90, 16072/90 and 16073/90, §§ 118 and 119, 18 September 2009.</w:t>
      </w:r>
    </w:p>
  </w:footnote>
  <w:footnote w:id="77">
    <w:p w14:paraId="0AF49056"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Copenhagen Declaration, § 45. See also </w:t>
      </w:r>
      <w:bookmarkStart w:id="34" w:name="_Hlk51229043"/>
      <w:r w:rsidRPr="00560F13">
        <w:fldChar w:fldCharType="begin"/>
      </w:r>
      <w:r w:rsidRPr="00560F13">
        <w:rPr>
          <w:rFonts w:ascii="Arial" w:hAnsi="Arial" w:cs="Arial"/>
          <w:sz w:val="18"/>
          <w:szCs w:val="18"/>
        </w:rPr>
        <w:instrText xml:space="preserve"> HYPERLINK "http://hudoc.echr.coe.int/eng?i=001-169648" </w:instrText>
      </w:r>
      <w:r w:rsidRPr="00560F13">
        <w:fldChar w:fldCharType="separate"/>
      </w:r>
      <w:r w:rsidRPr="00560F13">
        <w:rPr>
          <w:rStyle w:val="Lienhypertexte"/>
          <w:rFonts w:ascii="Arial" w:hAnsi="Arial" w:cs="Arial"/>
          <w:i/>
          <w:sz w:val="18"/>
          <w:szCs w:val="18"/>
        </w:rPr>
        <w:t>Berdzenishvili and Others v. Russia</w:t>
      </w:r>
      <w:r w:rsidRPr="00560F13">
        <w:rPr>
          <w:rStyle w:val="Lienhypertexte"/>
          <w:rFonts w:ascii="Arial" w:hAnsi="Arial" w:cs="Arial"/>
          <w:i/>
          <w:sz w:val="18"/>
          <w:szCs w:val="18"/>
        </w:rPr>
        <w:fldChar w:fldCharType="end"/>
      </w:r>
      <w:r w:rsidRPr="00560F13">
        <w:rPr>
          <w:rFonts w:ascii="Arial" w:hAnsi="Arial" w:cs="Arial"/>
          <w:sz w:val="18"/>
          <w:szCs w:val="18"/>
        </w:rPr>
        <w:t>, nos. 14594/07 and 6 others, § 4, 20 December 2016</w:t>
      </w:r>
      <w:bookmarkEnd w:id="34"/>
      <w:r w:rsidRPr="00560F13">
        <w:rPr>
          <w:rFonts w:ascii="Arial" w:hAnsi="Arial" w:cs="Arial"/>
          <w:sz w:val="18"/>
          <w:szCs w:val="18"/>
        </w:rPr>
        <w:t xml:space="preserve">; and See </w:t>
      </w:r>
      <w:hyperlink r:id="rId103" w:history="1">
        <w:r w:rsidRPr="00560F13">
          <w:rPr>
            <w:rStyle w:val="Lienhypertexte"/>
            <w:rFonts w:ascii="Arial" w:hAnsi="Arial" w:cs="Arial"/>
            <w:sz w:val="18"/>
            <w:szCs w:val="18"/>
          </w:rPr>
          <w:t>Press Release</w:t>
        </w:r>
      </w:hyperlink>
      <w:r w:rsidRPr="00560F13">
        <w:rPr>
          <w:rFonts w:ascii="Arial" w:hAnsi="Arial" w:cs="Arial"/>
          <w:sz w:val="18"/>
          <w:szCs w:val="18"/>
        </w:rPr>
        <w:t xml:space="preserve"> “The ECHR to adjourn some individual applications on Eastern Ukraine pending Grand Chamber case in related inter-State case” ECHR 432 (2018), 17 December 2018.</w:t>
      </w:r>
    </w:p>
  </w:footnote>
  <w:footnote w:id="78">
    <w:p w14:paraId="6351E059" w14:textId="77777777" w:rsidR="000C68FA" w:rsidRPr="00560F13" w:rsidRDefault="000C68FA" w:rsidP="002218C4">
      <w:pPr>
        <w:pStyle w:val="SingleTxtG"/>
        <w:spacing w:after="0" w:line="200" w:lineRule="exact"/>
        <w:ind w:left="0" w:right="0"/>
        <w:rPr>
          <w:rFonts w:ascii="Arial" w:hAnsi="Arial" w:cs="Arial"/>
          <w:sz w:val="18"/>
          <w:szCs w:val="18"/>
          <w:lang w:val="en-US"/>
        </w:rPr>
      </w:pPr>
      <w:r w:rsidRPr="00560F13">
        <w:rPr>
          <w:rStyle w:val="Appelnotedebasdep"/>
          <w:rFonts w:ascii="Arial" w:hAnsi="Arial" w:cs="Arial"/>
        </w:rPr>
        <w:footnoteRef/>
      </w:r>
      <w:r w:rsidRPr="00560F13">
        <w:rPr>
          <w:rFonts w:ascii="Arial" w:hAnsi="Arial" w:cs="Arial"/>
          <w:sz w:val="18"/>
          <w:szCs w:val="18"/>
          <w:lang w:val="en-US"/>
        </w:rPr>
        <w:t xml:space="preserve"> </w:t>
      </w:r>
      <w:hyperlink r:id="rId104" w:anchor="{%22appno%22:[%2244913/15%22],%22itemid%22:[%22001-165566%22]}" w:history="1">
        <w:r w:rsidRPr="00560F13">
          <w:rPr>
            <w:rStyle w:val="Lienhypertexte"/>
            <w:rFonts w:ascii="Arial" w:hAnsi="Arial" w:cs="Arial"/>
            <w:i/>
            <w:iCs/>
            <w:sz w:val="18"/>
            <w:szCs w:val="18"/>
            <w:lang w:val="en-US"/>
          </w:rPr>
          <w:t>Lisnyy and others v. Ukraine and Russia</w:t>
        </w:r>
        <w:r w:rsidRPr="00560F13">
          <w:rPr>
            <w:rStyle w:val="Lienhypertexte"/>
            <w:rFonts w:ascii="Arial" w:hAnsi="Arial" w:cs="Arial"/>
            <w:sz w:val="18"/>
            <w:szCs w:val="18"/>
            <w:lang w:val="en-US"/>
          </w:rPr>
          <w:t xml:space="preserve"> </w:t>
        </w:r>
      </w:hyperlink>
      <w:r w:rsidRPr="00560F13">
        <w:rPr>
          <w:rFonts w:ascii="Arial" w:hAnsi="Arial" w:cs="Arial"/>
          <w:sz w:val="18"/>
          <w:szCs w:val="18"/>
          <w:lang w:val="en-US"/>
        </w:rPr>
        <w:t xml:space="preserve"> nos. 5355/15, 44913/15 and 50852/15, 5 July 2016.</w:t>
      </w:r>
    </w:p>
  </w:footnote>
  <w:footnote w:id="79">
    <w:p w14:paraId="57189D82"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w:t>
      </w:r>
      <w:hyperlink r:id="rId105" w:history="1">
        <w:r w:rsidRPr="00560F13">
          <w:rPr>
            <w:rStyle w:val="Lienhypertexte"/>
            <w:rFonts w:ascii="Arial" w:hAnsi="Arial" w:cs="Arial"/>
            <w:sz w:val="18"/>
            <w:szCs w:val="18"/>
          </w:rPr>
          <w:t>Press Release</w:t>
        </w:r>
      </w:hyperlink>
      <w:r w:rsidRPr="00560F13">
        <w:rPr>
          <w:rFonts w:ascii="Arial" w:hAnsi="Arial" w:cs="Arial"/>
          <w:sz w:val="18"/>
          <w:szCs w:val="18"/>
        </w:rPr>
        <w:t xml:space="preserve"> “The ECHR to adjourn some individual applications on Eastern Ukraine pending Grand Chamber case in related inter-State case” ECHR 432 (2018), 17 December 2018.</w:t>
      </w:r>
    </w:p>
  </w:footnote>
  <w:footnote w:id="80">
    <w:p w14:paraId="665F62A2"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document </w:t>
      </w:r>
      <w:hyperlink r:id="rId106" w:history="1">
        <w:r w:rsidRPr="00560F13">
          <w:rPr>
            <w:rStyle w:val="Lienhypertexte"/>
            <w:rFonts w:ascii="Arial" w:hAnsi="Arial" w:cs="Arial"/>
            <w:sz w:val="18"/>
            <w:szCs w:val="18"/>
          </w:rPr>
          <w:t>CDDH(2019)22</w:t>
        </w:r>
      </w:hyperlink>
      <w:r w:rsidRPr="00560F13">
        <w:rPr>
          <w:rFonts w:ascii="Arial" w:hAnsi="Arial" w:cs="Arial"/>
          <w:sz w:val="18"/>
          <w:szCs w:val="18"/>
        </w:rPr>
        <w:t>, § 25.</w:t>
      </w:r>
    </w:p>
  </w:footnote>
  <w:footnote w:id="81">
    <w:p w14:paraId="7457DBF5"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w:t>
      </w:r>
      <w:hyperlink r:id="rId107" w:history="1">
        <w:r w:rsidRPr="00560F13">
          <w:rPr>
            <w:rStyle w:val="Lienhypertexte"/>
            <w:rFonts w:ascii="Arial" w:eastAsiaTheme="minorHAnsi" w:hAnsi="Arial" w:cs="Arial"/>
            <w:sz w:val="18"/>
            <w:szCs w:val="18"/>
            <w:lang w:eastAsia="en-US"/>
          </w:rPr>
          <w:t>Press Release</w:t>
        </w:r>
      </w:hyperlink>
      <w:r w:rsidRPr="00560F13">
        <w:rPr>
          <w:rFonts w:ascii="Arial" w:hAnsi="Arial" w:cs="Arial"/>
          <w:sz w:val="18"/>
          <w:szCs w:val="18"/>
        </w:rPr>
        <w:t xml:space="preserve"> “European Court joins three inter-State cases concerning Eastern Ukraine”, ECHR 354 (2020), 4 December 2020. </w:t>
      </w:r>
    </w:p>
  </w:footnote>
  <w:footnote w:id="82">
    <w:p w14:paraId="699E308D"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108"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 [GC]</w:t>
      </w:r>
      <w:r w:rsidRPr="00560F13">
        <w:rPr>
          <w:rFonts w:ascii="Arial" w:hAnsi="Arial" w:cs="Arial"/>
          <w:sz w:val="18"/>
          <w:szCs w:val="18"/>
        </w:rPr>
        <w:t>, nos. 20958/14 and 38334/18, § 236-245, 16 December 2020.</w:t>
      </w:r>
    </w:p>
  </w:footnote>
  <w:footnote w:id="83">
    <w:p w14:paraId="74B97673"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109"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 [GC]</w:t>
      </w:r>
      <w:r w:rsidRPr="00560F13">
        <w:rPr>
          <w:rFonts w:ascii="Arial" w:hAnsi="Arial" w:cs="Arial"/>
          <w:sz w:val="18"/>
          <w:szCs w:val="18"/>
        </w:rPr>
        <w:t>, nos. 20958/14 and 38334/18, § 240, 16 December 2020.</w:t>
      </w:r>
    </w:p>
  </w:footnote>
  <w:footnote w:id="84">
    <w:p w14:paraId="0A0202D5"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comments of the Russian Federation contained in document </w:t>
      </w:r>
      <w:hyperlink r:id="rId110" w:history="1">
        <w:r w:rsidRPr="00560F13">
          <w:rPr>
            <w:rStyle w:val="Lienhypertexte"/>
            <w:rFonts w:ascii="Arial" w:hAnsi="Arial" w:cs="Arial"/>
            <w:sz w:val="18"/>
            <w:szCs w:val="18"/>
          </w:rPr>
          <w:t>CDDH(2019)12</w:t>
        </w:r>
      </w:hyperlink>
      <w:r w:rsidRPr="00560F13">
        <w:rPr>
          <w:rFonts w:ascii="Arial" w:hAnsi="Arial" w:cs="Arial"/>
          <w:sz w:val="18"/>
          <w:szCs w:val="18"/>
        </w:rPr>
        <w:t>, §§ 3.1. and 3.2.</w:t>
      </w:r>
    </w:p>
  </w:footnote>
  <w:footnote w:id="85">
    <w:p w14:paraId="0A334BF8"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Ibid.</w:t>
      </w:r>
      <w:r w:rsidRPr="00560F13">
        <w:rPr>
          <w:rStyle w:val="column"/>
          <w:rFonts w:ascii="Arial" w:hAnsi="Arial" w:cs="Arial"/>
          <w:sz w:val="18"/>
          <w:szCs w:val="18"/>
        </w:rPr>
        <w:t xml:space="preserve"> </w:t>
      </w:r>
      <w:r w:rsidRPr="00560F13">
        <w:rPr>
          <w:rFonts w:ascii="Arial" w:hAnsi="Arial" w:cs="Arial"/>
          <w:sz w:val="18"/>
          <w:szCs w:val="18"/>
        </w:rPr>
        <w:t>§§ 46, 47.</w:t>
      </w:r>
    </w:p>
  </w:footnote>
  <w:footnote w:id="86">
    <w:p w14:paraId="6CF63179"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111" w:history="1">
        <w:r w:rsidRPr="00560F13">
          <w:rPr>
            <w:rStyle w:val="Lienhypertexte"/>
            <w:rFonts w:ascii="Arial" w:hAnsi="Arial" w:cs="Arial"/>
            <w:i/>
            <w:iCs/>
            <w:sz w:val="18"/>
            <w:szCs w:val="18"/>
          </w:rPr>
          <w:t>Vojnović v. Croatia</w:t>
        </w:r>
      </w:hyperlink>
      <w:r w:rsidRPr="00560F13">
        <w:rPr>
          <w:rFonts w:ascii="Arial" w:hAnsi="Arial" w:cs="Arial"/>
          <w:i/>
          <w:iCs/>
          <w:sz w:val="18"/>
          <w:szCs w:val="18"/>
        </w:rPr>
        <w:t xml:space="preserve"> </w:t>
      </w:r>
      <w:bookmarkStart w:id="36" w:name="_Hlk46129737"/>
      <w:r w:rsidRPr="00560F13">
        <w:rPr>
          <w:rFonts w:ascii="Arial" w:hAnsi="Arial" w:cs="Arial"/>
          <w:sz w:val="18"/>
          <w:szCs w:val="18"/>
        </w:rPr>
        <w:t>(dec.), no. 4819/10, 26 June 2012, § 28</w:t>
      </w:r>
      <w:bookmarkEnd w:id="36"/>
      <w:r w:rsidRPr="00560F13">
        <w:rPr>
          <w:rFonts w:ascii="Arial" w:hAnsi="Arial" w:cs="Arial"/>
          <w:sz w:val="18"/>
          <w:szCs w:val="18"/>
        </w:rPr>
        <w:t xml:space="preserve">; </w:t>
      </w:r>
      <w:hyperlink r:id="rId112" w:history="1">
        <w:r w:rsidRPr="00560F13">
          <w:rPr>
            <w:rStyle w:val="Lienhypertexte"/>
            <w:rFonts w:ascii="Arial" w:hAnsi="Arial" w:cs="Arial"/>
            <w:i/>
            <w:iCs/>
            <w:sz w:val="18"/>
            <w:szCs w:val="18"/>
          </w:rPr>
          <w:t>Verein gegen Tierfabriken Schweiz (VgT) v. Switzerland (no. 2)</w:t>
        </w:r>
      </w:hyperlink>
      <w:r w:rsidRPr="00560F13">
        <w:rPr>
          <w:rFonts w:ascii="Arial" w:hAnsi="Arial" w:cs="Arial"/>
          <w:i/>
          <w:iCs/>
          <w:sz w:val="18"/>
          <w:szCs w:val="18"/>
        </w:rPr>
        <w:t xml:space="preserve"> </w:t>
      </w:r>
      <w:r w:rsidRPr="00560F13">
        <w:rPr>
          <w:rFonts w:ascii="Arial" w:hAnsi="Arial" w:cs="Arial"/>
          <w:sz w:val="18"/>
          <w:szCs w:val="18"/>
        </w:rPr>
        <w:t xml:space="preserve">[GC], § 63; </w:t>
      </w:r>
      <w:hyperlink r:id="rId113" w:history="1">
        <w:r w:rsidRPr="00560F13">
          <w:rPr>
            <w:rStyle w:val="Lienhypertexte"/>
            <w:rFonts w:ascii="Arial" w:hAnsi="Arial" w:cs="Arial"/>
            <w:i/>
            <w:iCs/>
            <w:sz w:val="18"/>
            <w:szCs w:val="18"/>
          </w:rPr>
          <w:t>Amarandei and Others v. Romania</w:t>
        </w:r>
      </w:hyperlink>
      <w:r w:rsidRPr="00560F13">
        <w:rPr>
          <w:rFonts w:ascii="Arial" w:hAnsi="Arial" w:cs="Arial"/>
          <w:sz w:val="18"/>
          <w:szCs w:val="18"/>
        </w:rPr>
        <w:t xml:space="preserve">, </w:t>
      </w:r>
      <w:bookmarkStart w:id="37" w:name="_Hlk46129861"/>
      <w:r w:rsidRPr="00560F13">
        <w:rPr>
          <w:rFonts w:ascii="Arial" w:hAnsi="Arial" w:cs="Arial"/>
          <w:sz w:val="18"/>
          <w:szCs w:val="18"/>
        </w:rPr>
        <w:t xml:space="preserve">no. 1443/10, 26 July 2016, </w:t>
      </w:r>
      <w:bookmarkEnd w:id="37"/>
      <w:r w:rsidRPr="00560F13">
        <w:rPr>
          <w:rFonts w:ascii="Arial" w:hAnsi="Arial" w:cs="Arial"/>
          <w:sz w:val="18"/>
          <w:szCs w:val="18"/>
        </w:rPr>
        <w:t>§§ 106-111 (French only).</w:t>
      </w:r>
    </w:p>
  </w:footnote>
  <w:footnote w:id="87">
    <w:p w14:paraId="3BD4DAA1"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114" w:anchor="{&quot;tabview&quot;:[&quot;document&quot;],&quot;itemid&quot;:[&quot;001-169648&quot;]}" w:history="1">
        <w:r w:rsidRPr="00560F13">
          <w:rPr>
            <w:rStyle w:val="Lienhypertexte"/>
            <w:rFonts w:ascii="Arial" w:hAnsi="Arial" w:cs="Arial"/>
            <w:i/>
            <w:sz w:val="18"/>
            <w:szCs w:val="18"/>
          </w:rPr>
          <w:t>Berdzenishvili and Others v. Russia</w:t>
        </w:r>
      </w:hyperlink>
      <w:r w:rsidRPr="00560F13">
        <w:rPr>
          <w:rFonts w:ascii="Arial" w:hAnsi="Arial" w:cs="Arial"/>
          <w:sz w:val="18"/>
          <w:szCs w:val="18"/>
        </w:rPr>
        <w:t>, quoted above, § 49.</w:t>
      </w:r>
    </w:p>
  </w:footnote>
  <w:footnote w:id="88">
    <w:p w14:paraId="6FD42D13"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comments of the Russian Federation contained in document </w:t>
      </w:r>
      <w:hyperlink r:id="rId115" w:history="1">
        <w:r w:rsidRPr="00560F13">
          <w:rPr>
            <w:rStyle w:val="Lienhypertexte"/>
            <w:rFonts w:ascii="Arial" w:hAnsi="Arial" w:cs="Arial"/>
            <w:color w:val="auto"/>
            <w:sz w:val="18"/>
            <w:szCs w:val="18"/>
          </w:rPr>
          <w:t>CDDH(2019)12</w:t>
        </w:r>
      </w:hyperlink>
      <w:r w:rsidRPr="00560F13">
        <w:rPr>
          <w:rFonts w:ascii="Arial" w:hAnsi="Arial" w:cs="Arial"/>
          <w:sz w:val="18"/>
          <w:szCs w:val="18"/>
        </w:rPr>
        <w:t>, § 3.2.</w:t>
      </w:r>
    </w:p>
  </w:footnote>
  <w:footnote w:id="89">
    <w:p w14:paraId="39D222E5" w14:textId="77777777" w:rsidR="000C68FA" w:rsidRPr="00A4296E" w:rsidRDefault="000C68FA" w:rsidP="002218C4">
      <w:pPr>
        <w:pStyle w:val="Notedebasdepage"/>
        <w:rPr>
          <w:rFonts w:ascii="Arial" w:hAnsi="Arial" w:cs="Arial"/>
          <w:sz w:val="18"/>
          <w:szCs w:val="18"/>
          <w:lang w:val="en-US"/>
        </w:rPr>
      </w:pPr>
      <w:r w:rsidRPr="00A4296E">
        <w:rPr>
          <w:rStyle w:val="Appelnotedebasdep"/>
          <w:rFonts w:ascii="Arial" w:hAnsi="Arial" w:cs="Arial"/>
          <w:sz w:val="18"/>
          <w:szCs w:val="18"/>
        </w:rPr>
        <w:footnoteRef/>
      </w:r>
      <w:r w:rsidRPr="00A4296E">
        <w:rPr>
          <w:rFonts w:ascii="Arial" w:hAnsi="Arial" w:cs="Arial"/>
          <w:sz w:val="18"/>
          <w:szCs w:val="18"/>
          <w:lang w:val="en-US"/>
        </w:rPr>
        <w:t xml:space="preserve"> </w:t>
      </w:r>
      <w:r w:rsidRPr="00A4296E">
        <w:rPr>
          <w:rFonts w:ascii="Arial" w:hAnsi="Arial" w:cs="Arial"/>
          <w:i/>
          <w:sz w:val="18"/>
          <w:szCs w:val="18"/>
          <w:lang w:val="en-US"/>
        </w:rPr>
        <w:t>Georgia v. Russia (I)</w:t>
      </w:r>
      <w:r w:rsidRPr="00A4296E">
        <w:rPr>
          <w:rFonts w:ascii="Arial" w:hAnsi="Arial" w:cs="Arial"/>
          <w:sz w:val="18"/>
          <w:szCs w:val="18"/>
          <w:lang w:val="en-US"/>
        </w:rPr>
        <w:t xml:space="preserve"> (just satisfaction) [GC], no. 13255/07, § 48-72. </w:t>
      </w:r>
    </w:p>
  </w:footnote>
  <w:footnote w:id="90">
    <w:p w14:paraId="4D9181BC"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Such mechanisms could include procedures established on the basis of international human rights instruments which range from negotiation and conciliation to resolution of disputes by the committees established by such instruments. Some mechanisms addressing inter-State complaints include the Human Rights Committee (HRC) which monitors the United Nations International Covenant on Civil and Political Rights (ICCPR); the Committee Against Torture (CAT) monitoring the implementation of the Convention against Torture and Other Cruel, Inhuman or Degrading Treatment or Punishment (Article 21); the </w:t>
      </w:r>
      <w:r w:rsidRPr="00560F13">
        <w:rPr>
          <w:rFonts w:ascii="Arial" w:hAnsi="Arial" w:cs="Arial"/>
          <w:color w:val="000000"/>
          <w:sz w:val="18"/>
          <w:szCs w:val="18"/>
          <w:shd w:val="clear" w:color="auto" w:fill="FFFFFF"/>
        </w:rPr>
        <w:t xml:space="preserve">Committee on Economic, Social and Cultural Rights monitoring the implementation of the </w:t>
      </w:r>
      <w:r w:rsidRPr="00560F13">
        <w:rPr>
          <w:rFonts w:ascii="Arial" w:hAnsi="Arial" w:cs="Arial"/>
          <w:color w:val="262626"/>
          <w:sz w:val="18"/>
          <w:szCs w:val="18"/>
          <w:shd w:val="clear" w:color="auto" w:fill="FFFFFF"/>
        </w:rPr>
        <w:t xml:space="preserve">Optional </w:t>
      </w:r>
      <w:r w:rsidRPr="00560F13">
        <w:rPr>
          <w:rFonts w:ascii="Arial" w:hAnsi="Arial" w:cs="Arial"/>
          <w:sz w:val="18"/>
          <w:szCs w:val="18"/>
          <w:shd w:val="clear" w:color="auto" w:fill="FFFFFF"/>
        </w:rPr>
        <w:t xml:space="preserve">Protocol to the International Covenant on Economic, Social and Cultural Rights (Article 10) and the Committee on the Rights of the Child under the </w:t>
      </w:r>
      <w:r w:rsidRPr="00560F13">
        <w:rPr>
          <w:rFonts w:ascii="Arial" w:hAnsi="Arial" w:cs="Arial"/>
          <w:sz w:val="18"/>
          <w:szCs w:val="18"/>
          <w:lang w:val="en-US"/>
        </w:rPr>
        <w:t>Optional Protocol to the Convention on the Rights of the Child on a Communications Procedure</w:t>
      </w:r>
      <w:r w:rsidRPr="00560F13">
        <w:rPr>
          <w:rStyle w:val="Lienhypertexte"/>
          <w:rFonts w:ascii="Arial" w:hAnsi="Arial" w:cs="Arial"/>
          <w:color w:val="auto"/>
          <w:sz w:val="18"/>
          <w:szCs w:val="18"/>
          <w:u w:val="none"/>
          <w:lang w:val="en-US"/>
        </w:rPr>
        <w:t xml:space="preserve"> (Article 12). International dispute settlement mechanisms also encompass other dispute resolution mechanisms not exclusively established under a human rights treaty such as the ICJ and fact-finding commissions.</w:t>
      </w:r>
    </w:p>
  </w:footnote>
  <w:footnote w:id="91">
    <w:p w14:paraId="622ADB44" w14:textId="77777777" w:rsidR="000C68FA" w:rsidRPr="00560F13" w:rsidRDefault="000C68FA" w:rsidP="002218C4">
      <w:pPr>
        <w:pStyle w:val="SingleTxtG"/>
        <w:spacing w:after="0" w:line="200" w:lineRule="exact"/>
        <w:ind w:left="0" w:right="0"/>
        <w:rPr>
          <w:rFonts w:ascii="Arial" w:hAnsi="Arial" w:cs="Arial"/>
          <w:sz w:val="18"/>
          <w:szCs w:val="18"/>
          <w:lang w:val="en-US"/>
        </w:rPr>
      </w:pPr>
      <w:r w:rsidRPr="00560F13">
        <w:rPr>
          <w:rStyle w:val="Appelnotedebasdep"/>
          <w:rFonts w:ascii="Arial" w:hAnsi="Arial" w:cs="Arial"/>
        </w:rPr>
        <w:footnoteRef/>
      </w:r>
      <w:r w:rsidRPr="00560F13">
        <w:rPr>
          <w:rFonts w:ascii="Arial" w:hAnsi="Arial" w:cs="Arial"/>
          <w:sz w:val="18"/>
          <w:szCs w:val="18"/>
        </w:rPr>
        <w:t xml:space="preserve"> </w:t>
      </w:r>
      <w:hyperlink r:id="rId116" w:history="1">
        <w:r w:rsidRPr="00560F13">
          <w:rPr>
            <w:rStyle w:val="Lienhypertexte"/>
            <w:rFonts w:ascii="Arial" w:hAnsi="Arial" w:cs="Arial"/>
            <w:i/>
            <w:iCs/>
            <w:sz w:val="18"/>
            <w:szCs w:val="18"/>
          </w:rPr>
          <w:t>OAO Neftyanaya Kompaniya Yukos v. Russia</w:t>
        </w:r>
      </w:hyperlink>
      <w:r w:rsidRPr="00560F13">
        <w:rPr>
          <w:rFonts w:ascii="Arial" w:hAnsi="Arial" w:cs="Arial"/>
          <w:sz w:val="18"/>
          <w:szCs w:val="18"/>
        </w:rPr>
        <w:t xml:space="preserve">, no. </w:t>
      </w:r>
      <w:r w:rsidRPr="00560F13">
        <w:rPr>
          <w:rFonts w:ascii="Arial" w:hAnsi="Arial" w:cs="Arial"/>
          <w:sz w:val="18"/>
          <w:szCs w:val="18"/>
          <w:lang w:val="en-US"/>
        </w:rPr>
        <w:t xml:space="preserve">14902/04, </w:t>
      </w:r>
      <w:r w:rsidRPr="00560F13">
        <w:rPr>
          <w:rFonts w:ascii="Arial" w:hAnsi="Arial" w:cs="Arial"/>
          <w:sz w:val="18"/>
          <w:szCs w:val="18"/>
        </w:rPr>
        <w:t xml:space="preserve">§ 520, </w:t>
      </w:r>
      <w:r w:rsidRPr="00560F13">
        <w:rPr>
          <w:rFonts w:ascii="Arial" w:hAnsi="Arial" w:cs="Arial"/>
          <w:sz w:val="18"/>
          <w:szCs w:val="18"/>
          <w:lang w:val="en-US"/>
        </w:rPr>
        <w:t>20 September 2011</w:t>
      </w:r>
      <w:r w:rsidRPr="00560F13">
        <w:rPr>
          <w:rFonts w:ascii="Arial" w:hAnsi="Arial" w:cs="Arial"/>
          <w:sz w:val="18"/>
          <w:szCs w:val="18"/>
        </w:rPr>
        <w:t xml:space="preserve">; </w:t>
      </w:r>
      <w:bookmarkStart w:id="44" w:name="_Hlk46154832"/>
      <w:r w:rsidRPr="00560F13">
        <w:fldChar w:fldCharType="begin"/>
      </w:r>
      <w:r w:rsidRPr="00560F13">
        <w:rPr>
          <w:rFonts w:ascii="Arial" w:hAnsi="Arial" w:cs="Arial"/>
          <w:sz w:val="18"/>
          <w:szCs w:val="18"/>
        </w:rPr>
        <w:instrText xml:space="preserve"> HYPERLINK "http://hudoc.echr.coe.int/eng?i=001-164455" </w:instrText>
      </w:r>
      <w:r w:rsidRPr="00560F13">
        <w:fldChar w:fldCharType="separate"/>
      </w:r>
      <w:r w:rsidRPr="00560F13">
        <w:rPr>
          <w:rStyle w:val="Lienhypertexte"/>
          <w:rFonts w:ascii="Arial" w:hAnsi="Arial" w:cs="Arial"/>
          <w:i/>
          <w:iCs/>
          <w:sz w:val="18"/>
          <w:szCs w:val="18"/>
        </w:rPr>
        <w:t>Eğitim ve Bilim Emekçileri Sendikası v. Turkey</w:t>
      </w:r>
      <w:r w:rsidRPr="00560F13">
        <w:rPr>
          <w:rStyle w:val="Lienhypertexte"/>
          <w:rFonts w:ascii="Arial" w:hAnsi="Arial" w:cs="Arial"/>
          <w:i/>
          <w:iCs/>
          <w:sz w:val="18"/>
          <w:szCs w:val="18"/>
        </w:rPr>
        <w:fldChar w:fldCharType="end"/>
      </w:r>
      <w:r w:rsidRPr="00560F13">
        <w:rPr>
          <w:rFonts w:ascii="Arial" w:hAnsi="Arial" w:cs="Arial"/>
          <w:sz w:val="18"/>
          <w:szCs w:val="18"/>
        </w:rPr>
        <w:t xml:space="preserve">, no. </w:t>
      </w:r>
      <w:r w:rsidRPr="00560F13">
        <w:rPr>
          <w:rFonts w:ascii="Arial" w:hAnsi="Arial" w:cs="Arial"/>
          <w:sz w:val="18"/>
          <w:szCs w:val="18"/>
          <w:lang w:val="en-US"/>
        </w:rPr>
        <w:t xml:space="preserve">20347/07, </w:t>
      </w:r>
      <w:r w:rsidRPr="00560F13">
        <w:rPr>
          <w:rFonts w:ascii="Arial" w:hAnsi="Arial" w:cs="Arial"/>
          <w:sz w:val="18"/>
          <w:szCs w:val="18"/>
        </w:rPr>
        <w:t xml:space="preserve">§ 37, </w:t>
      </w:r>
      <w:r w:rsidRPr="00560F13">
        <w:rPr>
          <w:rFonts w:ascii="Arial" w:hAnsi="Arial" w:cs="Arial"/>
          <w:sz w:val="18"/>
          <w:szCs w:val="18"/>
          <w:lang w:val="en-US"/>
        </w:rPr>
        <w:t>5 July 2016</w:t>
      </w:r>
      <w:bookmarkEnd w:id="44"/>
      <w:r w:rsidRPr="00560F13">
        <w:rPr>
          <w:rFonts w:ascii="Arial" w:hAnsi="Arial" w:cs="Arial"/>
          <w:sz w:val="18"/>
          <w:szCs w:val="18"/>
          <w:lang w:val="en-US"/>
        </w:rPr>
        <w:t xml:space="preserve"> (French only)</w:t>
      </w:r>
      <w:r w:rsidRPr="00560F13">
        <w:rPr>
          <w:rFonts w:ascii="Arial" w:hAnsi="Arial" w:cs="Arial"/>
          <w:sz w:val="18"/>
          <w:szCs w:val="18"/>
        </w:rPr>
        <w:t xml:space="preserve">.  </w:t>
      </w:r>
    </w:p>
  </w:footnote>
  <w:footnote w:id="92">
    <w:p w14:paraId="212AB4F8" w14:textId="77777777" w:rsidR="000C68FA" w:rsidRPr="00560F13" w:rsidRDefault="000C68FA" w:rsidP="002218C4">
      <w:pPr>
        <w:pStyle w:val="SingleTxtG"/>
        <w:spacing w:after="0" w:line="200" w:lineRule="exact"/>
        <w:ind w:left="0" w:right="0"/>
        <w:rPr>
          <w:rFonts w:ascii="Arial" w:hAnsi="Arial" w:cs="Arial"/>
          <w:sz w:val="18"/>
          <w:szCs w:val="18"/>
          <w:lang w:val="en-US"/>
        </w:rPr>
      </w:pPr>
      <w:r w:rsidRPr="00560F13">
        <w:rPr>
          <w:rStyle w:val="Appelnotedebasdep"/>
          <w:rFonts w:ascii="Arial" w:hAnsi="Arial" w:cs="Arial"/>
        </w:rPr>
        <w:footnoteRef/>
      </w:r>
      <w:r w:rsidRPr="00560F13">
        <w:rPr>
          <w:rFonts w:ascii="Arial" w:hAnsi="Arial" w:cs="Arial"/>
          <w:sz w:val="18"/>
          <w:szCs w:val="18"/>
        </w:rPr>
        <w:t xml:space="preserve"> </w:t>
      </w:r>
      <w:hyperlink r:id="rId117" w:history="1">
        <w:r w:rsidRPr="00560F13">
          <w:rPr>
            <w:rStyle w:val="Lienhypertexte"/>
            <w:rFonts w:ascii="Arial" w:hAnsi="Arial" w:cs="Arial"/>
            <w:i/>
            <w:iCs/>
            <w:sz w:val="18"/>
            <w:szCs w:val="18"/>
          </w:rPr>
          <w:t>POA and Others v. the United Kingdom</w:t>
        </w:r>
      </w:hyperlink>
      <w:r w:rsidRPr="00560F13">
        <w:rPr>
          <w:rFonts w:ascii="Arial" w:hAnsi="Arial" w:cs="Arial"/>
          <w:i/>
          <w:iCs/>
          <w:sz w:val="18"/>
          <w:szCs w:val="18"/>
        </w:rPr>
        <w:t xml:space="preserve"> </w:t>
      </w:r>
      <w:r w:rsidRPr="00560F13">
        <w:rPr>
          <w:rFonts w:ascii="Arial" w:hAnsi="Arial" w:cs="Arial"/>
          <w:sz w:val="18"/>
          <w:szCs w:val="18"/>
        </w:rPr>
        <w:t xml:space="preserve">(dec.), no. </w:t>
      </w:r>
      <w:r w:rsidRPr="00560F13">
        <w:rPr>
          <w:rFonts w:ascii="Arial" w:hAnsi="Arial" w:cs="Arial"/>
          <w:sz w:val="18"/>
          <w:szCs w:val="18"/>
          <w:lang w:val="en-US"/>
        </w:rPr>
        <w:t xml:space="preserve">59253/11, </w:t>
      </w:r>
      <w:r w:rsidRPr="00560F13">
        <w:rPr>
          <w:rFonts w:ascii="Arial" w:hAnsi="Arial" w:cs="Arial"/>
          <w:sz w:val="18"/>
          <w:szCs w:val="18"/>
        </w:rPr>
        <w:t>§ 27,</w:t>
      </w:r>
      <w:r w:rsidRPr="00560F13">
        <w:rPr>
          <w:rFonts w:ascii="Arial" w:hAnsi="Arial" w:cs="Arial"/>
          <w:sz w:val="18"/>
          <w:szCs w:val="18"/>
          <w:lang w:val="en-US"/>
        </w:rPr>
        <w:t xml:space="preserve"> 21 May 2013</w:t>
      </w:r>
      <w:r w:rsidRPr="00560F13">
        <w:rPr>
          <w:rFonts w:ascii="Arial" w:hAnsi="Arial" w:cs="Arial"/>
          <w:sz w:val="18"/>
          <w:szCs w:val="18"/>
        </w:rPr>
        <w:t>.</w:t>
      </w:r>
    </w:p>
  </w:footnote>
  <w:footnote w:id="93">
    <w:p w14:paraId="7E6D4BD5" w14:textId="77777777" w:rsidR="000C68FA" w:rsidRPr="00560F13" w:rsidRDefault="000C68FA" w:rsidP="002218C4">
      <w:pPr>
        <w:pStyle w:val="SingleTxtG"/>
        <w:spacing w:after="0" w:line="200" w:lineRule="exact"/>
        <w:ind w:left="0" w:right="0"/>
        <w:rPr>
          <w:rFonts w:ascii="Arial" w:hAnsi="Arial" w:cs="Arial"/>
          <w:sz w:val="18"/>
          <w:szCs w:val="18"/>
          <w:lang w:val="en-US"/>
        </w:rPr>
      </w:pPr>
      <w:r w:rsidRPr="00560F13">
        <w:rPr>
          <w:rStyle w:val="Appelnotedebasdep"/>
          <w:rFonts w:ascii="Arial" w:hAnsi="Arial" w:cs="Arial"/>
        </w:rPr>
        <w:footnoteRef/>
      </w:r>
      <w:r w:rsidRPr="00560F13">
        <w:rPr>
          <w:rFonts w:ascii="Arial" w:hAnsi="Arial" w:cs="Arial"/>
          <w:sz w:val="18"/>
          <w:szCs w:val="18"/>
        </w:rPr>
        <w:t xml:space="preserve"> </w:t>
      </w:r>
      <w:hyperlink r:id="rId118" w:history="1">
        <w:r w:rsidRPr="00560F13">
          <w:rPr>
            <w:rStyle w:val="Lienhypertexte"/>
            <w:rFonts w:ascii="Arial" w:eastAsiaTheme="minorHAnsi" w:hAnsi="Arial" w:cs="Arial"/>
            <w:i/>
            <w:iCs/>
            <w:sz w:val="18"/>
            <w:szCs w:val="18"/>
            <w:lang w:val="en-US" w:eastAsia="en-US"/>
          </w:rPr>
          <w:t>OAO Neftyanaya Kompaniya Yukos v. Russia</w:t>
        </w:r>
      </w:hyperlink>
      <w:r w:rsidRPr="00560F13">
        <w:rPr>
          <w:rFonts w:ascii="Arial" w:hAnsi="Arial" w:cs="Arial"/>
          <w:sz w:val="18"/>
          <w:szCs w:val="18"/>
          <w:lang w:val="en-US"/>
        </w:rPr>
        <w:t xml:space="preserve">, quoted above, § 520; </w:t>
      </w:r>
      <w:hyperlink r:id="rId119" w:history="1">
        <w:r w:rsidRPr="00560F13">
          <w:rPr>
            <w:rStyle w:val="Lienhypertexte"/>
            <w:rFonts w:ascii="Arial" w:hAnsi="Arial" w:cs="Arial"/>
            <w:i/>
            <w:iCs/>
            <w:sz w:val="18"/>
            <w:szCs w:val="18"/>
            <w:lang w:val="en-US"/>
          </w:rPr>
          <w:t>Gürdeniz c. Turquie</w:t>
        </w:r>
        <w:r w:rsidRPr="00560F13">
          <w:rPr>
            <w:rStyle w:val="Lienhypertexte"/>
            <w:rFonts w:ascii="Arial" w:hAnsi="Arial" w:cs="Arial"/>
            <w:sz w:val="18"/>
            <w:szCs w:val="18"/>
            <w:lang w:val="en-US"/>
          </w:rPr>
          <w:t> </w:t>
        </w:r>
      </w:hyperlink>
      <w:r w:rsidRPr="00560F13">
        <w:rPr>
          <w:rStyle w:val="sb8d990e2"/>
          <w:rFonts w:ascii="Arial" w:hAnsi="Arial" w:cs="Arial"/>
          <w:color w:val="000000"/>
          <w:sz w:val="18"/>
          <w:szCs w:val="18"/>
          <w:lang w:val="en-US"/>
        </w:rPr>
        <w:t>(dec.) (French only</w:t>
      </w:r>
      <w:r w:rsidRPr="00560F13">
        <w:rPr>
          <w:rFonts w:ascii="Arial" w:hAnsi="Arial" w:cs="Arial"/>
          <w:sz w:val="18"/>
          <w:szCs w:val="18"/>
          <w:lang w:val="en-US"/>
        </w:rPr>
        <w:t xml:space="preserve">), no. 59715/10, §§ 39-40, 18 March 2014; </w:t>
      </w:r>
      <w:hyperlink r:id="rId120" w:history="1">
        <w:r w:rsidRPr="00560F13">
          <w:rPr>
            <w:rStyle w:val="Lienhypertexte"/>
            <w:rFonts w:ascii="Arial" w:eastAsiaTheme="minorHAnsi" w:hAnsi="Arial" w:cs="Arial"/>
            <w:i/>
            <w:iCs/>
            <w:sz w:val="18"/>
            <w:szCs w:val="18"/>
            <w:lang w:val="en-US" w:eastAsia="en-US"/>
          </w:rPr>
          <w:t>Doğan and Çakmak v. Turkey</w:t>
        </w:r>
      </w:hyperlink>
      <w:r w:rsidRPr="00560F13">
        <w:rPr>
          <w:rFonts w:ascii="Arial" w:hAnsi="Arial" w:cs="Arial"/>
          <w:i/>
          <w:iCs/>
          <w:sz w:val="18"/>
          <w:szCs w:val="18"/>
          <w:lang w:val="en-US"/>
        </w:rPr>
        <w:t xml:space="preserve"> </w:t>
      </w:r>
      <w:r w:rsidRPr="00560F13">
        <w:rPr>
          <w:rFonts w:ascii="Arial" w:hAnsi="Arial" w:cs="Arial"/>
          <w:sz w:val="18"/>
          <w:szCs w:val="18"/>
          <w:lang w:val="en-US"/>
        </w:rPr>
        <w:t xml:space="preserve">(dec.) </w:t>
      </w:r>
      <w:r w:rsidRPr="00560F13">
        <w:rPr>
          <w:rFonts w:ascii="Arial" w:hAnsi="Arial" w:cs="Arial"/>
          <w:color w:val="000000"/>
          <w:sz w:val="18"/>
          <w:szCs w:val="18"/>
          <w:lang w:val="en-US"/>
        </w:rPr>
        <w:t>(</w:t>
      </w:r>
      <w:r w:rsidRPr="00560F13">
        <w:rPr>
          <w:rStyle w:val="sb8d990e2"/>
          <w:rFonts w:ascii="Arial" w:hAnsi="Arial" w:cs="Arial"/>
          <w:color w:val="000000"/>
          <w:sz w:val="18"/>
          <w:szCs w:val="18"/>
          <w:lang w:val="en-US"/>
        </w:rPr>
        <w:t>French only)</w:t>
      </w:r>
      <w:r w:rsidRPr="00560F13">
        <w:rPr>
          <w:rFonts w:ascii="Arial" w:hAnsi="Arial" w:cs="Arial"/>
          <w:sz w:val="18"/>
          <w:szCs w:val="18"/>
          <w:lang w:val="en-US"/>
        </w:rPr>
        <w:t xml:space="preserve">, nos. 28484/10, 58223/10, § 20, 14 May 2019. </w:t>
      </w:r>
    </w:p>
  </w:footnote>
  <w:footnote w:id="94">
    <w:p w14:paraId="42031DFE" w14:textId="77777777" w:rsidR="000C68FA" w:rsidRPr="00560F13" w:rsidRDefault="000C68FA" w:rsidP="002218C4">
      <w:pPr>
        <w:pStyle w:val="SingleTxtG"/>
        <w:spacing w:after="0" w:line="200" w:lineRule="exact"/>
        <w:ind w:left="0" w:right="0"/>
        <w:rPr>
          <w:rFonts w:ascii="Arial" w:hAnsi="Arial" w:cs="Arial"/>
          <w:color w:val="000000"/>
          <w:sz w:val="18"/>
          <w:szCs w:val="18"/>
          <w:lang w:val="en-US"/>
        </w:rPr>
      </w:pPr>
      <w:r w:rsidRPr="00560F13">
        <w:rPr>
          <w:rStyle w:val="Appelnotedebasdep"/>
          <w:rFonts w:ascii="Arial" w:hAnsi="Arial" w:cs="Arial"/>
        </w:rPr>
        <w:footnoteRef/>
      </w:r>
      <w:r w:rsidRPr="00560F13">
        <w:rPr>
          <w:rFonts w:ascii="Arial" w:hAnsi="Arial" w:cs="Arial"/>
          <w:sz w:val="18"/>
          <w:szCs w:val="18"/>
        </w:rPr>
        <w:t xml:space="preserve"> </w:t>
      </w:r>
      <w:hyperlink r:id="rId121" w:history="1">
        <w:r w:rsidRPr="00560F13">
          <w:rPr>
            <w:rStyle w:val="Lienhypertexte"/>
            <w:rFonts w:ascii="Arial" w:eastAsiaTheme="minorHAnsi" w:hAnsi="Arial" w:cs="Arial"/>
            <w:i/>
            <w:iCs/>
            <w:sz w:val="18"/>
            <w:szCs w:val="18"/>
            <w:lang w:val="en-US" w:eastAsia="en-US"/>
          </w:rPr>
          <w:t>Patera v. the Czech Republic</w:t>
        </w:r>
      </w:hyperlink>
      <w:r w:rsidRPr="00560F13">
        <w:rPr>
          <w:rFonts w:ascii="Arial" w:hAnsi="Arial" w:cs="Arial"/>
          <w:i/>
          <w:iCs/>
          <w:color w:val="000000"/>
          <w:sz w:val="18"/>
          <w:szCs w:val="18"/>
          <w:lang w:val="en-US"/>
        </w:rPr>
        <w:t xml:space="preserve"> </w:t>
      </w:r>
      <w:r w:rsidRPr="00560F13">
        <w:rPr>
          <w:rFonts w:ascii="Arial" w:hAnsi="Arial" w:cs="Arial"/>
          <w:color w:val="000000"/>
          <w:sz w:val="18"/>
          <w:szCs w:val="18"/>
          <w:lang w:val="en-US"/>
        </w:rPr>
        <w:t xml:space="preserve">(dec.), no. 25326/03, 26 April 2007; </w:t>
      </w:r>
      <w:hyperlink r:id="rId122" w:history="1">
        <w:r w:rsidRPr="00560F13">
          <w:rPr>
            <w:rStyle w:val="Lienhypertexte"/>
            <w:rFonts w:ascii="Arial" w:eastAsiaTheme="minorHAnsi" w:hAnsi="Arial" w:cs="Arial"/>
            <w:i/>
            <w:iCs/>
            <w:sz w:val="18"/>
            <w:szCs w:val="18"/>
            <w:lang w:val="en-US" w:eastAsia="en-US"/>
          </w:rPr>
          <w:t>Karoussiotis v. Portugal</w:t>
        </w:r>
      </w:hyperlink>
      <w:r w:rsidRPr="00560F13">
        <w:rPr>
          <w:rFonts w:ascii="Arial" w:hAnsi="Arial" w:cs="Arial"/>
          <w:color w:val="000000"/>
          <w:sz w:val="18"/>
          <w:szCs w:val="18"/>
          <w:lang w:val="en-US"/>
        </w:rPr>
        <w:t xml:space="preserve">, no. 23205/08, § 63, 1 February 2011; </w:t>
      </w:r>
      <w:hyperlink r:id="rId123" w:history="1">
        <w:r w:rsidRPr="00560F13">
          <w:rPr>
            <w:rStyle w:val="Lienhypertexte"/>
            <w:rFonts w:ascii="Arial" w:eastAsiaTheme="minorHAnsi" w:hAnsi="Arial" w:cs="Arial"/>
            <w:i/>
            <w:iCs/>
            <w:sz w:val="18"/>
            <w:szCs w:val="18"/>
            <w:lang w:val="en-US" w:eastAsia="en-US"/>
          </w:rPr>
          <w:t>Gürdeniz v. Turkey</w:t>
        </w:r>
      </w:hyperlink>
      <w:r w:rsidRPr="00560F13">
        <w:rPr>
          <w:rFonts w:ascii="Arial" w:hAnsi="Arial" w:cs="Arial"/>
          <w:i/>
          <w:iCs/>
          <w:color w:val="000000"/>
          <w:sz w:val="18"/>
          <w:szCs w:val="18"/>
          <w:lang w:val="en-US"/>
        </w:rPr>
        <w:t xml:space="preserve"> </w:t>
      </w:r>
      <w:r w:rsidRPr="00560F13">
        <w:rPr>
          <w:rFonts w:ascii="Arial" w:hAnsi="Arial" w:cs="Arial"/>
          <w:color w:val="000000"/>
          <w:sz w:val="18"/>
          <w:szCs w:val="18"/>
          <w:lang w:val="en-US"/>
        </w:rPr>
        <w:t xml:space="preserve">(dec.), quoted above §§ 41-45; </w:t>
      </w:r>
      <w:hyperlink r:id="rId124" w:history="1">
        <w:r w:rsidRPr="00560F13">
          <w:rPr>
            <w:rStyle w:val="Lienhypertexte"/>
            <w:rFonts w:ascii="Arial" w:eastAsiaTheme="minorHAnsi" w:hAnsi="Arial" w:cs="Arial"/>
            <w:i/>
            <w:iCs/>
            <w:sz w:val="18"/>
            <w:szCs w:val="18"/>
            <w:lang w:val="en-US" w:eastAsia="en-US"/>
          </w:rPr>
          <w:t>Pauger v. Austria</w:t>
        </w:r>
      </w:hyperlink>
      <w:r w:rsidRPr="00560F13">
        <w:rPr>
          <w:rFonts w:ascii="Arial" w:hAnsi="Arial" w:cs="Arial"/>
          <w:color w:val="000000"/>
          <w:sz w:val="18"/>
          <w:szCs w:val="18"/>
          <w:lang w:val="en-US"/>
        </w:rPr>
        <w:t xml:space="preserve"> (Commission decision),  no. 24872/94, 9 January 1995.</w:t>
      </w:r>
    </w:p>
  </w:footnote>
  <w:footnote w:id="95">
    <w:p w14:paraId="0CA27D9B" w14:textId="77777777" w:rsidR="000C68FA" w:rsidRPr="00560F13" w:rsidRDefault="000C68FA" w:rsidP="002218C4">
      <w:pPr>
        <w:pStyle w:val="SingleTxtG"/>
        <w:spacing w:after="0" w:line="200" w:lineRule="exact"/>
        <w:ind w:left="0" w:right="0"/>
        <w:rPr>
          <w:rFonts w:ascii="Arial" w:hAnsi="Arial" w:cs="Arial"/>
          <w:i/>
          <w:iCs/>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125" w:history="1">
        <w:r w:rsidRPr="00560F13">
          <w:rPr>
            <w:rStyle w:val="Lienhypertexte"/>
            <w:rFonts w:ascii="Arial" w:hAnsi="Arial" w:cs="Arial"/>
            <w:i/>
            <w:iCs/>
            <w:sz w:val="18"/>
            <w:szCs w:val="18"/>
            <w:lang w:val="en-US"/>
          </w:rPr>
          <w:t>Folgerø and Others v. Norway </w:t>
        </w:r>
      </w:hyperlink>
      <w:r w:rsidRPr="00560F13">
        <w:rPr>
          <w:rStyle w:val="sb8d990e2"/>
          <w:rFonts w:ascii="Arial" w:hAnsi="Arial" w:cs="Arial"/>
          <w:color w:val="000000"/>
          <w:sz w:val="18"/>
          <w:szCs w:val="18"/>
          <w:lang w:val="en-US"/>
        </w:rPr>
        <w:t>(dec.), no. </w:t>
      </w:r>
      <w:r w:rsidRPr="00560F13">
        <w:rPr>
          <w:rFonts w:ascii="Arial" w:hAnsi="Arial" w:cs="Arial"/>
          <w:sz w:val="18"/>
          <w:szCs w:val="18"/>
          <w:lang w:val="en-US"/>
        </w:rPr>
        <w:t>15472/02</w:t>
      </w:r>
      <w:r w:rsidRPr="00560F13">
        <w:rPr>
          <w:rStyle w:val="sb8d990e2"/>
          <w:rFonts w:ascii="Arial" w:hAnsi="Arial" w:cs="Arial"/>
          <w:color w:val="000000"/>
          <w:sz w:val="18"/>
          <w:szCs w:val="18"/>
          <w:lang w:val="en-US"/>
        </w:rPr>
        <w:t>, 14 February 2006;</w:t>
      </w:r>
      <w:r w:rsidRPr="00560F13">
        <w:rPr>
          <w:rFonts w:ascii="Arial" w:hAnsi="Arial" w:cs="Arial"/>
          <w:sz w:val="18"/>
          <w:szCs w:val="18"/>
        </w:rPr>
        <w:t xml:space="preserve"> </w:t>
      </w:r>
      <w:hyperlink r:id="rId126" w:history="1">
        <w:r w:rsidRPr="00560F13">
          <w:rPr>
            <w:rStyle w:val="Lienhypertexte"/>
            <w:rFonts w:ascii="Arial" w:hAnsi="Arial" w:cs="Arial"/>
            <w:i/>
            <w:iCs/>
            <w:sz w:val="18"/>
            <w:szCs w:val="18"/>
          </w:rPr>
          <w:t>Savda c. Turquie</w:t>
        </w:r>
      </w:hyperlink>
      <w:r w:rsidRPr="00560F13">
        <w:rPr>
          <w:rFonts w:ascii="Arial" w:hAnsi="Arial" w:cs="Arial"/>
          <w:i/>
          <w:iCs/>
          <w:sz w:val="18"/>
          <w:szCs w:val="18"/>
        </w:rPr>
        <w:t xml:space="preserve"> </w:t>
      </w:r>
      <w:r w:rsidRPr="00560F13">
        <w:rPr>
          <w:rFonts w:ascii="Arial" w:hAnsi="Arial" w:cs="Arial"/>
          <w:sz w:val="18"/>
          <w:szCs w:val="18"/>
        </w:rPr>
        <w:t>(French only)</w:t>
      </w:r>
      <w:r w:rsidRPr="00560F13">
        <w:rPr>
          <w:rStyle w:val="sb8d990e2"/>
          <w:rFonts w:ascii="Arial" w:hAnsi="Arial" w:cs="Arial"/>
          <w:color w:val="000000"/>
          <w:sz w:val="18"/>
          <w:szCs w:val="18"/>
        </w:rPr>
        <w:t>, n</w:t>
      </w:r>
      <w:r w:rsidRPr="00560F13">
        <w:rPr>
          <w:rStyle w:val="sea881cdf"/>
          <w:rFonts w:ascii="Arial" w:hAnsi="Arial" w:cs="Arial"/>
          <w:color w:val="000000"/>
          <w:sz w:val="18"/>
          <w:szCs w:val="18"/>
        </w:rPr>
        <w:t>o.</w:t>
      </w:r>
      <w:r w:rsidRPr="00560F13">
        <w:rPr>
          <w:rStyle w:val="sb8d990e2"/>
          <w:rFonts w:ascii="Arial" w:hAnsi="Arial" w:cs="Arial"/>
          <w:color w:val="000000"/>
          <w:sz w:val="18"/>
          <w:szCs w:val="18"/>
        </w:rPr>
        <w:t> </w:t>
      </w:r>
      <w:r w:rsidRPr="00560F13">
        <w:rPr>
          <w:rFonts w:ascii="Arial" w:hAnsi="Arial" w:cs="Arial"/>
          <w:sz w:val="18"/>
          <w:szCs w:val="18"/>
        </w:rPr>
        <w:t>42730/05</w:t>
      </w:r>
      <w:r w:rsidRPr="00560F13">
        <w:rPr>
          <w:rStyle w:val="sb8d990e2"/>
          <w:rFonts w:ascii="Arial" w:hAnsi="Arial" w:cs="Arial"/>
          <w:color w:val="000000"/>
          <w:sz w:val="18"/>
          <w:szCs w:val="18"/>
        </w:rPr>
        <w:t xml:space="preserve">, § 68, 12 June 2012; </w:t>
      </w:r>
      <w:hyperlink r:id="rId127" w:history="1">
        <w:r w:rsidRPr="00560F13">
          <w:rPr>
            <w:rStyle w:val="Lienhypertexte"/>
            <w:rFonts w:ascii="Arial" w:hAnsi="Arial" w:cs="Arial"/>
            <w:i/>
            <w:iCs/>
            <w:sz w:val="18"/>
            <w:szCs w:val="18"/>
            <w:lang w:val="en-US"/>
          </w:rPr>
          <w:t>Gürdeniz c. Turquie</w:t>
        </w:r>
        <w:r w:rsidRPr="00560F13">
          <w:rPr>
            <w:rStyle w:val="Lienhypertexte"/>
            <w:rFonts w:ascii="Arial" w:hAnsi="Arial" w:cs="Arial"/>
            <w:sz w:val="18"/>
            <w:szCs w:val="18"/>
            <w:lang w:val="en-US"/>
          </w:rPr>
          <w:t> </w:t>
        </w:r>
      </w:hyperlink>
      <w:r w:rsidRPr="00560F13">
        <w:rPr>
          <w:rStyle w:val="sb8d990e2"/>
          <w:rFonts w:ascii="Arial" w:hAnsi="Arial" w:cs="Arial"/>
          <w:color w:val="000000"/>
          <w:sz w:val="18"/>
          <w:szCs w:val="18"/>
          <w:lang w:val="en-US"/>
        </w:rPr>
        <w:t>(dec.) (French only), no. </w:t>
      </w:r>
      <w:r w:rsidRPr="00560F13">
        <w:rPr>
          <w:rFonts w:ascii="Arial" w:hAnsi="Arial" w:cs="Arial"/>
          <w:sz w:val="18"/>
          <w:szCs w:val="18"/>
          <w:lang w:val="en-US"/>
        </w:rPr>
        <w:t>59715/10</w:t>
      </w:r>
      <w:r w:rsidRPr="00560F13">
        <w:rPr>
          <w:rStyle w:val="sb8d990e2"/>
          <w:rFonts w:ascii="Arial" w:hAnsi="Arial" w:cs="Arial"/>
          <w:color w:val="000000"/>
          <w:sz w:val="18"/>
          <w:szCs w:val="18"/>
          <w:lang w:val="en-US"/>
        </w:rPr>
        <w:t>, § 37, 18 March 2014;</w:t>
      </w:r>
      <w:r w:rsidRPr="00560F13">
        <w:rPr>
          <w:rStyle w:val="sb8d990e2"/>
          <w:rFonts w:ascii="Arial" w:hAnsi="Arial" w:cs="Arial"/>
          <w:color w:val="000000"/>
          <w:sz w:val="18"/>
          <w:szCs w:val="18"/>
        </w:rPr>
        <w:t xml:space="preserve"> </w:t>
      </w:r>
      <w:hyperlink r:id="rId128" w:history="1">
        <w:r w:rsidRPr="00560F13">
          <w:rPr>
            <w:rStyle w:val="Lienhypertexte"/>
            <w:rFonts w:ascii="Arial" w:hAnsi="Arial" w:cs="Arial"/>
            <w:i/>
            <w:sz w:val="18"/>
            <w:szCs w:val="18"/>
            <w:lang w:val="en-US"/>
          </w:rPr>
          <w:t>Kavala v. Turkey</w:t>
        </w:r>
      </w:hyperlink>
      <w:r w:rsidRPr="00560F13">
        <w:rPr>
          <w:rFonts w:ascii="Arial" w:hAnsi="Arial" w:cs="Arial"/>
          <w:sz w:val="18"/>
          <w:szCs w:val="18"/>
          <w:lang w:val="en-US"/>
        </w:rPr>
        <w:t xml:space="preserve">, no. 28749/18, 10 December 2019. </w:t>
      </w:r>
      <w:r w:rsidRPr="00560F13">
        <w:rPr>
          <w:rFonts w:ascii="Arial" w:hAnsi="Arial" w:cs="Arial"/>
          <w:color w:val="000000"/>
          <w:sz w:val="18"/>
          <w:szCs w:val="18"/>
          <w:lang w:val="en-US"/>
        </w:rPr>
        <w:t xml:space="preserve">However, the Court has </w:t>
      </w:r>
      <w:r w:rsidRPr="00560F13">
        <w:rPr>
          <w:rFonts w:ascii="Arial" w:hAnsi="Arial" w:cs="Arial"/>
          <w:sz w:val="18"/>
          <w:szCs w:val="18"/>
        </w:rPr>
        <w:t xml:space="preserve">held that a complaint brought by a trade union under the procedure of the International Labour Organisation was substantially the same as an individual application brought under the Convention by officers of the union in their own names. The Court based its findings on the close association of the substance of the proceedings and also the status of the individuals as officers of the trade union. Allowing them to maintain their action before the Court would therefore have been tantamount to circumventing Article 35 § 2 (b) of the Convention; see </w:t>
      </w:r>
      <w:hyperlink r:id="rId129" w:history="1">
        <w:r w:rsidRPr="00560F13">
          <w:rPr>
            <w:rStyle w:val="Lienhypertexte"/>
            <w:rFonts w:ascii="Arial" w:hAnsi="Arial" w:cs="Arial"/>
            <w:i/>
            <w:iCs/>
            <w:sz w:val="18"/>
            <w:szCs w:val="18"/>
          </w:rPr>
          <w:t>POA and Others v. the United Kingdom</w:t>
        </w:r>
      </w:hyperlink>
      <w:r w:rsidRPr="00560F13">
        <w:rPr>
          <w:rFonts w:ascii="Arial" w:hAnsi="Arial" w:cs="Arial"/>
          <w:i/>
          <w:iCs/>
          <w:sz w:val="18"/>
          <w:szCs w:val="18"/>
        </w:rPr>
        <w:t xml:space="preserve"> </w:t>
      </w:r>
      <w:r w:rsidRPr="00560F13">
        <w:rPr>
          <w:rFonts w:ascii="Arial" w:hAnsi="Arial" w:cs="Arial"/>
          <w:sz w:val="18"/>
          <w:szCs w:val="18"/>
        </w:rPr>
        <w:t xml:space="preserve">(dec.), no. </w:t>
      </w:r>
      <w:r w:rsidRPr="00560F13">
        <w:rPr>
          <w:rFonts w:ascii="Arial" w:hAnsi="Arial" w:cs="Arial"/>
          <w:sz w:val="18"/>
          <w:szCs w:val="18"/>
          <w:lang w:val="en-US"/>
        </w:rPr>
        <w:t xml:space="preserve">59253/11, </w:t>
      </w:r>
      <w:r w:rsidRPr="00560F13">
        <w:rPr>
          <w:rFonts w:ascii="Arial" w:hAnsi="Arial" w:cs="Arial"/>
          <w:sz w:val="18"/>
          <w:szCs w:val="18"/>
        </w:rPr>
        <w:t>§§ 2730-32,</w:t>
      </w:r>
      <w:r w:rsidRPr="00560F13">
        <w:rPr>
          <w:rFonts w:ascii="Arial" w:hAnsi="Arial" w:cs="Arial"/>
          <w:sz w:val="18"/>
          <w:szCs w:val="18"/>
          <w:lang w:val="en-US"/>
        </w:rPr>
        <w:t xml:space="preserve"> 21 May 2013</w:t>
      </w:r>
      <w:r w:rsidRPr="00560F13">
        <w:rPr>
          <w:rFonts w:ascii="Arial" w:hAnsi="Arial" w:cs="Arial"/>
          <w:sz w:val="18"/>
          <w:szCs w:val="18"/>
        </w:rPr>
        <w:t>.</w:t>
      </w:r>
    </w:p>
  </w:footnote>
  <w:footnote w:id="96">
    <w:p w14:paraId="50B95F1A" w14:textId="77777777" w:rsidR="000C68FA" w:rsidRPr="00560F13" w:rsidRDefault="000C68FA" w:rsidP="002218C4">
      <w:pPr>
        <w:pStyle w:val="SingleTxtG"/>
        <w:spacing w:after="0" w:line="200" w:lineRule="exact"/>
        <w:ind w:left="0" w:right="0"/>
        <w:rPr>
          <w:rFonts w:ascii="Arial" w:hAnsi="Arial" w:cs="Arial"/>
          <w:color w:val="000000"/>
          <w:sz w:val="18"/>
          <w:szCs w:val="18"/>
          <w:lang w:val="en-US"/>
        </w:rPr>
      </w:pPr>
      <w:r w:rsidRPr="00560F13">
        <w:rPr>
          <w:rStyle w:val="Appelnotedebasdep"/>
          <w:rFonts w:ascii="Arial" w:hAnsi="Arial" w:cs="Arial"/>
        </w:rPr>
        <w:footnoteRef/>
      </w:r>
      <w:r w:rsidRPr="00560F13">
        <w:rPr>
          <w:rFonts w:ascii="Arial" w:hAnsi="Arial" w:cs="Arial"/>
          <w:sz w:val="18"/>
          <w:szCs w:val="18"/>
        </w:rPr>
        <w:t xml:space="preserve"> </w:t>
      </w:r>
      <w:hyperlink r:id="rId130" w:history="1">
        <w:r w:rsidRPr="00560F13">
          <w:rPr>
            <w:rStyle w:val="Lienhypertexte"/>
            <w:rFonts w:ascii="Arial" w:eastAsiaTheme="minorHAnsi" w:hAnsi="Arial" w:cs="Arial"/>
            <w:i/>
            <w:iCs/>
            <w:sz w:val="18"/>
            <w:szCs w:val="18"/>
            <w:lang w:val="en-US" w:eastAsia="en-US"/>
          </w:rPr>
          <w:t>OAO Neftyanaya Kompaniya Yukos v. Russia</w:t>
        </w:r>
      </w:hyperlink>
      <w:r w:rsidRPr="00560F13">
        <w:rPr>
          <w:rFonts w:ascii="Arial" w:hAnsi="Arial" w:cs="Arial"/>
          <w:color w:val="000000"/>
          <w:sz w:val="18"/>
          <w:szCs w:val="18"/>
          <w:lang w:val="en-US"/>
        </w:rPr>
        <w:t xml:space="preserve">, </w:t>
      </w:r>
      <w:r w:rsidRPr="00560F13">
        <w:rPr>
          <w:rFonts w:ascii="Arial" w:hAnsi="Arial" w:cs="Arial"/>
          <w:sz w:val="18"/>
          <w:szCs w:val="18"/>
        </w:rPr>
        <w:t>quoted above</w:t>
      </w:r>
      <w:r w:rsidRPr="00560F13">
        <w:rPr>
          <w:rFonts w:ascii="Arial" w:hAnsi="Arial" w:cs="Arial"/>
          <w:color w:val="000000"/>
          <w:sz w:val="18"/>
          <w:szCs w:val="18"/>
        </w:rPr>
        <w:t xml:space="preserve">, </w:t>
      </w:r>
      <w:r w:rsidRPr="00560F13">
        <w:rPr>
          <w:rFonts w:ascii="Arial" w:hAnsi="Arial" w:cs="Arial"/>
          <w:color w:val="000000"/>
          <w:sz w:val="18"/>
          <w:szCs w:val="18"/>
          <w:lang w:val="en-US"/>
        </w:rPr>
        <w:t xml:space="preserve">§ 522; </w:t>
      </w:r>
      <w:hyperlink r:id="rId131" w:history="1">
        <w:r w:rsidRPr="00560F13">
          <w:rPr>
            <w:rStyle w:val="Lienhypertexte"/>
            <w:rFonts w:ascii="Arial" w:eastAsiaTheme="minorHAnsi" w:hAnsi="Arial" w:cs="Arial"/>
            <w:i/>
            <w:iCs/>
            <w:sz w:val="18"/>
            <w:szCs w:val="18"/>
            <w:lang w:val="en-US" w:eastAsia="en-US"/>
          </w:rPr>
          <w:t>De Pace v. Italy</w:t>
        </w:r>
      </w:hyperlink>
      <w:r w:rsidRPr="00560F13">
        <w:rPr>
          <w:rStyle w:val="Lienhypertexte"/>
          <w:rFonts w:ascii="Arial" w:eastAsiaTheme="minorHAnsi" w:hAnsi="Arial" w:cs="Arial"/>
          <w:i/>
          <w:iCs/>
          <w:sz w:val="18"/>
          <w:szCs w:val="18"/>
          <w:lang w:val="en-US" w:eastAsia="en-US"/>
        </w:rPr>
        <w:t xml:space="preserve"> </w:t>
      </w:r>
      <w:r w:rsidRPr="00560F13">
        <w:rPr>
          <w:rFonts w:ascii="Arial" w:hAnsi="Arial" w:cs="Arial"/>
          <w:color w:val="000000"/>
          <w:sz w:val="18"/>
          <w:szCs w:val="18"/>
          <w:lang w:val="en-US"/>
        </w:rPr>
        <w:t>(</w:t>
      </w:r>
      <w:r w:rsidRPr="00560F13">
        <w:rPr>
          <w:rStyle w:val="sb8d990e2"/>
          <w:rFonts w:ascii="Arial" w:hAnsi="Arial" w:cs="Arial"/>
          <w:color w:val="000000"/>
          <w:sz w:val="18"/>
          <w:szCs w:val="18"/>
          <w:lang w:val="en-US"/>
        </w:rPr>
        <w:t>French only),</w:t>
      </w:r>
      <w:r w:rsidRPr="00560F13">
        <w:rPr>
          <w:rFonts w:ascii="Arial" w:hAnsi="Arial" w:cs="Arial"/>
          <w:color w:val="000000"/>
          <w:sz w:val="18"/>
          <w:szCs w:val="18"/>
          <w:lang w:val="en-US"/>
        </w:rPr>
        <w:t xml:space="preserve"> no. 22728/03, §§ 25-28, 17 July 2008; </w:t>
      </w:r>
      <w:hyperlink r:id="rId132" w:history="1">
        <w:r w:rsidRPr="00560F13">
          <w:rPr>
            <w:rStyle w:val="Lienhypertexte"/>
            <w:rFonts w:ascii="Arial" w:eastAsiaTheme="minorHAnsi" w:hAnsi="Arial" w:cs="Arial"/>
            <w:i/>
            <w:iCs/>
            <w:sz w:val="18"/>
            <w:szCs w:val="18"/>
            <w:lang w:val="en-US" w:eastAsia="en-US"/>
          </w:rPr>
          <w:t>Karoussiotis v. Portugal</w:t>
        </w:r>
      </w:hyperlink>
      <w:r w:rsidRPr="00560F13">
        <w:rPr>
          <w:rFonts w:ascii="Arial" w:hAnsi="Arial" w:cs="Arial"/>
          <w:color w:val="000000"/>
          <w:sz w:val="18"/>
          <w:szCs w:val="18"/>
          <w:lang w:val="en-US"/>
        </w:rPr>
        <w:t xml:space="preserve">, §§ 62 and 65-76; </w:t>
      </w:r>
      <w:hyperlink r:id="rId133" w:history="1">
        <w:r w:rsidRPr="00560F13">
          <w:rPr>
            <w:rStyle w:val="Lienhypertexte"/>
            <w:rFonts w:ascii="Arial" w:eastAsiaTheme="minorHAnsi" w:hAnsi="Arial" w:cs="Arial"/>
            <w:i/>
            <w:iCs/>
            <w:sz w:val="18"/>
            <w:szCs w:val="18"/>
            <w:lang w:val="en-US" w:eastAsia="en-US"/>
          </w:rPr>
          <w:t>Doğan and Çakmak v. Turkey</w:t>
        </w:r>
      </w:hyperlink>
      <w:r w:rsidRPr="00560F13">
        <w:rPr>
          <w:rFonts w:ascii="Arial" w:hAnsi="Arial" w:cs="Arial"/>
          <w:i/>
          <w:iCs/>
          <w:color w:val="000000"/>
          <w:sz w:val="18"/>
          <w:szCs w:val="18"/>
          <w:lang w:val="en-US"/>
        </w:rPr>
        <w:t xml:space="preserve"> </w:t>
      </w:r>
      <w:r w:rsidRPr="00560F13">
        <w:rPr>
          <w:rFonts w:ascii="Arial" w:hAnsi="Arial" w:cs="Arial"/>
          <w:color w:val="000000"/>
          <w:sz w:val="18"/>
          <w:szCs w:val="18"/>
          <w:lang w:val="en-US"/>
        </w:rPr>
        <w:t>(dec.) (</w:t>
      </w:r>
      <w:r w:rsidRPr="00560F13">
        <w:rPr>
          <w:rStyle w:val="sb8d990e2"/>
          <w:rFonts w:ascii="Arial" w:hAnsi="Arial" w:cs="Arial"/>
          <w:color w:val="000000"/>
          <w:sz w:val="18"/>
          <w:szCs w:val="18"/>
          <w:lang w:val="en-US"/>
        </w:rPr>
        <w:t>French only)</w:t>
      </w:r>
      <w:r w:rsidRPr="00560F13">
        <w:rPr>
          <w:rFonts w:ascii="Arial" w:hAnsi="Arial" w:cs="Arial"/>
          <w:color w:val="000000"/>
          <w:sz w:val="18"/>
          <w:szCs w:val="18"/>
          <w:lang w:val="en-US"/>
        </w:rPr>
        <w:t xml:space="preserve">, quoted above, § 2. </w:t>
      </w:r>
    </w:p>
  </w:footnote>
  <w:footnote w:id="97">
    <w:p w14:paraId="72824055" w14:textId="77777777" w:rsidR="000C68FA" w:rsidRPr="00560F13" w:rsidRDefault="000C68FA" w:rsidP="002218C4">
      <w:pPr>
        <w:pStyle w:val="SingleTxtG"/>
        <w:spacing w:line="200" w:lineRule="exact"/>
        <w:ind w:left="0" w:right="0"/>
        <w:rPr>
          <w:rFonts w:ascii="Arial" w:hAnsi="Arial" w:cs="Arial"/>
          <w:sz w:val="18"/>
          <w:szCs w:val="18"/>
          <w:lang w:val="en-US"/>
        </w:rPr>
      </w:pPr>
      <w:r w:rsidRPr="00560F13">
        <w:rPr>
          <w:rStyle w:val="Appelnotedebasdep"/>
          <w:rFonts w:ascii="Arial" w:hAnsi="Arial" w:cs="Arial"/>
        </w:rPr>
        <w:footnoteRef/>
      </w:r>
      <w:r w:rsidRPr="00560F13">
        <w:rPr>
          <w:rFonts w:ascii="Arial" w:hAnsi="Arial" w:cs="Arial"/>
          <w:sz w:val="18"/>
          <w:szCs w:val="18"/>
          <w:lang w:val="it-CH"/>
        </w:rPr>
        <w:t xml:space="preserve"> </w:t>
      </w:r>
      <w:hyperlink r:id="rId134" w:history="1">
        <w:r w:rsidRPr="00560F13">
          <w:rPr>
            <w:rStyle w:val="Lienhypertexte"/>
            <w:rFonts w:ascii="Arial" w:hAnsi="Arial" w:cs="Arial"/>
            <w:i/>
            <w:iCs/>
            <w:sz w:val="18"/>
            <w:szCs w:val="18"/>
            <w:lang w:val="it-CH"/>
          </w:rPr>
          <w:t>Peraldi v. France</w:t>
        </w:r>
        <w:r w:rsidRPr="00560F13">
          <w:rPr>
            <w:rStyle w:val="Lienhypertexte"/>
            <w:rFonts w:ascii="Arial" w:hAnsi="Arial" w:cs="Arial"/>
            <w:sz w:val="18"/>
            <w:szCs w:val="18"/>
            <w:lang w:val="it-CH"/>
          </w:rPr>
          <w:t> </w:t>
        </w:r>
      </w:hyperlink>
      <w:r w:rsidRPr="00560F13">
        <w:rPr>
          <w:rStyle w:val="sb8d990e2"/>
          <w:rFonts w:ascii="Arial" w:hAnsi="Arial" w:cs="Arial"/>
          <w:color w:val="000000"/>
          <w:sz w:val="18"/>
          <w:szCs w:val="18"/>
          <w:lang w:val="it-CH"/>
        </w:rPr>
        <w:t>(dec.), no. </w:t>
      </w:r>
      <w:r w:rsidRPr="00560F13">
        <w:rPr>
          <w:rFonts w:ascii="Arial" w:hAnsi="Arial" w:cs="Arial"/>
          <w:sz w:val="18"/>
          <w:szCs w:val="18"/>
          <w:lang w:val="it-CH"/>
        </w:rPr>
        <w:t>2096/05</w:t>
      </w:r>
      <w:r w:rsidRPr="00560F13">
        <w:rPr>
          <w:rStyle w:val="sb8d990e2"/>
          <w:rFonts w:ascii="Arial" w:hAnsi="Arial" w:cs="Arial"/>
          <w:color w:val="000000"/>
          <w:sz w:val="18"/>
          <w:szCs w:val="18"/>
          <w:lang w:val="it-CH"/>
        </w:rPr>
        <w:t xml:space="preserve">, 7 April 2009; </w:t>
      </w:r>
      <w:hyperlink r:id="rId135" w:history="1">
        <w:r w:rsidRPr="00560F13">
          <w:rPr>
            <w:rStyle w:val="Lienhypertexte"/>
            <w:rFonts w:ascii="Arial" w:hAnsi="Arial" w:cs="Arial"/>
            <w:i/>
            <w:iCs/>
            <w:sz w:val="18"/>
            <w:szCs w:val="18"/>
            <w:lang w:val="it-CH"/>
          </w:rPr>
          <w:t>Gürdeniz c. Turquie</w:t>
        </w:r>
        <w:r w:rsidRPr="00560F13">
          <w:rPr>
            <w:rStyle w:val="Lienhypertexte"/>
            <w:rFonts w:ascii="Arial" w:hAnsi="Arial" w:cs="Arial"/>
            <w:sz w:val="18"/>
            <w:szCs w:val="18"/>
            <w:lang w:val="it-CH"/>
          </w:rPr>
          <w:t> </w:t>
        </w:r>
      </w:hyperlink>
      <w:r w:rsidRPr="00560F13">
        <w:rPr>
          <w:rStyle w:val="sb8d990e2"/>
          <w:rFonts w:ascii="Arial" w:hAnsi="Arial" w:cs="Arial"/>
          <w:color w:val="000000"/>
          <w:sz w:val="18"/>
          <w:szCs w:val="18"/>
          <w:lang w:val="it-CH"/>
        </w:rPr>
        <w:t xml:space="preserve">(dec.) </w:t>
      </w:r>
      <w:r w:rsidRPr="00560F13">
        <w:rPr>
          <w:rStyle w:val="sb8d990e2"/>
          <w:rFonts w:ascii="Arial" w:hAnsi="Arial" w:cs="Arial"/>
          <w:color w:val="000000"/>
          <w:sz w:val="18"/>
          <w:szCs w:val="18"/>
          <w:lang w:val="en-US"/>
        </w:rPr>
        <w:t>(French only), no. </w:t>
      </w:r>
      <w:r w:rsidRPr="00560F13">
        <w:rPr>
          <w:rFonts w:ascii="Arial" w:hAnsi="Arial" w:cs="Arial"/>
          <w:sz w:val="18"/>
          <w:szCs w:val="18"/>
          <w:lang w:val="en-US"/>
        </w:rPr>
        <w:t>59715/10</w:t>
      </w:r>
      <w:r w:rsidRPr="00560F13">
        <w:rPr>
          <w:rStyle w:val="sb8d990e2"/>
          <w:rFonts w:ascii="Arial" w:hAnsi="Arial" w:cs="Arial"/>
          <w:color w:val="000000"/>
          <w:sz w:val="18"/>
          <w:szCs w:val="18"/>
          <w:lang w:val="en-US"/>
        </w:rPr>
        <w:t>, § 37, 18 March 2014</w:t>
      </w:r>
      <w:r w:rsidRPr="00560F13">
        <w:rPr>
          <w:rFonts w:ascii="Arial" w:hAnsi="Arial" w:cs="Arial"/>
          <w:sz w:val="18"/>
          <w:szCs w:val="18"/>
          <w:lang w:val="en-US"/>
        </w:rPr>
        <w:t>;</w:t>
      </w:r>
      <w:r w:rsidRPr="00560F13">
        <w:rPr>
          <w:rFonts w:ascii="Arial" w:hAnsi="Arial" w:cs="Arial"/>
          <w:sz w:val="18"/>
          <w:szCs w:val="18"/>
        </w:rPr>
        <w:t xml:space="preserve"> </w:t>
      </w:r>
      <w:hyperlink r:id="rId136" w:history="1">
        <w:r w:rsidRPr="00560F13">
          <w:rPr>
            <w:rStyle w:val="Lienhypertexte"/>
            <w:rFonts w:ascii="Arial" w:hAnsi="Arial" w:cs="Arial"/>
            <w:i/>
            <w:sz w:val="18"/>
            <w:szCs w:val="18"/>
            <w:lang w:val="en-US"/>
          </w:rPr>
          <w:t>Selahattin Demirtaş v. Turkey</w:t>
        </w:r>
      </w:hyperlink>
      <w:r w:rsidRPr="00560F13">
        <w:rPr>
          <w:rFonts w:ascii="Arial" w:hAnsi="Arial" w:cs="Arial"/>
          <w:sz w:val="18"/>
          <w:szCs w:val="18"/>
          <w:lang w:val="en-US"/>
        </w:rPr>
        <w:t xml:space="preserve"> (no. 2) n°14305/17, 20 November 2018;</w:t>
      </w:r>
      <w:r w:rsidRPr="00560F13">
        <w:rPr>
          <w:rFonts w:ascii="Arial" w:hAnsi="Arial" w:cs="Arial"/>
          <w:sz w:val="18"/>
          <w:szCs w:val="18"/>
        </w:rPr>
        <w:t xml:space="preserve"> </w:t>
      </w:r>
      <w:hyperlink r:id="rId137" w:history="1">
        <w:r w:rsidRPr="00560F13">
          <w:rPr>
            <w:rStyle w:val="Lienhypertexte"/>
            <w:rFonts w:ascii="Arial" w:hAnsi="Arial" w:cs="Arial"/>
            <w:i/>
            <w:sz w:val="18"/>
            <w:szCs w:val="18"/>
            <w:lang w:val="en-US"/>
          </w:rPr>
          <w:t>Kavala v. Turkey</w:t>
        </w:r>
      </w:hyperlink>
      <w:r w:rsidRPr="00560F13">
        <w:rPr>
          <w:rFonts w:ascii="Arial" w:hAnsi="Arial" w:cs="Arial"/>
          <w:sz w:val="18"/>
          <w:szCs w:val="18"/>
          <w:lang w:val="en-US"/>
        </w:rPr>
        <w:t>, no. 28749/18, 10 December 2019.</w:t>
      </w:r>
    </w:p>
  </w:footnote>
  <w:footnote w:id="98">
    <w:p w14:paraId="09EAFF8F" w14:textId="77777777" w:rsidR="000C68FA" w:rsidRPr="00641ED4" w:rsidRDefault="000C68FA" w:rsidP="002218C4">
      <w:pPr>
        <w:pStyle w:val="SingleTxtG"/>
        <w:spacing w:after="0" w:line="200" w:lineRule="exact"/>
        <w:ind w:left="0" w:right="0"/>
        <w:rPr>
          <w:rFonts w:ascii="Arial" w:hAnsi="Arial" w:cs="Arial"/>
          <w:sz w:val="18"/>
          <w:szCs w:val="18"/>
          <w:lang w:val="en-US"/>
        </w:rPr>
      </w:pPr>
      <w:r w:rsidRPr="00560F13">
        <w:rPr>
          <w:rStyle w:val="Appelnotedebasdep"/>
          <w:rFonts w:ascii="Arial" w:hAnsi="Arial" w:cs="Arial"/>
        </w:rPr>
        <w:footnoteRef/>
      </w:r>
      <w:r w:rsidRPr="00641ED4">
        <w:rPr>
          <w:rFonts w:ascii="Arial" w:hAnsi="Arial" w:cs="Arial"/>
          <w:sz w:val="18"/>
          <w:szCs w:val="18"/>
          <w:lang w:val="en-US"/>
        </w:rPr>
        <w:t xml:space="preserve"> </w:t>
      </w:r>
      <w:hyperlink r:id="rId138" w:history="1">
        <w:r w:rsidRPr="00641ED4">
          <w:rPr>
            <w:rStyle w:val="Lienhypertexte"/>
            <w:rFonts w:ascii="Arial" w:hAnsi="Arial" w:cs="Arial"/>
            <w:i/>
            <w:sz w:val="18"/>
            <w:szCs w:val="18"/>
            <w:lang w:val="en-US"/>
          </w:rPr>
          <w:t>Karoussiotis v. Portugal</w:t>
        </w:r>
      </w:hyperlink>
      <w:r w:rsidRPr="00641ED4">
        <w:rPr>
          <w:rFonts w:ascii="Arial" w:hAnsi="Arial" w:cs="Arial"/>
          <w:sz w:val="18"/>
          <w:szCs w:val="18"/>
          <w:lang w:val="en-US"/>
        </w:rPr>
        <w:t>, no. 23205/08, 1 February 2011.</w:t>
      </w:r>
    </w:p>
  </w:footnote>
  <w:footnote w:id="99">
    <w:p w14:paraId="175ABC09"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lang w:val="en-US"/>
        </w:rPr>
        <w:t xml:space="preserve"> </w:t>
      </w:r>
      <w:hyperlink r:id="rId139" w:history="1">
        <w:r w:rsidRPr="00560F13">
          <w:rPr>
            <w:rStyle w:val="Lienhypertexte"/>
            <w:rFonts w:ascii="Arial" w:hAnsi="Arial" w:cs="Arial"/>
            <w:i/>
            <w:iCs/>
            <w:sz w:val="18"/>
            <w:szCs w:val="18"/>
            <w:lang w:val="en-US"/>
          </w:rPr>
          <w:t>Lukanov v. Bulgaria</w:t>
        </w:r>
      </w:hyperlink>
      <w:r w:rsidRPr="00560F13">
        <w:rPr>
          <w:rStyle w:val="sb8d990e2"/>
          <w:rFonts w:ascii="Arial" w:hAnsi="Arial" w:cs="Arial"/>
          <w:color w:val="000000"/>
          <w:sz w:val="18"/>
          <w:szCs w:val="18"/>
          <w:lang w:val="en-US"/>
        </w:rPr>
        <w:t>, no. </w:t>
      </w:r>
      <w:r w:rsidRPr="00560F13">
        <w:rPr>
          <w:rFonts w:ascii="Arial" w:hAnsi="Arial" w:cs="Arial"/>
          <w:sz w:val="18"/>
          <w:szCs w:val="18"/>
          <w:lang w:val="en-US"/>
        </w:rPr>
        <w:t>21915/93</w:t>
      </w:r>
      <w:r w:rsidRPr="00560F13">
        <w:rPr>
          <w:rStyle w:val="sb8d990e2"/>
          <w:rFonts w:ascii="Arial" w:hAnsi="Arial" w:cs="Arial"/>
          <w:color w:val="000000"/>
          <w:sz w:val="18"/>
          <w:szCs w:val="18"/>
          <w:lang w:val="en-US"/>
        </w:rPr>
        <w:t xml:space="preserve">, Commission decision of 12 January 1995, Decisions and Reports 80-A, p. 108; </w:t>
      </w:r>
      <w:hyperlink r:id="rId140" w:history="1">
        <w:r w:rsidRPr="00560F13">
          <w:rPr>
            <w:rStyle w:val="Lienhypertexte"/>
            <w:rFonts w:ascii="Arial" w:hAnsi="Arial" w:cs="Arial"/>
            <w:i/>
            <w:sz w:val="18"/>
            <w:szCs w:val="18"/>
            <w:lang w:val="en-US"/>
          </w:rPr>
          <w:t>Selahattin Demirtaş v. Turkey</w:t>
        </w:r>
      </w:hyperlink>
      <w:r w:rsidRPr="00560F13">
        <w:rPr>
          <w:rFonts w:ascii="Arial" w:hAnsi="Arial" w:cs="Arial"/>
          <w:sz w:val="18"/>
          <w:szCs w:val="18"/>
          <w:lang w:val="en-US"/>
        </w:rPr>
        <w:t xml:space="preserve"> (No. 2) n°14305/17, 20 November 2018. </w:t>
      </w:r>
    </w:p>
  </w:footnote>
  <w:footnote w:id="100">
    <w:p w14:paraId="0EEC69C2"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r w:rsidRPr="00560F13">
        <w:rPr>
          <w:rFonts w:ascii="Arial" w:hAnsi="Arial" w:cs="Arial"/>
          <w:sz w:val="18"/>
          <w:szCs w:val="18"/>
          <w:lang w:val="en-US"/>
        </w:rPr>
        <w:t>Article 5 (2) (a) of the Optional Protocol provides that the Human Rights Committee shall not consider any communication from an individual unless it has ascertained that the same matter is not being examined under another procedure of international investigation or settlement. State Parties to the ICCPR may and have indeed entered reservations to this provision.</w:t>
      </w:r>
    </w:p>
  </w:footnote>
  <w:footnote w:id="101">
    <w:p w14:paraId="1EA1EBB4"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Fonts w:ascii="Arial" w:hAnsi="Arial" w:cs="Arial"/>
          <w:sz w:val="18"/>
          <w:szCs w:val="18"/>
          <w:vertAlign w:val="superscript"/>
          <w:lang w:val="en-US"/>
        </w:rPr>
        <w:footnoteRef/>
      </w:r>
      <w:r w:rsidRPr="00560F13">
        <w:rPr>
          <w:rFonts w:ascii="Arial" w:hAnsi="Arial" w:cs="Arial"/>
          <w:sz w:val="18"/>
          <w:szCs w:val="18"/>
          <w:lang w:val="en-US"/>
        </w:rPr>
        <w:t xml:space="preserve"> </w:t>
      </w:r>
      <w:hyperlink r:id="rId141" w:history="1">
        <w:r w:rsidRPr="00560F13">
          <w:rPr>
            <w:rStyle w:val="Lienhypertexte"/>
            <w:rFonts w:ascii="Arial" w:hAnsi="Arial" w:cs="Arial"/>
            <w:sz w:val="18"/>
            <w:szCs w:val="18"/>
            <w:lang w:val="en-US"/>
          </w:rPr>
          <w:t>https://treaties.un.org/Pages/ViewDetails.aspx?src=TREATY&amp;mtdsg_no=IV-5&amp;chapter=4</w:t>
        </w:r>
      </w:hyperlink>
      <w:r w:rsidRPr="00560F13">
        <w:rPr>
          <w:rFonts w:ascii="Arial" w:hAnsi="Arial" w:cs="Arial"/>
          <w:sz w:val="18"/>
          <w:szCs w:val="18"/>
          <w:lang w:val="en-US"/>
        </w:rPr>
        <w:t xml:space="preserve"> </w:t>
      </w:r>
    </w:p>
  </w:footnote>
  <w:footnote w:id="102">
    <w:p w14:paraId="44DC2305"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r w:rsidRPr="00560F13">
        <w:rPr>
          <w:rFonts w:ascii="Arial" w:hAnsi="Arial" w:cs="Arial"/>
          <w:sz w:val="18"/>
          <w:szCs w:val="18"/>
          <w:lang w:val="en-US"/>
        </w:rPr>
        <w:t>See Communication</w:t>
      </w:r>
      <w:r w:rsidRPr="00560F13">
        <w:rPr>
          <w:rFonts w:ascii="Arial" w:hAnsi="Arial" w:cs="Arial"/>
          <w:sz w:val="18"/>
          <w:szCs w:val="18"/>
        </w:rPr>
        <w:t xml:space="preserve"> </w:t>
      </w:r>
      <w:hyperlink r:id="rId142" w:history="1">
        <w:r w:rsidRPr="00560F13">
          <w:rPr>
            <w:rStyle w:val="Lienhypertexte"/>
            <w:rFonts w:ascii="Arial" w:hAnsi="Arial" w:cs="Arial"/>
            <w:sz w:val="18"/>
            <w:szCs w:val="18"/>
          </w:rPr>
          <w:t>CCPR/C/123/D/2807/2016</w:t>
        </w:r>
      </w:hyperlink>
      <w:r w:rsidRPr="00560F13">
        <w:rPr>
          <w:rFonts w:ascii="Arial" w:hAnsi="Arial" w:cs="Arial"/>
          <w:sz w:val="18"/>
          <w:szCs w:val="18"/>
        </w:rPr>
        <w:t xml:space="preserve">, 17 October 2018, Views adopted by the Committee under article 5 (4) of the Optional Protocol, concerning communication No. 2807/2016 submitted by Miriana Hebbadj, State Party France, see paragraph 6.3. See also </w:t>
      </w:r>
      <w:hyperlink r:id="rId143" w:history="1">
        <w:r w:rsidRPr="00560F13">
          <w:rPr>
            <w:rStyle w:val="Lienhypertexte"/>
            <w:rFonts w:ascii="Arial" w:hAnsi="Arial" w:cs="Arial"/>
            <w:sz w:val="18"/>
            <w:szCs w:val="18"/>
          </w:rPr>
          <w:t>CCPR/C/123/D/2747/2016</w:t>
        </w:r>
      </w:hyperlink>
      <w:r w:rsidRPr="00560F13">
        <w:rPr>
          <w:rFonts w:ascii="Arial" w:hAnsi="Arial" w:cs="Arial"/>
          <w:sz w:val="18"/>
          <w:szCs w:val="18"/>
        </w:rPr>
        <w:t>, 7 December 2018, Views adopted by the Committee under article 5 (4) of the Optional Protocol, concerning communication No. 2747/2016, submitted by Sonia Yaker, State Party France, paragraph 6.2. At the time of ratification of the ICCPR France entered the following reservation: “France makes a reservation to article 5, paragraph 2 (a), specifying that the Human Rights Committee shall not have competence to consider a communication from an individual if the same matter is being examined or has already been considered under another procedure of international investigation or settlement.”</w:t>
      </w:r>
    </w:p>
  </w:footnote>
  <w:footnote w:id="103">
    <w:p w14:paraId="4C384D5C"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Communication </w:t>
      </w:r>
      <w:hyperlink r:id="rId144" w:history="1">
        <w:r w:rsidRPr="00560F13">
          <w:rPr>
            <w:rStyle w:val="Lienhypertexte"/>
            <w:rFonts w:ascii="Arial" w:hAnsi="Arial" w:cs="Arial"/>
            <w:sz w:val="18"/>
            <w:szCs w:val="18"/>
          </w:rPr>
          <w:t>CCPR/C/86/D/1123/2002</w:t>
        </w:r>
        <w:r w:rsidRPr="00560F13">
          <w:rPr>
            <w:rStyle w:val="Lienhypertexte"/>
            <w:rFonts w:ascii="Arial" w:hAnsi="Arial" w:cs="Arial"/>
            <w:b/>
            <w:sz w:val="18"/>
            <w:szCs w:val="18"/>
          </w:rPr>
          <w:t xml:space="preserve"> </w:t>
        </w:r>
      </w:hyperlink>
      <w:r w:rsidRPr="00560F13">
        <w:rPr>
          <w:rFonts w:ascii="Arial" w:hAnsi="Arial" w:cs="Arial"/>
          <w:sz w:val="18"/>
          <w:szCs w:val="18"/>
        </w:rPr>
        <w:t>Views adopted by the Human Rights Committee concerning communication No. 1123/2002 s</w:t>
      </w:r>
      <w:r w:rsidRPr="00560F13">
        <w:rPr>
          <w:rFonts w:ascii="Arial" w:hAnsi="Arial" w:cs="Arial"/>
          <w:iCs/>
          <w:sz w:val="18"/>
          <w:szCs w:val="18"/>
        </w:rPr>
        <w:t>ubmitted</w:t>
      </w:r>
      <w:r w:rsidRPr="00560F13">
        <w:rPr>
          <w:rFonts w:ascii="Arial" w:hAnsi="Arial" w:cs="Arial"/>
          <w:i/>
          <w:iCs/>
          <w:sz w:val="18"/>
          <w:szCs w:val="18"/>
        </w:rPr>
        <w:t xml:space="preserve"> by</w:t>
      </w:r>
      <w:r w:rsidRPr="00560F13">
        <w:rPr>
          <w:rFonts w:ascii="Arial" w:hAnsi="Arial" w:cs="Arial"/>
          <w:sz w:val="18"/>
          <w:szCs w:val="18"/>
        </w:rPr>
        <w:t xml:space="preserve"> Carlos Correia de Matos, State Party Portugal; </w:t>
      </w:r>
      <w:hyperlink r:id="rId145" w:history="1">
        <w:r w:rsidRPr="00560F13">
          <w:rPr>
            <w:rStyle w:val="Lienhypertexte"/>
            <w:rFonts w:ascii="Arial" w:hAnsi="Arial" w:cs="Arial"/>
            <w:sz w:val="18"/>
            <w:szCs w:val="18"/>
          </w:rPr>
          <w:t>CCPR/C/123/D/2807/2016</w:t>
        </w:r>
      </w:hyperlink>
      <w:r w:rsidRPr="00560F13">
        <w:rPr>
          <w:rStyle w:val="Lienhypertexte"/>
          <w:rFonts w:ascii="Arial" w:hAnsi="Arial" w:cs="Arial"/>
          <w:b/>
          <w:sz w:val="18"/>
          <w:szCs w:val="18"/>
        </w:rPr>
        <w:t xml:space="preserve">; </w:t>
      </w:r>
      <w:hyperlink r:id="rId146" w:history="1">
        <w:r w:rsidRPr="00560F13">
          <w:rPr>
            <w:rStyle w:val="Lienhypertexte"/>
            <w:rFonts w:ascii="Arial" w:hAnsi="Arial" w:cs="Arial"/>
            <w:sz w:val="18"/>
            <w:szCs w:val="18"/>
          </w:rPr>
          <w:t>CCPR/C/123/D/2807/2016</w:t>
        </w:r>
      </w:hyperlink>
      <w:r w:rsidRPr="00560F13">
        <w:rPr>
          <w:rStyle w:val="Lienhypertexte"/>
          <w:rFonts w:ascii="Arial" w:hAnsi="Arial" w:cs="Arial"/>
          <w:sz w:val="18"/>
          <w:szCs w:val="18"/>
        </w:rPr>
        <w:t>.</w:t>
      </w:r>
    </w:p>
  </w:footnote>
  <w:footnote w:id="104">
    <w:p w14:paraId="26FC9465" w14:textId="77777777" w:rsidR="000C68FA" w:rsidRPr="00560F13" w:rsidRDefault="000C68FA" w:rsidP="002218C4">
      <w:pPr>
        <w:pStyle w:val="SingleTxtG"/>
        <w:spacing w:after="0" w:line="200" w:lineRule="exact"/>
        <w:ind w:left="0" w:right="0"/>
        <w:rPr>
          <w:rFonts w:ascii="Arial" w:hAnsi="Arial" w:cs="Arial"/>
          <w:sz w:val="18"/>
          <w:szCs w:val="18"/>
          <w:lang w:val="es-ES"/>
        </w:rPr>
      </w:pPr>
      <w:r w:rsidRPr="00560F13">
        <w:rPr>
          <w:rStyle w:val="Appelnotedebasdep"/>
          <w:rFonts w:ascii="Arial" w:hAnsi="Arial" w:cs="Arial"/>
        </w:rPr>
        <w:footnoteRef/>
      </w:r>
      <w:r w:rsidRPr="00560F13">
        <w:rPr>
          <w:rFonts w:ascii="Arial" w:hAnsi="Arial" w:cs="Arial"/>
          <w:sz w:val="18"/>
          <w:szCs w:val="18"/>
          <w:lang w:val="es-ES"/>
        </w:rPr>
        <w:t xml:space="preserve"> </w:t>
      </w:r>
      <w:r w:rsidR="00276E8F">
        <w:fldChar w:fldCharType="begin"/>
      </w:r>
      <w:r w:rsidR="00276E8F" w:rsidRPr="00616F99">
        <w:rPr>
          <w:lang w:val="es-ES"/>
        </w:rPr>
        <w:instrText xml:space="preserve"> HYPERLINK "http://hudoc.echr.coe.int/eng?i=001-182243" </w:instrText>
      </w:r>
      <w:r w:rsidR="00276E8F">
        <w:fldChar w:fldCharType="separate"/>
      </w:r>
      <w:r w:rsidRPr="00560F13">
        <w:rPr>
          <w:rStyle w:val="Lienhypertexte"/>
          <w:rFonts w:ascii="Arial" w:hAnsi="Arial" w:cs="Arial"/>
          <w:i/>
          <w:iCs/>
          <w:sz w:val="18"/>
          <w:szCs w:val="18"/>
          <w:lang w:val="es-ES"/>
        </w:rPr>
        <w:t>Correia de Matos v. Portugal</w:t>
      </w:r>
      <w:r w:rsidR="00276E8F">
        <w:rPr>
          <w:rStyle w:val="Lienhypertexte"/>
          <w:rFonts w:ascii="Arial" w:hAnsi="Arial" w:cs="Arial"/>
          <w:i/>
          <w:iCs/>
          <w:sz w:val="18"/>
          <w:szCs w:val="18"/>
          <w:lang w:val="es-ES"/>
        </w:rPr>
        <w:fldChar w:fldCharType="end"/>
      </w:r>
      <w:r w:rsidRPr="00560F13">
        <w:rPr>
          <w:rFonts w:ascii="Arial" w:hAnsi="Arial" w:cs="Arial"/>
          <w:i/>
          <w:iCs/>
          <w:sz w:val="18"/>
          <w:szCs w:val="18"/>
          <w:lang w:val="es-ES"/>
        </w:rPr>
        <w:t xml:space="preserve"> </w:t>
      </w:r>
      <w:r w:rsidRPr="00560F13">
        <w:rPr>
          <w:rFonts w:ascii="Arial" w:hAnsi="Arial" w:cs="Arial"/>
          <w:sz w:val="18"/>
          <w:szCs w:val="18"/>
          <w:lang w:val="es-ES"/>
        </w:rPr>
        <w:t xml:space="preserve">[GC], no. 56402/12, 4 April 2018. </w:t>
      </w:r>
    </w:p>
  </w:footnote>
  <w:footnote w:id="105">
    <w:p w14:paraId="42D5B597"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w:t>
      </w:r>
      <w:hyperlink r:id="rId147" w:anchor="{%2233401953%22:[0]}" w:history="1">
        <w:r w:rsidRPr="00560F13">
          <w:rPr>
            <w:rStyle w:val="Lienhypertexte"/>
            <w:rFonts w:ascii="Arial" w:hAnsi="Arial" w:cs="Arial"/>
            <w:sz w:val="18"/>
            <w:szCs w:val="18"/>
          </w:rPr>
          <w:t>CDDH(2019)R92Addendum1</w:t>
        </w:r>
      </w:hyperlink>
      <w:r w:rsidRPr="00560F13">
        <w:rPr>
          <w:rFonts w:ascii="Arial" w:hAnsi="Arial" w:cs="Arial"/>
          <w:sz w:val="18"/>
          <w:szCs w:val="18"/>
        </w:rPr>
        <w:t xml:space="preserve"> Report on the place of the European Convention of Human Rights in the European and international legal order. See section III, pg 109. </w:t>
      </w:r>
    </w:p>
  </w:footnote>
  <w:footnote w:id="106">
    <w:p w14:paraId="1BA445F6" w14:textId="77777777" w:rsidR="000C68FA" w:rsidRPr="00560F13" w:rsidRDefault="000C68FA" w:rsidP="002218C4">
      <w:pPr>
        <w:pStyle w:val="SingleTxtG"/>
        <w:spacing w:after="0" w:line="200" w:lineRule="exact"/>
        <w:ind w:left="0" w:right="0"/>
        <w:rPr>
          <w:rFonts w:ascii="Arial" w:hAnsi="Arial" w:cs="Arial"/>
          <w:sz w:val="18"/>
          <w:szCs w:val="18"/>
          <w:u w:val="single"/>
        </w:rPr>
      </w:pPr>
      <w:r w:rsidRPr="00560F13">
        <w:rPr>
          <w:rStyle w:val="Appelnotedebasdep"/>
          <w:rFonts w:ascii="Arial" w:hAnsi="Arial" w:cs="Arial"/>
          <w:b/>
          <w:u w:val="single"/>
        </w:rPr>
        <w:footnoteRef/>
      </w:r>
      <w:r w:rsidRPr="00560F13">
        <w:rPr>
          <w:rFonts w:ascii="Arial" w:hAnsi="Arial" w:cs="Arial"/>
          <w:b/>
          <w:sz w:val="18"/>
          <w:szCs w:val="18"/>
          <w:u w:val="single"/>
        </w:rPr>
        <w:t xml:space="preserve"> </w:t>
      </w:r>
      <w:hyperlink r:id="rId148" w:history="1">
        <w:r w:rsidRPr="00560F13">
          <w:rPr>
            <w:rStyle w:val="Lienhypertexte"/>
            <w:rFonts w:ascii="Arial" w:hAnsi="Arial" w:cs="Arial"/>
            <w:sz w:val="18"/>
            <w:szCs w:val="18"/>
          </w:rPr>
          <w:t>CDDH(2019)R92Addendum1</w:t>
        </w:r>
      </w:hyperlink>
      <w:r w:rsidRPr="00560F13">
        <w:rPr>
          <w:rFonts w:ascii="Arial" w:hAnsi="Arial" w:cs="Arial"/>
          <w:sz w:val="18"/>
          <w:szCs w:val="18"/>
          <w:u w:val="single"/>
        </w:rPr>
        <w:t xml:space="preserve"> § 346-355</w:t>
      </w:r>
    </w:p>
  </w:footnote>
  <w:footnote w:id="107">
    <w:p w14:paraId="081CBB9F"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149" w:anchor="{%22itemid%22:[%22001-108097%22]}" w:history="1">
        <w:r w:rsidRPr="00560F13">
          <w:rPr>
            <w:rStyle w:val="Lienhypertexte"/>
            <w:rFonts w:ascii="Arial" w:hAnsi="Arial" w:cs="Arial"/>
            <w:i/>
            <w:sz w:val="18"/>
            <w:szCs w:val="18"/>
          </w:rPr>
          <w:t>Georgia v. Russia</w:t>
        </w:r>
        <w:r w:rsidRPr="00560F13">
          <w:rPr>
            <w:rStyle w:val="Lienhypertexte"/>
            <w:rFonts w:ascii="Arial" w:hAnsi="Arial" w:cs="Arial"/>
            <w:sz w:val="18"/>
            <w:szCs w:val="18"/>
          </w:rPr>
          <w:t xml:space="preserve"> (II) (dec.)</w:t>
        </w:r>
      </w:hyperlink>
      <w:r w:rsidRPr="00560F13">
        <w:rPr>
          <w:rFonts w:ascii="Arial" w:hAnsi="Arial" w:cs="Arial"/>
          <w:sz w:val="18"/>
          <w:szCs w:val="18"/>
        </w:rPr>
        <w:t>, no. 38263/08, § 79, 13 December 2011.</w:t>
      </w:r>
    </w:p>
  </w:footnote>
  <w:footnote w:id="108">
    <w:p w14:paraId="515680A7"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The only case in which the Court has pronounced itself on Article 55 is the Commission’s decision on admissibility in the case of </w:t>
      </w:r>
      <w:hyperlink r:id="rId150" w:history="1">
        <w:r w:rsidRPr="00560F13">
          <w:rPr>
            <w:rStyle w:val="Lienhypertexte"/>
            <w:rFonts w:ascii="Arial" w:hAnsi="Arial" w:cs="Arial"/>
            <w:i/>
            <w:sz w:val="18"/>
            <w:szCs w:val="18"/>
          </w:rPr>
          <w:t>Cyprus v. Turkey</w:t>
        </w:r>
      </w:hyperlink>
      <w:r w:rsidRPr="00560F13">
        <w:rPr>
          <w:rFonts w:ascii="Arial" w:hAnsi="Arial" w:cs="Arial"/>
          <w:sz w:val="18"/>
          <w:szCs w:val="18"/>
        </w:rPr>
        <w:t>, no.25781/94</w:t>
      </w:r>
      <w:r w:rsidRPr="00560F13">
        <w:rPr>
          <w:rStyle w:val="column"/>
          <w:rFonts w:ascii="Arial" w:hAnsi="Arial" w:cs="Arial"/>
          <w:sz w:val="18"/>
          <w:szCs w:val="18"/>
        </w:rPr>
        <w:t xml:space="preserve">, part III. </w:t>
      </w:r>
    </w:p>
  </w:footnote>
  <w:footnote w:id="109">
    <w:p w14:paraId="7E9261DA"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This is also implicit in the provisions of the Committee of Ministers’ </w:t>
      </w:r>
      <w:hyperlink r:id="rId151" w:history="1">
        <w:r w:rsidRPr="00560F13">
          <w:rPr>
            <w:rStyle w:val="Lienhypertexte"/>
            <w:rFonts w:ascii="Arial" w:hAnsi="Arial" w:cs="Arial"/>
            <w:sz w:val="18"/>
            <w:szCs w:val="18"/>
          </w:rPr>
          <w:t>Resolution (70) 17</w:t>
        </w:r>
      </w:hyperlink>
      <w:r w:rsidRPr="00560F13">
        <w:rPr>
          <w:rFonts w:ascii="Arial" w:hAnsi="Arial" w:cs="Arial"/>
          <w:sz w:val="18"/>
          <w:szCs w:val="18"/>
        </w:rPr>
        <w:t xml:space="preserve"> adopted by the Ministers’ Deputies on 15 May 1970 ‘ UN Covenant on Civil and Political Rights and the European Convention on Human Rights: Procedure for dealing with inter-state complaints’. </w:t>
      </w:r>
    </w:p>
  </w:footnote>
  <w:footnote w:id="110">
    <w:p w14:paraId="50C0EA92"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Fonts w:ascii="Arial" w:hAnsi="Arial" w:cs="Arial"/>
          <w:sz w:val="18"/>
          <w:szCs w:val="18"/>
          <w:vertAlign w:val="superscript"/>
        </w:rPr>
        <w:footnoteRef/>
      </w:r>
      <w:r w:rsidRPr="00560F13">
        <w:rPr>
          <w:rFonts w:ascii="Arial" w:hAnsi="Arial" w:cs="Arial"/>
          <w:sz w:val="18"/>
          <w:szCs w:val="18"/>
        </w:rPr>
        <w:t xml:space="preserve"> See Committee of Ministers’ </w:t>
      </w:r>
      <w:hyperlink r:id="rId152" w:history="1">
        <w:r w:rsidRPr="00560F13">
          <w:rPr>
            <w:rStyle w:val="Lienhypertexte"/>
            <w:rFonts w:ascii="Arial" w:hAnsi="Arial" w:cs="Arial"/>
            <w:sz w:val="18"/>
            <w:szCs w:val="18"/>
          </w:rPr>
          <w:t>Resolution (70) 17</w:t>
        </w:r>
      </w:hyperlink>
      <w:r w:rsidRPr="00560F13">
        <w:rPr>
          <w:rFonts w:ascii="Arial" w:hAnsi="Arial" w:cs="Arial"/>
          <w:sz w:val="18"/>
          <w:szCs w:val="18"/>
        </w:rPr>
        <w:t xml:space="preserve"> adopted by the Ministers’ Deputies on 15 May 1970 ‘ UN Covenant on Civil and Political Rights and the European Convention on Human Rights: Procedure for dealing with inter-state complaints’. The Committee of Ministers [d]eclare[d] that’, as long as the problem of interpretation of Article 62 of the European Convention [current Article 55] is not resolved, States Parties to the Convention which ratify or accede to the UN Covenant on Civil and Political Rights and make a declaration under Article 41 of the Covenant should normally utilise only the procedure established by the European Convention in respect of complaints against another Contracting Party to the European Convention relating to an alleged violation of a right which in substance is covered both by the European. Convention (or its protocols) and by the UN Covenant on Civil and Political Rights, it being understood that the UN procedure may be invoked in relation to rights not guaranteed in the European Convention (or its protocols) or in relation to States which are not Parties to the European Convention.”</w:t>
      </w:r>
    </w:p>
  </w:footnote>
  <w:footnote w:id="111">
    <w:p w14:paraId="13F3BEFB"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153" w:history="1">
        <w:r w:rsidRPr="00560F13">
          <w:rPr>
            <w:rStyle w:val="Lienhypertexte"/>
            <w:rFonts w:ascii="Arial" w:hAnsi="Arial" w:cs="Arial"/>
            <w:i/>
            <w:sz w:val="18"/>
            <w:szCs w:val="18"/>
          </w:rPr>
          <w:t>Cyprus v. Turkey</w:t>
        </w:r>
      </w:hyperlink>
      <w:r w:rsidRPr="00560F13">
        <w:rPr>
          <w:rFonts w:ascii="Arial" w:hAnsi="Arial" w:cs="Arial"/>
          <w:i/>
          <w:sz w:val="18"/>
          <w:szCs w:val="18"/>
        </w:rPr>
        <w:t xml:space="preserve">, </w:t>
      </w:r>
      <w:r w:rsidRPr="00560F13">
        <w:rPr>
          <w:rFonts w:ascii="Arial" w:hAnsi="Arial" w:cs="Arial"/>
          <w:sz w:val="18"/>
          <w:szCs w:val="18"/>
        </w:rPr>
        <w:t xml:space="preserve">no. 25781/94, decision of the Commission, </w:t>
      </w:r>
      <w:r w:rsidRPr="00560F13">
        <w:rPr>
          <w:rStyle w:val="column"/>
          <w:rFonts w:ascii="Arial" w:hAnsi="Arial" w:cs="Arial"/>
          <w:sz w:val="18"/>
          <w:szCs w:val="18"/>
        </w:rPr>
        <w:t>part III.</w:t>
      </w:r>
    </w:p>
  </w:footnote>
  <w:footnote w:id="112">
    <w:p w14:paraId="08F251CB"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Ibid</w:t>
      </w:r>
      <w:r w:rsidRPr="00560F13">
        <w:rPr>
          <w:rStyle w:val="column"/>
          <w:rFonts w:ascii="Arial" w:hAnsi="Arial" w:cs="Arial"/>
          <w:sz w:val="18"/>
          <w:szCs w:val="18"/>
        </w:rPr>
        <w:t>.</w:t>
      </w:r>
    </w:p>
  </w:footnote>
  <w:footnote w:id="113">
    <w:p w14:paraId="53388B79"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document </w:t>
      </w:r>
      <w:hyperlink r:id="rId154" w:history="1">
        <w:r w:rsidRPr="00560F13">
          <w:rPr>
            <w:rStyle w:val="Lienhypertexte"/>
            <w:rFonts w:ascii="Arial" w:hAnsi="Arial" w:cs="Arial"/>
            <w:sz w:val="18"/>
            <w:szCs w:val="18"/>
          </w:rPr>
          <w:t>CDDH(2019)22</w:t>
        </w:r>
      </w:hyperlink>
      <w:r w:rsidRPr="00560F13">
        <w:rPr>
          <w:rFonts w:ascii="Arial" w:hAnsi="Arial" w:cs="Arial"/>
          <w:sz w:val="18"/>
          <w:szCs w:val="18"/>
        </w:rPr>
        <w:t>, §§ 26 and 27.</w:t>
      </w:r>
    </w:p>
  </w:footnote>
  <w:footnote w:id="114">
    <w:p w14:paraId="3B4B79AC"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155"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 [GC]</w:t>
      </w:r>
      <w:r w:rsidRPr="00560F13">
        <w:rPr>
          <w:rFonts w:ascii="Arial" w:hAnsi="Arial" w:cs="Arial"/>
          <w:sz w:val="18"/>
          <w:szCs w:val="18"/>
        </w:rPr>
        <w:t xml:space="preserve">, nos. 20958/14 and 38334/18, § 254, 16 December 2020. See also document </w:t>
      </w:r>
      <w:hyperlink r:id="rId156" w:history="1">
        <w:r w:rsidRPr="00560F13">
          <w:rPr>
            <w:rStyle w:val="Lienhypertexte"/>
            <w:rFonts w:ascii="Arial" w:hAnsi="Arial" w:cs="Arial"/>
            <w:bCs/>
            <w:sz w:val="18"/>
            <w:szCs w:val="18"/>
          </w:rPr>
          <w:t>CDDH-BU(2019)R101 Addendum</w:t>
        </w:r>
      </w:hyperlink>
      <w:r w:rsidRPr="00560F13">
        <w:rPr>
          <w:rFonts w:ascii="Arial" w:hAnsi="Arial" w:cs="Arial"/>
          <w:sz w:val="18"/>
          <w:szCs w:val="18"/>
        </w:rPr>
        <w:t>, § 87.</w:t>
      </w:r>
    </w:p>
  </w:footnote>
  <w:footnote w:id="115">
    <w:p w14:paraId="598797B8"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157" w:history="1">
        <w:r w:rsidRPr="00560F13">
          <w:rPr>
            <w:rStyle w:val="Lienhypertexte"/>
            <w:rFonts w:ascii="Arial" w:hAnsi="Arial" w:cs="Arial"/>
            <w:i/>
            <w:iCs/>
            <w:color w:val="auto"/>
            <w:sz w:val="18"/>
            <w:szCs w:val="18"/>
          </w:rPr>
          <w:t>Georgia v. Russia</w:t>
        </w:r>
      </w:hyperlink>
      <w:r w:rsidRPr="00560F13">
        <w:rPr>
          <w:rFonts w:ascii="Arial" w:hAnsi="Arial" w:cs="Arial"/>
          <w:sz w:val="18"/>
          <w:szCs w:val="18"/>
        </w:rPr>
        <w:t xml:space="preserve"> (II) (merits) [GC] no. 38263/08, § 61, 21 January 2021.</w:t>
      </w:r>
    </w:p>
  </w:footnote>
  <w:footnote w:id="116">
    <w:p w14:paraId="41D45EB0"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document </w:t>
      </w:r>
      <w:hyperlink r:id="rId158" w:history="1">
        <w:r w:rsidRPr="00560F13">
          <w:rPr>
            <w:rStyle w:val="Lienhypertexte"/>
            <w:rFonts w:ascii="Arial" w:hAnsi="Arial" w:cs="Arial"/>
            <w:sz w:val="18"/>
            <w:szCs w:val="18"/>
          </w:rPr>
          <w:t>CDDH(2019)22</w:t>
        </w:r>
      </w:hyperlink>
      <w:r w:rsidRPr="00560F13">
        <w:rPr>
          <w:rFonts w:ascii="Arial" w:hAnsi="Arial" w:cs="Arial"/>
          <w:sz w:val="18"/>
          <w:szCs w:val="18"/>
        </w:rPr>
        <w:t>, §§ 20 and 24.</w:t>
      </w:r>
    </w:p>
  </w:footnote>
  <w:footnote w:id="117">
    <w:p w14:paraId="0B414E8C"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159" w:history="1">
        <w:r w:rsidRPr="00560F13">
          <w:rPr>
            <w:rStyle w:val="Lienhypertexte"/>
            <w:rFonts w:ascii="Arial" w:hAnsi="Arial" w:cs="Arial"/>
            <w:i/>
            <w:iCs/>
            <w:color w:val="auto"/>
            <w:sz w:val="18"/>
            <w:szCs w:val="18"/>
          </w:rPr>
          <w:t>Georgia v. Russia</w:t>
        </w:r>
      </w:hyperlink>
      <w:r w:rsidRPr="00560F13">
        <w:rPr>
          <w:rFonts w:ascii="Arial" w:hAnsi="Arial" w:cs="Arial"/>
          <w:sz w:val="18"/>
          <w:szCs w:val="18"/>
        </w:rPr>
        <w:t xml:space="preserve"> (II) (merits) [GC] no. 38263/08, § 141, §144 et al., 21 January 2021.</w:t>
      </w:r>
    </w:p>
  </w:footnote>
  <w:footnote w:id="118">
    <w:p w14:paraId="636F04B5"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This is without prejudice to the fact that the Rules of the Court contain detailed provisions concerning investigatory measures and the obligations of the parties in this respect, see Annex 1 to the </w:t>
      </w:r>
      <w:hyperlink r:id="rId160" w:history="1">
        <w:r w:rsidRPr="00560F13">
          <w:rPr>
            <w:rStyle w:val="Lienhypertexte"/>
            <w:rFonts w:ascii="Arial" w:hAnsi="Arial" w:cs="Arial"/>
            <w:sz w:val="18"/>
            <w:szCs w:val="18"/>
          </w:rPr>
          <w:t>Rules of the Court</w:t>
        </w:r>
      </w:hyperlink>
      <w:r w:rsidRPr="00560F13">
        <w:rPr>
          <w:rFonts w:ascii="Arial" w:hAnsi="Arial" w:cs="Arial"/>
          <w:sz w:val="18"/>
          <w:szCs w:val="18"/>
        </w:rPr>
        <w:t>.</w:t>
      </w:r>
    </w:p>
  </w:footnote>
  <w:footnote w:id="119">
    <w:p w14:paraId="35148845"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161" w:history="1">
        <w:r w:rsidRPr="00560F13">
          <w:rPr>
            <w:rStyle w:val="Lienhypertexte"/>
            <w:rFonts w:ascii="Arial" w:hAnsi="Arial" w:cs="Arial"/>
            <w:i/>
            <w:sz w:val="18"/>
            <w:szCs w:val="18"/>
          </w:rPr>
          <w:t>Ireland v. United Kingdom</w:t>
        </w:r>
      </w:hyperlink>
      <w:r w:rsidRPr="00560F13">
        <w:rPr>
          <w:rFonts w:ascii="Arial" w:hAnsi="Arial" w:cs="Arial"/>
          <w:sz w:val="18"/>
          <w:szCs w:val="18"/>
        </w:rPr>
        <w:t xml:space="preserve">, no. 5310/71, § 160, 18 January 1978. </w:t>
      </w:r>
    </w:p>
  </w:footnote>
  <w:footnote w:id="120">
    <w:p w14:paraId="6FBC83D9"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162" w:history="1">
        <w:r w:rsidRPr="00560F13">
          <w:rPr>
            <w:rStyle w:val="Lienhypertexte"/>
            <w:rFonts w:ascii="Arial" w:hAnsi="Arial" w:cs="Arial"/>
            <w:i/>
            <w:sz w:val="18"/>
            <w:szCs w:val="18"/>
          </w:rPr>
          <w:t>Nachova and Others v. Bulgaria</w:t>
        </w:r>
      </w:hyperlink>
      <w:r w:rsidRPr="00560F13">
        <w:rPr>
          <w:rFonts w:ascii="Arial" w:hAnsi="Arial" w:cs="Arial"/>
          <w:sz w:val="18"/>
          <w:szCs w:val="18"/>
        </w:rPr>
        <w:t>, nos. 43577/98 and 43579/98, § 147, 6 July 2005, ECHR 2005-VII.</w:t>
      </w:r>
    </w:p>
  </w:footnote>
  <w:footnote w:id="121">
    <w:p w14:paraId="2E1B124C" w14:textId="77777777" w:rsidR="000C68FA" w:rsidRPr="00560F13" w:rsidRDefault="000C68FA" w:rsidP="002218C4">
      <w:pPr>
        <w:pStyle w:val="SingleTxtG"/>
        <w:spacing w:after="0" w:line="200" w:lineRule="exact"/>
        <w:ind w:left="0" w:right="0"/>
        <w:rPr>
          <w:rFonts w:ascii="Arial" w:hAnsi="Arial" w:cs="Arial"/>
          <w:color w:val="FF0000"/>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163" w:history="1">
        <w:r w:rsidRPr="00560F13">
          <w:rPr>
            <w:rStyle w:val="Lienhypertexte"/>
            <w:rFonts w:ascii="Arial" w:hAnsi="Arial" w:cs="Arial"/>
            <w:i/>
            <w:sz w:val="18"/>
            <w:szCs w:val="18"/>
          </w:rPr>
          <w:t>Georgia v. Russia</w:t>
        </w:r>
        <w:r w:rsidRPr="00560F13">
          <w:rPr>
            <w:rStyle w:val="Lienhypertexte"/>
            <w:rFonts w:ascii="Arial" w:hAnsi="Arial" w:cs="Arial"/>
            <w:sz w:val="18"/>
            <w:szCs w:val="18"/>
          </w:rPr>
          <w:t xml:space="preserve"> (I)</w:t>
        </w:r>
      </w:hyperlink>
      <w:r w:rsidRPr="00560F13">
        <w:rPr>
          <w:rFonts w:ascii="Arial" w:hAnsi="Arial" w:cs="Arial"/>
          <w:sz w:val="18"/>
          <w:szCs w:val="18"/>
        </w:rPr>
        <w:t>, quoted above § 94.</w:t>
      </w:r>
    </w:p>
  </w:footnote>
  <w:footnote w:id="122">
    <w:p w14:paraId="5F99A7D4"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164" w:history="1">
        <w:r w:rsidRPr="00560F13">
          <w:rPr>
            <w:rStyle w:val="Lienhypertexte"/>
            <w:rFonts w:ascii="Arial" w:hAnsi="Arial" w:cs="Arial"/>
            <w:i/>
            <w:color w:val="auto"/>
            <w:sz w:val="18"/>
            <w:szCs w:val="18"/>
          </w:rPr>
          <w:t>Ireland v. United Kingdom</w:t>
        </w:r>
      </w:hyperlink>
      <w:r w:rsidRPr="00560F13">
        <w:rPr>
          <w:rFonts w:ascii="Arial" w:hAnsi="Arial" w:cs="Arial"/>
          <w:sz w:val="18"/>
          <w:szCs w:val="18"/>
        </w:rPr>
        <w:t xml:space="preserve">, no. 5310/71, § 210, 18 January 1978; </w:t>
      </w:r>
      <w:hyperlink r:id="rId165" w:anchor="_Toc388884484" w:history="1">
        <w:r w:rsidRPr="00560F13">
          <w:rPr>
            <w:rStyle w:val="Lienhypertexte"/>
            <w:rFonts w:ascii="Arial" w:hAnsi="Arial" w:cs="Arial"/>
            <w:i/>
            <w:color w:val="auto"/>
            <w:sz w:val="18"/>
            <w:szCs w:val="18"/>
          </w:rPr>
          <w:t>Georgia v. Russia</w:t>
        </w:r>
        <w:r w:rsidRPr="00560F13">
          <w:rPr>
            <w:rStyle w:val="Lienhypertexte"/>
            <w:rFonts w:ascii="Arial" w:hAnsi="Arial" w:cs="Arial"/>
            <w:color w:val="auto"/>
            <w:sz w:val="18"/>
            <w:szCs w:val="18"/>
          </w:rPr>
          <w:t xml:space="preserve"> (I)</w:t>
        </w:r>
      </w:hyperlink>
      <w:r w:rsidRPr="00560F13">
        <w:rPr>
          <w:rFonts w:ascii="Arial" w:hAnsi="Arial" w:cs="Arial"/>
          <w:sz w:val="18"/>
          <w:szCs w:val="18"/>
        </w:rPr>
        <w:t>, quoted above, § 138;</w:t>
      </w:r>
      <w:r w:rsidRPr="00560F13">
        <w:rPr>
          <w:rFonts w:ascii="Arial" w:hAnsi="Arial" w:cs="Arial"/>
          <w:sz w:val="18"/>
          <w:szCs w:val="18"/>
          <w:shd w:val="clear" w:color="auto" w:fill="D9D9D9" w:themeFill="background1" w:themeFillShade="D9"/>
        </w:rPr>
        <w:t xml:space="preserve"> </w:t>
      </w:r>
      <w:hyperlink r:id="rId166" w:history="1">
        <w:r w:rsidRPr="00560F13">
          <w:rPr>
            <w:rStyle w:val="Lienhypertexte"/>
            <w:rFonts w:ascii="Arial" w:hAnsi="Arial" w:cs="Arial"/>
            <w:i/>
            <w:iCs/>
            <w:color w:val="auto"/>
            <w:sz w:val="18"/>
            <w:szCs w:val="18"/>
          </w:rPr>
          <w:t>Georgia v. Russia</w:t>
        </w:r>
      </w:hyperlink>
      <w:r w:rsidRPr="00560F13">
        <w:rPr>
          <w:rFonts w:ascii="Arial" w:hAnsi="Arial" w:cs="Arial"/>
          <w:sz w:val="18"/>
          <w:szCs w:val="18"/>
        </w:rPr>
        <w:t xml:space="preserve"> (II) (merits) [GC] no. 38263/08, § 59, 21 January 2021.</w:t>
      </w:r>
    </w:p>
  </w:footnote>
  <w:footnote w:id="123">
    <w:p w14:paraId="24C84F07"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167" w:anchor="_Toc388884484" w:history="1">
        <w:r w:rsidRPr="00560F13">
          <w:rPr>
            <w:rStyle w:val="Lienhypertexte"/>
            <w:rFonts w:ascii="Arial" w:hAnsi="Arial" w:cs="Arial"/>
            <w:i/>
            <w:color w:val="auto"/>
            <w:sz w:val="18"/>
            <w:szCs w:val="18"/>
          </w:rPr>
          <w:t>Georgia v. Russia</w:t>
        </w:r>
        <w:r w:rsidRPr="00560F13">
          <w:rPr>
            <w:rStyle w:val="Lienhypertexte"/>
            <w:rFonts w:ascii="Arial" w:hAnsi="Arial" w:cs="Arial"/>
            <w:color w:val="auto"/>
            <w:sz w:val="18"/>
            <w:szCs w:val="18"/>
          </w:rPr>
          <w:t xml:space="preserve"> (I)</w:t>
        </w:r>
      </w:hyperlink>
      <w:r w:rsidRPr="00560F13">
        <w:rPr>
          <w:rFonts w:ascii="Arial" w:hAnsi="Arial" w:cs="Arial"/>
          <w:sz w:val="18"/>
          <w:szCs w:val="18"/>
        </w:rPr>
        <w:t xml:space="preserve">, quoted above, § 138; </w:t>
      </w:r>
      <w:hyperlink r:id="rId168" w:history="1">
        <w:r w:rsidRPr="00560F13">
          <w:rPr>
            <w:rStyle w:val="Lienhypertexte"/>
            <w:rFonts w:ascii="Arial" w:hAnsi="Arial" w:cs="Arial"/>
            <w:i/>
            <w:iCs/>
            <w:color w:val="auto"/>
            <w:sz w:val="18"/>
            <w:szCs w:val="18"/>
          </w:rPr>
          <w:t>Georgia v. Russia</w:t>
        </w:r>
      </w:hyperlink>
      <w:r w:rsidRPr="00560F13">
        <w:rPr>
          <w:rFonts w:ascii="Arial" w:hAnsi="Arial" w:cs="Arial"/>
          <w:sz w:val="18"/>
          <w:szCs w:val="18"/>
        </w:rPr>
        <w:t xml:space="preserve"> (II) (merits) [GC] no. 38263/08, § 59, 21 January 2021.</w:t>
      </w:r>
    </w:p>
  </w:footnote>
  <w:footnote w:id="124">
    <w:p w14:paraId="338C7F4F"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169" w:anchor="_Toc388884484" w:history="1">
        <w:r w:rsidRPr="00560F13">
          <w:rPr>
            <w:rStyle w:val="Lienhypertexte"/>
            <w:rFonts w:ascii="Arial" w:hAnsi="Arial" w:cs="Arial"/>
            <w:i/>
            <w:color w:val="auto"/>
            <w:sz w:val="18"/>
            <w:szCs w:val="18"/>
          </w:rPr>
          <w:t>Georgia v. Russia</w:t>
        </w:r>
        <w:r w:rsidRPr="00560F13">
          <w:rPr>
            <w:rStyle w:val="Lienhypertexte"/>
            <w:rFonts w:ascii="Arial" w:hAnsi="Arial" w:cs="Arial"/>
            <w:color w:val="auto"/>
            <w:sz w:val="18"/>
            <w:szCs w:val="18"/>
          </w:rPr>
          <w:t xml:space="preserve"> (I)</w:t>
        </w:r>
      </w:hyperlink>
      <w:r w:rsidRPr="00560F13">
        <w:rPr>
          <w:rFonts w:ascii="Arial" w:hAnsi="Arial" w:cs="Arial"/>
          <w:sz w:val="18"/>
          <w:szCs w:val="18"/>
        </w:rPr>
        <w:t xml:space="preserve">, quoted above, § 138; </w:t>
      </w:r>
      <w:hyperlink r:id="rId170" w:history="1">
        <w:r w:rsidRPr="00560F13">
          <w:rPr>
            <w:rStyle w:val="Lienhypertexte"/>
            <w:rFonts w:ascii="Arial" w:hAnsi="Arial" w:cs="Arial"/>
            <w:i/>
            <w:iCs/>
            <w:color w:val="auto"/>
            <w:sz w:val="18"/>
            <w:szCs w:val="18"/>
          </w:rPr>
          <w:t>Georgia v. Russia</w:t>
        </w:r>
      </w:hyperlink>
      <w:r w:rsidRPr="00560F13">
        <w:rPr>
          <w:rFonts w:ascii="Arial" w:hAnsi="Arial" w:cs="Arial"/>
          <w:sz w:val="18"/>
          <w:szCs w:val="18"/>
        </w:rPr>
        <w:t xml:space="preserve"> (II) (merits) [GC] no. 38263/08, § 59, 21 January 2021.</w:t>
      </w:r>
    </w:p>
  </w:footnote>
  <w:footnote w:id="125">
    <w:p w14:paraId="2FFCC348" w14:textId="77777777" w:rsidR="000C68FA" w:rsidRPr="00560F13" w:rsidRDefault="000C68FA" w:rsidP="002218C4">
      <w:pPr>
        <w:pStyle w:val="SingleTxtG"/>
        <w:spacing w:after="0" w:line="200" w:lineRule="exact"/>
        <w:ind w:left="0" w:right="0"/>
        <w:rPr>
          <w:rFonts w:ascii="Arial" w:hAnsi="Arial" w:cs="Arial"/>
          <w:color w:val="FF0000"/>
          <w:sz w:val="18"/>
          <w:szCs w:val="18"/>
          <w:shd w:val="clear" w:color="auto" w:fill="D9D9D9" w:themeFill="background1" w:themeFillShade="D9"/>
        </w:rPr>
      </w:pPr>
      <w:r w:rsidRPr="00560F13">
        <w:rPr>
          <w:rStyle w:val="Appelnotedebasdep"/>
          <w:rFonts w:ascii="Arial" w:hAnsi="Arial" w:cs="Arial"/>
        </w:rPr>
        <w:footnoteRef/>
      </w:r>
      <w:r w:rsidRPr="00560F13">
        <w:rPr>
          <w:rFonts w:ascii="Arial" w:hAnsi="Arial" w:cs="Arial"/>
          <w:sz w:val="18"/>
          <w:szCs w:val="18"/>
        </w:rPr>
        <w:t xml:space="preserve"> </w:t>
      </w:r>
      <w:hyperlink r:id="rId171" w:history="1">
        <w:r w:rsidRPr="00560F13">
          <w:rPr>
            <w:rFonts w:ascii="Arial" w:hAnsi="Arial" w:cs="Arial"/>
            <w:i/>
            <w:iCs/>
            <w:sz w:val="18"/>
            <w:szCs w:val="18"/>
            <w:u w:val="single"/>
          </w:rPr>
          <w:t>Georgia v. Russia</w:t>
        </w:r>
      </w:hyperlink>
      <w:r w:rsidRPr="00560F13">
        <w:rPr>
          <w:rFonts w:ascii="Arial" w:hAnsi="Arial" w:cs="Arial"/>
          <w:sz w:val="18"/>
          <w:szCs w:val="18"/>
          <w:u w:val="single"/>
        </w:rPr>
        <w:t xml:space="preserve"> (II) (merits)</w:t>
      </w:r>
      <w:r w:rsidRPr="00560F13">
        <w:rPr>
          <w:rFonts w:ascii="Arial" w:hAnsi="Arial" w:cs="Arial"/>
          <w:sz w:val="18"/>
          <w:szCs w:val="18"/>
        </w:rPr>
        <w:t xml:space="preserve"> no. 38263/08, § 74, 21 January 2021.</w:t>
      </w:r>
    </w:p>
  </w:footnote>
  <w:footnote w:id="126">
    <w:p w14:paraId="0EDC62DF"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172"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 [GC]</w:t>
      </w:r>
      <w:r w:rsidRPr="00560F13">
        <w:rPr>
          <w:rFonts w:ascii="Arial" w:hAnsi="Arial" w:cs="Arial"/>
          <w:sz w:val="18"/>
          <w:szCs w:val="18"/>
        </w:rPr>
        <w:t>, nos. 20958/14 and 38334/18 § 257, 16 December 2020.</w:t>
      </w:r>
    </w:p>
  </w:footnote>
  <w:footnote w:id="127">
    <w:p w14:paraId="37C9C3F4" w14:textId="77777777" w:rsidR="000C68FA" w:rsidRPr="00560F13" w:rsidRDefault="000C68FA" w:rsidP="002218C4">
      <w:pPr>
        <w:pStyle w:val="SingleTxtG"/>
        <w:spacing w:after="0" w:line="200" w:lineRule="exact"/>
        <w:ind w:left="0" w:right="0"/>
        <w:rPr>
          <w:rFonts w:ascii="Arial" w:hAnsi="Arial" w:cs="Arial"/>
          <w:sz w:val="18"/>
          <w:szCs w:val="18"/>
          <w:shd w:val="clear" w:color="auto" w:fill="D9D9D9" w:themeFill="background1" w:themeFillShade="D9"/>
        </w:rPr>
      </w:pPr>
      <w:r w:rsidRPr="00560F13">
        <w:rPr>
          <w:rStyle w:val="Appelnotedebasdep"/>
          <w:rFonts w:ascii="Arial" w:hAnsi="Arial" w:cs="Arial"/>
        </w:rPr>
        <w:footnoteRef/>
      </w:r>
      <w:r w:rsidRPr="00560F13">
        <w:rPr>
          <w:rFonts w:ascii="Arial" w:hAnsi="Arial" w:cs="Arial"/>
          <w:sz w:val="18"/>
          <w:szCs w:val="18"/>
        </w:rPr>
        <w:t xml:space="preserve"> </w:t>
      </w:r>
      <w:hyperlink r:id="rId173" w:anchor="_Toc388884484" w:history="1">
        <w:r w:rsidRPr="00560F13">
          <w:rPr>
            <w:rStyle w:val="Lienhypertexte"/>
            <w:rFonts w:ascii="Arial" w:hAnsi="Arial" w:cs="Arial"/>
            <w:i/>
            <w:sz w:val="18"/>
            <w:szCs w:val="18"/>
          </w:rPr>
          <w:t>Georgia v. Russia</w:t>
        </w:r>
        <w:r w:rsidRPr="00560F13">
          <w:rPr>
            <w:rStyle w:val="Lienhypertexte"/>
            <w:rFonts w:ascii="Arial" w:hAnsi="Arial" w:cs="Arial"/>
            <w:sz w:val="18"/>
            <w:szCs w:val="18"/>
          </w:rPr>
          <w:t xml:space="preserve"> (I)</w:t>
        </w:r>
      </w:hyperlink>
      <w:r w:rsidRPr="00560F13">
        <w:rPr>
          <w:rFonts w:ascii="Arial" w:hAnsi="Arial" w:cs="Arial"/>
          <w:sz w:val="18"/>
          <w:szCs w:val="18"/>
        </w:rPr>
        <w:t xml:space="preserve">, quoted above, §§ 83-84. </w:t>
      </w:r>
      <w:hyperlink r:id="rId174" w:history="1">
        <w:r w:rsidRPr="00560F13">
          <w:rPr>
            <w:rFonts w:ascii="Arial" w:hAnsi="Arial" w:cs="Arial"/>
            <w:i/>
            <w:iCs/>
            <w:sz w:val="18"/>
            <w:szCs w:val="18"/>
          </w:rPr>
          <w:t>Georgia v. Russia</w:t>
        </w:r>
      </w:hyperlink>
      <w:r w:rsidRPr="00560F13">
        <w:rPr>
          <w:rFonts w:ascii="Arial" w:hAnsi="Arial" w:cs="Arial"/>
          <w:sz w:val="18"/>
          <w:szCs w:val="18"/>
        </w:rPr>
        <w:t xml:space="preserve"> (II) (merits) no. 38263/08, §§ 63-66, 21 January 2021.</w:t>
      </w:r>
    </w:p>
  </w:footnote>
  <w:footnote w:id="128">
    <w:p w14:paraId="526F314B"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Philip Leach, Costas Paraskeva, Gordana Uzelac, International Human Rights and Fact-Finding; An Analysis of the fact-finding missions conducted by the European Commission and the European Court of Human Rights,  Human Rights and Social Justice, Research Institute, February 2009, pg 13. </w:t>
      </w:r>
    </w:p>
  </w:footnote>
  <w:footnote w:id="129">
    <w:p w14:paraId="0EC2F94B"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175" w:history="1">
        <w:r w:rsidRPr="00560F13">
          <w:rPr>
            <w:rStyle w:val="Lienhypertexte"/>
            <w:rFonts w:ascii="Arial" w:hAnsi="Arial" w:cs="Arial"/>
            <w:i/>
            <w:color w:val="auto"/>
            <w:sz w:val="18"/>
            <w:szCs w:val="18"/>
          </w:rPr>
          <w:t>Georgia v. Russia</w:t>
        </w:r>
        <w:r w:rsidRPr="00560F13">
          <w:rPr>
            <w:rStyle w:val="Lienhypertexte"/>
            <w:rFonts w:ascii="Arial" w:hAnsi="Arial" w:cs="Arial"/>
            <w:color w:val="auto"/>
            <w:sz w:val="18"/>
            <w:szCs w:val="18"/>
          </w:rPr>
          <w:t xml:space="preserve"> (I)</w:t>
        </w:r>
      </w:hyperlink>
      <w:r w:rsidRPr="00560F13">
        <w:rPr>
          <w:rFonts w:ascii="Arial" w:hAnsi="Arial" w:cs="Arial"/>
          <w:sz w:val="18"/>
          <w:szCs w:val="18"/>
        </w:rPr>
        <w:t xml:space="preserve">, quoted above, § 59; </w:t>
      </w:r>
      <w:hyperlink r:id="rId176" w:history="1">
        <w:r w:rsidRPr="00560F13">
          <w:rPr>
            <w:rFonts w:ascii="Arial" w:hAnsi="Arial" w:cs="Arial"/>
            <w:i/>
            <w:iCs/>
            <w:sz w:val="18"/>
            <w:szCs w:val="18"/>
          </w:rPr>
          <w:t>Georgia v. Russia</w:t>
        </w:r>
      </w:hyperlink>
      <w:r w:rsidRPr="00560F13">
        <w:rPr>
          <w:rFonts w:ascii="Arial" w:hAnsi="Arial" w:cs="Arial"/>
          <w:sz w:val="18"/>
          <w:szCs w:val="18"/>
        </w:rPr>
        <w:t xml:space="preserve"> (II) (merits) [GC] no. 38263/08, § 341, 21 January 2021.</w:t>
      </w:r>
    </w:p>
  </w:footnote>
  <w:footnote w:id="130">
    <w:p w14:paraId="68E26D10" w14:textId="77777777" w:rsidR="000C68FA" w:rsidRPr="00560F13" w:rsidRDefault="000C68FA" w:rsidP="002218C4">
      <w:pPr>
        <w:pStyle w:val="SingleTxtG"/>
        <w:spacing w:after="0" w:line="200" w:lineRule="exact"/>
        <w:ind w:left="0" w:right="0"/>
        <w:rPr>
          <w:rFonts w:ascii="Arial" w:hAnsi="Arial" w:cs="Arial"/>
          <w:sz w:val="18"/>
          <w:szCs w:val="18"/>
          <w:lang w:val="en-US"/>
        </w:rPr>
      </w:pPr>
      <w:r w:rsidRPr="00560F13">
        <w:rPr>
          <w:rStyle w:val="Appelnotedebasdep"/>
          <w:rFonts w:ascii="Arial" w:hAnsi="Arial" w:cs="Arial"/>
        </w:rPr>
        <w:footnoteRef/>
      </w:r>
      <w:r w:rsidRPr="00560F13">
        <w:rPr>
          <w:rFonts w:ascii="Arial" w:hAnsi="Arial" w:cs="Arial"/>
          <w:sz w:val="18"/>
          <w:szCs w:val="18"/>
        </w:rPr>
        <w:t xml:space="preserve"> </w:t>
      </w:r>
      <w:hyperlink r:id="rId177" w:history="1">
        <w:r w:rsidRPr="00560F13">
          <w:rPr>
            <w:rStyle w:val="Lienhypertexte"/>
            <w:rFonts w:ascii="Arial" w:hAnsi="Arial" w:cs="Arial"/>
            <w:i/>
            <w:iCs/>
            <w:sz w:val="18"/>
            <w:szCs w:val="18"/>
          </w:rPr>
          <w:t>Bazorkina v. Russia</w:t>
        </w:r>
      </w:hyperlink>
      <w:r w:rsidRPr="00560F13">
        <w:rPr>
          <w:rFonts w:ascii="Arial" w:hAnsi="Arial" w:cs="Arial"/>
          <w:sz w:val="18"/>
          <w:szCs w:val="18"/>
        </w:rPr>
        <w:t xml:space="preserve">, no. </w:t>
      </w:r>
      <w:r w:rsidRPr="00560F13">
        <w:rPr>
          <w:rFonts w:ascii="Arial" w:hAnsi="Arial" w:cs="Arial"/>
          <w:sz w:val="18"/>
          <w:szCs w:val="18"/>
          <w:lang w:val="en-US"/>
        </w:rPr>
        <w:t xml:space="preserve">69481/01, </w:t>
      </w:r>
      <w:r w:rsidRPr="00560F13">
        <w:rPr>
          <w:rFonts w:ascii="Arial" w:hAnsi="Arial" w:cs="Arial"/>
          <w:sz w:val="18"/>
          <w:szCs w:val="18"/>
        </w:rPr>
        <w:t xml:space="preserve">§ 170, 27 July 2006; </w:t>
      </w:r>
      <w:hyperlink r:id="rId178" w:history="1">
        <w:r w:rsidRPr="00560F13">
          <w:rPr>
            <w:rStyle w:val="Lienhypertexte"/>
            <w:rFonts w:ascii="Arial" w:hAnsi="Arial" w:cs="Arial"/>
            <w:i/>
            <w:iCs/>
            <w:sz w:val="18"/>
            <w:szCs w:val="18"/>
          </w:rPr>
          <w:t>Tahsin Acar v. Turkey</w:t>
        </w:r>
      </w:hyperlink>
      <w:r w:rsidRPr="00560F13">
        <w:rPr>
          <w:rFonts w:ascii="Arial" w:hAnsi="Arial" w:cs="Arial"/>
          <w:i/>
          <w:iCs/>
          <w:sz w:val="18"/>
          <w:szCs w:val="18"/>
        </w:rPr>
        <w:t xml:space="preserve"> </w:t>
      </w:r>
      <w:r w:rsidRPr="00560F13">
        <w:rPr>
          <w:rFonts w:ascii="Arial" w:hAnsi="Arial" w:cs="Arial"/>
          <w:sz w:val="18"/>
          <w:szCs w:val="18"/>
        </w:rPr>
        <w:t xml:space="preserve">[GC], no. </w:t>
      </w:r>
      <w:r w:rsidRPr="00560F13">
        <w:rPr>
          <w:rFonts w:ascii="Arial" w:hAnsi="Arial" w:cs="Arial"/>
          <w:sz w:val="18"/>
          <w:szCs w:val="18"/>
          <w:lang w:val="en-US"/>
        </w:rPr>
        <w:t xml:space="preserve">26307/95, </w:t>
      </w:r>
      <w:r w:rsidRPr="00560F13">
        <w:rPr>
          <w:rFonts w:ascii="Arial" w:hAnsi="Arial" w:cs="Arial"/>
          <w:sz w:val="18"/>
          <w:szCs w:val="18"/>
        </w:rPr>
        <w:t xml:space="preserve">§ 253, 8 April 2004; </w:t>
      </w:r>
      <w:hyperlink r:id="rId179" w:history="1">
        <w:r w:rsidRPr="00560F13">
          <w:rPr>
            <w:rStyle w:val="Lienhypertexte"/>
            <w:rFonts w:ascii="Arial" w:hAnsi="Arial" w:cs="Arial"/>
            <w:i/>
            <w:iCs/>
            <w:sz w:val="18"/>
            <w:szCs w:val="18"/>
          </w:rPr>
          <w:t>Janowiec and Others v. Russia</w:t>
        </w:r>
      </w:hyperlink>
      <w:r w:rsidRPr="00560F13">
        <w:rPr>
          <w:rFonts w:ascii="Arial" w:hAnsi="Arial" w:cs="Arial"/>
          <w:i/>
          <w:iCs/>
          <w:sz w:val="18"/>
          <w:szCs w:val="18"/>
        </w:rPr>
        <w:t xml:space="preserve"> </w:t>
      </w:r>
      <w:r w:rsidRPr="00560F13">
        <w:rPr>
          <w:rFonts w:ascii="Arial" w:hAnsi="Arial" w:cs="Arial"/>
          <w:sz w:val="18"/>
          <w:szCs w:val="18"/>
        </w:rPr>
        <w:t xml:space="preserve">[GC], nos. 55508/07 and 29520/09, § 202; </w:t>
      </w:r>
      <w:hyperlink r:id="rId180" w:history="1">
        <w:r w:rsidRPr="00560F13">
          <w:rPr>
            <w:rStyle w:val="Lienhypertexte"/>
            <w:rFonts w:ascii="Arial" w:hAnsi="Arial" w:cs="Arial"/>
            <w:i/>
            <w:color w:val="auto"/>
            <w:sz w:val="18"/>
            <w:szCs w:val="18"/>
          </w:rPr>
          <w:t>Georgia v. Russia</w:t>
        </w:r>
        <w:r w:rsidRPr="00560F13">
          <w:rPr>
            <w:rStyle w:val="Lienhypertexte"/>
            <w:rFonts w:ascii="Arial" w:hAnsi="Arial" w:cs="Arial"/>
            <w:color w:val="auto"/>
            <w:sz w:val="18"/>
            <w:szCs w:val="18"/>
          </w:rPr>
          <w:t xml:space="preserve"> (I)</w:t>
        </w:r>
      </w:hyperlink>
      <w:r w:rsidRPr="00560F13">
        <w:rPr>
          <w:rFonts w:ascii="Arial" w:hAnsi="Arial" w:cs="Arial"/>
          <w:sz w:val="18"/>
          <w:szCs w:val="18"/>
        </w:rPr>
        <w:t>, quoted above, § 99.</w:t>
      </w:r>
    </w:p>
  </w:footnote>
  <w:footnote w:id="131">
    <w:p w14:paraId="517EEF34"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181" w:history="1">
        <w:r w:rsidRPr="00560F13">
          <w:rPr>
            <w:rStyle w:val="Lienhypertexte"/>
            <w:rFonts w:ascii="Arial" w:hAnsi="Arial" w:cs="Arial"/>
            <w:i/>
            <w:iCs/>
            <w:sz w:val="18"/>
            <w:szCs w:val="18"/>
          </w:rPr>
          <w:t>Janowiec and Others v. Russia</w:t>
        </w:r>
      </w:hyperlink>
      <w:r w:rsidRPr="00560F13">
        <w:rPr>
          <w:rFonts w:ascii="Arial" w:hAnsi="Arial" w:cs="Arial"/>
          <w:i/>
          <w:iCs/>
          <w:sz w:val="18"/>
          <w:szCs w:val="18"/>
        </w:rPr>
        <w:t xml:space="preserve"> </w:t>
      </w:r>
      <w:r w:rsidRPr="00560F13">
        <w:rPr>
          <w:rFonts w:ascii="Arial" w:hAnsi="Arial" w:cs="Arial"/>
          <w:sz w:val="18"/>
          <w:szCs w:val="18"/>
        </w:rPr>
        <w:t>[GC], nos. 55508/07 and 29520/09, § 209.</w:t>
      </w:r>
    </w:p>
  </w:footnote>
  <w:footnote w:id="132">
    <w:p w14:paraId="0DAB896B"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182" w:history="1">
        <w:r w:rsidRPr="00560F13">
          <w:rPr>
            <w:rStyle w:val="Lienhypertexte"/>
            <w:rFonts w:ascii="Arial" w:hAnsi="Arial" w:cs="Arial"/>
            <w:i/>
            <w:iCs/>
            <w:sz w:val="18"/>
            <w:szCs w:val="18"/>
          </w:rPr>
          <w:t>Janowiec and Others v. Russia</w:t>
        </w:r>
      </w:hyperlink>
      <w:r w:rsidRPr="00560F13">
        <w:rPr>
          <w:rFonts w:ascii="Arial" w:hAnsi="Arial" w:cs="Arial"/>
          <w:i/>
          <w:iCs/>
          <w:sz w:val="18"/>
          <w:szCs w:val="18"/>
        </w:rPr>
        <w:t xml:space="preserve"> </w:t>
      </w:r>
      <w:r w:rsidRPr="00560F13">
        <w:rPr>
          <w:rFonts w:ascii="Arial" w:hAnsi="Arial" w:cs="Arial"/>
          <w:sz w:val="18"/>
          <w:szCs w:val="18"/>
        </w:rPr>
        <w:t>[GC], nos. 55508/07 and 29520/09, § 209.</w:t>
      </w:r>
    </w:p>
  </w:footnote>
  <w:footnote w:id="133">
    <w:p w14:paraId="08C37417"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183" w:history="1">
        <w:r w:rsidRPr="00560F13">
          <w:rPr>
            <w:rStyle w:val="Lienhypertexte"/>
            <w:rFonts w:ascii="Arial" w:hAnsi="Arial" w:cs="Arial"/>
            <w:i/>
            <w:iCs/>
            <w:sz w:val="18"/>
            <w:szCs w:val="18"/>
          </w:rPr>
          <w:t>Janowiec and Others v. Russia</w:t>
        </w:r>
      </w:hyperlink>
      <w:r w:rsidRPr="00560F13">
        <w:rPr>
          <w:rFonts w:ascii="Arial" w:hAnsi="Arial" w:cs="Arial"/>
          <w:i/>
          <w:iCs/>
          <w:sz w:val="18"/>
          <w:szCs w:val="18"/>
        </w:rPr>
        <w:t xml:space="preserve"> </w:t>
      </w:r>
      <w:r w:rsidRPr="00560F13">
        <w:rPr>
          <w:rFonts w:ascii="Arial" w:hAnsi="Arial" w:cs="Arial"/>
          <w:sz w:val="18"/>
          <w:szCs w:val="18"/>
        </w:rPr>
        <w:t>[GC], nos. 55508/07 and 29520/09, § 209.</w:t>
      </w:r>
    </w:p>
  </w:footnote>
  <w:footnote w:id="134">
    <w:p w14:paraId="4D493BE5"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184" w:history="1">
        <w:r w:rsidRPr="00560F13">
          <w:rPr>
            <w:rStyle w:val="Lienhypertexte"/>
            <w:rFonts w:ascii="Arial" w:hAnsi="Arial" w:cs="Arial"/>
            <w:i/>
            <w:iCs/>
            <w:sz w:val="18"/>
            <w:szCs w:val="18"/>
          </w:rPr>
          <w:t>Janowiec and Others v. Russia</w:t>
        </w:r>
      </w:hyperlink>
      <w:r w:rsidRPr="00560F13">
        <w:rPr>
          <w:rFonts w:ascii="Arial" w:hAnsi="Arial" w:cs="Arial"/>
          <w:i/>
          <w:iCs/>
          <w:sz w:val="18"/>
          <w:szCs w:val="18"/>
        </w:rPr>
        <w:t xml:space="preserve"> </w:t>
      </w:r>
      <w:r w:rsidRPr="00560F13">
        <w:rPr>
          <w:rFonts w:ascii="Arial" w:hAnsi="Arial" w:cs="Arial"/>
          <w:sz w:val="18"/>
          <w:szCs w:val="18"/>
        </w:rPr>
        <w:t>[GC], quoted above. § 209.</w:t>
      </w:r>
    </w:p>
  </w:footnote>
  <w:footnote w:id="135">
    <w:p w14:paraId="0D8B9A1C" w14:textId="77777777" w:rsidR="000C68FA" w:rsidRPr="00560F13" w:rsidRDefault="000C68FA" w:rsidP="002218C4">
      <w:pPr>
        <w:pStyle w:val="SingleTxtG"/>
        <w:spacing w:after="0" w:line="200" w:lineRule="exact"/>
        <w:ind w:left="0" w:right="0"/>
        <w:rPr>
          <w:rFonts w:ascii="Arial" w:hAnsi="Arial" w:cs="Arial"/>
          <w:sz w:val="18"/>
          <w:szCs w:val="18"/>
          <w:lang w:val="en-US"/>
        </w:rPr>
      </w:pPr>
      <w:r w:rsidRPr="00560F13">
        <w:rPr>
          <w:rStyle w:val="Appelnotedebasdep"/>
          <w:rFonts w:ascii="Arial" w:hAnsi="Arial" w:cs="Arial"/>
        </w:rPr>
        <w:footnoteRef/>
      </w:r>
      <w:r w:rsidRPr="00560F13">
        <w:rPr>
          <w:rFonts w:ascii="Arial" w:hAnsi="Arial" w:cs="Arial"/>
          <w:sz w:val="18"/>
          <w:szCs w:val="18"/>
        </w:rPr>
        <w:t xml:space="preserve"> </w:t>
      </w:r>
      <w:hyperlink r:id="rId185" w:history="1">
        <w:r w:rsidRPr="00560F13">
          <w:rPr>
            <w:rStyle w:val="Lienhypertexte"/>
            <w:rFonts w:ascii="Arial" w:hAnsi="Arial" w:cs="Arial"/>
            <w:i/>
            <w:iCs/>
            <w:sz w:val="18"/>
            <w:szCs w:val="18"/>
          </w:rPr>
          <w:t>Janowiec and Others v. Russia</w:t>
        </w:r>
      </w:hyperlink>
      <w:r w:rsidRPr="00560F13">
        <w:rPr>
          <w:rFonts w:ascii="Arial" w:hAnsi="Arial" w:cs="Arial"/>
          <w:i/>
          <w:iCs/>
          <w:sz w:val="18"/>
          <w:szCs w:val="18"/>
        </w:rPr>
        <w:t xml:space="preserve"> </w:t>
      </w:r>
      <w:r w:rsidRPr="00560F13">
        <w:rPr>
          <w:rFonts w:ascii="Arial" w:hAnsi="Arial" w:cs="Arial"/>
          <w:sz w:val="18"/>
          <w:szCs w:val="18"/>
        </w:rPr>
        <w:t xml:space="preserve">[GC], quoted above § 203; </w:t>
      </w:r>
      <w:hyperlink r:id="rId186" w:history="1">
        <w:r w:rsidRPr="00560F13">
          <w:rPr>
            <w:rStyle w:val="Lienhypertexte"/>
            <w:rFonts w:ascii="Arial" w:hAnsi="Arial" w:cs="Arial"/>
            <w:i/>
            <w:iCs/>
            <w:sz w:val="18"/>
            <w:szCs w:val="18"/>
          </w:rPr>
          <w:t>Enukidze and Girgvliani v. Georgia</w:t>
        </w:r>
      </w:hyperlink>
      <w:r w:rsidRPr="00560F13">
        <w:rPr>
          <w:rFonts w:ascii="Arial" w:hAnsi="Arial" w:cs="Arial"/>
          <w:sz w:val="18"/>
          <w:szCs w:val="18"/>
        </w:rPr>
        <w:t xml:space="preserve">, no. </w:t>
      </w:r>
      <w:r w:rsidRPr="00560F13">
        <w:rPr>
          <w:rFonts w:ascii="Arial" w:hAnsi="Arial" w:cs="Arial"/>
          <w:sz w:val="18"/>
          <w:szCs w:val="18"/>
          <w:lang w:val="en-US"/>
        </w:rPr>
        <w:t xml:space="preserve">25091/07, </w:t>
      </w:r>
      <w:r w:rsidRPr="00560F13">
        <w:rPr>
          <w:rFonts w:ascii="Arial" w:hAnsi="Arial" w:cs="Arial"/>
          <w:sz w:val="18"/>
          <w:szCs w:val="18"/>
        </w:rPr>
        <w:t xml:space="preserve">§ 295, </w:t>
      </w:r>
      <w:r w:rsidRPr="00560F13">
        <w:rPr>
          <w:rFonts w:ascii="Arial" w:hAnsi="Arial" w:cs="Arial"/>
          <w:sz w:val="18"/>
          <w:szCs w:val="18"/>
          <w:lang w:val="en-US"/>
        </w:rPr>
        <w:t>26 April 2011</w:t>
      </w:r>
      <w:r w:rsidRPr="00560F13">
        <w:rPr>
          <w:rFonts w:ascii="Arial" w:hAnsi="Arial" w:cs="Arial"/>
          <w:sz w:val="18"/>
          <w:szCs w:val="18"/>
        </w:rPr>
        <w:t xml:space="preserve">; </w:t>
      </w:r>
      <w:hyperlink r:id="rId187" w:history="1">
        <w:r w:rsidRPr="00560F13">
          <w:rPr>
            <w:rStyle w:val="Lienhypertexte"/>
            <w:rFonts w:ascii="Arial" w:hAnsi="Arial" w:cs="Arial"/>
            <w:i/>
            <w:iCs/>
            <w:sz w:val="18"/>
            <w:szCs w:val="18"/>
          </w:rPr>
          <w:t>Bekirski v. Bulgaria</w:t>
        </w:r>
      </w:hyperlink>
      <w:r w:rsidRPr="00560F13">
        <w:rPr>
          <w:rFonts w:ascii="Arial" w:hAnsi="Arial" w:cs="Arial"/>
          <w:sz w:val="18"/>
          <w:szCs w:val="18"/>
        </w:rPr>
        <w:t xml:space="preserve">, no. </w:t>
      </w:r>
      <w:r w:rsidRPr="00560F13">
        <w:rPr>
          <w:rFonts w:ascii="Arial" w:hAnsi="Arial" w:cs="Arial"/>
          <w:sz w:val="18"/>
          <w:szCs w:val="18"/>
          <w:lang w:val="en-US"/>
        </w:rPr>
        <w:t xml:space="preserve">71420/01, </w:t>
      </w:r>
      <w:r w:rsidRPr="00560F13">
        <w:rPr>
          <w:rFonts w:ascii="Arial" w:hAnsi="Arial" w:cs="Arial"/>
          <w:sz w:val="18"/>
          <w:szCs w:val="18"/>
        </w:rPr>
        <w:t xml:space="preserve">§§ 111-13, </w:t>
      </w:r>
      <w:r w:rsidRPr="00560F13">
        <w:rPr>
          <w:rFonts w:ascii="Arial" w:hAnsi="Arial" w:cs="Arial"/>
          <w:sz w:val="18"/>
          <w:szCs w:val="18"/>
          <w:lang w:val="en-US"/>
        </w:rPr>
        <w:t>2 September 2010.</w:t>
      </w:r>
    </w:p>
  </w:footnote>
  <w:footnote w:id="136">
    <w:p w14:paraId="3FA3D673"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188" w:history="1">
        <w:r w:rsidRPr="00560F13">
          <w:rPr>
            <w:rStyle w:val="Lienhypertexte"/>
            <w:rFonts w:ascii="Arial" w:hAnsi="Arial" w:cs="Arial"/>
            <w:i/>
            <w:iCs/>
            <w:sz w:val="18"/>
            <w:szCs w:val="18"/>
          </w:rPr>
          <w:t>Janowiec and Others v. Russia</w:t>
        </w:r>
      </w:hyperlink>
      <w:r w:rsidRPr="00560F13">
        <w:rPr>
          <w:rFonts w:ascii="Arial" w:hAnsi="Arial" w:cs="Arial"/>
          <w:i/>
          <w:iCs/>
          <w:sz w:val="18"/>
          <w:szCs w:val="18"/>
        </w:rPr>
        <w:t xml:space="preserve"> </w:t>
      </w:r>
      <w:r w:rsidRPr="00560F13">
        <w:rPr>
          <w:rFonts w:ascii="Arial" w:hAnsi="Arial" w:cs="Arial"/>
          <w:sz w:val="18"/>
          <w:szCs w:val="18"/>
        </w:rPr>
        <w:t xml:space="preserve">[GC], quoted above, § 203. </w:t>
      </w:r>
    </w:p>
  </w:footnote>
  <w:footnote w:id="137">
    <w:p w14:paraId="0B66CF0D"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189" w:history="1">
        <w:r w:rsidRPr="00560F13">
          <w:rPr>
            <w:rStyle w:val="Lienhypertexte"/>
            <w:rFonts w:ascii="Arial" w:hAnsi="Arial" w:cs="Arial"/>
            <w:i/>
            <w:iCs/>
            <w:sz w:val="18"/>
            <w:szCs w:val="18"/>
          </w:rPr>
          <w:t>Janowiec and Others v. Russia</w:t>
        </w:r>
      </w:hyperlink>
      <w:r w:rsidRPr="00560F13">
        <w:rPr>
          <w:rFonts w:ascii="Arial" w:hAnsi="Arial" w:cs="Arial"/>
          <w:i/>
          <w:iCs/>
          <w:sz w:val="18"/>
          <w:szCs w:val="18"/>
        </w:rPr>
        <w:t xml:space="preserve"> </w:t>
      </w:r>
      <w:r w:rsidRPr="00560F13">
        <w:rPr>
          <w:rFonts w:ascii="Arial" w:hAnsi="Arial" w:cs="Arial"/>
          <w:sz w:val="18"/>
          <w:szCs w:val="18"/>
        </w:rPr>
        <w:t>[GC], quoted above, § 203</w:t>
      </w:r>
      <w:r>
        <w:rPr>
          <w:rFonts w:ascii="Arial" w:hAnsi="Arial" w:cs="Arial"/>
          <w:sz w:val="18"/>
          <w:szCs w:val="18"/>
        </w:rPr>
        <w:t>.</w:t>
      </w:r>
    </w:p>
  </w:footnote>
  <w:footnote w:id="138">
    <w:p w14:paraId="0221CDF7"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for example case of </w:t>
      </w:r>
      <w:hyperlink r:id="rId190" w:history="1">
        <w:r w:rsidRPr="00560F13">
          <w:rPr>
            <w:rStyle w:val="Lienhypertexte"/>
            <w:rFonts w:ascii="Arial" w:hAnsi="Arial" w:cs="Arial"/>
            <w:i/>
            <w:sz w:val="18"/>
            <w:szCs w:val="18"/>
          </w:rPr>
          <w:t>Musayev and others v. Russia</w:t>
        </w:r>
      </w:hyperlink>
      <w:r w:rsidRPr="00560F13">
        <w:rPr>
          <w:rFonts w:ascii="Arial" w:hAnsi="Arial" w:cs="Arial"/>
          <w:sz w:val="18"/>
          <w:szCs w:val="18"/>
        </w:rPr>
        <w:t>, nos. 57941/00, 58699/00 and 60403/00, §183, 26 July 2007.</w:t>
      </w:r>
    </w:p>
  </w:footnote>
  <w:footnote w:id="139">
    <w:p w14:paraId="65E71E99"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191" w:anchor="_Toc388884484" w:history="1">
        <w:r w:rsidRPr="00560F13">
          <w:rPr>
            <w:rStyle w:val="Lienhypertexte"/>
            <w:rFonts w:ascii="Arial" w:hAnsi="Arial" w:cs="Arial"/>
            <w:i/>
            <w:sz w:val="18"/>
            <w:szCs w:val="18"/>
          </w:rPr>
          <w:t>Georgia v. Russia</w:t>
        </w:r>
        <w:r w:rsidRPr="00560F13">
          <w:rPr>
            <w:rStyle w:val="Lienhypertexte"/>
            <w:rFonts w:ascii="Arial" w:hAnsi="Arial" w:cs="Arial"/>
            <w:sz w:val="18"/>
            <w:szCs w:val="18"/>
          </w:rPr>
          <w:t xml:space="preserve"> (I)</w:t>
        </w:r>
      </w:hyperlink>
      <w:r w:rsidRPr="00560F13">
        <w:rPr>
          <w:rFonts w:ascii="Arial" w:hAnsi="Arial" w:cs="Arial"/>
          <w:sz w:val="18"/>
          <w:szCs w:val="18"/>
        </w:rPr>
        <w:t>, quoted above § 104</w:t>
      </w:r>
    </w:p>
  </w:footnote>
  <w:footnote w:id="140">
    <w:p w14:paraId="6E8DB151" w14:textId="77777777" w:rsidR="000C68FA" w:rsidRPr="00560F13" w:rsidRDefault="000C68FA" w:rsidP="002218C4">
      <w:pPr>
        <w:pStyle w:val="SingleTxtG"/>
        <w:spacing w:after="0" w:line="200" w:lineRule="exact"/>
        <w:ind w:left="0" w:right="0"/>
        <w:rPr>
          <w:rFonts w:ascii="Arial" w:hAnsi="Arial" w:cs="Arial"/>
          <w:sz w:val="18"/>
          <w:szCs w:val="18"/>
          <w:lang w:val="en-US"/>
        </w:rPr>
      </w:pPr>
      <w:r w:rsidRPr="00560F13">
        <w:rPr>
          <w:rStyle w:val="Appelnotedebasdep"/>
          <w:rFonts w:ascii="Arial" w:hAnsi="Arial" w:cs="Arial"/>
        </w:rPr>
        <w:footnoteRef/>
      </w:r>
      <w:r w:rsidRPr="00560F13">
        <w:rPr>
          <w:rFonts w:ascii="Arial" w:hAnsi="Arial" w:cs="Arial"/>
          <w:sz w:val="18"/>
          <w:szCs w:val="18"/>
        </w:rPr>
        <w:t xml:space="preserve"> </w:t>
      </w:r>
      <w:hyperlink r:id="rId192" w:history="1">
        <w:r w:rsidRPr="00560F13">
          <w:rPr>
            <w:rStyle w:val="Lienhypertexte"/>
            <w:rFonts w:ascii="Arial" w:hAnsi="Arial" w:cs="Arial"/>
            <w:i/>
            <w:color w:val="auto"/>
            <w:sz w:val="18"/>
            <w:szCs w:val="18"/>
          </w:rPr>
          <w:t>Timurtaş v. Turkey</w:t>
        </w:r>
      </w:hyperlink>
      <w:r w:rsidRPr="00560F13">
        <w:rPr>
          <w:rFonts w:ascii="Arial" w:hAnsi="Arial" w:cs="Arial"/>
          <w:sz w:val="18"/>
          <w:szCs w:val="18"/>
        </w:rPr>
        <w:t xml:space="preserve">, no. 23531/94, §§ 66 and 70. </w:t>
      </w:r>
      <w:hyperlink r:id="rId193" w:history="1">
        <w:r w:rsidRPr="00560F13">
          <w:rPr>
            <w:rStyle w:val="Lienhypertexte"/>
            <w:rFonts w:ascii="Arial" w:hAnsi="Arial" w:cs="Arial"/>
            <w:i/>
            <w:iCs/>
            <w:sz w:val="18"/>
            <w:szCs w:val="18"/>
          </w:rPr>
          <w:t>Tahsin Acar v. Turkey</w:t>
        </w:r>
      </w:hyperlink>
      <w:r w:rsidRPr="00560F13">
        <w:rPr>
          <w:rFonts w:ascii="Arial" w:hAnsi="Arial" w:cs="Arial"/>
          <w:i/>
          <w:iCs/>
          <w:sz w:val="18"/>
          <w:szCs w:val="18"/>
        </w:rPr>
        <w:t xml:space="preserve"> </w:t>
      </w:r>
      <w:r w:rsidRPr="00560F13">
        <w:rPr>
          <w:rFonts w:ascii="Arial" w:hAnsi="Arial" w:cs="Arial"/>
          <w:sz w:val="18"/>
          <w:szCs w:val="18"/>
        </w:rPr>
        <w:t xml:space="preserve">[GC], ibid., § 254; </w:t>
      </w:r>
      <w:hyperlink r:id="rId194" w:history="1">
        <w:r w:rsidRPr="00560F13">
          <w:rPr>
            <w:rStyle w:val="Lienhypertexte"/>
            <w:rFonts w:ascii="Arial" w:hAnsi="Arial" w:cs="Arial"/>
            <w:i/>
            <w:iCs/>
            <w:sz w:val="18"/>
            <w:szCs w:val="18"/>
          </w:rPr>
          <w:t>Imakayeva v. Russia</w:t>
        </w:r>
      </w:hyperlink>
      <w:r w:rsidRPr="00560F13">
        <w:rPr>
          <w:rFonts w:ascii="Arial" w:hAnsi="Arial" w:cs="Arial"/>
          <w:sz w:val="18"/>
          <w:szCs w:val="18"/>
        </w:rPr>
        <w:t xml:space="preserve">, no. </w:t>
      </w:r>
      <w:r w:rsidRPr="00560F13">
        <w:rPr>
          <w:rFonts w:ascii="Arial" w:hAnsi="Arial" w:cs="Arial"/>
          <w:sz w:val="18"/>
          <w:szCs w:val="18"/>
          <w:lang w:val="en-US"/>
        </w:rPr>
        <w:t xml:space="preserve">7615/02, </w:t>
      </w:r>
      <w:r w:rsidRPr="00560F13">
        <w:rPr>
          <w:rFonts w:ascii="Arial" w:hAnsi="Arial" w:cs="Arial"/>
          <w:sz w:val="18"/>
          <w:szCs w:val="18"/>
        </w:rPr>
        <w:t xml:space="preserve">§ 200, </w:t>
      </w:r>
      <w:r w:rsidRPr="00560F13">
        <w:rPr>
          <w:rFonts w:ascii="Arial" w:hAnsi="Arial" w:cs="Arial"/>
          <w:sz w:val="18"/>
          <w:szCs w:val="18"/>
          <w:lang w:val="en-US"/>
        </w:rPr>
        <w:t>9 November 2006</w:t>
      </w:r>
      <w:r w:rsidRPr="00560F13">
        <w:rPr>
          <w:rFonts w:ascii="Arial" w:hAnsi="Arial" w:cs="Arial"/>
          <w:sz w:val="18"/>
          <w:szCs w:val="18"/>
        </w:rPr>
        <w:t xml:space="preserve">; </w:t>
      </w:r>
      <w:hyperlink r:id="rId195" w:history="1">
        <w:r w:rsidRPr="00560F13">
          <w:rPr>
            <w:rStyle w:val="Lienhypertexte"/>
            <w:rFonts w:ascii="Arial" w:hAnsi="Arial" w:cs="Arial"/>
            <w:i/>
            <w:iCs/>
            <w:sz w:val="18"/>
            <w:szCs w:val="18"/>
          </w:rPr>
          <w:t>Janowiec and Others v. Russia</w:t>
        </w:r>
      </w:hyperlink>
      <w:r w:rsidRPr="00560F13">
        <w:rPr>
          <w:rFonts w:ascii="Arial" w:hAnsi="Arial" w:cs="Arial"/>
          <w:i/>
          <w:iCs/>
          <w:sz w:val="18"/>
          <w:szCs w:val="18"/>
        </w:rPr>
        <w:t xml:space="preserve"> </w:t>
      </w:r>
      <w:r w:rsidRPr="00560F13">
        <w:rPr>
          <w:rFonts w:ascii="Arial" w:hAnsi="Arial" w:cs="Arial"/>
          <w:sz w:val="18"/>
          <w:szCs w:val="18"/>
        </w:rPr>
        <w:t xml:space="preserve">[GC], nos. </w:t>
      </w:r>
      <w:r w:rsidRPr="00560F13">
        <w:rPr>
          <w:rFonts w:ascii="Arial" w:hAnsi="Arial" w:cs="Arial"/>
          <w:sz w:val="18"/>
          <w:szCs w:val="18"/>
          <w:lang w:val="en-US"/>
        </w:rPr>
        <w:t xml:space="preserve">55508/07-29520/09, </w:t>
      </w:r>
      <w:r w:rsidRPr="00560F13">
        <w:rPr>
          <w:rFonts w:ascii="Arial" w:hAnsi="Arial" w:cs="Arial"/>
          <w:sz w:val="18"/>
          <w:szCs w:val="18"/>
        </w:rPr>
        <w:t xml:space="preserve">§ 202, </w:t>
      </w:r>
      <w:r w:rsidRPr="00560F13">
        <w:rPr>
          <w:rFonts w:ascii="Arial" w:hAnsi="Arial" w:cs="Arial"/>
          <w:sz w:val="18"/>
          <w:szCs w:val="18"/>
          <w:lang w:val="en-US"/>
        </w:rPr>
        <w:t>21 October 2013</w:t>
      </w:r>
      <w:r w:rsidRPr="00560F13">
        <w:rPr>
          <w:rFonts w:ascii="Arial" w:hAnsi="Arial" w:cs="Arial"/>
          <w:sz w:val="18"/>
          <w:szCs w:val="18"/>
        </w:rPr>
        <w:t xml:space="preserve">; </w:t>
      </w:r>
      <w:hyperlink r:id="rId196" w:history="1">
        <w:r w:rsidRPr="00560F13">
          <w:rPr>
            <w:rStyle w:val="Lienhypertexte"/>
            <w:rFonts w:ascii="Arial" w:hAnsi="Arial" w:cs="Arial"/>
            <w:i/>
            <w:sz w:val="18"/>
            <w:szCs w:val="18"/>
          </w:rPr>
          <w:t>Georgia v. Russia</w:t>
        </w:r>
        <w:r w:rsidRPr="00560F13">
          <w:rPr>
            <w:rStyle w:val="Lienhypertexte"/>
            <w:rFonts w:ascii="Arial" w:hAnsi="Arial" w:cs="Arial"/>
            <w:sz w:val="18"/>
            <w:szCs w:val="18"/>
          </w:rPr>
          <w:t xml:space="preserve"> (I)</w:t>
        </w:r>
      </w:hyperlink>
      <w:r w:rsidRPr="00560F13">
        <w:rPr>
          <w:rFonts w:ascii="Arial" w:hAnsi="Arial" w:cs="Arial"/>
          <w:sz w:val="18"/>
          <w:szCs w:val="18"/>
        </w:rPr>
        <w:t xml:space="preserve">, quoted above, § 99. </w:t>
      </w:r>
      <w:hyperlink r:id="rId197" w:history="1">
        <w:r w:rsidRPr="00560F13">
          <w:rPr>
            <w:rFonts w:ascii="Arial" w:hAnsi="Arial" w:cs="Arial"/>
            <w:i/>
            <w:iCs/>
            <w:sz w:val="18"/>
            <w:szCs w:val="18"/>
          </w:rPr>
          <w:t>Georgia v. Russia</w:t>
        </w:r>
      </w:hyperlink>
      <w:r w:rsidRPr="00560F13">
        <w:rPr>
          <w:rFonts w:ascii="Arial" w:hAnsi="Arial" w:cs="Arial"/>
          <w:sz w:val="18"/>
          <w:szCs w:val="18"/>
        </w:rPr>
        <w:t xml:space="preserve"> (II) (merits) [GC] no. 38263/08, § 341, 21 January 2021.</w:t>
      </w:r>
    </w:p>
  </w:footnote>
  <w:footnote w:id="141">
    <w:p w14:paraId="4CD86A2F" w14:textId="77777777" w:rsidR="000C68FA" w:rsidRPr="00560F13" w:rsidRDefault="000C68FA" w:rsidP="002218C4">
      <w:pPr>
        <w:pStyle w:val="SingleTxtG"/>
        <w:spacing w:after="0" w:line="200" w:lineRule="exact"/>
        <w:ind w:left="0" w:right="0"/>
        <w:rPr>
          <w:rFonts w:ascii="Arial" w:hAnsi="Arial" w:cs="Arial"/>
          <w:sz w:val="18"/>
          <w:szCs w:val="18"/>
          <w:lang w:val="en-US"/>
        </w:rPr>
      </w:pPr>
      <w:r w:rsidRPr="00560F13">
        <w:rPr>
          <w:rStyle w:val="Appelnotedebasdep"/>
          <w:rFonts w:ascii="Arial" w:hAnsi="Arial" w:cs="Arial"/>
        </w:rPr>
        <w:footnoteRef/>
      </w:r>
      <w:r w:rsidRPr="00560F13">
        <w:rPr>
          <w:rFonts w:ascii="Arial" w:hAnsi="Arial" w:cs="Arial"/>
          <w:sz w:val="18"/>
          <w:szCs w:val="18"/>
        </w:rPr>
        <w:t xml:space="preserve"> </w:t>
      </w:r>
      <w:hyperlink r:id="rId198" w:history="1">
        <w:r w:rsidRPr="00560F13">
          <w:rPr>
            <w:rStyle w:val="Lienhypertexte"/>
            <w:rFonts w:ascii="Arial" w:hAnsi="Arial" w:cs="Arial"/>
            <w:i/>
            <w:iCs/>
            <w:sz w:val="18"/>
            <w:szCs w:val="18"/>
          </w:rPr>
          <w:t>Maslova and Nalbandov v. Russia</w:t>
        </w:r>
      </w:hyperlink>
      <w:r w:rsidRPr="00560F13">
        <w:rPr>
          <w:rFonts w:ascii="Arial" w:hAnsi="Arial" w:cs="Arial"/>
          <w:sz w:val="18"/>
          <w:szCs w:val="18"/>
        </w:rPr>
        <w:t xml:space="preserve">, no. </w:t>
      </w:r>
      <w:r w:rsidRPr="00560F13">
        <w:rPr>
          <w:rFonts w:ascii="Arial" w:hAnsi="Arial" w:cs="Arial"/>
          <w:sz w:val="18"/>
          <w:szCs w:val="18"/>
          <w:lang w:val="en-US"/>
        </w:rPr>
        <w:t xml:space="preserve">839/02, </w:t>
      </w:r>
      <w:r w:rsidRPr="00560F13">
        <w:rPr>
          <w:rFonts w:ascii="Arial" w:hAnsi="Arial" w:cs="Arial"/>
          <w:sz w:val="18"/>
          <w:szCs w:val="18"/>
        </w:rPr>
        <w:t xml:space="preserve">§§ 128-29, </w:t>
      </w:r>
      <w:r w:rsidRPr="00560F13">
        <w:rPr>
          <w:rFonts w:ascii="Arial" w:hAnsi="Arial" w:cs="Arial"/>
          <w:sz w:val="18"/>
          <w:szCs w:val="18"/>
          <w:lang w:val="en-US"/>
        </w:rPr>
        <w:t>24 January 2008</w:t>
      </w:r>
    </w:p>
  </w:footnote>
  <w:footnote w:id="142">
    <w:p w14:paraId="256E6D5C"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199" w:history="1">
        <w:r w:rsidRPr="00560F13">
          <w:rPr>
            <w:rStyle w:val="Lienhypertexte"/>
            <w:rFonts w:ascii="Arial" w:hAnsi="Arial" w:cs="Arial"/>
            <w:i/>
            <w:iCs/>
            <w:sz w:val="18"/>
            <w:szCs w:val="18"/>
          </w:rPr>
          <w:t>Trubnikov v. Russia</w:t>
        </w:r>
      </w:hyperlink>
      <w:r w:rsidRPr="00560F13">
        <w:rPr>
          <w:rFonts w:ascii="Arial" w:hAnsi="Arial" w:cs="Arial"/>
          <w:sz w:val="18"/>
          <w:szCs w:val="18"/>
        </w:rPr>
        <w:t xml:space="preserve">, §§ 50-57, 5 July 2005. </w:t>
      </w:r>
    </w:p>
  </w:footnote>
  <w:footnote w:id="143">
    <w:p w14:paraId="1866258F"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00" w:history="1">
        <w:r w:rsidRPr="00560F13">
          <w:rPr>
            <w:rStyle w:val="Lienhypertexte"/>
            <w:rFonts w:ascii="Arial" w:hAnsi="Arial" w:cs="Arial"/>
            <w:i/>
            <w:iCs/>
            <w:sz w:val="18"/>
            <w:szCs w:val="18"/>
          </w:rPr>
          <w:t>Janowiec and Others v. Russia</w:t>
        </w:r>
      </w:hyperlink>
      <w:r w:rsidRPr="00560F13">
        <w:rPr>
          <w:rFonts w:ascii="Arial" w:hAnsi="Arial" w:cs="Arial"/>
          <w:sz w:val="18"/>
          <w:szCs w:val="18"/>
        </w:rPr>
        <w:t>, quoted above, § 205</w:t>
      </w:r>
    </w:p>
  </w:footnote>
  <w:footnote w:id="144">
    <w:p w14:paraId="21BBAF33"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01" w:history="1">
        <w:r w:rsidRPr="00560F13">
          <w:rPr>
            <w:rFonts w:ascii="Arial" w:hAnsi="Arial" w:cs="Arial"/>
            <w:i/>
            <w:iCs/>
            <w:sz w:val="18"/>
            <w:szCs w:val="18"/>
          </w:rPr>
          <w:t>Georgia v. Russia</w:t>
        </w:r>
      </w:hyperlink>
      <w:r w:rsidRPr="00560F13">
        <w:rPr>
          <w:rFonts w:ascii="Arial" w:hAnsi="Arial" w:cs="Arial"/>
          <w:sz w:val="18"/>
          <w:szCs w:val="18"/>
        </w:rPr>
        <w:t xml:space="preserve"> (II) (merits) [GC] no. 38263/08, § 345, 21 January 2021.</w:t>
      </w:r>
    </w:p>
  </w:footnote>
  <w:footnote w:id="145">
    <w:p w14:paraId="383CFF9C"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02" w:history="1">
        <w:r w:rsidRPr="00560F13">
          <w:rPr>
            <w:rStyle w:val="Lienhypertexte"/>
            <w:rFonts w:ascii="Arial" w:hAnsi="Arial" w:cs="Arial"/>
            <w:i/>
            <w:sz w:val="18"/>
            <w:szCs w:val="18"/>
          </w:rPr>
          <w:t>Davydov and Others v. Ukraine</w:t>
        </w:r>
      </w:hyperlink>
      <w:r w:rsidRPr="00560F13">
        <w:rPr>
          <w:rStyle w:val="sb8d990e2"/>
          <w:rFonts w:ascii="Arial" w:hAnsi="Arial" w:cs="Arial"/>
          <w:sz w:val="18"/>
          <w:szCs w:val="18"/>
        </w:rPr>
        <w:t xml:space="preserve">, nos. </w:t>
      </w:r>
      <w:r w:rsidRPr="00560F13">
        <w:rPr>
          <w:rFonts w:ascii="Arial" w:hAnsi="Arial" w:cs="Arial"/>
          <w:sz w:val="18"/>
          <w:szCs w:val="18"/>
        </w:rPr>
        <w:t>17674/02</w:t>
      </w:r>
      <w:r w:rsidRPr="00560F13">
        <w:rPr>
          <w:rStyle w:val="sb8d990e2"/>
          <w:rFonts w:ascii="Arial" w:hAnsi="Arial" w:cs="Arial"/>
          <w:sz w:val="18"/>
          <w:szCs w:val="18"/>
        </w:rPr>
        <w:t xml:space="preserve"> and </w:t>
      </w:r>
      <w:r w:rsidRPr="00560F13">
        <w:rPr>
          <w:rFonts w:ascii="Arial" w:hAnsi="Arial" w:cs="Arial"/>
          <w:sz w:val="18"/>
          <w:szCs w:val="18"/>
        </w:rPr>
        <w:t>39081/02</w:t>
      </w:r>
      <w:r w:rsidRPr="00560F13">
        <w:rPr>
          <w:rStyle w:val="sb8d990e2"/>
          <w:rFonts w:ascii="Arial" w:hAnsi="Arial" w:cs="Arial"/>
          <w:sz w:val="18"/>
          <w:szCs w:val="18"/>
        </w:rPr>
        <w:t xml:space="preserve">, § 170, 1 July 2010; </w:t>
      </w:r>
      <w:hyperlink r:id="rId203" w:anchor="{&quot;appno&quot;:[&quot;2512/04&quot;]}" w:history="1">
        <w:r w:rsidRPr="00560F13">
          <w:rPr>
            <w:rStyle w:val="Lienhypertexte"/>
            <w:rFonts w:ascii="Arial" w:hAnsi="Arial" w:cs="Arial"/>
            <w:i/>
            <w:sz w:val="18"/>
            <w:szCs w:val="18"/>
          </w:rPr>
          <w:t>Nolan and K. v. Russia</w:t>
        </w:r>
      </w:hyperlink>
      <w:r w:rsidRPr="00560F13">
        <w:rPr>
          <w:rStyle w:val="sb8d990e2"/>
          <w:rFonts w:ascii="Arial" w:hAnsi="Arial" w:cs="Arial"/>
          <w:sz w:val="18"/>
          <w:szCs w:val="18"/>
        </w:rPr>
        <w:t xml:space="preserve">, no. </w:t>
      </w:r>
      <w:r w:rsidRPr="00560F13">
        <w:rPr>
          <w:rFonts w:ascii="Arial" w:hAnsi="Arial" w:cs="Arial"/>
          <w:sz w:val="18"/>
          <w:szCs w:val="18"/>
        </w:rPr>
        <w:t>2512/04</w:t>
      </w:r>
      <w:r w:rsidRPr="00560F13">
        <w:rPr>
          <w:rStyle w:val="sb8d990e2"/>
          <w:rFonts w:ascii="Arial" w:hAnsi="Arial" w:cs="Arial"/>
          <w:sz w:val="18"/>
          <w:szCs w:val="18"/>
        </w:rPr>
        <w:t xml:space="preserve">, § 56, 12 February 2009; and </w:t>
      </w:r>
      <w:hyperlink r:id="rId204" w:history="1">
        <w:r w:rsidRPr="00560F13">
          <w:rPr>
            <w:rStyle w:val="Lienhypertexte"/>
            <w:rFonts w:ascii="Arial" w:hAnsi="Arial" w:cs="Arial"/>
            <w:i/>
            <w:sz w:val="18"/>
            <w:szCs w:val="18"/>
          </w:rPr>
          <w:t>Janowiec and Others</w:t>
        </w:r>
      </w:hyperlink>
      <w:r w:rsidRPr="00560F13">
        <w:rPr>
          <w:rStyle w:val="sb8d990e2"/>
          <w:rFonts w:ascii="Arial" w:hAnsi="Arial" w:cs="Arial"/>
          <w:sz w:val="18"/>
          <w:szCs w:val="18"/>
        </w:rPr>
        <w:t>, quoted above, § 206</w:t>
      </w:r>
    </w:p>
  </w:footnote>
  <w:footnote w:id="146">
    <w:p w14:paraId="1726D379" w14:textId="77777777" w:rsidR="000C68FA" w:rsidRPr="00560F13" w:rsidRDefault="000C68FA" w:rsidP="002218C4">
      <w:pPr>
        <w:pStyle w:val="SingleTxtG"/>
        <w:spacing w:after="0" w:line="200" w:lineRule="exact"/>
        <w:ind w:left="0" w:right="0"/>
        <w:rPr>
          <w:rFonts w:ascii="Arial" w:hAnsi="Arial" w:cs="Arial"/>
          <w:sz w:val="18"/>
          <w:szCs w:val="18"/>
          <w:lang w:val="en-US"/>
        </w:rPr>
      </w:pPr>
      <w:r w:rsidRPr="00560F13">
        <w:rPr>
          <w:rStyle w:val="Appelnotedebasdep"/>
          <w:rFonts w:ascii="Arial" w:hAnsi="Arial" w:cs="Arial"/>
        </w:rPr>
        <w:footnoteRef/>
      </w:r>
      <w:r w:rsidRPr="00560F13">
        <w:rPr>
          <w:rFonts w:ascii="Arial" w:hAnsi="Arial" w:cs="Arial"/>
          <w:sz w:val="18"/>
          <w:szCs w:val="18"/>
        </w:rPr>
        <w:t xml:space="preserve"> </w:t>
      </w:r>
      <w:hyperlink r:id="rId205" w:anchor="{&quot;appno&quot;:[&quot;2512/04&quot;]}" w:history="1">
        <w:r w:rsidRPr="00560F13">
          <w:rPr>
            <w:rStyle w:val="Lienhypertexte"/>
            <w:rFonts w:ascii="Arial" w:hAnsi="Arial" w:cs="Arial"/>
            <w:i/>
            <w:sz w:val="18"/>
            <w:szCs w:val="18"/>
          </w:rPr>
          <w:t>Nolan and K. v. Russia</w:t>
        </w:r>
      </w:hyperlink>
      <w:r w:rsidRPr="00560F13">
        <w:rPr>
          <w:rStyle w:val="sb8d990e2"/>
          <w:rFonts w:ascii="Arial" w:hAnsi="Arial" w:cs="Arial"/>
          <w:i/>
          <w:sz w:val="18"/>
          <w:szCs w:val="18"/>
        </w:rPr>
        <w:t>,</w:t>
      </w:r>
      <w:r w:rsidRPr="00560F13">
        <w:rPr>
          <w:rStyle w:val="sb8d990e2"/>
          <w:rFonts w:ascii="Arial" w:hAnsi="Arial" w:cs="Arial"/>
          <w:sz w:val="18"/>
          <w:szCs w:val="18"/>
        </w:rPr>
        <w:t xml:space="preserve"> </w:t>
      </w:r>
      <w:r w:rsidRPr="00560F13">
        <w:rPr>
          <w:rStyle w:val="s6b621b36"/>
          <w:rFonts w:ascii="Arial" w:hAnsi="Arial" w:cs="Arial"/>
          <w:sz w:val="18"/>
          <w:szCs w:val="18"/>
        </w:rPr>
        <w:t>no. 2512/04,</w:t>
      </w:r>
      <w:r w:rsidRPr="00560F13">
        <w:rPr>
          <w:rStyle w:val="sb8d990e2"/>
          <w:rFonts w:ascii="Arial" w:hAnsi="Arial" w:cs="Arial"/>
          <w:sz w:val="18"/>
          <w:szCs w:val="18"/>
        </w:rPr>
        <w:t xml:space="preserve"> § 56, </w:t>
      </w:r>
      <w:r w:rsidRPr="00560F13">
        <w:rPr>
          <w:rFonts w:ascii="Arial" w:hAnsi="Arial" w:cs="Arial"/>
          <w:sz w:val="18"/>
          <w:szCs w:val="18"/>
          <w:lang w:val="en-US"/>
        </w:rPr>
        <w:t xml:space="preserve">12 February 2009 </w:t>
      </w:r>
      <w:r w:rsidRPr="00560F13">
        <w:rPr>
          <w:rStyle w:val="sb8d990e2"/>
          <w:rFonts w:ascii="Arial" w:hAnsi="Arial" w:cs="Arial"/>
          <w:sz w:val="18"/>
          <w:szCs w:val="18"/>
        </w:rPr>
        <w:t xml:space="preserve">and </w:t>
      </w:r>
      <w:hyperlink r:id="rId206" w:history="1">
        <w:r w:rsidRPr="00560F13">
          <w:rPr>
            <w:rStyle w:val="Lienhypertexte"/>
            <w:rFonts w:ascii="Arial" w:hAnsi="Arial" w:cs="Arial"/>
            <w:sz w:val="18"/>
            <w:szCs w:val="18"/>
          </w:rPr>
          <w:t>Janowiec and Others</w:t>
        </w:r>
      </w:hyperlink>
      <w:r w:rsidRPr="00560F13">
        <w:rPr>
          <w:rStyle w:val="sb8d990e2"/>
          <w:rFonts w:ascii="Arial" w:hAnsi="Arial" w:cs="Arial"/>
          <w:sz w:val="18"/>
          <w:szCs w:val="18"/>
        </w:rPr>
        <w:t>, quoted above, § 206</w:t>
      </w:r>
    </w:p>
  </w:footnote>
  <w:footnote w:id="147">
    <w:p w14:paraId="478B8D97"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Ibid</w:t>
      </w:r>
      <w:r w:rsidRPr="00560F13">
        <w:rPr>
          <w:rStyle w:val="sb8d990e2"/>
          <w:rFonts w:ascii="Arial" w:hAnsi="Arial" w:cs="Arial"/>
          <w:sz w:val="18"/>
          <w:szCs w:val="18"/>
        </w:rPr>
        <w:t>. See also</w:t>
      </w:r>
      <w:r w:rsidRPr="00560F13">
        <w:rPr>
          <w:rFonts w:ascii="Arial" w:hAnsi="Arial" w:cs="Arial"/>
          <w:i/>
          <w:iCs/>
          <w:sz w:val="18"/>
          <w:szCs w:val="18"/>
        </w:rPr>
        <w:t xml:space="preserve"> </w:t>
      </w:r>
      <w:hyperlink r:id="rId207" w:history="1">
        <w:r w:rsidRPr="00560F13">
          <w:rPr>
            <w:rStyle w:val="Lienhypertexte"/>
            <w:rFonts w:ascii="Arial" w:hAnsi="Arial" w:cs="Arial"/>
            <w:i/>
            <w:iCs/>
            <w:sz w:val="18"/>
            <w:szCs w:val="18"/>
          </w:rPr>
          <w:t>Janowiec and Others v. Russia</w:t>
        </w:r>
      </w:hyperlink>
      <w:r w:rsidRPr="00560F13">
        <w:rPr>
          <w:rStyle w:val="Lienhypertexte"/>
          <w:rFonts w:ascii="Arial" w:hAnsi="Arial" w:cs="Arial"/>
          <w:sz w:val="18"/>
          <w:szCs w:val="18"/>
        </w:rPr>
        <w:t xml:space="preserve">, </w:t>
      </w:r>
      <w:r w:rsidRPr="00560F13">
        <w:rPr>
          <w:rFonts w:ascii="Arial" w:hAnsi="Arial" w:cs="Arial"/>
          <w:sz w:val="18"/>
          <w:szCs w:val="18"/>
        </w:rPr>
        <w:t>quoted above, § 207.</w:t>
      </w:r>
    </w:p>
  </w:footnote>
  <w:footnote w:id="148">
    <w:p w14:paraId="4FC3C261"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Rule 33 states that “1. All documents deposited with the Registry by the parties or by any third party in connection with an application, except those deposited within the framework of friendly-settlement negotiations as provided for in Rule 62, shall be accessible to the public in accordance with arrangements determined by the Registrar, unless the President of the Chamber, for the reasons set out in paragraph 2 of this Rule, decides otherwise, either of his or her own motion or at the request of a party or any other person concerned. </w:t>
      </w:r>
      <w:r w:rsidRPr="00560F13">
        <w:rPr>
          <w:rFonts w:ascii="Arial" w:hAnsi="Arial" w:cs="Arial"/>
          <w:color w:val="000000"/>
          <w:sz w:val="18"/>
          <w:szCs w:val="18"/>
        </w:rPr>
        <w:t>2. Public access to a document or to any part of it may be restricted in the interests of morals, public order or national security in a democratic society, where the interests of juveniles or the protection of the private life of the parties or of any person concerned so require, or to the extent strictly necessary in the opinion of the President of the Chamber in special circumstances where publicity would prejudice the interests of justice. 3. Any request for confidentiality made under paragraph 1 of this Rule must include reasons and specify whether it is requested that all or part of the documents be inaccessible to the public.”</w:t>
      </w:r>
    </w:p>
  </w:footnote>
  <w:footnote w:id="149">
    <w:p w14:paraId="2404EBFD"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bookmarkStart w:id="59" w:name="_Hlk63173197"/>
      <w:bookmarkStart w:id="60" w:name="_Hlk61453973"/>
      <w:r w:rsidRPr="00560F13">
        <w:rPr>
          <w:rFonts w:ascii="Arial" w:hAnsi="Arial" w:cs="Arial"/>
          <w:i/>
          <w:sz w:val="18"/>
          <w:szCs w:val="18"/>
        </w:rPr>
        <w:t>Georgia v. Russia (I)</w:t>
      </w:r>
      <w:r w:rsidRPr="00560F13">
        <w:rPr>
          <w:rFonts w:ascii="Arial" w:hAnsi="Arial" w:cs="Arial"/>
          <w:sz w:val="18"/>
          <w:szCs w:val="18"/>
        </w:rPr>
        <w:t xml:space="preserve"> (dec.), no. 13255/07, § 41, 30 June 2009</w:t>
      </w:r>
      <w:bookmarkEnd w:id="59"/>
      <w:r w:rsidRPr="00560F13">
        <w:rPr>
          <w:rFonts w:ascii="Arial" w:hAnsi="Arial" w:cs="Arial"/>
          <w:sz w:val="18"/>
          <w:szCs w:val="18"/>
        </w:rPr>
        <w:t xml:space="preserve"> and </w:t>
      </w:r>
      <w:r w:rsidRPr="00560F13">
        <w:rPr>
          <w:rFonts w:ascii="Arial" w:hAnsi="Arial" w:cs="Arial"/>
          <w:i/>
          <w:sz w:val="18"/>
          <w:szCs w:val="18"/>
        </w:rPr>
        <w:t>Georgia v. Russia (II)</w:t>
      </w:r>
      <w:r w:rsidRPr="00560F13">
        <w:rPr>
          <w:rFonts w:ascii="Arial" w:hAnsi="Arial" w:cs="Arial"/>
          <w:sz w:val="18"/>
          <w:szCs w:val="18"/>
        </w:rPr>
        <w:t xml:space="preserve"> (dec.), 38263/08, § 86, 13 December 2011</w:t>
      </w:r>
      <w:bookmarkEnd w:id="60"/>
      <w:r w:rsidRPr="00560F13">
        <w:rPr>
          <w:rFonts w:ascii="Arial" w:hAnsi="Arial" w:cs="Arial"/>
          <w:sz w:val="18"/>
          <w:szCs w:val="18"/>
        </w:rPr>
        <w:t xml:space="preserve">. </w:t>
      </w:r>
      <w:hyperlink r:id="rId208"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 [GC]</w:t>
      </w:r>
      <w:r w:rsidRPr="00560F13">
        <w:rPr>
          <w:rFonts w:ascii="Arial" w:hAnsi="Arial" w:cs="Arial"/>
          <w:sz w:val="18"/>
          <w:szCs w:val="18"/>
        </w:rPr>
        <w:t>, nos. 20958/14 and 38334/18 § 263, 16 December 2020.</w:t>
      </w:r>
    </w:p>
  </w:footnote>
  <w:footnote w:id="150">
    <w:p w14:paraId="6BDE2033"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09"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 [GC]</w:t>
      </w:r>
      <w:r w:rsidRPr="00560F13">
        <w:rPr>
          <w:rFonts w:ascii="Arial" w:hAnsi="Arial" w:cs="Arial"/>
          <w:sz w:val="18"/>
          <w:szCs w:val="18"/>
        </w:rPr>
        <w:t>, nos. 20958/14 and 38334/18, § 363, 16 December 2020.</w:t>
      </w:r>
    </w:p>
  </w:footnote>
  <w:footnote w:id="151">
    <w:p w14:paraId="438635D2"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10"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 [GC]</w:t>
      </w:r>
      <w:r w:rsidRPr="00560F13">
        <w:rPr>
          <w:rFonts w:ascii="Arial" w:hAnsi="Arial" w:cs="Arial"/>
          <w:sz w:val="18"/>
          <w:szCs w:val="18"/>
        </w:rPr>
        <w:t>, nos. 20958/14 and 38334/18, § 368, 16 December 2020.</w:t>
      </w:r>
    </w:p>
  </w:footnote>
  <w:footnote w:id="152">
    <w:p w14:paraId="0ECB8558"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11"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 [GC]</w:t>
      </w:r>
      <w:r w:rsidRPr="00560F13">
        <w:rPr>
          <w:rFonts w:ascii="Arial" w:hAnsi="Arial" w:cs="Arial"/>
          <w:sz w:val="18"/>
          <w:szCs w:val="18"/>
        </w:rPr>
        <w:t>, nos. 20958/14 and 38334/18, § 265, 16 December 2020.</w:t>
      </w:r>
    </w:p>
  </w:footnote>
  <w:footnote w:id="153">
    <w:p w14:paraId="30C74275"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12"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 [GC]</w:t>
      </w:r>
      <w:r w:rsidRPr="00560F13">
        <w:rPr>
          <w:rFonts w:ascii="Arial" w:hAnsi="Arial" w:cs="Arial"/>
          <w:sz w:val="18"/>
          <w:szCs w:val="18"/>
        </w:rPr>
        <w:t>, nos. 20958/14 and 38334/18, § 265, 16 December 2020.</w:t>
      </w:r>
    </w:p>
  </w:footnote>
  <w:footnote w:id="154">
    <w:p w14:paraId="674D52E6"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13"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 [GC]</w:t>
      </w:r>
      <w:r w:rsidRPr="00560F13">
        <w:rPr>
          <w:rFonts w:ascii="Arial" w:hAnsi="Arial" w:cs="Arial"/>
          <w:sz w:val="18"/>
          <w:szCs w:val="18"/>
        </w:rPr>
        <w:t>, nos. 20958/14 and 38334/18, § 266, 16 December 2020.</w:t>
      </w:r>
    </w:p>
  </w:footnote>
  <w:footnote w:id="155">
    <w:p w14:paraId="1C723DF0"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14"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 [GC]</w:t>
      </w:r>
      <w:r w:rsidRPr="00560F13">
        <w:rPr>
          <w:rFonts w:ascii="Arial" w:hAnsi="Arial" w:cs="Arial"/>
          <w:sz w:val="18"/>
          <w:szCs w:val="18"/>
        </w:rPr>
        <w:t xml:space="preserve">, nos. 20958/14 and 38334/18, § 352, 16 December 2020: </w:t>
      </w:r>
      <w:hyperlink r:id="rId215" w:history="1">
        <w:r w:rsidRPr="00560F13">
          <w:rPr>
            <w:rFonts w:ascii="Arial" w:hAnsi="Arial" w:cs="Arial"/>
            <w:i/>
            <w:iCs/>
            <w:sz w:val="18"/>
            <w:szCs w:val="18"/>
          </w:rPr>
          <w:t>Georgia v. Russia</w:t>
        </w:r>
      </w:hyperlink>
      <w:r w:rsidRPr="00560F13">
        <w:rPr>
          <w:rFonts w:ascii="Arial" w:hAnsi="Arial" w:cs="Arial"/>
          <w:sz w:val="18"/>
          <w:szCs w:val="18"/>
        </w:rPr>
        <w:t xml:space="preserve"> (II) (merits) no. 38263/08, § 162, 21 January 2021.</w:t>
      </w:r>
    </w:p>
  </w:footnote>
  <w:footnote w:id="156">
    <w:p w14:paraId="65BEE7BE"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r w:rsidRPr="00560F13">
        <w:rPr>
          <w:rFonts w:ascii="Arial" w:hAnsi="Arial" w:cs="Arial"/>
          <w:i/>
          <w:sz w:val="18"/>
          <w:szCs w:val="18"/>
          <w:u w:val="single"/>
        </w:rPr>
        <w:t>Ireland v. the United Kingdom</w:t>
      </w:r>
      <w:r w:rsidRPr="00560F13">
        <w:rPr>
          <w:rFonts w:ascii="Arial" w:hAnsi="Arial" w:cs="Arial"/>
          <w:sz w:val="18"/>
          <w:szCs w:val="18"/>
        </w:rPr>
        <w:t xml:space="preserve">, 18 January 1978, § 161, :  </w:t>
      </w:r>
      <w:bookmarkStart w:id="61" w:name="File12"/>
      <w:r w:rsidRPr="00560F13">
        <w:rPr>
          <w:rFonts w:ascii="Arial" w:hAnsi="Arial" w:cs="Arial"/>
          <w:i/>
          <w:sz w:val="18"/>
          <w:szCs w:val="18"/>
        </w:rPr>
        <w:t>Cyprus</w:t>
      </w:r>
      <w:bookmarkEnd w:id="61"/>
      <w:r w:rsidRPr="00560F13">
        <w:rPr>
          <w:rFonts w:ascii="Arial" w:hAnsi="Arial" w:cs="Arial"/>
          <w:i/>
          <w:sz w:val="18"/>
          <w:szCs w:val="18"/>
        </w:rPr>
        <w:t xml:space="preserve"> v. Turkey </w:t>
      </w:r>
      <w:r w:rsidRPr="00560F13">
        <w:rPr>
          <w:rFonts w:ascii="Arial" w:hAnsi="Arial" w:cs="Arial"/>
          <w:sz w:val="18"/>
          <w:szCs w:val="18"/>
        </w:rPr>
        <w:t xml:space="preserve">[GC], no. 25781/94, § 113; </w:t>
      </w:r>
      <w:hyperlink r:id="rId216" w:anchor="_Toc388884484" w:history="1">
        <w:r w:rsidRPr="00560F13">
          <w:rPr>
            <w:rStyle w:val="Lienhypertexte"/>
            <w:rFonts w:ascii="Arial" w:hAnsi="Arial" w:cs="Arial"/>
            <w:i/>
            <w:color w:val="auto"/>
            <w:sz w:val="18"/>
            <w:szCs w:val="18"/>
          </w:rPr>
          <w:t>Georgia v. Russia</w:t>
        </w:r>
        <w:r w:rsidRPr="00560F13">
          <w:rPr>
            <w:rStyle w:val="Lienhypertexte"/>
            <w:rFonts w:ascii="Arial" w:hAnsi="Arial" w:cs="Arial"/>
            <w:color w:val="auto"/>
            <w:sz w:val="18"/>
            <w:szCs w:val="18"/>
          </w:rPr>
          <w:t xml:space="preserve"> (I)</w:t>
        </w:r>
      </w:hyperlink>
      <w:r w:rsidRPr="00560F13">
        <w:rPr>
          <w:rFonts w:ascii="Arial" w:hAnsi="Arial" w:cs="Arial"/>
          <w:sz w:val="18"/>
          <w:szCs w:val="18"/>
        </w:rPr>
        <w:t xml:space="preserve">, quoted above, § 94; </w:t>
      </w:r>
      <w:hyperlink r:id="rId217" w:history="1">
        <w:r w:rsidRPr="00560F13">
          <w:rPr>
            <w:rFonts w:ascii="Arial" w:hAnsi="Arial" w:cs="Arial"/>
            <w:i/>
            <w:iCs/>
            <w:sz w:val="18"/>
            <w:szCs w:val="18"/>
          </w:rPr>
          <w:t>Georgia v. Russia</w:t>
        </w:r>
      </w:hyperlink>
      <w:r w:rsidRPr="00560F13">
        <w:rPr>
          <w:rFonts w:ascii="Arial" w:hAnsi="Arial" w:cs="Arial"/>
          <w:sz w:val="18"/>
          <w:szCs w:val="18"/>
        </w:rPr>
        <w:t xml:space="preserve"> (II) (merits) [GC] no. 38263/08, § 59, 21 January 2021.</w:t>
      </w:r>
    </w:p>
  </w:footnote>
  <w:footnote w:id="157">
    <w:p w14:paraId="67CD4FC5"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in detail: Seibert-Fohr, Human Rights Law Journal, 38 (2018) 8 (12).</w:t>
      </w:r>
    </w:p>
  </w:footnote>
  <w:footnote w:id="158">
    <w:p w14:paraId="4A7A1A0C"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18" w:anchor="_Toc388884484" w:history="1">
        <w:r w:rsidRPr="00560F13">
          <w:rPr>
            <w:rStyle w:val="Lienhypertexte"/>
            <w:rFonts w:ascii="Arial" w:hAnsi="Arial" w:cs="Arial"/>
            <w:i/>
            <w:color w:val="auto"/>
            <w:sz w:val="18"/>
            <w:szCs w:val="18"/>
          </w:rPr>
          <w:t>Georgia v. Russia</w:t>
        </w:r>
        <w:r w:rsidRPr="00560F13">
          <w:rPr>
            <w:rStyle w:val="Lienhypertexte"/>
            <w:rFonts w:ascii="Arial" w:hAnsi="Arial" w:cs="Arial"/>
            <w:color w:val="auto"/>
            <w:sz w:val="18"/>
            <w:szCs w:val="18"/>
          </w:rPr>
          <w:t xml:space="preserve"> (I)</w:t>
        </w:r>
      </w:hyperlink>
      <w:r w:rsidRPr="00560F13">
        <w:rPr>
          <w:rFonts w:ascii="Arial" w:hAnsi="Arial" w:cs="Arial"/>
          <w:sz w:val="18"/>
          <w:szCs w:val="18"/>
        </w:rPr>
        <w:t xml:space="preserve">, quoted above, § 94; </w:t>
      </w:r>
      <w:hyperlink r:id="rId219" w:history="1">
        <w:r w:rsidRPr="00560F13">
          <w:rPr>
            <w:rFonts w:ascii="Arial" w:hAnsi="Arial" w:cs="Arial"/>
            <w:i/>
            <w:iCs/>
            <w:sz w:val="18"/>
            <w:szCs w:val="18"/>
          </w:rPr>
          <w:t>Georgia v. Russia</w:t>
        </w:r>
      </w:hyperlink>
      <w:r w:rsidRPr="00560F13">
        <w:rPr>
          <w:rFonts w:ascii="Arial" w:hAnsi="Arial" w:cs="Arial"/>
          <w:sz w:val="18"/>
          <w:szCs w:val="18"/>
        </w:rPr>
        <w:t xml:space="preserve"> (II) (merits) [GC] no. 38263/08, § 59, 21 January 2021.</w:t>
      </w:r>
    </w:p>
  </w:footnote>
  <w:footnote w:id="159">
    <w:p w14:paraId="49462443"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20" w:anchor="{&quot;tabview&quot;:[&quot;document&quot;],&quot;itemid&quot;:[&quot;001-69630&quot;]}" w:history="1">
        <w:r w:rsidRPr="00560F13">
          <w:rPr>
            <w:rStyle w:val="Lienhypertexte"/>
            <w:rFonts w:ascii="Arial" w:hAnsi="Arial" w:cs="Arial"/>
            <w:i/>
            <w:sz w:val="18"/>
            <w:szCs w:val="18"/>
          </w:rPr>
          <w:t>Nachova and Others v. Bulgaria</w:t>
        </w:r>
      </w:hyperlink>
      <w:r w:rsidRPr="00560F13">
        <w:rPr>
          <w:rFonts w:ascii="Arial" w:hAnsi="Arial" w:cs="Arial"/>
          <w:sz w:val="18"/>
          <w:szCs w:val="18"/>
        </w:rPr>
        <w:t xml:space="preserve">, nos. 43577/98 and 43579/98, § 147, 6 July 2005, ECHR 2005-VII; </w:t>
      </w:r>
      <w:hyperlink r:id="rId221" w:anchor="_Toc388884484" w:history="1">
        <w:r w:rsidRPr="00560F13">
          <w:rPr>
            <w:rStyle w:val="Lienhypertexte"/>
            <w:rFonts w:ascii="Arial" w:hAnsi="Arial" w:cs="Arial"/>
            <w:i/>
            <w:sz w:val="18"/>
            <w:szCs w:val="18"/>
          </w:rPr>
          <w:t>Georgia v. Russia</w:t>
        </w:r>
        <w:r w:rsidRPr="00560F13">
          <w:rPr>
            <w:rStyle w:val="Lienhypertexte"/>
            <w:rFonts w:ascii="Arial" w:hAnsi="Arial" w:cs="Arial"/>
            <w:sz w:val="18"/>
            <w:szCs w:val="18"/>
          </w:rPr>
          <w:t xml:space="preserve"> (I)</w:t>
        </w:r>
      </w:hyperlink>
      <w:r w:rsidRPr="00560F13">
        <w:rPr>
          <w:rFonts w:ascii="Arial" w:hAnsi="Arial" w:cs="Arial"/>
          <w:sz w:val="18"/>
          <w:szCs w:val="18"/>
        </w:rPr>
        <w:t xml:space="preserve">, quoted above, § 94. </w:t>
      </w:r>
      <w:hyperlink r:id="rId222" w:history="1">
        <w:r w:rsidRPr="00560F13">
          <w:rPr>
            <w:rFonts w:ascii="Arial" w:hAnsi="Arial" w:cs="Arial"/>
            <w:i/>
            <w:iCs/>
            <w:sz w:val="18"/>
            <w:szCs w:val="18"/>
          </w:rPr>
          <w:t>Georgia v. Russia</w:t>
        </w:r>
      </w:hyperlink>
      <w:r w:rsidRPr="00560F13">
        <w:rPr>
          <w:rFonts w:ascii="Arial" w:hAnsi="Arial" w:cs="Arial"/>
          <w:sz w:val="18"/>
          <w:szCs w:val="18"/>
        </w:rPr>
        <w:t xml:space="preserve"> (II) (merits) no. 38263/08, § 59, 21 January 2021.</w:t>
      </w:r>
    </w:p>
  </w:footnote>
  <w:footnote w:id="160">
    <w:p w14:paraId="22E9F961"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23"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 [GC]</w:t>
      </w:r>
      <w:r w:rsidRPr="00560F13">
        <w:rPr>
          <w:rFonts w:ascii="Arial" w:hAnsi="Arial" w:cs="Arial"/>
          <w:sz w:val="18"/>
          <w:szCs w:val="18"/>
        </w:rPr>
        <w:t>, nos. 20958/14 and 38334/18, § 255, 16 December 2020.</w:t>
      </w:r>
    </w:p>
  </w:footnote>
  <w:footnote w:id="161">
    <w:p w14:paraId="0510CC51"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24"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 [GC]</w:t>
      </w:r>
      <w:r w:rsidRPr="00560F13">
        <w:rPr>
          <w:rFonts w:ascii="Arial" w:hAnsi="Arial" w:cs="Arial"/>
          <w:sz w:val="18"/>
          <w:szCs w:val="18"/>
        </w:rPr>
        <w:t>, nos. 20958/14 and 38334/18, § 256, 16 December 2020.</w:t>
      </w:r>
    </w:p>
  </w:footnote>
  <w:footnote w:id="162">
    <w:p w14:paraId="707AFD3D"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25"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 [GC]</w:t>
      </w:r>
      <w:r w:rsidRPr="00560F13">
        <w:rPr>
          <w:rFonts w:ascii="Arial" w:hAnsi="Arial" w:cs="Arial"/>
          <w:sz w:val="18"/>
          <w:szCs w:val="18"/>
        </w:rPr>
        <w:t>, nos. 20958/14 and 38334/18, § 256, 16 December 2020.</w:t>
      </w:r>
    </w:p>
  </w:footnote>
  <w:footnote w:id="163">
    <w:p w14:paraId="395207BE"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26"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 [GC]</w:t>
      </w:r>
      <w:r w:rsidRPr="00560F13">
        <w:rPr>
          <w:rFonts w:ascii="Arial" w:hAnsi="Arial" w:cs="Arial"/>
          <w:sz w:val="18"/>
          <w:szCs w:val="18"/>
        </w:rPr>
        <w:t>, nos. 20958/14 and 38334/18, § 256, 16 December 2020.</w:t>
      </w:r>
    </w:p>
  </w:footnote>
  <w:footnote w:id="164">
    <w:p w14:paraId="1AFFE429"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27" w:anchor="_Toc388884484" w:history="1">
        <w:r w:rsidRPr="00560F13">
          <w:rPr>
            <w:rStyle w:val="Lienhypertexte"/>
            <w:rFonts w:ascii="Arial" w:hAnsi="Arial" w:cs="Arial"/>
            <w:i/>
            <w:color w:val="auto"/>
            <w:sz w:val="18"/>
            <w:szCs w:val="18"/>
          </w:rPr>
          <w:t>Georgia v. Russia</w:t>
        </w:r>
        <w:r w:rsidRPr="00560F13">
          <w:rPr>
            <w:rStyle w:val="Lienhypertexte"/>
            <w:rFonts w:ascii="Arial" w:hAnsi="Arial" w:cs="Arial"/>
            <w:color w:val="auto"/>
            <w:sz w:val="18"/>
            <w:szCs w:val="18"/>
          </w:rPr>
          <w:t xml:space="preserve"> (I)</w:t>
        </w:r>
      </w:hyperlink>
      <w:r w:rsidRPr="00560F13">
        <w:rPr>
          <w:rFonts w:ascii="Arial" w:hAnsi="Arial" w:cs="Arial"/>
          <w:sz w:val="18"/>
          <w:szCs w:val="18"/>
        </w:rPr>
        <w:t xml:space="preserve">, quoted above, § 94; </w:t>
      </w:r>
      <w:hyperlink r:id="rId228"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 [GC]</w:t>
      </w:r>
      <w:r w:rsidRPr="00560F13">
        <w:rPr>
          <w:rFonts w:ascii="Arial" w:hAnsi="Arial" w:cs="Arial"/>
          <w:sz w:val="18"/>
          <w:szCs w:val="18"/>
        </w:rPr>
        <w:t>, nos. 20958/14 and 38334/18, § 257, 16 December 2020.</w:t>
      </w:r>
    </w:p>
  </w:footnote>
  <w:footnote w:id="165">
    <w:p w14:paraId="65E0AE17"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29" w:history="1">
        <w:r w:rsidRPr="00560F13">
          <w:rPr>
            <w:rStyle w:val="Lienhypertexte"/>
            <w:rFonts w:ascii="Arial" w:hAnsi="Arial" w:cs="Arial"/>
            <w:i/>
            <w:iCs/>
            <w:color w:val="auto"/>
            <w:sz w:val="18"/>
            <w:szCs w:val="18"/>
          </w:rPr>
          <w:t>Ukraine v. Russia</w:t>
        </w:r>
      </w:hyperlink>
      <w:r w:rsidRPr="00560F13">
        <w:rPr>
          <w:rFonts w:ascii="Arial" w:hAnsi="Arial" w:cs="Arial"/>
          <w:i/>
          <w:iCs/>
          <w:sz w:val="18"/>
          <w:szCs w:val="18"/>
        </w:rPr>
        <w:t xml:space="preserve"> (dec)</w:t>
      </w:r>
      <w:r w:rsidRPr="00560F13">
        <w:rPr>
          <w:rFonts w:ascii="Arial" w:hAnsi="Arial" w:cs="Arial"/>
          <w:sz w:val="18"/>
          <w:szCs w:val="18"/>
        </w:rPr>
        <w:t>, nos. 20958/14 and 38334/18 § 257, 16 December 2020.</w:t>
      </w:r>
    </w:p>
  </w:footnote>
  <w:footnote w:id="166">
    <w:p w14:paraId="7783A735"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r w:rsidRPr="00560F13">
        <w:rPr>
          <w:rFonts w:ascii="Arial" w:hAnsi="Arial" w:cs="Arial"/>
          <w:i/>
          <w:sz w:val="18"/>
          <w:szCs w:val="18"/>
        </w:rPr>
        <w:t>Ireland v. the United Kingdom</w:t>
      </w:r>
      <w:r w:rsidRPr="00560F13">
        <w:rPr>
          <w:rFonts w:ascii="Arial" w:hAnsi="Arial" w:cs="Arial"/>
          <w:sz w:val="18"/>
          <w:szCs w:val="18"/>
        </w:rPr>
        <w:t xml:space="preserve">, 18 January 1978, § 161; </w:t>
      </w:r>
      <w:r w:rsidRPr="00560F13">
        <w:rPr>
          <w:rFonts w:ascii="Arial" w:hAnsi="Arial" w:cs="Arial"/>
          <w:i/>
          <w:sz w:val="18"/>
          <w:szCs w:val="18"/>
        </w:rPr>
        <w:t xml:space="preserve">Cyprus v. Turkey </w:t>
      </w:r>
      <w:r w:rsidRPr="00560F13">
        <w:rPr>
          <w:rFonts w:ascii="Arial" w:hAnsi="Arial" w:cs="Arial"/>
          <w:sz w:val="18"/>
          <w:szCs w:val="18"/>
        </w:rPr>
        <w:t xml:space="preserve">[GC], no. 25781/94, § 113; </w:t>
      </w:r>
      <w:hyperlink r:id="rId230" w:anchor="_Toc388884484" w:history="1">
        <w:r w:rsidRPr="00560F13">
          <w:rPr>
            <w:rStyle w:val="Lienhypertexte"/>
            <w:rFonts w:ascii="Arial" w:hAnsi="Arial" w:cs="Arial"/>
            <w:i/>
            <w:color w:val="auto"/>
            <w:sz w:val="18"/>
            <w:szCs w:val="18"/>
          </w:rPr>
          <w:t>Georgia v. Russia</w:t>
        </w:r>
        <w:r w:rsidRPr="00560F13">
          <w:rPr>
            <w:rStyle w:val="Lienhypertexte"/>
            <w:rFonts w:ascii="Arial" w:hAnsi="Arial" w:cs="Arial"/>
            <w:color w:val="auto"/>
            <w:sz w:val="18"/>
            <w:szCs w:val="18"/>
          </w:rPr>
          <w:t xml:space="preserve"> (I)</w:t>
        </w:r>
      </w:hyperlink>
      <w:r w:rsidRPr="00560F13">
        <w:rPr>
          <w:rFonts w:ascii="Arial" w:hAnsi="Arial" w:cs="Arial"/>
          <w:sz w:val="18"/>
          <w:szCs w:val="18"/>
        </w:rPr>
        <w:t xml:space="preserve">, quoted above, § 95; </w:t>
      </w:r>
      <w:hyperlink r:id="rId231" w:history="1">
        <w:r w:rsidRPr="00560F13">
          <w:rPr>
            <w:rFonts w:ascii="Arial" w:hAnsi="Arial" w:cs="Arial"/>
            <w:i/>
            <w:iCs/>
            <w:sz w:val="18"/>
            <w:szCs w:val="18"/>
          </w:rPr>
          <w:t>Georgia v. Russia</w:t>
        </w:r>
      </w:hyperlink>
      <w:r w:rsidRPr="00560F13">
        <w:rPr>
          <w:rFonts w:ascii="Arial" w:hAnsi="Arial" w:cs="Arial"/>
          <w:sz w:val="18"/>
          <w:szCs w:val="18"/>
        </w:rPr>
        <w:t xml:space="preserve"> (II) (merits) no. 38263/08, § 59, 21 January 2021.</w:t>
      </w:r>
    </w:p>
  </w:footnote>
  <w:footnote w:id="167">
    <w:p w14:paraId="10B289F4"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32" w:anchor="{&quot;tabview&quot;:[&quot;document&quot;],&quot;itemid&quot;:[&quot;001-57506&quot;]}" w:history="1">
        <w:r w:rsidRPr="00560F13">
          <w:rPr>
            <w:rStyle w:val="Lienhypertexte"/>
            <w:rFonts w:ascii="Arial" w:hAnsi="Arial" w:cs="Arial"/>
            <w:i/>
            <w:color w:val="auto"/>
            <w:sz w:val="18"/>
            <w:szCs w:val="18"/>
          </w:rPr>
          <w:t>Ireland v. United Kingdom</w:t>
        </w:r>
      </w:hyperlink>
      <w:r w:rsidRPr="00560F13">
        <w:rPr>
          <w:rFonts w:ascii="Arial" w:hAnsi="Arial" w:cs="Arial"/>
          <w:sz w:val="18"/>
          <w:szCs w:val="18"/>
        </w:rPr>
        <w:t xml:space="preserve">, no. 5310/71, § 161, 18 January 1978; </w:t>
      </w:r>
      <w:hyperlink r:id="rId233" w:anchor="_Toc388884484" w:history="1">
        <w:r w:rsidRPr="00560F13">
          <w:rPr>
            <w:rStyle w:val="Lienhypertexte"/>
            <w:rFonts w:ascii="Arial" w:hAnsi="Arial" w:cs="Arial"/>
            <w:i/>
            <w:color w:val="auto"/>
            <w:sz w:val="18"/>
            <w:szCs w:val="18"/>
          </w:rPr>
          <w:t>Georgia v. Russia</w:t>
        </w:r>
        <w:r w:rsidRPr="00560F13">
          <w:rPr>
            <w:rStyle w:val="Lienhypertexte"/>
            <w:rFonts w:ascii="Arial" w:hAnsi="Arial" w:cs="Arial"/>
            <w:color w:val="auto"/>
            <w:sz w:val="18"/>
            <w:szCs w:val="18"/>
          </w:rPr>
          <w:t xml:space="preserve"> (I)</w:t>
        </w:r>
      </w:hyperlink>
      <w:r w:rsidRPr="00560F13">
        <w:rPr>
          <w:rFonts w:ascii="Arial" w:hAnsi="Arial" w:cs="Arial"/>
          <w:sz w:val="18"/>
          <w:szCs w:val="18"/>
        </w:rPr>
        <w:t xml:space="preserve">, quoted above, § 95; </w:t>
      </w:r>
      <w:hyperlink r:id="rId234" w:history="1">
        <w:r w:rsidRPr="00560F13">
          <w:rPr>
            <w:rFonts w:ascii="Arial" w:hAnsi="Arial" w:cs="Arial"/>
            <w:i/>
            <w:iCs/>
            <w:sz w:val="18"/>
            <w:szCs w:val="18"/>
            <w:u w:val="single"/>
          </w:rPr>
          <w:t>Georgia v. Russia</w:t>
        </w:r>
      </w:hyperlink>
      <w:r w:rsidRPr="00560F13">
        <w:rPr>
          <w:rFonts w:ascii="Arial" w:hAnsi="Arial" w:cs="Arial"/>
          <w:sz w:val="18"/>
          <w:szCs w:val="18"/>
          <w:u w:val="single"/>
        </w:rPr>
        <w:t xml:space="preserve"> (II) (merits)</w:t>
      </w:r>
      <w:r w:rsidRPr="00560F13">
        <w:rPr>
          <w:rFonts w:ascii="Arial" w:hAnsi="Arial" w:cs="Arial"/>
          <w:sz w:val="18"/>
          <w:szCs w:val="18"/>
        </w:rPr>
        <w:t xml:space="preserve"> no. 38263/08, § 59, 21 January 2021.</w:t>
      </w:r>
    </w:p>
  </w:footnote>
  <w:footnote w:id="168">
    <w:p w14:paraId="2C63061F"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Cyprus v. Turkey [GC], no. 25781/94, § 116.</w:t>
      </w:r>
    </w:p>
  </w:footnote>
  <w:footnote w:id="169">
    <w:p w14:paraId="6DEE9ABE"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r w:rsidRPr="00560F13">
        <w:rPr>
          <w:rFonts w:ascii="Arial" w:hAnsi="Arial" w:cs="Arial"/>
          <w:i/>
          <w:sz w:val="18"/>
          <w:szCs w:val="18"/>
          <w:u w:val="single"/>
        </w:rPr>
        <w:t>Georgia v. Russia (I)</w:t>
      </w:r>
      <w:r w:rsidRPr="00560F13">
        <w:rPr>
          <w:rFonts w:ascii="Arial" w:hAnsi="Arial" w:cs="Arial"/>
          <w:i/>
          <w:sz w:val="18"/>
          <w:szCs w:val="18"/>
        </w:rPr>
        <w:t xml:space="preserve"> (dec.),</w:t>
      </w:r>
      <w:r w:rsidRPr="00560F13">
        <w:rPr>
          <w:rFonts w:ascii="Arial" w:hAnsi="Arial" w:cs="Arial"/>
          <w:sz w:val="18"/>
          <w:szCs w:val="18"/>
        </w:rPr>
        <w:t xml:space="preserve"> no. 13255/07, § 48, 30 June 2009; </w:t>
      </w:r>
      <w:hyperlink r:id="rId235" w:history="1">
        <w:r w:rsidRPr="00560F13">
          <w:rPr>
            <w:rStyle w:val="Lienhypertexte"/>
            <w:rFonts w:ascii="Arial" w:hAnsi="Arial" w:cs="Arial"/>
            <w:color w:val="auto"/>
            <w:sz w:val="18"/>
            <w:szCs w:val="18"/>
          </w:rPr>
          <w:t>Georgia v. Russia (II) (dec)</w:t>
        </w:r>
      </w:hyperlink>
      <w:r w:rsidRPr="00560F13">
        <w:rPr>
          <w:rFonts w:ascii="Arial" w:hAnsi="Arial" w:cs="Arial"/>
          <w:sz w:val="18"/>
          <w:szCs w:val="18"/>
        </w:rPr>
        <w:t>, no. 38263/08, §91.</w:t>
      </w:r>
    </w:p>
  </w:footnote>
  <w:footnote w:id="170">
    <w:p w14:paraId="75B34FCD"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r w:rsidRPr="00560F13">
        <w:rPr>
          <w:rFonts w:ascii="Arial" w:hAnsi="Arial" w:cs="Arial"/>
          <w:i/>
          <w:sz w:val="18"/>
          <w:szCs w:val="18"/>
          <w:u w:val="single"/>
        </w:rPr>
        <w:t>Georgia v. Russia (I)</w:t>
      </w:r>
      <w:r w:rsidRPr="00560F13">
        <w:rPr>
          <w:rFonts w:ascii="Arial" w:hAnsi="Arial" w:cs="Arial"/>
          <w:i/>
          <w:sz w:val="18"/>
          <w:szCs w:val="18"/>
        </w:rPr>
        <w:t xml:space="preserve"> (dec.),</w:t>
      </w:r>
      <w:r w:rsidRPr="00560F13">
        <w:rPr>
          <w:rFonts w:ascii="Arial" w:hAnsi="Arial" w:cs="Arial"/>
          <w:sz w:val="18"/>
          <w:szCs w:val="18"/>
        </w:rPr>
        <w:t xml:space="preserve"> no. 13255/07, § 48, 30 June 2009; </w:t>
      </w:r>
      <w:hyperlink r:id="rId236" w:history="1">
        <w:r w:rsidRPr="00560F13">
          <w:rPr>
            <w:rStyle w:val="Lienhypertexte"/>
            <w:rFonts w:ascii="Arial" w:hAnsi="Arial" w:cs="Arial"/>
            <w:color w:val="auto"/>
            <w:sz w:val="18"/>
            <w:szCs w:val="18"/>
          </w:rPr>
          <w:t>Georgia v. Russia (II) (dec)</w:t>
        </w:r>
      </w:hyperlink>
      <w:r w:rsidRPr="00560F13">
        <w:rPr>
          <w:rFonts w:ascii="Arial" w:hAnsi="Arial" w:cs="Arial"/>
          <w:sz w:val="18"/>
          <w:szCs w:val="18"/>
        </w:rPr>
        <w:t>, no. 38263/08, §91.</w:t>
      </w:r>
    </w:p>
  </w:footnote>
  <w:footnote w:id="171">
    <w:p w14:paraId="7B095126"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r w:rsidRPr="00560F13">
        <w:rPr>
          <w:rFonts w:ascii="Arial" w:hAnsi="Arial" w:cs="Arial"/>
          <w:i/>
          <w:sz w:val="18"/>
          <w:szCs w:val="18"/>
          <w:u w:val="single"/>
        </w:rPr>
        <w:t>Cyprus v. Turkey [GC],</w:t>
      </w:r>
      <w:r w:rsidRPr="00560F13">
        <w:rPr>
          <w:rFonts w:ascii="Arial" w:hAnsi="Arial" w:cs="Arial"/>
          <w:sz w:val="18"/>
          <w:szCs w:val="18"/>
        </w:rPr>
        <w:t xml:space="preserve"> no. 25781/94, § 116.</w:t>
      </w:r>
    </w:p>
  </w:footnote>
  <w:footnote w:id="172">
    <w:p w14:paraId="2F7B0B61"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r w:rsidRPr="00560F13">
        <w:rPr>
          <w:rFonts w:ascii="Arial" w:hAnsi="Arial" w:cs="Arial"/>
          <w:i/>
          <w:sz w:val="18"/>
          <w:szCs w:val="18"/>
          <w:u w:val="single"/>
        </w:rPr>
        <w:t>Georgia v. Russia (I) (dec.),</w:t>
      </w:r>
      <w:r w:rsidRPr="00560F13">
        <w:rPr>
          <w:rFonts w:ascii="Arial" w:hAnsi="Arial" w:cs="Arial"/>
          <w:sz w:val="18"/>
          <w:szCs w:val="18"/>
        </w:rPr>
        <w:t xml:space="preserve"> no. 13255/07, § 48, 30 June 2009; </w:t>
      </w:r>
      <w:hyperlink r:id="rId237" w:history="1">
        <w:r w:rsidRPr="00560F13">
          <w:rPr>
            <w:rStyle w:val="Lienhypertexte"/>
            <w:rFonts w:ascii="Arial" w:hAnsi="Arial" w:cs="Arial"/>
            <w:color w:val="auto"/>
            <w:sz w:val="18"/>
            <w:szCs w:val="18"/>
          </w:rPr>
          <w:t>Georgia v. Russia (II) (dec)</w:t>
        </w:r>
      </w:hyperlink>
      <w:r w:rsidRPr="00560F13">
        <w:rPr>
          <w:rFonts w:ascii="Arial" w:hAnsi="Arial" w:cs="Arial"/>
          <w:sz w:val="18"/>
          <w:szCs w:val="18"/>
        </w:rPr>
        <w:t>, no. 38263/08, §91.</w:t>
      </w:r>
    </w:p>
  </w:footnote>
  <w:footnote w:id="173">
    <w:p w14:paraId="1E70435C"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r w:rsidRPr="00560F13">
        <w:rPr>
          <w:rFonts w:ascii="Arial" w:hAnsi="Arial" w:cs="Arial"/>
          <w:i/>
          <w:sz w:val="18"/>
          <w:szCs w:val="18"/>
          <w:u w:val="single"/>
        </w:rPr>
        <w:t>Cyprus v. Turkey [GC],</w:t>
      </w:r>
      <w:r w:rsidRPr="00560F13">
        <w:rPr>
          <w:rFonts w:ascii="Arial" w:hAnsi="Arial" w:cs="Arial"/>
          <w:sz w:val="18"/>
          <w:szCs w:val="18"/>
        </w:rPr>
        <w:t xml:space="preserve"> no. 25781/94, § 116.</w:t>
      </w:r>
    </w:p>
  </w:footnote>
  <w:footnote w:id="174">
    <w:p w14:paraId="53D4DFF6"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vertAlign w:val="superscript"/>
        </w:rPr>
        <w:t xml:space="preserve"> </w:t>
      </w:r>
      <w:r w:rsidRPr="00560F13">
        <w:rPr>
          <w:rFonts w:ascii="Arial" w:hAnsi="Arial" w:cs="Arial"/>
          <w:i/>
          <w:sz w:val="18"/>
          <w:szCs w:val="18"/>
          <w:u w:val="single"/>
        </w:rPr>
        <w:t>Cyprus v. Turkey [GC]</w:t>
      </w:r>
      <w:r w:rsidRPr="00560F13">
        <w:rPr>
          <w:rFonts w:ascii="Arial" w:hAnsi="Arial" w:cs="Arial"/>
          <w:i/>
          <w:sz w:val="18"/>
          <w:szCs w:val="18"/>
        </w:rPr>
        <w:t>,</w:t>
      </w:r>
      <w:r w:rsidRPr="00560F13">
        <w:rPr>
          <w:rFonts w:ascii="Arial" w:hAnsi="Arial" w:cs="Arial"/>
          <w:sz w:val="18"/>
          <w:szCs w:val="18"/>
        </w:rPr>
        <w:t xml:space="preserve"> no. 25781/94, § 116.</w:t>
      </w:r>
    </w:p>
  </w:footnote>
  <w:footnote w:id="175">
    <w:p w14:paraId="28A0BB68"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38" w:history="1">
        <w:r w:rsidRPr="00560F13">
          <w:rPr>
            <w:rStyle w:val="Lienhypertexte"/>
            <w:rFonts w:ascii="Arial" w:hAnsi="Arial" w:cs="Arial"/>
            <w:i/>
            <w:color w:val="auto"/>
            <w:sz w:val="18"/>
            <w:szCs w:val="18"/>
          </w:rPr>
          <w:t>Georgia v. Russia</w:t>
        </w:r>
        <w:r w:rsidRPr="00560F13">
          <w:rPr>
            <w:rStyle w:val="Lienhypertexte"/>
            <w:rFonts w:ascii="Arial" w:hAnsi="Arial" w:cs="Arial"/>
            <w:color w:val="auto"/>
            <w:sz w:val="18"/>
            <w:szCs w:val="18"/>
          </w:rPr>
          <w:t xml:space="preserve"> (I) (just satisfaction)</w:t>
        </w:r>
      </w:hyperlink>
      <w:r w:rsidRPr="00560F13">
        <w:rPr>
          <w:rFonts w:ascii="Arial" w:hAnsi="Arial" w:cs="Arial"/>
          <w:sz w:val="18"/>
          <w:szCs w:val="18"/>
        </w:rPr>
        <w:t>, no. 13255/07, § 69, 31 January 2019</w:t>
      </w:r>
    </w:p>
  </w:footnote>
  <w:footnote w:id="176">
    <w:p w14:paraId="394252DB" w14:textId="77777777" w:rsidR="000C68FA" w:rsidRPr="00560F13" w:rsidRDefault="000C68FA" w:rsidP="002218C4">
      <w:pPr>
        <w:pStyle w:val="SingleTxtG"/>
        <w:spacing w:after="0" w:line="200" w:lineRule="exact"/>
        <w:ind w:left="0" w:right="0"/>
        <w:rPr>
          <w:rFonts w:ascii="Arial" w:hAnsi="Arial" w:cs="Arial"/>
          <w:sz w:val="18"/>
          <w:szCs w:val="18"/>
          <w:shd w:val="clear" w:color="auto" w:fill="D9D9D9" w:themeFill="background1" w:themeFillShade="D9"/>
        </w:rPr>
      </w:pPr>
      <w:r w:rsidRPr="00560F13">
        <w:rPr>
          <w:rStyle w:val="Appelnotedebasdep"/>
          <w:rFonts w:ascii="Arial" w:hAnsi="Arial" w:cs="Arial"/>
        </w:rPr>
        <w:footnoteRef/>
      </w:r>
      <w:r w:rsidRPr="00560F13">
        <w:rPr>
          <w:rFonts w:ascii="Arial" w:hAnsi="Arial" w:cs="Arial"/>
          <w:sz w:val="18"/>
          <w:szCs w:val="18"/>
        </w:rPr>
        <w:t xml:space="preserve"> </w:t>
      </w:r>
      <w:hyperlink r:id="rId239" w:anchor="_Toc388884484" w:history="1">
        <w:r w:rsidRPr="00560F13">
          <w:rPr>
            <w:rStyle w:val="Lienhypertexte"/>
            <w:rFonts w:ascii="Arial" w:hAnsi="Arial" w:cs="Arial"/>
            <w:i/>
            <w:sz w:val="18"/>
            <w:szCs w:val="18"/>
          </w:rPr>
          <w:t>Georgia v. Russia</w:t>
        </w:r>
        <w:r w:rsidRPr="00560F13">
          <w:rPr>
            <w:rStyle w:val="Lienhypertexte"/>
            <w:rFonts w:ascii="Arial" w:hAnsi="Arial" w:cs="Arial"/>
            <w:sz w:val="18"/>
            <w:szCs w:val="18"/>
          </w:rPr>
          <w:t xml:space="preserve"> (I)</w:t>
        </w:r>
      </w:hyperlink>
      <w:r w:rsidRPr="00560F13">
        <w:rPr>
          <w:rFonts w:ascii="Arial" w:hAnsi="Arial" w:cs="Arial"/>
          <w:sz w:val="18"/>
          <w:szCs w:val="18"/>
        </w:rPr>
        <w:t>, quoted above, §§ 83-84.</w:t>
      </w:r>
      <w:bookmarkStart w:id="70" w:name="_Hlk63238899"/>
      <w:r w:rsidRPr="00560F13">
        <w:rPr>
          <w:rFonts w:ascii="Arial" w:hAnsi="Arial" w:cs="Arial"/>
          <w:sz w:val="18"/>
          <w:szCs w:val="18"/>
        </w:rPr>
        <w:t xml:space="preserve"> </w:t>
      </w:r>
      <w:hyperlink r:id="rId240" w:history="1">
        <w:r w:rsidRPr="00560F13">
          <w:rPr>
            <w:rFonts w:ascii="Arial" w:hAnsi="Arial" w:cs="Arial"/>
            <w:i/>
            <w:iCs/>
            <w:sz w:val="18"/>
            <w:szCs w:val="18"/>
          </w:rPr>
          <w:t>Georgia v. Russia</w:t>
        </w:r>
      </w:hyperlink>
      <w:r w:rsidRPr="00560F13">
        <w:rPr>
          <w:rFonts w:ascii="Arial" w:hAnsi="Arial" w:cs="Arial"/>
          <w:sz w:val="18"/>
          <w:szCs w:val="18"/>
        </w:rPr>
        <w:t xml:space="preserve"> (II) (merits) no. 38263/08, §§ 63-66, 21 January 2021.</w:t>
      </w:r>
      <w:bookmarkEnd w:id="70"/>
    </w:p>
  </w:footnote>
  <w:footnote w:id="177">
    <w:p w14:paraId="40717FBD"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Philip Leach, Costas Paraskeva, Gordana Uzelac, International Human Rights and Fact-Finding; An Analysis of the fact-finding missions conducted by the European Commission and the European Court of Human Rights, Human Rights and Social Justice, Research Institute, February 2009, pg 45.</w:t>
      </w:r>
    </w:p>
  </w:footnote>
  <w:footnote w:id="178">
    <w:p w14:paraId="5D3E49E1"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Ibid.</w:t>
      </w:r>
    </w:p>
  </w:footnote>
  <w:footnote w:id="179">
    <w:p w14:paraId="39A51CDF"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Ibid.</w:t>
      </w:r>
    </w:p>
  </w:footnote>
  <w:footnote w:id="180">
    <w:p w14:paraId="0E517294"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Annex to the </w:t>
      </w:r>
      <w:hyperlink r:id="rId241" w:history="1">
        <w:r w:rsidRPr="00560F13">
          <w:rPr>
            <w:rStyle w:val="Lienhypertexte"/>
            <w:rFonts w:ascii="Arial" w:hAnsi="Arial" w:cs="Arial"/>
            <w:sz w:val="18"/>
            <w:szCs w:val="18"/>
          </w:rPr>
          <w:t>Rules of Court</w:t>
        </w:r>
      </w:hyperlink>
      <w:r w:rsidRPr="00560F13">
        <w:rPr>
          <w:rFonts w:ascii="Arial" w:hAnsi="Arial" w:cs="Arial"/>
          <w:sz w:val="18"/>
          <w:szCs w:val="18"/>
        </w:rPr>
        <w:t>, Rule A1 (3)</w:t>
      </w:r>
    </w:p>
  </w:footnote>
  <w:footnote w:id="181">
    <w:p w14:paraId="65A549E4"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Rule A1 § 3 of the Annex to the </w:t>
      </w:r>
      <w:hyperlink r:id="rId242" w:history="1">
        <w:r w:rsidRPr="00560F13">
          <w:rPr>
            <w:rStyle w:val="Lienhypertexte"/>
            <w:rFonts w:ascii="Arial" w:hAnsi="Arial" w:cs="Arial"/>
            <w:sz w:val="18"/>
            <w:szCs w:val="18"/>
          </w:rPr>
          <w:t>Rules of Court</w:t>
        </w:r>
      </w:hyperlink>
      <w:r w:rsidRPr="00560F13">
        <w:rPr>
          <w:rFonts w:ascii="Arial" w:hAnsi="Arial" w:cs="Arial"/>
          <w:sz w:val="18"/>
          <w:szCs w:val="18"/>
        </w:rPr>
        <w:t>.</w:t>
      </w:r>
    </w:p>
  </w:footnote>
  <w:footnote w:id="182">
    <w:p w14:paraId="11109D87" w14:textId="77777777" w:rsidR="000C68FA" w:rsidRPr="00560F13" w:rsidRDefault="000C68FA" w:rsidP="002218C4">
      <w:pPr>
        <w:pStyle w:val="SingleTxtG"/>
        <w:spacing w:after="0" w:line="200" w:lineRule="exact"/>
        <w:ind w:left="0" w:right="0"/>
        <w:rPr>
          <w:rFonts w:ascii="Arial" w:hAnsi="Arial" w:cs="Arial"/>
          <w:color w:val="FF0000"/>
          <w:sz w:val="18"/>
          <w:szCs w:val="18"/>
          <w:shd w:val="clear" w:color="auto" w:fill="D9D9D9" w:themeFill="background1" w:themeFillShade="D9"/>
        </w:rPr>
      </w:pPr>
      <w:r w:rsidRPr="00560F13">
        <w:rPr>
          <w:rStyle w:val="Appelnotedebasdep"/>
          <w:rFonts w:ascii="Arial" w:hAnsi="Arial" w:cs="Arial"/>
        </w:rPr>
        <w:footnoteRef/>
      </w:r>
      <w:r w:rsidRPr="00560F13">
        <w:rPr>
          <w:rFonts w:ascii="Arial" w:hAnsi="Arial" w:cs="Arial"/>
          <w:sz w:val="18"/>
          <w:szCs w:val="18"/>
        </w:rPr>
        <w:t xml:space="preserve"> </w:t>
      </w:r>
      <w:hyperlink r:id="rId243" w:history="1">
        <w:r w:rsidRPr="00560F13">
          <w:rPr>
            <w:rFonts w:ascii="Arial" w:hAnsi="Arial" w:cs="Arial"/>
            <w:i/>
            <w:iCs/>
            <w:sz w:val="18"/>
            <w:szCs w:val="18"/>
            <w:u w:val="single"/>
          </w:rPr>
          <w:t>Georgia v. Russia</w:t>
        </w:r>
      </w:hyperlink>
      <w:r w:rsidRPr="00560F13">
        <w:rPr>
          <w:rFonts w:ascii="Arial" w:hAnsi="Arial" w:cs="Arial"/>
          <w:sz w:val="18"/>
          <w:szCs w:val="18"/>
          <w:u w:val="single"/>
        </w:rPr>
        <w:t xml:space="preserve"> (II) (merits)</w:t>
      </w:r>
      <w:r w:rsidRPr="00560F13">
        <w:rPr>
          <w:rFonts w:ascii="Arial" w:hAnsi="Arial" w:cs="Arial"/>
          <w:sz w:val="18"/>
          <w:szCs w:val="18"/>
        </w:rPr>
        <w:t xml:space="preserve"> no. 38263/08, § 74, 21 January 2021.</w:t>
      </w:r>
    </w:p>
  </w:footnote>
  <w:footnote w:id="183">
    <w:p w14:paraId="4577F486"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Ibid., Rule A5 § 1; the same rule applies to experts and other persons as well.</w:t>
      </w:r>
    </w:p>
  </w:footnote>
  <w:footnote w:id="184">
    <w:p w14:paraId="25EC802A"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Rule 37 § 2 of the </w:t>
      </w:r>
      <w:hyperlink r:id="rId244" w:history="1">
        <w:r w:rsidRPr="00560F13">
          <w:rPr>
            <w:rStyle w:val="Lienhypertexte"/>
            <w:rFonts w:ascii="Arial" w:hAnsi="Arial" w:cs="Arial"/>
            <w:sz w:val="18"/>
            <w:szCs w:val="18"/>
          </w:rPr>
          <w:t>Rules of Court</w:t>
        </w:r>
      </w:hyperlink>
      <w:r w:rsidRPr="00560F13">
        <w:rPr>
          <w:rFonts w:ascii="Arial" w:hAnsi="Arial" w:cs="Arial"/>
          <w:sz w:val="18"/>
          <w:szCs w:val="18"/>
        </w:rPr>
        <w:t xml:space="preserve"> and Rule A5 § 4 of the Annex.</w:t>
      </w:r>
    </w:p>
  </w:footnote>
  <w:footnote w:id="185">
    <w:p w14:paraId="7CFD89AB"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Ibid., Rule A4 § 2 of the Annex.</w:t>
      </w:r>
    </w:p>
  </w:footnote>
  <w:footnote w:id="186">
    <w:p w14:paraId="25977117"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45" w:history="1">
        <w:r w:rsidRPr="00560F13">
          <w:rPr>
            <w:rStyle w:val="Lienhypertexte"/>
            <w:rFonts w:ascii="Arial" w:hAnsi="Arial" w:cs="Arial"/>
            <w:i/>
            <w:iCs/>
            <w:sz w:val="18"/>
            <w:szCs w:val="18"/>
          </w:rPr>
          <w:t>Cyprus v. Turkey [GC]</w:t>
        </w:r>
      </w:hyperlink>
      <w:r w:rsidRPr="00560F13">
        <w:rPr>
          <w:rFonts w:ascii="Arial" w:hAnsi="Arial" w:cs="Arial"/>
          <w:i/>
          <w:sz w:val="18"/>
          <w:szCs w:val="18"/>
        </w:rPr>
        <w:t>,</w:t>
      </w:r>
      <w:r w:rsidRPr="00560F13">
        <w:rPr>
          <w:rFonts w:ascii="Arial" w:hAnsi="Arial" w:cs="Arial"/>
          <w:sz w:val="18"/>
          <w:szCs w:val="18"/>
        </w:rPr>
        <w:t xml:space="preserve"> quoted above, §§ 110 and 339.</w:t>
      </w:r>
    </w:p>
  </w:footnote>
  <w:footnote w:id="187">
    <w:p w14:paraId="3DDA3E85"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In the case of Georgia v. Russia (II) the Court heard a total of 33 witnesses; 15 had been called by the applicant Government, 12 by the respondent Government and 6 directly by the Court. </w:t>
      </w:r>
      <w:hyperlink r:id="rId246" w:history="1">
        <w:r w:rsidRPr="00560F13">
          <w:rPr>
            <w:rFonts w:ascii="Arial" w:hAnsi="Arial" w:cs="Arial"/>
            <w:i/>
            <w:iCs/>
            <w:sz w:val="18"/>
            <w:szCs w:val="18"/>
          </w:rPr>
          <w:t>Georgia v. Russia</w:t>
        </w:r>
      </w:hyperlink>
      <w:r w:rsidRPr="00560F13">
        <w:rPr>
          <w:rFonts w:ascii="Arial" w:hAnsi="Arial" w:cs="Arial"/>
          <w:sz w:val="18"/>
          <w:szCs w:val="18"/>
        </w:rPr>
        <w:t xml:space="preserve"> (II) (merits) no. 38263/08, § 74, 21 January 2021.</w:t>
      </w:r>
    </w:p>
  </w:footnote>
  <w:footnote w:id="188">
    <w:p w14:paraId="789D52DF"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Rule A5 § 6 of the Annex to the </w:t>
      </w:r>
      <w:hyperlink r:id="rId247" w:history="1">
        <w:r w:rsidRPr="00560F13">
          <w:rPr>
            <w:rStyle w:val="Lienhypertexte"/>
            <w:rFonts w:ascii="Arial" w:hAnsi="Arial" w:cs="Arial"/>
            <w:sz w:val="18"/>
            <w:szCs w:val="18"/>
          </w:rPr>
          <w:t>Rules of Court</w:t>
        </w:r>
      </w:hyperlink>
      <w:r w:rsidRPr="00560F13">
        <w:rPr>
          <w:rFonts w:ascii="Arial" w:hAnsi="Arial" w:cs="Arial"/>
          <w:sz w:val="18"/>
          <w:szCs w:val="18"/>
        </w:rPr>
        <w:t>.</w:t>
      </w:r>
    </w:p>
  </w:footnote>
  <w:footnote w:id="189">
    <w:p w14:paraId="46813E0E"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Ibid., Rule A2 § 2.</w:t>
      </w:r>
    </w:p>
  </w:footnote>
  <w:footnote w:id="190">
    <w:p w14:paraId="67368177"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comments by Cyprus contained in document </w:t>
      </w:r>
      <w:hyperlink r:id="rId248" w:history="1">
        <w:r w:rsidRPr="00560F13">
          <w:rPr>
            <w:rStyle w:val="Lienhypertexte"/>
            <w:rFonts w:ascii="Arial" w:hAnsi="Arial" w:cs="Arial"/>
            <w:sz w:val="18"/>
            <w:szCs w:val="18"/>
          </w:rPr>
          <w:t>CDDH(2019)12</w:t>
        </w:r>
      </w:hyperlink>
      <w:r w:rsidRPr="00560F13">
        <w:rPr>
          <w:rStyle w:val="Lienhypertexte"/>
          <w:rFonts w:ascii="Arial" w:hAnsi="Arial" w:cs="Arial"/>
          <w:sz w:val="18"/>
          <w:szCs w:val="18"/>
        </w:rPr>
        <w:t xml:space="preserve">; </w:t>
      </w:r>
      <w:r w:rsidRPr="00560F13">
        <w:rPr>
          <w:rFonts w:ascii="Arial" w:hAnsi="Arial" w:cs="Arial"/>
          <w:sz w:val="18"/>
          <w:szCs w:val="18"/>
        </w:rPr>
        <w:t xml:space="preserve">Parliamentary Assembly </w:t>
      </w:r>
      <w:hyperlink r:id="rId249" w:history="1">
        <w:r w:rsidRPr="00560F13">
          <w:rPr>
            <w:rStyle w:val="Lienhypertexte"/>
            <w:rFonts w:ascii="Arial" w:hAnsi="Arial" w:cs="Arial"/>
            <w:sz w:val="18"/>
            <w:szCs w:val="18"/>
          </w:rPr>
          <w:t>Resolution 1571(2007)</w:t>
        </w:r>
      </w:hyperlink>
      <w:r w:rsidRPr="00560F13">
        <w:rPr>
          <w:rFonts w:ascii="Arial" w:hAnsi="Arial" w:cs="Arial"/>
          <w:sz w:val="18"/>
          <w:szCs w:val="18"/>
        </w:rPr>
        <w:t xml:space="preserve">, Council of Europe member states’ duty to co-operate with the European Court of Human Rights, called upon all member States to take positive measures to protect applicants, their lawyers or members of their families from reprisals by individuals or groups including, where appropriate, allowing applicants to participate in witness protection programmes, providing them with special police protection or granting threatened individuals and their families temporary protection or political asylum in an unbureaucratic manner, see § 17.2. </w:t>
      </w:r>
    </w:p>
  </w:footnote>
  <w:footnote w:id="191">
    <w:p w14:paraId="31119F07"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Rule A7 § 4 of the Annex to the </w:t>
      </w:r>
      <w:hyperlink r:id="rId250" w:history="1">
        <w:r w:rsidRPr="00560F13">
          <w:rPr>
            <w:rStyle w:val="Lienhypertexte"/>
            <w:rFonts w:ascii="Arial" w:hAnsi="Arial" w:cs="Arial"/>
            <w:sz w:val="18"/>
            <w:szCs w:val="18"/>
          </w:rPr>
          <w:t>Rules of Court</w:t>
        </w:r>
      </w:hyperlink>
      <w:r w:rsidRPr="00560F13">
        <w:rPr>
          <w:rFonts w:ascii="Arial" w:hAnsi="Arial" w:cs="Arial"/>
          <w:sz w:val="18"/>
          <w:szCs w:val="18"/>
        </w:rPr>
        <w:t>,</w:t>
      </w:r>
    </w:p>
  </w:footnote>
  <w:footnote w:id="192">
    <w:p w14:paraId="0C0E9F7F"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w:t>
      </w:r>
      <w:hyperlink r:id="rId251" w:history="1">
        <w:r w:rsidRPr="00560F13">
          <w:rPr>
            <w:rStyle w:val="Lienhypertexte"/>
            <w:rFonts w:ascii="Arial" w:hAnsi="Arial" w:cs="Arial"/>
            <w:sz w:val="18"/>
            <w:szCs w:val="18"/>
          </w:rPr>
          <w:t>Commission’s report</w:t>
        </w:r>
      </w:hyperlink>
      <w:r w:rsidRPr="00560F13">
        <w:rPr>
          <w:rFonts w:ascii="Arial" w:hAnsi="Arial" w:cs="Arial"/>
          <w:sz w:val="18"/>
          <w:szCs w:val="18"/>
        </w:rPr>
        <w:t xml:space="preserve"> in the case of </w:t>
      </w:r>
      <w:r w:rsidRPr="00560F13">
        <w:rPr>
          <w:rFonts w:ascii="Arial" w:hAnsi="Arial" w:cs="Arial"/>
          <w:i/>
          <w:sz w:val="18"/>
          <w:szCs w:val="18"/>
        </w:rPr>
        <w:t>Cyprus v. Turkey</w:t>
      </w:r>
      <w:r w:rsidRPr="00560F13">
        <w:rPr>
          <w:rFonts w:ascii="Arial" w:hAnsi="Arial" w:cs="Arial"/>
          <w:sz w:val="18"/>
          <w:szCs w:val="18"/>
        </w:rPr>
        <w:t xml:space="preserve">, §§ 33-47 and the judgment in the same case, §§ </w:t>
      </w:r>
      <w:r w:rsidRPr="00560F13">
        <w:rPr>
          <w:rStyle w:val="column"/>
          <w:rFonts w:ascii="Arial" w:hAnsi="Arial" w:cs="Arial"/>
          <w:sz w:val="18"/>
          <w:szCs w:val="18"/>
        </w:rPr>
        <w:t>105-118.</w:t>
      </w:r>
    </w:p>
  </w:footnote>
  <w:footnote w:id="193">
    <w:p w14:paraId="28097759"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52" w:history="1">
        <w:r w:rsidRPr="00560F13">
          <w:rPr>
            <w:rStyle w:val="Lienhypertexte"/>
            <w:rFonts w:ascii="Arial" w:hAnsi="Arial" w:cs="Arial"/>
            <w:i/>
            <w:sz w:val="18"/>
            <w:szCs w:val="18"/>
          </w:rPr>
          <w:t>Georgia v. Russia</w:t>
        </w:r>
        <w:r w:rsidRPr="00560F13">
          <w:rPr>
            <w:rStyle w:val="Lienhypertexte"/>
            <w:rFonts w:ascii="Arial" w:hAnsi="Arial" w:cs="Arial"/>
            <w:sz w:val="18"/>
            <w:szCs w:val="18"/>
          </w:rPr>
          <w:t xml:space="preserve"> (I)</w:t>
        </w:r>
      </w:hyperlink>
      <w:r w:rsidRPr="00560F13">
        <w:rPr>
          <w:rFonts w:ascii="Arial" w:hAnsi="Arial" w:cs="Arial"/>
          <w:sz w:val="18"/>
          <w:szCs w:val="18"/>
        </w:rPr>
        <w:t>, quoted above, §§ 90-92.</w:t>
      </w:r>
    </w:p>
  </w:footnote>
  <w:footnote w:id="194">
    <w:p w14:paraId="0E344B41"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Philip Leach, Costas Paraskeva, Gordana Uzelac, International Human Rights and Fact-Finding; An Analysis of the fact-finding missions conducted by the European Commission and the European Court of Human Rights, Human Rights and Social Justice, Research Institute, February 2009, pg 82.</w:t>
      </w:r>
    </w:p>
  </w:footnote>
  <w:footnote w:id="195">
    <w:p w14:paraId="0737BFC1"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53" w:anchor="{&quot;fulltext&quot;:[&quot;Taş&quot;],&quot;documentcollectionid2&quot;:[&quot;GRANDCHAMBER&quot;,&quot;CHAMBER&quot;],&quot;itemid&quot;:[&quot;001-58976&quot;]}" w:history="1">
        <w:r w:rsidRPr="00560F13">
          <w:rPr>
            <w:rStyle w:val="Lienhypertexte"/>
            <w:rFonts w:ascii="Arial" w:eastAsiaTheme="minorHAnsi" w:hAnsi="Arial" w:cs="Arial"/>
            <w:i/>
            <w:iCs/>
            <w:sz w:val="18"/>
            <w:szCs w:val="18"/>
            <w:lang w:val="en-US" w:eastAsia="en-US"/>
          </w:rPr>
          <w:t>Ta</w:t>
        </w:r>
        <w:r w:rsidRPr="00560F13">
          <w:rPr>
            <w:rStyle w:val="Lienhypertexte"/>
            <w:rFonts w:ascii="Arial" w:eastAsia="TimesNewRomanPS-ItalicMT" w:hAnsi="Arial" w:cs="Arial"/>
            <w:i/>
            <w:iCs/>
            <w:sz w:val="18"/>
            <w:szCs w:val="18"/>
            <w:lang w:val="en-US" w:eastAsia="en-US"/>
          </w:rPr>
          <w:t xml:space="preserve">ş </w:t>
        </w:r>
        <w:r w:rsidRPr="00560F13">
          <w:rPr>
            <w:rStyle w:val="Lienhypertexte"/>
            <w:rFonts w:ascii="Arial" w:eastAsiaTheme="minorHAnsi" w:hAnsi="Arial" w:cs="Arial"/>
            <w:i/>
            <w:iCs/>
            <w:sz w:val="18"/>
            <w:szCs w:val="18"/>
            <w:lang w:val="en-US" w:eastAsia="en-US"/>
          </w:rPr>
          <w:t>v. Turkey</w:t>
        </w:r>
      </w:hyperlink>
      <w:r w:rsidRPr="00560F13">
        <w:rPr>
          <w:rFonts w:ascii="Arial" w:hAnsi="Arial" w:cs="Arial"/>
          <w:color w:val="231F20"/>
          <w:sz w:val="18"/>
          <w:szCs w:val="18"/>
          <w:lang w:val="en-US"/>
        </w:rPr>
        <w:t xml:space="preserve">, quoted above, </w:t>
      </w:r>
      <w:r w:rsidRPr="00560F13">
        <w:rPr>
          <w:rFonts w:ascii="Arial" w:hAnsi="Arial" w:cs="Arial"/>
          <w:sz w:val="18"/>
          <w:szCs w:val="18"/>
        </w:rPr>
        <w:t>§</w:t>
      </w:r>
      <w:r w:rsidRPr="00560F13">
        <w:rPr>
          <w:rFonts w:ascii="Arial" w:hAnsi="Arial" w:cs="Arial"/>
          <w:color w:val="231F20"/>
          <w:sz w:val="18"/>
          <w:szCs w:val="18"/>
          <w:lang w:val="en-US"/>
        </w:rPr>
        <w:t xml:space="preserve"> 54.</w:t>
      </w:r>
    </w:p>
  </w:footnote>
  <w:footnote w:id="196">
    <w:p w14:paraId="00C3F901" w14:textId="77777777" w:rsidR="000C68FA" w:rsidRPr="00560F13" w:rsidRDefault="000C68FA" w:rsidP="002218C4">
      <w:pPr>
        <w:pStyle w:val="SingleTxtG"/>
        <w:spacing w:after="0" w:line="200" w:lineRule="exact"/>
        <w:ind w:left="0" w:right="0"/>
        <w:rPr>
          <w:rFonts w:ascii="Arial" w:hAnsi="Arial" w:cs="Arial"/>
          <w:color w:val="231F20"/>
          <w:sz w:val="18"/>
          <w:szCs w:val="18"/>
          <w:lang w:val="en-US"/>
        </w:rPr>
      </w:pPr>
      <w:r w:rsidRPr="00560F13">
        <w:rPr>
          <w:rStyle w:val="Appelnotedebasdep"/>
          <w:rFonts w:ascii="Arial" w:hAnsi="Arial" w:cs="Arial"/>
        </w:rPr>
        <w:footnoteRef/>
      </w:r>
      <w:r w:rsidRPr="00560F13">
        <w:rPr>
          <w:rFonts w:ascii="Arial" w:hAnsi="Arial" w:cs="Arial"/>
          <w:sz w:val="18"/>
          <w:szCs w:val="18"/>
        </w:rPr>
        <w:t xml:space="preserve"> Ibid.</w:t>
      </w:r>
      <w:r w:rsidRPr="00560F13">
        <w:rPr>
          <w:rFonts w:ascii="Arial" w:hAnsi="Arial" w:cs="Arial"/>
          <w:color w:val="231F20"/>
          <w:sz w:val="18"/>
          <w:szCs w:val="18"/>
          <w:lang w:val="en-US"/>
        </w:rPr>
        <w:t xml:space="preserve"> The Court found that the respondent State fell short of its obligations to furnish all the necessary facilities under Article 38 of the Convention due to the late submission of the information which had been requested repeatedly by the Commission which in turn deprived the Commission of the opportunity to summon witnesses with potentially significant evidence. </w:t>
      </w:r>
    </w:p>
  </w:footnote>
  <w:footnote w:id="197">
    <w:p w14:paraId="79343D14"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54" w:history="1">
        <w:r w:rsidRPr="00560F13">
          <w:rPr>
            <w:rStyle w:val="Lienhypertexte"/>
            <w:rFonts w:ascii="Arial" w:eastAsiaTheme="minorHAnsi" w:hAnsi="Arial" w:cs="Arial"/>
            <w:i/>
            <w:iCs/>
            <w:sz w:val="18"/>
            <w:szCs w:val="18"/>
            <w:lang w:val="en-US" w:eastAsia="en-US"/>
          </w:rPr>
          <w:t>Orhan v. Turkey</w:t>
        </w:r>
      </w:hyperlink>
      <w:r w:rsidRPr="00560F13">
        <w:rPr>
          <w:rFonts w:ascii="Arial" w:hAnsi="Arial" w:cs="Arial"/>
          <w:color w:val="231F20"/>
          <w:sz w:val="18"/>
          <w:szCs w:val="18"/>
          <w:lang w:val="en-US"/>
        </w:rPr>
        <w:t xml:space="preserve">, no. 25656/94, </w:t>
      </w:r>
      <w:r w:rsidRPr="00560F13">
        <w:rPr>
          <w:rFonts w:ascii="Arial" w:hAnsi="Arial" w:cs="Arial"/>
          <w:sz w:val="18"/>
          <w:szCs w:val="18"/>
        </w:rPr>
        <w:t>§</w:t>
      </w:r>
      <w:r w:rsidRPr="00560F13">
        <w:rPr>
          <w:rFonts w:ascii="Arial" w:hAnsi="Arial" w:cs="Arial"/>
          <w:color w:val="231F20"/>
          <w:sz w:val="18"/>
          <w:szCs w:val="18"/>
          <w:lang w:val="en-US"/>
        </w:rPr>
        <w:t xml:space="preserve"> 274, 18 June 2002. </w:t>
      </w:r>
    </w:p>
  </w:footnote>
  <w:footnote w:id="198">
    <w:p w14:paraId="64181E6D"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Rule 44 C inserted by the Court on 13 December 2004.</w:t>
      </w:r>
    </w:p>
  </w:footnote>
  <w:footnote w:id="199">
    <w:p w14:paraId="0C543236"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55" w:history="1">
        <w:r w:rsidRPr="00560F13">
          <w:rPr>
            <w:rStyle w:val="Lienhypertexte"/>
            <w:rFonts w:ascii="Arial" w:hAnsi="Arial" w:cs="Arial"/>
            <w:i/>
            <w:iCs/>
            <w:sz w:val="18"/>
            <w:szCs w:val="18"/>
          </w:rPr>
          <w:t>Denmark, Norway, Sweden and the Netherlands v. Greece</w:t>
        </w:r>
      </w:hyperlink>
      <w:r w:rsidRPr="00560F13">
        <w:rPr>
          <w:rFonts w:ascii="Arial" w:hAnsi="Arial" w:cs="Arial"/>
          <w:sz w:val="18"/>
          <w:szCs w:val="18"/>
        </w:rPr>
        <w:t>, quoted above.</w:t>
      </w:r>
    </w:p>
  </w:footnote>
  <w:footnote w:id="200">
    <w:p w14:paraId="151709B3"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56" w:history="1">
        <w:r w:rsidRPr="00560F13">
          <w:rPr>
            <w:rStyle w:val="Lienhypertexte"/>
            <w:rFonts w:ascii="Arial" w:eastAsiaTheme="minorHAnsi" w:hAnsi="Arial" w:cs="Arial"/>
            <w:i/>
            <w:iCs/>
            <w:sz w:val="18"/>
            <w:szCs w:val="18"/>
            <w:lang w:val="en-US" w:eastAsia="en-US"/>
          </w:rPr>
          <w:t>Cyprus v Turkey</w:t>
        </w:r>
      </w:hyperlink>
      <w:r w:rsidRPr="00560F13">
        <w:rPr>
          <w:rFonts w:ascii="Arial" w:hAnsi="Arial" w:cs="Arial"/>
          <w:color w:val="231F20"/>
          <w:sz w:val="18"/>
          <w:szCs w:val="18"/>
          <w:lang w:val="en-US"/>
        </w:rPr>
        <w:t xml:space="preserve">, nos. 6780/74 and 6950/75, 26.5.75 </w:t>
      </w:r>
      <w:r w:rsidRPr="00560F13">
        <w:rPr>
          <w:rFonts w:ascii="Arial" w:hAnsi="Arial" w:cs="Arial"/>
          <w:i/>
          <w:iCs/>
          <w:color w:val="231F20"/>
          <w:sz w:val="18"/>
          <w:szCs w:val="18"/>
          <w:lang w:val="en-US"/>
        </w:rPr>
        <w:t>et seq.</w:t>
      </w:r>
      <w:r w:rsidRPr="00560F13">
        <w:rPr>
          <w:rFonts w:ascii="Arial" w:hAnsi="Arial" w:cs="Arial"/>
          <w:color w:val="231F20"/>
          <w:sz w:val="18"/>
          <w:szCs w:val="18"/>
          <w:lang w:val="en-US"/>
        </w:rPr>
        <w:t>, Commission Report of 10.7.76</w:t>
      </w:r>
    </w:p>
  </w:footnote>
  <w:footnote w:id="201">
    <w:p w14:paraId="2FDBE7D4"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Philip Leach, Costas Paraskeva, Gordana Uzelac, International Human Rights and Fact-Finding; An Analysis of the fact-finding missions conducted by the European Commission and the European Court of Human Rights, Human Rights and Social Justice, Research Institute, February 2009, page 45.</w:t>
      </w:r>
    </w:p>
  </w:footnote>
  <w:footnote w:id="202">
    <w:p w14:paraId="225974A7"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57" w:history="1">
        <w:r w:rsidRPr="00560F13">
          <w:rPr>
            <w:rStyle w:val="Lienhypertexte"/>
            <w:rFonts w:ascii="Arial" w:eastAsiaTheme="minorHAnsi" w:hAnsi="Arial" w:cs="Arial"/>
            <w:i/>
            <w:iCs/>
            <w:sz w:val="18"/>
            <w:szCs w:val="18"/>
            <w:lang w:val="en-US" w:eastAsia="en-US"/>
          </w:rPr>
          <w:t>Cyprus v. Turkey</w:t>
        </w:r>
      </w:hyperlink>
      <w:r w:rsidRPr="00560F13">
        <w:rPr>
          <w:rFonts w:ascii="Arial" w:hAnsi="Arial" w:cs="Arial"/>
          <w:color w:val="231F20"/>
          <w:sz w:val="18"/>
          <w:szCs w:val="18"/>
          <w:lang w:val="en-US"/>
        </w:rPr>
        <w:t xml:space="preserve">, nos. 6780/74 and 6950/75, 26.5.75 </w:t>
      </w:r>
      <w:r w:rsidRPr="00560F13">
        <w:rPr>
          <w:rFonts w:ascii="Arial" w:hAnsi="Arial" w:cs="Arial"/>
          <w:i/>
          <w:iCs/>
          <w:color w:val="231F20"/>
          <w:sz w:val="18"/>
          <w:szCs w:val="18"/>
          <w:lang w:val="en-US"/>
        </w:rPr>
        <w:t>et seq.</w:t>
      </w:r>
      <w:r w:rsidRPr="00560F13">
        <w:rPr>
          <w:rFonts w:ascii="Arial" w:hAnsi="Arial" w:cs="Arial"/>
          <w:color w:val="231F20"/>
          <w:sz w:val="18"/>
          <w:szCs w:val="18"/>
          <w:lang w:val="en-US"/>
        </w:rPr>
        <w:t xml:space="preserve">, Commission Report of 10.7.76; </w:t>
      </w:r>
    </w:p>
  </w:footnote>
  <w:footnote w:id="203">
    <w:p w14:paraId="5CDCECD4"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58" w:history="1">
        <w:r w:rsidRPr="00560F13">
          <w:rPr>
            <w:rStyle w:val="Lienhypertexte"/>
            <w:rFonts w:ascii="Arial" w:hAnsi="Arial" w:cs="Arial"/>
            <w:sz w:val="18"/>
            <w:szCs w:val="18"/>
          </w:rPr>
          <w:t>Commission Report</w:t>
        </w:r>
      </w:hyperlink>
      <w:r w:rsidRPr="00560F13">
        <w:rPr>
          <w:rFonts w:ascii="Arial" w:hAnsi="Arial" w:cs="Arial"/>
          <w:sz w:val="18"/>
          <w:szCs w:val="18"/>
        </w:rPr>
        <w:t xml:space="preserve"> in the case of </w:t>
      </w:r>
      <w:r w:rsidRPr="00560F13">
        <w:rPr>
          <w:rFonts w:ascii="Arial" w:hAnsi="Arial" w:cs="Arial"/>
          <w:i/>
          <w:iCs/>
          <w:sz w:val="18"/>
          <w:szCs w:val="18"/>
          <w:lang w:val="en-US"/>
        </w:rPr>
        <w:t>Denmark, Norway, Sweden and the Netherlands v Greece</w:t>
      </w:r>
      <w:r w:rsidRPr="00560F13">
        <w:rPr>
          <w:rStyle w:val="Lienhypertexte"/>
          <w:rFonts w:ascii="Arial" w:eastAsiaTheme="minorHAnsi" w:hAnsi="Arial" w:cs="Arial"/>
          <w:sz w:val="18"/>
          <w:szCs w:val="18"/>
          <w:lang w:val="en-US" w:eastAsia="en-US"/>
        </w:rPr>
        <w:t xml:space="preserve">, </w:t>
      </w:r>
      <w:r w:rsidRPr="00560F13">
        <w:rPr>
          <w:rFonts w:ascii="Arial" w:hAnsi="Arial" w:cs="Arial"/>
          <w:sz w:val="18"/>
          <w:szCs w:val="18"/>
        </w:rPr>
        <w:t>no.3321/67, no.3322/67, no. 3323/67, no.3344/67, 5 November 1969.</w:t>
      </w:r>
    </w:p>
  </w:footnote>
  <w:footnote w:id="204">
    <w:p w14:paraId="227669C4"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59" w:history="1">
        <w:r w:rsidRPr="00560F13">
          <w:rPr>
            <w:rStyle w:val="Lienhypertexte"/>
            <w:rFonts w:ascii="Arial" w:eastAsiaTheme="minorHAnsi" w:hAnsi="Arial" w:cs="Arial"/>
            <w:i/>
            <w:iCs/>
            <w:sz w:val="18"/>
            <w:szCs w:val="18"/>
            <w:lang w:val="en-US" w:eastAsia="en-US"/>
          </w:rPr>
          <w:t>Shamayev v. Georgia and Russia</w:t>
        </w:r>
      </w:hyperlink>
      <w:r w:rsidRPr="00560F13">
        <w:rPr>
          <w:rFonts w:ascii="Arial" w:hAnsi="Arial" w:cs="Arial"/>
          <w:color w:val="231F20"/>
          <w:sz w:val="18"/>
          <w:szCs w:val="18"/>
          <w:lang w:val="en-US"/>
        </w:rPr>
        <w:t xml:space="preserve">, no. 36378/02, </w:t>
      </w:r>
      <w:r w:rsidRPr="00560F13">
        <w:rPr>
          <w:rFonts w:ascii="Arial" w:hAnsi="Arial" w:cs="Arial"/>
          <w:sz w:val="18"/>
          <w:szCs w:val="18"/>
        </w:rPr>
        <w:t xml:space="preserve">§§ </w:t>
      </w:r>
      <w:r w:rsidRPr="00560F13">
        <w:rPr>
          <w:rFonts w:ascii="Arial" w:hAnsi="Arial" w:cs="Arial"/>
          <w:color w:val="231F20"/>
          <w:sz w:val="18"/>
          <w:szCs w:val="18"/>
          <w:lang w:val="en-US"/>
        </w:rPr>
        <w:t xml:space="preserve">26-49, 12 April 2005. </w:t>
      </w:r>
    </w:p>
  </w:footnote>
  <w:footnote w:id="205">
    <w:p w14:paraId="33C45B7F"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60" w:history="1">
        <w:r w:rsidRPr="00560F13">
          <w:rPr>
            <w:rStyle w:val="Lienhypertexte"/>
            <w:rFonts w:ascii="Arial" w:hAnsi="Arial" w:cs="Arial"/>
            <w:i/>
            <w:sz w:val="18"/>
            <w:szCs w:val="18"/>
          </w:rPr>
          <w:t>Cyprus v. Turkey (just satisfaction) [GC]</w:t>
        </w:r>
      </w:hyperlink>
      <w:r w:rsidRPr="00560F13">
        <w:rPr>
          <w:rFonts w:ascii="Arial" w:hAnsi="Arial" w:cs="Arial"/>
          <w:sz w:val="18"/>
          <w:szCs w:val="18"/>
        </w:rPr>
        <w:t>, no. 25781/94, 12 May 2014.</w:t>
      </w:r>
    </w:p>
  </w:footnote>
  <w:footnote w:id="206">
    <w:p w14:paraId="0EF6E211"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Ibid., §§ 40-46.</w:t>
      </w:r>
    </w:p>
  </w:footnote>
  <w:footnote w:id="207">
    <w:p w14:paraId="304B723B"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Ibid., §§ 43-45, 12 May 2014. See also </w:t>
      </w:r>
      <w:hyperlink r:id="rId261" w:history="1">
        <w:r w:rsidRPr="00560F13">
          <w:rPr>
            <w:rStyle w:val="Lienhypertexte"/>
            <w:rFonts w:ascii="Arial" w:hAnsi="Arial" w:cs="Arial"/>
            <w:i/>
            <w:sz w:val="18"/>
            <w:szCs w:val="18"/>
          </w:rPr>
          <w:t>Georgia v. Russia</w:t>
        </w:r>
        <w:r w:rsidRPr="00560F13">
          <w:rPr>
            <w:rStyle w:val="Lienhypertexte"/>
            <w:rFonts w:ascii="Arial" w:hAnsi="Arial" w:cs="Arial"/>
            <w:sz w:val="18"/>
            <w:szCs w:val="18"/>
          </w:rPr>
          <w:t xml:space="preserve"> (I) (just satisfaction)</w:t>
        </w:r>
      </w:hyperlink>
      <w:r w:rsidRPr="00560F13">
        <w:rPr>
          <w:rFonts w:ascii="Arial" w:hAnsi="Arial" w:cs="Arial"/>
          <w:sz w:val="18"/>
          <w:szCs w:val="18"/>
        </w:rPr>
        <w:t>, no. 13255/07, § 22, 31 January 2019</w:t>
      </w:r>
    </w:p>
  </w:footnote>
  <w:footnote w:id="208">
    <w:p w14:paraId="596A02EB"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r w:rsidRPr="00560F13">
        <w:rPr>
          <w:rStyle w:val="sb8d990e2"/>
          <w:rFonts w:ascii="Arial" w:hAnsi="Arial" w:cs="Arial"/>
          <w:sz w:val="18"/>
          <w:szCs w:val="18"/>
        </w:rPr>
        <w:t>Rule 46 (e).</w:t>
      </w:r>
    </w:p>
  </w:footnote>
  <w:footnote w:id="209">
    <w:p w14:paraId="52FEE822"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Rule 60 as amended by the Court on 13 December 2004.</w:t>
      </w:r>
    </w:p>
  </w:footnote>
  <w:footnote w:id="210">
    <w:p w14:paraId="181C365F" w14:textId="77777777" w:rsidR="000C68FA" w:rsidRPr="00560F13" w:rsidRDefault="000C68FA" w:rsidP="002218C4">
      <w:pPr>
        <w:pStyle w:val="SingleTxtG"/>
        <w:spacing w:after="0" w:line="200" w:lineRule="exact"/>
        <w:ind w:left="0" w:right="0"/>
        <w:rPr>
          <w:rFonts w:ascii="Arial" w:hAnsi="Arial" w:cs="Arial"/>
          <w:b/>
          <w:bCs/>
          <w:color w:val="FF0000"/>
          <w:sz w:val="18"/>
          <w:szCs w:val="18"/>
          <w:shd w:val="clear" w:color="auto" w:fill="D9D9D9" w:themeFill="background1" w:themeFillShade="D9"/>
        </w:rPr>
      </w:pPr>
      <w:r w:rsidRPr="00560F13">
        <w:rPr>
          <w:rStyle w:val="Appelnotedebasdep"/>
          <w:rFonts w:ascii="Arial" w:hAnsi="Arial" w:cs="Arial"/>
        </w:rPr>
        <w:footnoteRef/>
      </w:r>
      <w:r w:rsidRPr="00560F13">
        <w:rPr>
          <w:rFonts w:ascii="Arial" w:hAnsi="Arial" w:cs="Arial"/>
          <w:sz w:val="18"/>
          <w:szCs w:val="18"/>
        </w:rPr>
        <w:t xml:space="preserve"> </w:t>
      </w:r>
      <w:hyperlink r:id="rId262" w:history="1">
        <w:r w:rsidRPr="00560F13">
          <w:rPr>
            <w:rStyle w:val="Lienhypertexte"/>
            <w:rFonts w:ascii="Arial" w:hAnsi="Arial" w:cs="Arial"/>
            <w:i/>
            <w:sz w:val="18"/>
            <w:szCs w:val="18"/>
          </w:rPr>
          <w:t>Cyprus v. Turkey (just satisfaction) [GC]</w:t>
        </w:r>
      </w:hyperlink>
      <w:r w:rsidRPr="00560F13">
        <w:rPr>
          <w:rFonts w:ascii="Arial" w:hAnsi="Arial" w:cs="Arial"/>
          <w:sz w:val="18"/>
          <w:szCs w:val="18"/>
        </w:rPr>
        <w:t xml:space="preserve">, no. 25781/94, §43, 12 May 2014; </w:t>
      </w:r>
      <w:r w:rsidRPr="00560F13">
        <w:rPr>
          <w:rFonts w:ascii="Arial" w:hAnsi="Arial" w:cs="Arial"/>
          <w:i/>
          <w:sz w:val="18"/>
          <w:szCs w:val="18"/>
        </w:rPr>
        <w:t xml:space="preserve">Georgia v. Russia (I) </w:t>
      </w:r>
      <w:r w:rsidRPr="00560F13">
        <w:rPr>
          <w:rFonts w:ascii="Arial" w:hAnsi="Arial" w:cs="Arial"/>
          <w:sz w:val="18"/>
          <w:szCs w:val="18"/>
        </w:rPr>
        <w:t xml:space="preserve">(just satisfaction) [GC], no. 13255/07, § 20, 29 January 2019; </w:t>
      </w:r>
      <w:hyperlink r:id="rId263" w:history="1">
        <w:r w:rsidRPr="00560F13">
          <w:rPr>
            <w:rFonts w:ascii="Arial" w:hAnsi="Arial" w:cs="Arial"/>
            <w:i/>
            <w:iCs/>
            <w:sz w:val="18"/>
            <w:szCs w:val="18"/>
          </w:rPr>
          <w:t>Georgia v. Russia</w:t>
        </w:r>
      </w:hyperlink>
      <w:r w:rsidRPr="00560F13">
        <w:rPr>
          <w:rFonts w:ascii="Arial" w:hAnsi="Arial" w:cs="Arial"/>
          <w:sz w:val="18"/>
          <w:szCs w:val="18"/>
        </w:rPr>
        <w:t xml:space="preserve"> (II) (merits) no. 38263/08, § 350, 21 January 2021.</w:t>
      </w:r>
    </w:p>
  </w:footnote>
  <w:footnote w:id="211">
    <w:p w14:paraId="0D5EA212"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Ibid, §§ 43. See also </w:t>
      </w:r>
      <w:hyperlink r:id="rId264" w:history="1">
        <w:r w:rsidRPr="00560F13">
          <w:rPr>
            <w:rStyle w:val="Lienhypertexte"/>
            <w:rFonts w:ascii="Arial" w:hAnsi="Arial" w:cs="Arial"/>
            <w:i/>
            <w:sz w:val="18"/>
            <w:szCs w:val="18"/>
          </w:rPr>
          <w:t>Georgia v. Russia</w:t>
        </w:r>
        <w:r w:rsidRPr="00560F13">
          <w:rPr>
            <w:rStyle w:val="Lienhypertexte"/>
            <w:rFonts w:ascii="Arial" w:hAnsi="Arial" w:cs="Arial"/>
            <w:sz w:val="18"/>
            <w:szCs w:val="18"/>
          </w:rPr>
          <w:t xml:space="preserve"> (I) (just satisfaction)</w:t>
        </w:r>
      </w:hyperlink>
      <w:r w:rsidRPr="00560F13">
        <w:rPr>
          <w:rFonts w:ascii="Arial" w:hAnsi="Arial" w:cs="Arial"/>
          <w:sz w:val="18"/>
          <w:szCs w:val="18"/>
        </w:rPr>
        <w:t>, no. 13255/07, § 22, 31 January 2019</w:t>
      </w:r>
    </w:p>
  </w:footnote>
  <w:footnote w:id="212">
    <w:p w14:paraId="027C51ED"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65" w:history="1">
        <w:r w:rsidRPr="00560F13">
          <w:rPr>
            <w:rStyle w:val="Lienhypertexte"/>
            <w:rFonts w:ascii="Arial" w:hAnsi="Arial" w:cs="Arial"/>
            <w:i/>
            <w:color w:val="auto"/>
            <w:sz w:val="18"/>
            <w:szCs w:val="18"/>
          </w:rPr>
          <w:t>Georgia v. Russia</w:t>
        </w:r>
        <w:r w:rsidRPr="00560F13">
          <w:rPr>
            <w:rStyle w:val="Lienhypertexte"/>
            <w:rFonts w:ascii="Arial" w:hAnsi="Arial" w:cs="Arial"/>
            <w:color w:val="auto"/>
            <w:sz w:val="18"/>
            <w:szCs w:val="18"/>
          </w:rPr>
          <w:t xml:space="preserve"> (I) (just satisfaction)</w:t>
        </w:r>
      </w:hyperlink>
      <w:r w:rsidRPr="00560F13">
        <w:rPr>
          <w:rFonts w:ascii="Arial" w:hAnsi="Arial" w:cs="Arial"/>
          <w:sz w:val="18"/>
          <w:szCs w:val="18"/>
        </w:rPr>
        <w:t>, no. 13255/07, § 55, 31 January 2019.</w:t>
      </w:r>
    </w:p>
  </w:footnote>
  <w:footnote w:id="213">
    <w:p w14:paraId="765FAC37"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Ibid. § 28.</w:t>
      </w:r>
    </w:p>
  </w:footnote>
  <w:footnote w:id="214">
    <w:p w14:paraId="4F5E9FE2"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66" w:history="1">
        <w:r w:rsidRPr="00560F13">
          <w:rPr>
            <w:rStyle w:val="Lienhypertexte"/>
            <w:rFonts w:ascii="Arial" w:hAnsi="Arial" w:cs="Arial"/>
            <w:i/>
            <w:color w:val="auto"/>
            <w:sz w:val="18"/>
            <w:szCs w:val="18"/>
          </w:rPr>
          <w:t>Georgia v. Russia</w:t>
        </w:r>
        <w:r w:rsidRPr="00560F13">
          <w:rPr>
            <w:rStyle w:val="Lienhypertexte"/>
            <w:rFonts w:ascii="Arial" w:hAnsi="Arial" w:cs="Arial"/>
            <w:color w:val="auto"/>
            <w:sz w:val="18"/>
            <w:szCs w:val="18"/>
          </w:rPr>
          <w:t xml:space="preserve"> (I) (just satisfaction)</w:t>
        </w:r>
      </w:hyperlink>
      <w:r w:rsidRPr="00560F13">
        <w:rPr>
          <w:rFonts w:ascii="Arial" w:hAnsi="Arial" w:cs="Arial"/>
          <w:sz w:val="18"/>
          <w:szCs w:val="18"/>
        </w:rPr>
        <w:t>, no. 13255/07, §§ 56, 57, 31 January 2019.</w:t>
      </w:r>
    </w:p>
  </w:footnote>
  <w:footnote w:id="215">
    <w:p w14:paraId="7C289337"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r w:rsidRPr="00560F13">
        <w:rPr>
          <w:rStyle w:val="sb8d990e2"/>
          <w:rFonts w:ascii="Arial" w:hAnsi="Arial" w:cs="Arial"/>
          <w:color w:val="000000"/>
          <w:sz w:val="18"/>
          <w:szCs w:val="18"/>
        </w:rPr>
        <w:t>In the principal judgment the Court held that in the autumn of 2006 a “coordinated policy of arresting, detaining and expelling Georgian nationals” had been put in place in the Russian Federation “which amounted to an administrative practice for the purposes of Convention case</w:t>
      </w:r>
      <w:r w:rsidRPr="00560F13">
        <w:rPr>
          <w:rStyle w:val="sb8d990e2"/>
          <w:rFonts w:ascii="Arial" w:hAnsi="Arial" w:cs="Arial"/>
          <w:color w:val="000000"/>
          <w:sz w:val="18"/>
          <w:szCs w:val="18"/>
        </w:rPr>
        <w:noBreakHyphen/>
        <w:t xml:space="preserve">law”, see </w:t>
      </w:r>
      <w:hyperlink r:id="rId267" w:history="1">
        <w:r w:rsidRPr="00560F13">
          <w:rPr>
            <w:rStyle w:val="Lienhypertexte"/>
            <w:rFonts w:ascii="Arial" w:hAnsi="Arial" w:cs="Arial"/>
            <w:i/>
            <w:iCs/>
            <w:sz w:val="18"/>
            <w:szCs w:val="18"/>
          </w:rPr>
          <w:t>Georgia v. Russia (I)</w:t>
        </w:r>
      </w:hyperlink>
      <w:r w:rsidRPr="00560F13">
        <w:rPr>
          <w:rStyle w:val="s6b621b36"/>
          <w:rFonts w:ascii="Arial" w:hAnsi="Arial" w:cs="Arial"/>
          <w:i/>
          <w:iCs/>
          <w:color w:val="000000"/>
          <w:sz w:val="18"/>
          <w:szCs w:val="18"/>
        </w:rPr>
        <w:t>,</w:t>
      </w:r>
      <w:r w:rsidRPr="00560F13">
        <w:rPr>
          <w:rStyle w:val="sb8d990e2"/>
          <w:rFonts w:ascii="Arial" w:hAnsi="Arial" w:cs="Arial"/>
          <w:color w:val="000000"/>
          <w:sz w:val="18"/>
          <w:szCs w:val="18"/>
        </w:rPr>
        <w:t xml:space="preserve"> cited above, § 159.</w:t>
      </w:r>
    </w:p>
  </w:footnote>
  <w:footnote w:id="216">
    <w:p w14:paraId="3BA49752"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68" w:history="1">
        <w:r w:rsidRPr="00560F13">
          <w:rPr>
            <w:rStyle w:val="Lienhypertexte"/>
            <w:rFonts w:ascii="Arial" w:hAnsi="Arial" w:cs="Arial"/>
            <w:i/>
            <w:sz w:val="18"/>
            <w:szCs w:val="18"/>
          </w:rPr>
          <w:t>Georgia v. Russia</w:t>
        </w:r>
        <w:r w:rsidRPr="00560F13">
          <w:rPr>
            <w:rStyle w:val="Lienhypertexte"/>
            <w:rFonts w:ascii="Arial" w:hAnsi="Arial" w:cs="Arial"/>
            <w:sz w:val="18"/>
            <w:szCs w:val="18"/>
          </w:rPr>
          <w:t xml:space="preserve"> (I) (just satisfaction)</w:t>
        </w:r>
      </w:hyperlink>
      <w:r w:rsidRPr="00560F13">
        <w:rPr>
          <w:rFonts w:ascii="Arial" w:hAnsi="Arial" w:cs="Arial"/>
          <w:sz w:val="18"/>
          <w:szCs w:val="18"/>
        </w:rPr>
        <w:t>, quoted above § 58.</w:t>
      </w:r>
    </w:p>
  </w:footnote>
  <w:footnote w:id="217">
    <w:p w14:paraId="344E05D2"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Ibid., §§63-65.</w:t>
      </w:r>
    </w:p>
  </w:footnote>
  <w:footnote w:id="218">
    <w:p w14:paraId="30422BBF" w14:textId="77777777" w:rsidR="000C68FA" w:rsidRPr="00560F13" w:rsidRDefault="000C68FA" w:rsidP="002218C4">
      <w:pPr>
        <w:pStyle w:val="SingleTxtG"/>
        <w:spacing w:after="0" w:line="200" w:lineRule="exact"/>
        <w:ind w:left="0" w:right="0"/>
        <w:rPr>
          <w:rStyle w:val="sfbbfee58"/>
          <w:rFonts w:ascii="Arial" w:eastAsiaTheme="majorEastAsia" w:hAnsi="Arial" w:cs="Arial"/>
          <w:sz w:val="18"/>
          <w:szCs w:val="18"/>
        </w:rPr>
      </w:pPr>
      <w:r w:rsidRPr="00560F13">
        <w:rPr>
          <w:rStyle w:val="Appelnotedebasdep"/>
          <w:rFonts w:ascii="Arial" w:eastAsiaTheme="majorEastAsia" w:hAnsi="Arial" w:cs="Arial"/>
        </w:rPr>
        <w:footnoteRef/>
      </w:r>
      <w:r w:rsidRPr="00560F13">
        <w:rPr>
          <w:rFonts w:ascii="Arial" w:hAnsi="Arial" w:cs="Arial"/>
          <w:sz w:val="18"/>
          <w:szCs w:val="18"/>
        </w:rPr>
        <w:t xml:space="preserve"> </w:t>
      </w:r>
      <w:hyperlink r:id="rId269" w:history="1">
        <w:r w:rsidRPr="00560F13">
          <w:rPr>
            <w:rStyle w:val="Lienhypertexte"/>
            <w:rFonts w:ascii="Arial" w:hAnsi="Arial" w:cs="Arial"/>
            <w:i/>
            <w:color w:val="auto"/>
            <w:sz w:val="18"/>
            <w:szCs w:val="18"/>
          </w:rPr>
          <w:t>Georgia v. Russia</w:t>
        </w:r>
        <w:r w:rsidRPr="00560F13">
          <w:rPr>
            <w:rStyle w:val="Lienhypertexte"/>
            <w:rFonts w:ascii="Arial" w:hAnsi="Arial" w:cs="Arial"/>
            <w:color w:val="auto"/>
            <w:sz w:val="18"/>
            <w:szCs w:val="18"/>
          </w:rPr>
          <w:t xml:space="preserve"> (I) (just satisfaction)</w:t>
        </w:r>
      </w:hyperlink>
      <w:r w:rsidRPr="00560F13">
        <w:rPr>
          <w:rFonts w:ascii="Arial" w:hAnsi="Arial" w:cs="Arial"/>
          <w:sz w:val="18"/>
          <w:szCs w:val="18"/>
        </w:rPr>
        <w:t>, quoted above § 70, footnote 3: “</w:t>
      </w:r>
      <w:r w:rsidRPr="00560F13">
        <w:rPr>
          <w:rStyle w:val="sfbbfee58"/>
          <w:rFonts w:ascii="Arial" w:eastAsiaTheme="majorEastAsia" w:hAnsi="Arial" w:cs="Arial"/>
          <w:sz w:val="18"/>
          <w:szCs w:val="18"/>
        </w:rPr>
        <w:t>23 applicants lodged 10 individual applications related to the case of </w:t>
      </w:r>
      <w:r w:rsidRPr="00560F13">
        <w:rPr>
          <w:rStyle w:val="s1a844bc0"/>
          <w:rFonts w:ascii="Arial" w:eastAsiaTheme="minorEastAsia" w:hAnsi="Arial" w:cs="Arial"/>
          <w:i/>
          <w:iCs/>
          <w:sz w:val="18"/>
          <w:szCs w:val="18"/>
        </w:rPr>
        <w:t>Georgia v. Russia</w:t>
      </w:r>
      <w:r w:rsidRPr="00560F13">
        <w:rPr>
          <w:rStyle w:val="sfbbfee58"/>
          <w:rFonts w:ascii="Arial" w:eastAsiaTheme="majorEastAsia" w:hAnsi="Arial" w:cs="Arial"/>
          <w:sz w:val="18"/>
          <w:szCs w:val="18"/>
        </w:rPr>
        <w:t> (I) before the Court, which ruled as follows:</w:t>
      </w:r>
    </w:p>
    <w:p w14:paraId="75950BC9"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sfbbfee58"/>
          <w:rFonts w:ascii="Arial" w:eastAsiaTheme="majorEastAsia" w:hAnsi="Arial" w:cs="Arial"/>
          <w:sz w:val="18"/>
          <w:szCs w:val="18"/>
        </w:rPr>
        <w:t>- In a judgment of 3 May 2016 the Court struck out of the list the application lodged by Mr Shakhi Kvaratskhelia and Mr Shakhi Kvaratskhelia (no. </w:t>
      </w:r>
      <w:hyperlink r:id="rId270" w:anchor="{%22appno%22:[%2214985/07%22]}" w:tgtFrame="_blank" w:history="1">
        <w:r w:rsidRPr="00560F13">
          <w:rPr>
            <w:rStyle w:val="Lienhypertexte"/>
            <w:rFonts w:ascii="Arial" w:eastAsiaTheme="minorEastAsia" w:hAnsi="Arial" w:cs="Arial"/>
            <w:color w:val="auto"/>
            <w:sz w:val="18"/>
            <w:szCs w:val="18"/>
          </w:rPr>
          <w:t>14985/07</w:t>
        </w:r>
      </w:hyperlink>
      <w:r w:rsidRPr="00560F13">
        <w:rPr>
          <w:rStyle w:val="sfbbfee58"/>
          <w:rFonts w:ascii="Arial" w:eastAsiaTheme="majorEastAsia" w:hAnsi="Arial" w:cs="Arial"/>
          <w:sz w:val="18"/>
          <w:szCs w:val="18"/>
        </w:rPr>
        <w:t>), the father and son respectively of Mrs Manana Jabelia, following a friendly settlement reached between the applicants and the respondent Government;</w:t>
      </w:r>
    </w:p>
    <w:p w14:paraId="71F21035"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sfbbfee58"/>
          <w:rFonts w:ascii="Arial" w:eastAsiaTheme="majorEastAsia" w:hAnsi="Arial" w:cs="Arial"/>
          <w:sz w:val="18"/>
          <w:szCs w:val="18"/>
        </w:rPr>
        <w:t>- In a judgment of 20 December 2016 the Court held that there had been a violation of Articles 2 and 3 of the Convention, and of Article 13 taken in conjunction with Article 3, and awarded 40,000 euros in just satisfaction concerning the application lodged by Mrs Nino Dzidzava (no. </w:t>
      </w:r>
      <w:hyperlink r:id="rId271" w:anchor="{%22appno%22:[%2216363/07%22]}" w:tgtFrame="_blank" w:history="1">
        <w:r w:rsidRPr="00560F13">
          <w:rPr>
            <w:rStyle w:val="Lienhypertexte"/>
            <w:rFonts w:ascii="Arial" w:eastAsiaTheme="minorEastAsia" w:hAnsi="Arial" w:cs="Arial"/>
            <w:color w:val="auto"/>
            <w:sz w:val="18"/>
            <w:szCs w:val="18"/>
          </w:rPr>
          <w:t>16363/07</w:t>
        </w:r>
      </w:hyperlink>
      <w:r w:rsidRPr="00560F13">
        <w:rPr>
          <w:rStyle w:val="sfbbfee58"/>
          <w:rFonts w:ascii="Arial" w:eastAsiaTheme="majorEastAsia" w:hAnsi="Arial" w:cs="Arial"/>
          <w:sz w:val="18"/>
          <w:szCs w:val="18"/>
        </w:rPr>
        <w:t>), wife of Mr Tengiz Togonidze.</w:t>
      </w:r>
    </w:p>
    <w:p w14:paraId="6E64BA8F"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sfbbfee58"/>
          <w:rFonts w:ascii="Arial" w:eastAsiaTheme="majorEastAsia" w:hAnsi="Arial" w:cs="Arial"/>
          <w:sz w:val="18"/>
          <w:szCs w:val="18"/>
        </w:rPr>
        <w:t>- With regard to the other applications, the Court grouped them together and delivered a judgment on the merits (</w:t>
      </w:r>
      <w:r w:rsidRPr="00560F13">
        <w:rPr>
          <w:rStyle w:val="s1a844bc0"/>
          <w:rFonts w:ascii="Arial" w:hAnsi="Arial" w:cs="Arial"/>
          <w:i/>
          <w:iCs/>
          <w:sz w:val="18"/>
          <w:szCs w:val="18"/>
        </w:rPr>
        <w:t>Berdzenishvili and Others</w:t>
      </w:r>
      <w:r w:rsidRPr="00560F13">
        <w:rPr>
          <w:rStyle w:val="sfbbfee58"/>
          <w:rFonts w:ascii="Arial" w:eastAsiaTheme="majorEastAsia" w:hAnsi="Arial" w:cs="Arial"/>
          <w:sz w:val="18"/>
          <w:szCs w:val="18"/>
        </w:rPr>
        <w:t>, no. </w:t>
      </w:r>
      <w:hyperlink r:id="rId272" w:anchor="{%22appno%22:[%2214594/07%22]}" w:tgtFrame="_blank" w:history="1">
        <w:r w:rsidRPr="00560F13">
          <w:rPr>
            <w:rStyle w:val="Lienhypertexte"/>
            <w:rFonts w:ascii="Arial" w:hAnsi="Arial" w:cs="Arial"/>
            <w:color w:val="auto"/>
            <w:sz w:val="18"/>
            <w:szCs w:val="18"/>
          </w:rPr>
          <w:t>14594/07</w:t>
        </w:r>
      </w:hyperlink>
      <w:r w:rsidRPr="00560F13">
        <w:rPr>
          <w:rStyle w:val="sfbbfee58"/>
          <w:rFonts w:ascii="Arial" w:eastAsiaTheme="majorEastAsia" w:hAnsi="Arial" w:cs="Arial"/>
          <w:sz w:val="18"/>
          <w:szCs w:val="18"/>
        </w:rPr>
        <w:t xml:space="preserve">) on 20 December 2016. In that judgment it held that there had been no violation of the Articles of the Convention relied on by Mrs Nato Shavshishvili on the ground that her complaints had not been sufficiently substantiated. With regard to the applications in respect of which the Court found a violation of the Convention, it reserved the question of the application of Article 41 pending the adoption of the present just satisfaction judgment.” In the judgment on just satisfaction in </w:t>
      </w:r>
      <w:r w:rsidRPr="00560F13">
        <w:rPr>
          <w:rStyle w:val="s1a844bc0"/>
          <w:rFonts w:ascii="Arial" w:hAnsi="Arial" w:cs="Arial"/>
          <w:i/>
          <w:iCs/>
          <w:sz w:val="18"/>
          <w:szCs w:val="18"/>
        </w:rPr>
        <w:t xml:space="preserve">Berdzenishvili and Others </w:t>
      </w:r>
      <w:r w:rsidRPr="00560F13">
        <w:rPr>
          <w:rStyle w:val="s1a844bc0"/>
          <w:rFonts w:ascii="Arial" w:hAnsi="Arial" w:cs="Arial"/>
          <w:sz w:val="18"/>
          <w:szCs w:val="18"/>
        </w:rPr>
        <w:t xml:space="preserve">the Court </w:t>
      </w:r>
      <w:r w:rsidRPr="00560F13">
        <w:rPr>
          <w:rStyle w:val="sb8d990e2"/>
          <w:rFonts w:ascii="Arial" w:hAnsi="Arial" w:cs="Arial"/>
          <w:sz w:val="18"/>
          <w:szCs w:val="18"/>
        </w:rPr>
        <w:t>clarified “that for the calculation of the awarded lump-sum it had awarded in the inter-State case concerning just satisfaction (</w:t>
      </w:r>
      <w:r w:rsidRPr="00560F13">
        <w:rPr>
          <w:rStyle w:val="s6b621b36"/>
          <w:rFonts w:ascii="Arial" w:hAnsi="Arial" w:cs="Arial"/>
          <w:i/>
          <w:iCs/>
          <w:sz w:val="18"/>
          <w:szCs w:val="18"/>
        </w:rPr>
        <w:t>Georgia v. Russia</w:t>
      </w:r>
      <w:r w:rsidRPr="00560F13">
        <w:rPr>
          <w:rStyle w:val="sb8d990e2"/>
          <w:rFonts w:ascii="Arial" w:hAnsi="Arial" w:cs="Arial"/>
          <w:sz w:val="18"/>
          <w:szCs w:val="18"/>
        </w:rPr>
        <w:t> </w:t>
      </w:r>
      <w:r w:rsidRPr="00560F13">
        <w:rPr>
          <w:rStyle w:val="s6b621b36"/>
          <w:rFonts w:ascii="Arial" w:hAnsi="Arial" w:cs="Arial"/>
          <w:i/>
          <w:iCs/>
          <w:sz w:val="18"/>
          <w:szCs w:val="18"/>
        </w:rPr>
        <w:t>(I)</w:t>
      </w:r>
      <w:r w:rsidRPr="00560F13">
        <w:rPr>
          <w:rStyle w:val="sb8d990e2"/>
          <w:rFonts w:ascii="Arial" w:hAnsi="Arial" w:cs="Arial"/>
          <w:sz w:val="18"/>
          <w:szCs w:val="18"/>
        </w:rPr>
        <w:t xml:space="preserve"> it had excluded from the list of victims, </w:t>
      </w:r>
      <w:r w:rsidRPr="00560F13">
        <w:rPr>
          <w:rStyle w:val="s6b621b36"/>
          <w:rFonts w:ascii="Arial" w:hAnsi="Arial" w:cs="Arial"/>
          <w:i/>
          <w:iCs/>
          <w:sz w:val="18"/>
          <w:szCs w:val="18"/>
        </w:rPr>
        <w:t>inter alia</w:t>
      </w:r>
      <w:r w:rsidRPr="00560F13">
        <w:rPr>
          <w:rStyle w:val="sb8d990e2"/>
          <w:rFonts w:ascii="Arial" w:hAnsi="Arial" w:cs="Arial"/>
          <w:sz w:val="18"/>
          <w:szCs w:val="18"/>
        </w:rPr>
        <w:t>, all individuals who had lodged individual applications against Russia concerning the application of the above-mentioned administrative practice in the autumn of 2006 (ibid, § 70).” See</w:t>
      </w:r>
      <w:r w:rsidRPr="00560F13">
        <w:rPr>
          <w:rStyle w:val="sb8d990e2"/>
          <w:rFonts w:ascii="Arial" w:hAnsi="Arial" w:cs="Arial"/>
          <w:sz w:val="18"/>
          <w:szCs w:val="18"/>
          <w:shd w:val="clear" w:color="auto" w:fill="FFFFFF"/>
        </w:rPr>
        <w:t xml:space="preserve"> </w:t>
      </w:r>
      <w:hyperlink r:id="rId273" w:anchor="{%22itemid%22:[%22001-191926%22]}" w:history="1">
        <w:r w:rsidRPr="00560F13">
          <w:rPr>
            <w:rStyle w:val="Lienhypertexte"/>
            <w:rFonts w:ascii="Arial" w:hAnsi="Arial" w:cs="Arial"/>
            <w:i/>
            <w:color w:val="auto"/>
            <w:sz w:val="18"/>
            <w:szCs w:val="18"/>
          </w:rPr>
          <w:t>Berdzenishvili and Others v. Russia</w:t>
        </w:r>
      </w:hyperlink>
      <w:r w:rsidRPr="00560F13">
        <w:rPr>
          <w:rFonts w:ascii="Arial" w:hAnsi="Arial" w:cs="Arial"/>
          <w:i/>
          <w:sz w:val="18"/>
          <w:szCs w:val="18"/>
        </w:rPr>
        <w:t xml:space="preserve"> (just satisfaction)</w:t>
      </w:r>
      <w:r w:rsidRPr="00560F13">
        <w:rPr>
          <w:rFonts w:ascii="Arial" w:hAnsi="Arial" w:cs="Arial"/>
          <w:sz w:val="18"/>
          <w:szCs w:val="18"/>
        </w:rPr>
        <w:t xml:space="preserve">, § 7, nos. 14594/07 and 6 others, 26 June 2019. </w:t>
      </w:r>
    </w:p>
  </w:footnote>
  <w:footnote w:id="219">
    <w:p w14:paraId="29560326"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document </w:t>
      </w:r>
      <w:hyperlink r:id="rId274" w:history="1">
        <w:r w:rsidRPr="00560F13">
          <w:rPr>
            <w:rStyle w:val="Lienhypertexte"/>
            <w:rFonts w:ascii="Arial" w:hAnsi="Arial" w:cs="Arial"/>
            <w:sz w:val="18"/>
            <w:szCs w:val="18"/>
          </w:rPr>
          <w:t>CDDH(2019)22</w:t>
        </w:r>
      </w:hyperlink>
      <w:r w:rsidRPr="00560F13">
        <w:rPr>
          <w:rFonts w:ascii="Arial" w:hAnsi="Arial" w:cs="Arial"/>
          <w:sz w:val="18"/>
          <w:szCs w:val="18"/>
        </w:rPr>
        <w:t>, § 31</w:t>
      </w:r>
    </w:p>
  </w:footnote>
  <w:footnote w:id="220">
    <w:p w14:paraId="63C3A4BD" w14:textId="77777777" w:rsidR="000C68FA" w:rsidRPr="00560F13" w:rsidRDefault="000C68FA" w:rsidP="002218C4">
      <w:pPr>
        <w:pStyle w:val="SingleTxtG"/>
        <w:spacing w:after="0" w:line="200" w:lineRule="exact"/>
        <w:ind w:left="0" w:right="0"/>
        <w:rPr>
          <w:rFonts w:ascii="Arial" w:hAnsi="Arial" w:cs="Arial"/>
          <w:b/>
          <w:bCs/>
          <w:color w:val="FF0000"/>
          <w:sz w:val="18"/>
          <w:szCs w:val="18"/>
          <w:shd w:val="clear" w:color="auto" w:fill="D9D9D9" w:themeFill="background1" w:themeFillShade="D9"/>
        </w:rPr>
      </w:pPr>
      <w:r w:rsidRPr="00560F13">
        <w:rPr>
          <w:rStyle w:val="Appelnotedebasdep"/>
          <w:rFonts w:ascii="Arial" w:hAnsi="Arial" w:cs="Arial"/>
        </w:rPr>
        <w:footnoteRef/>
      </w:r>
      <w:r w:rsidRPr="00560F13">
        <w:rPr>
          <w:rFonts w:ascii="Arial" w:hAnsi="Arial" w:cs="Arial"/>
          <w:sz w:val="18"/>
          <w:szCs w:val="18"/>
        </w:rPr>
        <w:t xml:space="preserve"> </w:t>
      </w:r>
      <w:r w:rsidRPr="00560F13">
        <w:rPr>
          <w:rFonts w:ascii="Arial" w:hAnsi="Arial" w:cs="Arial"/>
          <w:i/>
          <w:sz w:val="18"/>
          <w:szCs w:val="18"/>
        </w:rPr>
        <w:t xml:space="preserve">Georgia v. Russia (I) </w:t>
      </w:r>
      <w:r w:rsidRPr="00560F13">
        <w:rPr>
          <w:rFonts w:ascii="Arial" w:hAnsi="Arial" w:cs="Arial"/>
          <w:sz w:val="18"/>
          <w:szCs w:val="18"/>
        </w:rPr>
        <w:t xml:space="preserve">(just satisfaction) [GC], no. 13255/07, § 60, 29 January 2019; </w:t>
      </w:r>
      <w:hyperlink r:id="rId275" w:history="1">
        <w:r w:rsidRPr="00560F13">
          <w:rPr>
            <w:rFonts w:ascii="Arial" w:hAnsi="Arial" w:cs="Arial"/>
            <w:i/>
            <w:iCs/>
            <w:sz w:val="18"/>
            <w:szCs w:val="18"/>
          </w:rPr>
          <w:t>Georgia v. Russia</w:t>
        </w:r>
      </w:hyperlink>
      <w:r w:rsidRPr="00560F13">
        <w:rPr>
          <w:rFonts w:ascii="Arial" w:hAnsi="Arial" w:cs="Arial"/>
          <w:sz w:val="18"/>
          <w:szCs w:val="18"/>
        </w:rPr>
        <w:t xml:space="preserve"> (II) (merits) no. 38263/08, § 351, 21 January 2021.</w:t>
      </w:r>
    </w:p>
  </w:footnote>
  <w:footnote w:id="221">
    <w:p w14:paraId="6393E1FE"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document </w:t>
      </w:r>
      <w:hyperlink r:id="rId276" w:history="1">
        <w:r w:rsidRPr="00560F13">
          <w:rPr>
            <w:rStyle w:val="Lienhypertexte"/>
            <w:rFonts w:ascii="Arial" w:hAnsi="Arial" w:cs="Arial"/>
            <w:color w:val="auto"/>
            <w:sz w:val="18"/>
            <w:szCs w:val="18"/>
          </w:rPr>
          <w:t>CDDH(2019)22</w:t>
        </w:r>
      </w:hyperlink>
      <w:r w:rsidRPr="00560F13">
        <w:rPr>
          <w:rFonts w:ascii="Arial" w:hAnsi="Arial" w:cs="Arial"/>
          <w:sz w:val="18"/>
          <w:szCs w:val="18"/>
        </w:rPr>
        <w:t>, § 31</w:t>
      </w:r>
      <w:r w:rsidRPr="00560F13">
        <w:rPr>
          <w:rFonts w:ascii="Arial" w:hAnsi="Arial" w:cs="Arial"/>
          <w:sz w:val="18"/>
          <w:szCs w:val="18"/>
        </w:rPr>
        <w:tab/>
      </w:r>
    </w:p>
  </w:footnote>
  <w:footnote w:id="222">
    <w:p w14:paraId="3B51A65D"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It should be noted that in the case of </w:t>
      </w:r>
      <w:r w:rsidRPr="00560F13">
        <w:rPr>
          <w:rFonts w:ascii="Arial" w:hAnsi="Arial" w:cs="Arial"/>
          <w:sz w:val="18"/>
          <w:szCs w:val="18"/>
          <w:lang w:val="en-US"/>
        </w:rPr>
        <w:t xml:space="preserve">Cyprus v. Turkey (IV), Application no. 25781/94, 22.11.1994 the Judgment on the merits was issued on 10 May 2001 whereas the judgment on just satisfaction on 12 May 2014. In the case of Georgia v. Russian Federation (I), Application no. 13255/07, 26.03.2007: the </w:t>
      </w:r>
      <w:r w:rsidRPr="00560F13">
        <w:rPr>
          <w:rFonts w:ascii="Arial" w:hAnsi="Arial" w:cs="Arial"/>
          <w:color w:val="000000" w:themeColor="text1"/>
          <w:sz w:val="18"/>
          <w:szCs w:val="18"/>
          <w:lang w:val="en-US"/>
        </w:rPr>
        <w:t>judgment on the merits was issued</w:t>
      </w:r>
      <w:r w:rsidRPr="00560F13">
        <w:rPr>
          <w:rFonts w:ascii="Arial" w:hAnsi="Arial" w:cs="Arial"/>
          <w:color w:val="000000" w:themeColor="text1"/>
          <w:sz w:val="18"/>
          <w:szCs w:val="18"/>
          <w:u w:val="single"/>
          <w:lang w:val="en-US"/>
        </w:rPr>
        <w:t xml:space="preserve"> </w:t>
      </w:r>
      <w:r w:rsidRPr="00560F13">
        <w:rPr>
          <w:rFonts w:ascii="Arial" w:hAnsi="Arial" w:cs="Arial"/>
          <w:sz w:val="18"/>
          <w:szCs w:val="18"/>
          <w:lang w:val="en-US"/>
        </w:rPr>
        <w:t>on 3 July 2014 and the judgment on just satisfaction on 31 January 2019.</w:t>
      </w:r>
    </w:p>
  </w:footnote>
  <w:footnote w:id="223">
    <w:p w14:paraId="46681680" w14:textId="77777777" w:rsidR="000C68FA" w:rsidRPr="00560F13" w:rsidRDefault="000C68FA" w:rsidP="002218C4">
      <w:pPr>
        <w:pStyle w:val="SingleTxtG"/>
        <w:spacing w:after="0" w:line="200" w:lineRule="exact"/>
        <w:ind w:left="0" w:right="0"/>
        <w:rPr>
          <w:rFonts w:ascii="Arial" w:hAnsi="Arial" w:cs="Arial"/>
          <w:sz w:val="18"/>
          <w:szCs w:val="18"/>
          <w:lang w:val="en-US"/>
        </w:rPr>
      </w:pPr>
      <w:r w:rsidRPr="00560F13">
        <w:rPr>
          <w:rStyle w:val="Appelnotedebasdep"/>
          <w:rFonts w:ascii="Arial" w:hAnsi="Arial" w:cs="Arial"/>
        </w:rPr>
        <w:footnoteRef/>
      </w:r>
      <w:r w:rsidRPr="00560F13">
        <w:rPr>
          <w:rFonts w:ascii="Arial" w:hAnsi="Arial" w:cs="Arial"/>
          <w:sz w:val="18"/>
          <w:szCs w:val="18"/>
        </w:rPr>
        <w:t xml:space="preserve"> Georgia v. Russia (II) (merits) no. 38263/08, §16 of the operative part, 21 January 2021.</w:t>
      </w:r>
    </w:p>
  </w:footnote>
  <w:footnote w:id="224">
    <w:p w14:paraId="223408BD"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bookmarkStart w:id="93" w:name="_Hlk42182954"/>
      <w:r w:rsidRPr="00560F13">
        <w:fldChar w:fldCharType="begin"/>
      </w:r>
      <w:r w:rsidRPr="00560F13">
        <w:rPr>
          <w:rFonts w:ascii="Arial" w:hAnsi="Arial" w:cs="Arial"/>
          <w:sz w:val="18"/>
          <w:szCs w:val="18"/>
        </w:rPr>
        <w:instrText xml:space="preserve"> HYPERLINK "http://hudoc.echr.coe.int/eng?i=001-144151" </w:instrText>
      </w:r>
      <w:r w:rsidRPr="00560F13">
        <w:fldChar w:fldCharType="separate"/>
      </w:r>
      <w:r w:rsidRPr="00560F13">
        <w:rPr>
          <w:rStyle w:val="Lienhypertexte"/>
          <w:rFonts w:ascii="Arial" w:hAnsi="Arial" w:cs="Arial"/>
          <w:i/>
          <w:sz w:val="18"/>
          <w:szCs w:val="18"/>
        </w:rPr>
        <w:t>Cyprus v. Turkey (just satisfaction) [GC]</w:t>
      </w:r>
      <w:r w:rsidRPr="00560F13">
        <w:rPr>
          <w:rStyle w:val="Lienhypertexte"/>
          <w:rFonts w:ascii="Arial" w:hAnsi="Arial" w:cs="Arial"/>
          <w:i/>
          <w:sz w:val="18"/>
          <w:szCs w:val="18"/>
        </w:rPr>
        <w:fldChar w:fldCharType="end"/>
      </w:r>
      <w:r w:rsidRPr="00560F13">
        <w:rPr>
          <w:rFonts w:ascii="Arial" w:hAnsi="Arial" w:cs="Arial"/>
          <w:sz w:val="18"/>
          <w:szCs w:val="18"/>
        </w:rPr>
        <w:t>,  quoted above § 56</w:t>
      </w:r>
      <w:bookmarkEnd w:id="93"/>
      <w:r w:rsidRPr="00560F13">
        <w:rPr>
          <w:rFonts w:ascii="Arial" w:hAnsi="Arial" w:cs="Arial"/>
          <w:sz w:val="18"/>
          <w:szCs w:val="18"/>
        </w:rPr>
        <w:t xml:space="preserve">. </w:t>
      </w:r>
      <w:hyperlink r:id="rId277" w:history="1">
        <w:r w:rsidRPr="00560F13">
          <w:rPr>
            <w:rStyle w:val="Lienhypertexte"/>
            <w:rFonts w:ascii="Arial" w:hAnsi="Arial" w:cs="Arial"/>
            <w:i/>
            <w:sz w:val="18"/>
            <w:szCs w:val="18"/>
          </w:rPr>
          <w:t>Georgia v. Russia</w:t>
        </w:r>
        <w:r w:rsidRPr="00560F13">
          <w:rPr>
            <w:rStyle w:val="Lienhypertexte"/>
            <w:rFonts w:ascii="Arial" w:hAnsi="Arial" w:cs="Arial"/>
            <w:sz w:val="18"/>
            <w:szCs w:val="18"/>
          </w:rPr>
          <w:t xml:space="preserve"> (I) (just satisfaction)</w:t>
        </w:r>
      </w:hyperlink>
      <w:r w:rsidRPr="00560F13">
        <w:rPr>
          <w:rFonts w:ascii="Arial" w:hAnsi="Arial" w:cs="Arial"/>
          <w:sz w:val="18"/>
          <w:szCs w:val="18"/>
        </w:rPr>
        <w:t>, quoted above § 73.</w:t>
      </w:r>
    </w:p>
  </w:footnote>
  <w:footnote w:id="225">
    <w:p w14:paraId="41400524"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78" w:history="1">
        <w:r w:rsidRPr="00560F13">
          <w:rPr>
            <w:rStyle w:val="Lienhypertexte"/>
            <w:rFonts w:ascii="Arial" w:hAnsi="Arial" w:cs="Arial"/>
            <w:i/>
            <w:sz w:val="18"/>
            <w:szCs w:val="18"/>
          </w:rPr>
          <w:t>Georgia v. Russia</w:t>
        </w:r>
        <w:r w:rsidRPr="00560F13">
          <w:rPr>
            <w:rStyle w:val="Lienhypertexte"/>
            <w:rFonts w:ascii="Arial" w:hAnsi="Arial" w:cs="Arial"/>
            <w:sz w:val="18"/>
            <w:szCs w:val="18"/>
          </w:rPr>
          <w:t xml:space="preserve"> (I) (just satisfaction)</w:t>
        </w:r>
      </w:hyperlink>
      <w:r w:rsidRPr="00560F13">
        <w:rPr>
          <w:rFonts w:ascii="Arial" w:hAnsi="Arial" w:cs="Arial"/>
          <w:sz w:val="18"/>
          <w:szCs w:val="18"/>
        </w:rPr>
        <w:t>, quoted above § 73.</w:t>
      </w:r>
    </w:p>
  </w:footnote>
  <w:footnote w:id="226">
    <w:p w14:paraId="5011FEAF"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Ibid. § 75.</w:t>
      </w:r>
    </w:p>
  </w:footnote>
  <w:footnote w:id="227">
    <w:p w14:paraId="5D6459C9" w14:textId="77777777" w:rsidR="000C68FA" w:rsidRPr="00560F13" w:rsidRDefault="000C68FA" w:rsidP="002218C4">
      <w:pPr>
        <w:pStyle w:val="SingleTxtG"/>
        <w:spacing w:after="0" w:line="200" w:lineRule="exact"/>
        <w:ind w:left="0" w:right="0"/>
        <w:rPr>
          <w:rFonts w:ascii="Arial" w:hAnsi="Arial" w:cs="Arial"/>
          <w:color w:val="000000"/>
          <w:sz w:val="18"/>
          <w:szCs w:val="18"/>
          <w:lang w:val="en-US"/>
        </w:rPr>
      </w:pPr>
      <w:r w:rsidRPr="00560F13">
        <w:rPr>
          <w:rStyle w:val="Appelnotedebasdep"/>
          <w:rFonts w:ascii="Arial" w:hAnsi="Arial" w:cs="Arial"/>
        </w:rPr>
        <w:footnoteRef/>
      </w:r>
      <w:r w:rsidRPr="00560F13">
        <w:rPr>
          <w:rStyle w:val="sb8d990e2"/>
          <w:rFonts w:ascii="Arial" w:hAnsi="Arial" w:cs="Arial"/>
          <w:color w:val="000000"/>
          <w:sz w:val="18"/>
          <w:szCs w:val="18"/>
          <w:lang w:val="en-US"/>
        </w:rPr>
        <w:t xml:space="preserve"> </w:t>
      </w:r>
      <w:hyperlink r:id="rId279" w:history="1">
        <w:r w:rsidRPr="00560F13">
          <w:rPr>
            <w:rStyle w:val="Lienhypertexte"/>
            <w:rFonts w:ascii="Arial" w:hAnsi="Arial" w:cs="Arial"/>
            <w:i/>
            <w:sz w:val="18"/>
            <w:szCs w:val="18"/>
          </w:rPr>
          <w:t>Konstantin Martin v. Russia</w:t>
        </w:r>
      </w:hyperlink>
      <w:r w:rsidRPr="00560F13">
        <w:rPr>
          <w:rFonts w:ascii="Arial" w:hAnsi="Arial" w:cs="Arial"/>
          <w:sz w:val="18"/>
          <w:szCs w:val="18"/>
        </w:rPr>
        <w:t xml:space="preserve">, no. 30078/06, §89, </w:t>
      </w:r>
      <w:r w:rsidRPr="00560F13">
        <w:rPr>
          <w:rStyle w:val="sb8d990e2"/>
          <w:rFonts w:ascii="Arial" w:hAnsi="Arial" w:cs="Arial"/>
          <w:color w:val="000000"/>
          <w:sz w:val="18"/>
          <w:szCs w:val="18"/>
          <w:lang w:val="en-US"/>
        </w:rPr>
        <w:t>§90</w:t>
      </w:r>
      <w:r w:rsidRPr="00560F13">
        <w:rPr>
          <w:rStyle w:val="sb8d990e2"/>
          <w:rFonts w:ascii="Arial" w:hAnsi="Arial" w:cs="Arial"/>
          <w:color w:val="000000"/>
          <w:sz w:val="18"/>
          <w:szCs w:val="18"/>
        </w:rPr>
        <w:t>-92, 22 March 2012</w:t>
      </w:r>
      <w:r w:rsidRPr="00560F13">
        <w:rPr>
          <w:rStyle w:val="sb8d990e2"/>
          <w:rFonts w:ascii="Arial" w:hAnsi="Arial" w:cs="Arial"/>
          <w:color w:val="000000"/>
          <w:sz w:val="18"/>
          <w:szCs w:val="18"/>
          <w:lang w:val="en-US"/>
        </w:rPr>
        <w:t>.</w:t>
      </w:r>
      <w:r w:rsidRPr="00560F13">
        <w:rPr>
          <w:rStyle w:val="sb8d990e2"/>
          <w:rFonts w:ascii="Arial" w:hAnsi="Arial" w:cs="Arial"/>
          <w:color w:val="000000"/>
          <w:sz w:val="18"/>
          <w:szCs w:val="18"/>
        </w:rPr>
        <w:t xml:space="preserve"> The Court has also refused to strike out cases when the applicants wishes to withdraw their applications when it considered that that the case raised questions of general character affecting the observance of the Convention, see for example </w:t>
      </w:r>
      <w:hyperlink r:id="rId280" w:history="1">
        <w:r w:rsidRPr="00560F13">
          <w:rPr>
            <w:rStyle w:val="Lienhypertexte"/>
            <w:rFonts w:ascii="Arial" w:hAnsi="Arial" w:cs="Arial"/>
            <w:i/>
            <w:sz w:val="18"/>
            <w:szCs w:val="18"/>
          </w:rPr>
          <w:t>Tyrer v. United Kingdom</w:t>
        </w:r>
      </w:hyperlink>
      <w:r w:rsidRPr="00560F13">
        <w:rPr>
          <w:rStyle w:val="sb8d990e2"/>
          <w:rFonts w:ascii="Arial" w:hAnsi="Arial" w:cs="Arial"/>
          <w:color w:val="000000"/>
          <w:sz w:val="18"/>
          <w:szCs w:val="18"/>
        </w:rPr>
        <w:t>, no.</w:t>
      </w:r>
      <w:r w:rsidRPr="00560F13">
        <w:rPr>
          <w:rFonts w:ascii="Arial" w:hAnsi="Arial" w:cs="Arial"/>
          <w:sz w:val="18"/>
          <w:szCs w:val="18"/>
        </w:rPr>
        <w:t xml:space="preserve"> 5856/72, 25 April 1978. </w:t>
      </w:r>
    </w:p>
  </w:footnote>
  <w:footnote w:id="228">
    <w:p w14:paraId="6DD56888"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81" w:history="1">
        <w:r w:rsidRPr="00560F13">
          <w:rPr>
            <w:rStyle w:val="Lienhypertexte"/>
            <w:rFonts w:ascii="Arial" w:hAnsi="Arial" w:cs="Arial"/>
            <w:i/>
            <w:sz w:val="18"/>
            <w:szCs w:val="18"/>
          </w:rPr>
          <w:t>Quattrini v. Italy</w:t>
        </w:r>
      </w:hyperlink>
      <w:r w:rsidRPr="00560F13">
        <w:rPr>
          <w:rFonts w:ascii="Arial" w:hAnsi="Arial" w:cs="Arial"/>
          <w:sz w:val="18"/>
          <w:szCs w:val="18"/>
        </w:rPr>
        <w:t>, no.</w:t>
      </w:r>
      <w:r w:rsidRPr="00560F13">
        <w:rPr>
          <w:rFonts w:ascii="Arial" w:hAnsi="Arial" w:cs="Arial"/>
          <w:b/>
          <w:sz w:val="18"/>
          <w:szCs w:val="18"/>
        </w:rPr>
        <w:t xml:space="preserve"> </w:t>
      </w:r>
      <w:r w:rsidRPr="00560F13">
        <w:rPr>
          <w:rFonts w:ascii="Arial" w:hAnsi="Arial" w:cs="Arial"/>
          <w:sz w:val="18"/>
          <w:szCs w:val="18"/>
        </w:rPr>
        <w:t xml:space="preserve">68189/01, 8 December 2005 (French only). </w:t>
      </w:r>
    </w:p>
  </w:footnote>
  <w:footnote w:id="229">
    <w:p w14:paraId="2F18148E"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Rule 62 of the Rules of the Court, as amended by the Court on 17 June and 8 July 2002 and 13 November 2006. </w:t>
      </w:r>
    </w:p>
  </w:footnote>
  <w:footnote w:id="230">
    <w:p w14:paraId="49D95BD5"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for example, </w:t>
      </w:r>
      <w:hyperlink r:id="rId282" w:history="1">
        <w:r w:rsidRPr="00560F13">
          <w:rPr>
            <w:rStyle w:val="Lienhypertexte"/>
            <w:rFonts w:ascii="Arial" w:hAnsi="Arial" w:cs="Arial"/>
            <w:i/>
            <w:sz w:val="18"/>
            <w:szCs w:val="18"/>
          </w:rPr>
          <w:t>Hadrabová and Others v. Czech Republic</w:t>
        </w:r>
      </w:hyperlink>
      <w:r w:rsidRPr="00560F13">
        <w:rPr>
          <w:rFonts w:ascii="Arial" w:hAnsi="Arial" w:cs="Arial"/>
          <w:sz w:val="18"/>
          <w:szCs w:val="18"/>
        </w:rPr>
        <w:t xml:space="preserve"> (dec), nos. 42165/02 and 466/03, 25 September 2007 and </w:t>
      </w:r>
      <w:hyperlink r:id="rId283" w:history="1">
        <w:r w:rsidRPr="00560F13">
          <w:rPr>
            <w:rStyle w:val="Lienhypertexte"/>
            <w:rFonts w:ascii="Arial" w:hAnsi="Arial" w:cs="Arial"/>
            <w:i/>
            <w:sz w:val="18"/>
            <w:szCs w:val="18"/>
          </w:rPr>
          <w:t>Miro ļubovs and Others v. Latvia</w:t>
        </w:r>
      </w:hyperlink>
      <w:r w:rsidRPr="00560F13">
        <w:rPr>
          <w:rFonts w:ascii="Arial" w:hAnsi="Arial" w:cs="Arial"/>
          <w:sz w:val="18"/>
          <w:szCs w:val="18"/>
        </w:rPr>
        <w:t>, no. 798/05, 15 September 2009.</w:t>
      </w:r>
    </w:p>
  </w:footnote>
  <w:footnote w:id="231">
    <w:p w14:paraId="32A4E8D3"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84" w:history="1">
        <w:r w:rsidRPr="00560F13">
          <w:rPr>
            <w:rStyle w:val="Lienhypertexte"/>
            <w:rFonts w:ascii="Arial" w:hAnsi="Arial" w:cs="Arial"/>
            <w:sz w:val="18"/>
            <w:szCs w:val="18"/>
          </w:rPr>
          <w:t>https://www.echr.coe.int/Documents/Stats_analysis_2019_ENG.pdf</w:t>
        </w:r>
      </w:hyperlink>
      <w:r w:rsidRPr="00560F13">
        <w:rPr>
          <w:rFonts w:ascii="Arial" w:hAnsi="Arial" w:cs="Arial"/>
          <w:sz w:val="18"/>
          <w:szCs w:val="18"/>
        </w:rPr>
        <w:t xml:space="preserve"> </w:t>
      </w:r>
    </w:p>
  </w:footnote>
  <w:footnote w:id="232">
    <w:p w14:paraId="7B84B673" w14:textId="77777777" w:rsidR="000C68FA" w:rsidRPr="00560F13" w:rsidRDefault="000C68FA" w:rsidP="002218C4">
      <w:pPr>
        <w:pStyle w:val="SingleTxtG"/>
        <w:spacing w:after="0" w:line="200" w:lineRule="exact"/>
        <w:ind w:left="0" w:right="0"/>
        <w:rPr>
          <w:rFonts w:ascii="Arial" w:hAnsi="Arial" w:cs="Arial"/>
          <w:sz w:val="18"/>
          <w:szCs w:val="18"/>
          <w:lang w:val="en-US"/>
        </w:rPr>
      </w:pPr>
      <w:r w:rsidRPr="00560F13">
        <w:rPr>
          <w:rStyle w:val="Appelnotedebasdep"/>
          <w:rFonts w:ascii="Arial" w:hAnsi="Arial" w:cs="Arial"/>
        </w:rPr>
        <w:footnoteRef/>
      </w:r>
      <w:r w:rsidRPr="00560F13">
        <w:rPr>
          <w:rFonts w:ascii="Arial" w:hAnsi="Arial" w:cs="Arial"/>
          <w:sz w:val="18"/>
          <w:szCs w:val="18"/>
          <w:lang w:val="en-US"/>
        </w:rPr>
        <w:t xml:space="preserve"> Greece v. United Kingdom, no. 176/56, </w:t>
      </w:r>
      <w:hyperlink r:id="rId285" w:history="1">
        <w:r w:rsidRPr="00560F13">
          <w:rPr>
            <w:rStyle w:val="Lienhypertexte"/>
            <w:rFonts w:ascii="Arial" w:hAnsi="Arial" w:cs="Arial"/>
            <w:sz w:val="18"/>
            <w:szCs w:val="18"/>
            <w:lang w:val="en-US"/>
          </w:rPr>
          <w:t>Report of the Commission</w:t>
        </w:r>
      </w:hyperlink>
      <w:r w:rsidRPr="00560F13">
        <w:rPr>
          <w:rFonts w:ascii="Arial" w:hAnsi="Arial" w:cs="Arial"/>
          <w:sz w:val="18"/>
          <w:szCs w:val="18"/>
          <w:lang w:val="en-US"/>
        </w:rPr>
        <w:t xml:space="preserve"> (volume I), 26 September 1958, para. 68. After several unsuccessful attempts regarding friendly settlement it concluded it will not proceed further with its efforts in this respect.</w:t>
      </w:r>
    </w:p>
  </w:footnote>
  <w:footnote w:id="233">
    <w:p w14:paraId="2D5844C7" w14:textId="77777777" w:rsidR="000C68FA" w:rsidRPr="00560F13" w:rsidRDefault="000C68FA" w:rsidP="002218C4">
      <w:pPr>
        <w:pStyle w:val="SingleTxtG"/>
        <w:spacing w:after="0" w:line="200" w:lineRule="exact"/>
        <w:ind w:left="0" w:right="0"/>
        <w:rPr>
          <w:rFonts w:ascii="Arial" w:hAnsi="Arial" w:cs="Arial"/>
          <w:sz w:val="18"/>
          <w:szCs w:val="18"/>
          <w:lang w:val="en-US"/>
        </w:rPr>
      </w:pPr>
      <w:r w:rsidRPr="00560F13">
        <w:rPr>
          <w:rStyle w:val="Appelnotedebasdep"/>
          <w:rFonts w:ascii="Arial" w:hAnsi="Arial" w:cs="Arial"/>
        </w:rPr>
        <w:footnoteRef/>
      </w:r>
      <w:r w:rsidRPr="00560F13">
        <w:rPr>
          <w:rStyle w:val="Appelnotedebasdep"/>
          <w:rFonts w:ascii="Arial" w:hAnsi="Arial" w:cs="Arial"/>
          <w:lang w:val="en-US"/>
        </w:rPr>
        <w:t xml:space="preserve"> </w:t>
      </w:r>
      <w:r w:rsidRPr="00560F13">
        <w:rPr>
          <w:rFonts w:ascii="Arial" w:hAnsi="Arial" w:cs="Arial"/>
          <w:i/>
          <w:iCs/>
          <w:sz w:val="18"/>
          <w:szCs w:val="18"/>
          <w:lang w:val="en-US"/>
        </w:rPr>
        <w:t>Ibid</w:t>
      </w:r>
      <w:r w:rsidRPr="00560F13">
        <w:rPr>
          <w:rFonts w:ascii="Arial" w:hAnsi="Arial" w:cs="Arial"/>
          <w:sz w:val="18"/>
          <w:szCs w:val="18"/>
          <w:lang w:val="en-US"/>
        </w:rPr>
        <w:t>.</w:t>
      </w:r>
    </w:p>
  </w:footnote>
  <w:footnote w:id="234">
    <w:p w14:paraId="2E534875" w14:textId="77777777" w:rsidR="000C68FA" w:rsidRPr="00560F13" w:rsidRDefault="000C68FA" w:rsidP="002218C4">
      <w:pPr>
        <w:pStyle w:val="SingleTxtG"/>
        <w:spacing w:after="0" w:line="200" w:lineRule="exact"/>
        <w:ind w:left="0" w:right="0"/>
        <w:rPr>
          <w:rFonts w:ascii="Arial" w:hAnsi="Arial" w:cs="Arial"/>
          <w:b/>
          <w:bCs/>
          <w:sz w:val="18"/>
          <w:szCs w:val="18"/>
          <w:lang w:val="en-US"/>
        </w:rPr>
      </w:pPr>
      <w:r w:rsidRPr="00560F13">
        <w:rPr>
          <w:rStyle w:val="Appelnotedebasdep"/>
          <w:rFonts w:ascii="Arial" w:hAnsi="Arial" w:cs="Arial"/>
        </w:rPr>
        <w:footnoteRef/>
      </w:r>
      <w:r w:rsidRPr="00560F13">
        <w:rPr>
          <w:rFonts w:ascii="Arial" w:hAnsi="Arial" w:cs="Arial"/>
          <w:sz w:val="18"/>
          <w:szCs w:val="18"/>
          <w:lang w:val="en-US"/>
        </w:rPr>
        <w:t xml:space="preserve"> </w:t>
      </w:r>
      <w:hyperlink r:id="rId286" w:history="1">
        <w:r w:rsidRPr="00560F13">
          <w:rPr>
            <w:rStyle w:val="Lienhypertexte"/>
            <w:rFonts w:ascii="Arial" w:hAnsi="Arial" w:cs="Arial"/>
            <w:sz w:val="18"/>
            <w:szCs w:val="18"/>
          </w:rPr>
          <w:t>Resolution (59) 12</w:t>
        </w:r>
      </w:hyperlink>
      <w:r w:rsidRPr="00560F13">
        <w:rPr>
          <w:rStyle w:val="lev"/>
          <w:rFonts w:ascii="Arial" w:eastAsiaTheme="majorEastAsia" w:hAnsi="Arial" w:cs="Arial"/>
          <w:sz w:val="18"/>
          <w:szCs w:val="18"/>
        </w:rPr>
        <w:t xml:space="preserve">, </w:t>
      </w:r>
      <w:r w:rsidRPr="00560F13">
        <w:rPr>
          <w:rStyle w:val="lev"/>
          <w:rFonts w:ascii="Arial" w:eastAsiaTheme="majorEastAsia" w:hAnsi="Arial" w:cs="Arial"/>
          <w:b w:val="0"/>
          <w:bCs w:val="0"/>
          <w:sz w:val="18"/>
          <w:szCs w:val="18"/>
        </w:rPr>
        <w:t>20 April 1959, adopted by the Committee of Ministers Human Rights (Application No. 176/56).</w:t>
      </w:r>
    </w:p>
  </w:footnote>
  <w:footnote w:id="235">
    <w:p w14:paraId="4C0F72E4" w14:textId="77777777" w:rsidR="000C68FA" w:rsidRPr="00560F13" w:rsidRDefault="000C68FA" w:rsidP="002218C4">
      <w:pPr>
        <w:pStyle w:val="SingleTxtG"/>
        <w:spacing w:after="0" w:line="200" w:lineRule="exact"/>
        <w:ind w:left="0" w:right="0"/>
        <w:rPr>
          <w:rFonts w:ascii="Arial" w:hAnsi="Arial" w:cs="Arial"/>
          <w:sz w:val="18"/>
          <w:szCs w:val="18"/>
          <w:lang w:val="en-US"/>
        </w:rPr>
      </w:pPr>
      <w:r w:rsidRPr="00560F13">
        <w:rPr>
          <w:rStyle w:val="Appelnotedebasdep"/>
          <w:rFonts w:ascii="Arial" w:hAnsi="Arial" w:cs="Arial"/>
        </w:rPr>
        <w:footnoteRef/>
      </w:r>
      <w:r w:rsidRPr="00560F13">
        <w:rPr>
          <w:rStyle w:val="Appelnotedebasdep"/>
          <w:rFonts w:ascii="Arial" w:hAnsi="Arial" w:cs="Arial"/>
        </w:rPr>
        <w:t xml:space="preserve"> </w:t>
      </w:r>
      <w:r w:rsidRPr="00560F13">
        <w:rPr>
          <w:rFonts w:ascii="Arial" w:hAnsi="Arial" w:cs="Arial"/>
          <w:sz w:val="18"/>
          <w:szCs w:val="18"/>
          <w:lang w:val="en-US"/>
        </w:rPr>
        <w:t>Greece v. United Kingdom (II), no. 299/57</w:t>
      </w:r>
    </w:p>
  </w:footnote>
  <w:footnote w:id="236">
    <w:p w14:paraId="07B76C20" w14:textId="77777777" w:rsidR="000C68FA" w:rsidRPr="00560F13" w:rsidRDefault="000C68FA" w:rsidP="002218C4">
      <w:pPr>
        <w:pStyle w:val="SingleTxtG"/>
        <w:spacing w:after="0" w:line="200" w:lineRule="exact"/>
        <w:ind w:left="0" w:right="0"/>
        <w:rPr>
          <w:rFonts w:ascii="Arial" w:hAnsi="Arial" w:cs="Arial"/>
          <w:sz w:val="18"/>
          <w:szCs w:val="18"/>
          <w:lang w:val="en-US"/>
        </w:rPr>
      </w:pPr>
      <w:r w:rsidRPr="00560F13">
        <w:rPr>
          <w:rStyle w:val="Appelnotedebasdep"/>
          <w:rFonts w:ascii="Arial" w:hAnsi="Arial" w:cs="Arial"/>
        </w:rPr>
        <w:footnoteRef/>
      </w:r>
      <w:r w:rsidRPr="00560F13">
        <w:rPr>
          <w:rFonts w:ascii="Arial" w:hAnsi="Arial" w:cs="Arial"/>
          <w:sz w:val="18"/>
          <w:szCs w:val="18"/>
          <w:lang w:val="en-US"/>
        </w:rPr>
        <w:t xml:space="preserve"> Greece v. United Kingdom (II), no. 299/57, </w:t>
      </w:r>
      <w:hyperlink r:id="rId287" w:history="1">
        <w:r w:rsidRPr="00560F13">
          <w:rPr>
            <w:rStyle w:val="Lienhypertexte"/>
            <w:rFonts w:ascii="Arial" w:hAnsi="Arial" w:cs="Arial"/>
            <w:sz w:val="18"/>
            <w:szCs w:val="18"/>
            <w:lang w:val="en-US"/>
          </w:rPr>
          <w:t>Report of the Commission</w:t>
        </w:r>
      </w:hyperlink>
      <w:r w:rsidRPr="00560F13">
        <w:rPr>
          <w:rFonts w:ascii="Arial" w:hAnsi="Arial" w:cs="Arial"/>
          <w:sz w:val="18"/>
          <w:szCs w:val="18"/>
          <w:lang w:val="en-US"/>
        </w:rPr>
        <w:t>, 8 July 1959</w:t>
      </w:r>
    </w:p>
  </w:footnote>
  <w:footnote w:id="237">
    <w:p w14:paraId="22BBAC31" w14:textId="77777777" w:rsidR="000C68FA" w:rsidRPr="00560F13" w:rsidRDefault="000C68FA" w:rsidP="002218C4">
      <w:pPr>
        <w:pStyle w:val="SingleTxtG"/>
        <w:spacing w:after="0" w:line="200" w:lineRule="exact"/>
        <w:ind w:left="0" w:right="0"/>
        <w:rPr>
          <w:rFonts w:ascii="Arial" w:hAnsi="Arial" w:cs="Arial"/>
          <w:sz w:val="18"/>
          <w:szCs w:val="18"/>
          <w:lang w:val="en-US"/>
        </w:rPr>
      </w:pPr>
      <w:r w:rsidRPr="00560F13">
        <w:rPr>
          <w:rStyle w:val="Appelnotedebasdep"/>
          <w:rFonts w:ascii="Arial" w:hAnsi="Arial" w:cs="Arial"/>
        </w:rPr>
        <w:footnoteRef/>
      </w:r>
      <w:r w:rsidRPr="00560F13">
        <w:rPr>
          <w:rFonts w:ascii="Arial" w:hAnsi="Arial" w:cs="Arial"/>
          <w:sz w:val="18"/>
          <w:szCs w:val="18"/>
          <w:lang w:val="en-US"/>
        </w:rPr>
        <w:t xml:space="preserve"> Resolution of the Committee of Ministers, </w:t>
      </w:r>
      <w:hyperlink r:id="rId288" w:history="1">
        <w:r w:rsidRPr="00560F13">
          <w:rPr>
            <w:rStyle w:val="Lienhypertexte"/>
            <w:rFonts w:ascii="Arial" w:hAnsi="Arial" w:cs="Arial"/>
            <w:sz w:val="18"/>
            <w:szCs w:val="18"/>
            <w:lang w:val="en-US"/>
          </w:rPr>
          <w:t>ResDH(2006)24</w:t>
        </w:r>
      </w:hyperlink>
      <w:r w:rsidRPr="00560F13">
        <w:rPr>
          <w:rFonts w:ascii="Arial" w:hAnsi="Arial" w:cs="Arial"/>
          <w:sz w:val="18"/>
          <w:szCs w:val="18"/>
          <w:lang w:val="en-US"/>
        </w:rPr>
        <w:t>, 5 April 2006</w:t>
      </w:r>
    </w:p>
  </w:footnote>
  <w:footnote w:id="238">
    <w:p w14:paraId="14C99FDB" w14:textId="77777777" w:rsidR="000C68FA" w:rsidRPr="00560F13" w:rsidRDefault="000C68FA" w:rsidP="002218C4">
      <w:pPr>
        <w:pStyle w:val="SingleTxtG"/>
        <w:spacing w:after="0" w:line="200" w:lineRule="exact"/>
        <w:ind w:left="0" w:right="0"/>
        <w:rPr>
          <w:rFonts w:ascii="Arial" w:hAnsi="Arial" w:cs="Arial"/>
          <w:sz w:val="18"/>
          <w:szCs w:val="18"/>
          <w:lang w:val="en-US"/>
        </w:rPr>
      </w:pPr>
      <w:r w:rsidRPr="00560F13">
        <w:rPr>
          <w:rFonts w:ascii="Arial" w:hAnsi="Arial" w:cs="Arial"/>
          <w:sz w:val="18"/>
          <w:szCs w:val="18"/>
          <w:lang w:val="en-US"/>
        </w:rPr>
        <w:footnoteRef/>
      </w:r>
      <w:r w:rsidRPr="00560F13">
        <w:rPr>
          <w:rFonts w:ascii="Arial" w:hAnsi="Arial" w:cs="Arial"/>
          <w:sz w:val="18"/>
          <w:szCs w:val="18"/>
          <w:vertAlign w:val="superscript"/>
          <w:lang w:val="en-US"/>
        </w:rPr>
        <w:t xml:space="preserve"> </w:t>
      </w:r>
      <w:hyperlink r:id="rId289" w:history="1">
        <w:r w:rsidRPr="00560F13">
          <w:rPr>
            <w:rStyle w:val="Lienhypertexte"/>
            <w:rFonts w:ascii="Arial" w:hAnsi="Arial" w:cs="Arial"/>
            <w:sz w:val="18"/>
            <w:szCs w:val="18"/>
          </w:rPr>
          <w:t xml:space="preserve">Resolution </w:t>
        </w:r>
        <w:r w:rsidRPr="00560F13">
          <w:rPr>
            <w:rStyle w:val="Lienhypertexte"/>
            <w:rFonts w:ascii="Arial" w:hAnsi="Arial" w:cs="Arial"/>
            <w:sz w:val="18"/>
            <w:szCs w:val="18"/>
            <w:lang w:val="en-US"/>
          </w:rPr>
          <w:t>(59) 32</w:t>
        </w:r>
      </w:hyperlink>
      <w:r w:rsidRPr="00560F13">
        <w:rPr>
          <w:rFonts w:ascii="Arial" w:hAnsi="Arial" w:cs="Arial"/>
          <w:sz w:val="18"/>
          <w:szCs w:val="18"/>
          <w:lang w:val="en-US"/>
        </w:rPr>
        <w:t>, 14 December 1959, adopted by the Committee of Ministers, Human Rights Application No. 229/57.</w:t>
      </w:r>
    </w:p>
  </w:footnote>
  <w:footnote w:id="239">
    <w:p w14:paraId="1606560C" w14:textId="77777777" w:rsidR="000C68FA" w:rsidRPr="00560F13" w:rsidRDefault="000C68FA" w:rsidP="002218C4">
      <w:pPr>
        <w:pStyle w:val="SingleTxtG"/>
        <w:spacing w:after="0" w:line="200" w:lineRule="exact"/>
        <w:ind w:left="0" w:right="0"/>
        <w:rPr>
          <w:rFonts w:ascii="Arial" w:hAnsi="Arial" w:cs="Arial"/>
          <w:sz w:val="18"/>
          <w:szCs w:val="18"/>
          <w:lang w:val="en-US"/>
        </w:rPr>
      </w:pPr>
      <w:r w:rsidRPr="00560F13">
        <w:rPr>
          <w:rFonts w:ascii="Arial" w:hAnsi="Arial" w:cs="Arial"/>
          <w:sz w:val="18"/>
          <w:szCs w:val="18"/>
          <w:vertAlign w:val="superscript"/>
          <w:lang w:val="en-US"/>
        </w:rPr>
        <w:footnoteRef/>
      </w:r>
      <w:r w:rsidRPr="00560F13">
        <w:rPr>
          <w:rFonts w:ascii="Arial" w:hAnsi="Arial" w:cs="Arial"/>
          <w:sz w:val="18"/>
          <w:szCs w:val="18"/>
          <w:vertAlign w:val="superscript"/>
          <w:lang w:val="en-US"/>
        </w:rPr>
        <w:t xml:space="preserve"> </w:t>
      </w:r>
      <w:hyperlink r:id="rId290" w:history="1">
        <w:r w:rsidRPr="00560F13">
          <w:rPr>
            <w:rStyle w:val="Lienhypertexte"/>
            <w:rFonts w:ascii="Arial" w:hAnsi="Arial" w:cs="Arial"/>
            <w:i/>
            <w:iCs/>
            <w:sz w:val="18"/>
            <w:szCs w:val="18"/>
            <w:lang w:val="en-US"/>
          </w:rPr>
          <w:t>Denmark, Norway, Sweden v. Greece (II)</w:t>
        </w:r>
      </w:hyperlink>
      <w:r w:rsidRPr="00560F13">
        <w:rPr>
          <w:rFonts w:ascii="Arial" w:hAnsi="Arial" w:cs="Arial"/>
          <w:sz w:val="18"/>
          <w:szCs w:val="18"/>
          <w:lang w:val="en-US"/>
        </w:rPr>
        <w:t xml:space="preserve">, </w:t>
      </w:r>
      <w:hyperlink r:id="rId291" w:anchor="{%22itemid%22:[%22001-95638%22]}" w:history="1">
        <w:r w:rsidRPr="00560F13">
          <w:rPr>
            <w:rFonts w:ascii="Arial" w:hAnsi="Arial" w:cs="Arial"/>
            <w:sz w:val="18"/>
            <w:szCs w:val="18"/>
            <w:lang w:val="en-US"/>
          </w:rPr>
          <w:t>no. 4448/70</w:t>
        </w:r>
      </w:hyperlink>
      <w:r w:rsidRPr="00560F13">
        <w:rPr>
          <w:rFonts w:ascii="Arial" w:hAnsi="Arial" w:cs="Arial"/>
          <w:sz w:val="18"/>
          <w:szCs w:val="18"/>
          <w:lang w:val="en-US"/>
        </w:rPr>
        <w:t xml:space="preserve">, </w:t>
      </w:r>
      <w:hyperlink r:id="rId292" w:history="1">
        <w:r w:rsidRPr="00560F13">
          <w:rPr>
            <w:rStyle w:val="Lienhypertexte"/>
            <w:rFonts w:ascii="Arial" w:hAnsi="Arial" w:cs="Arial"/>
            <w:sz w:val="18"/>
            <w:szCs w:val="18"/>
            <w:lang w:val="en-US"/>
          </w:rPr>
          <w:t>Report of the Commission</w:t>
        </w:r>
      </w:hyperlink>
      <w:r w:rsidRPr="00560F13">
        <w:rPr>
          <w:rFonts w:ascii="Arial" w:hAnsi="Arial" w:cs="Arial"/>
          <w:sz w:val="18"/>
          <w:szCs w:val="18"/>
          <w:lang w:val="en-US"/>
        </w:rPr>
        <w:t>, 4 October 1976.</w:t>
      </w:r>
    </w:p>
  </w:footnote>
  <w:footnote w:id="240">
    <w:p w14:paraId="0C1FDAC3" w14:textId="77777777" w:rsidR="000C68FA" w:rsidRPr="00560F13" w:rsidRDefault="000C68FA" w:rsidP="002218C4">
      <w:pPr>
        <w:pStyle w:val="SingleTxtG"/>
        <w:spacing w:after="0" w:line="200" w:lineRule="exact"/>
        <w:ind w:left="0" w:right="0"/>
        <w:rPr>
          <w:rFonts w:ascii="Arial" w:hAnsi="Arial" w:cs="Arial"/>
          <w:sz w:val="18"/>
          <w:szCs w:val="18"/>
          <w:lang w:val="en-US"/>
        </w:rPr>
      </w:pPr>
      <w:r w:rsidRPr="00560F13">
        <w:rPr>
          <w:rFonts w:ascii="Arial" w:hAnsi="Arial" w:cs="Arial"/>
          <w:sz w:val="18"/>
          <w:szCs w:val="18"/>
          <w:vertAlign w:val="superscript"/>
          <w:lang w:val="en-US"/>
        </w:rPr>
        <w:footnoteRef/>
      </w:r>
      <w:r w:rsidRPr="00560F13">
        <w:rPr>
          <w:rFonts w:ascii="Arial" w:hAnsi="Arial" w:cs="Arial"/>
          <w:sz w:val="18"/>
          <w:szCs w:val="18"/>
          <w:vertAlign w:val="superscript"/>
          <w:lang w:val="en-US"/>
        </w:rPr>
        <w:t xml:space="preserve"> </w:t>
      </w:r>
      <w:r w:rsidRPr="00560F13">
        <w:rPr>
          <w:rFonts w:ascii="Arial" w:hAnsi="Arial" w:cs="Arial"/>
          <w:i/>
          <w:iCs/>
          <w:sz w:val="18"/>
          <w:szCs w:val="18"/>
          <w:lang w:val="en-US"/>
        </w:rPr>
        <w:t>Ibid</w:t>
      </w:r>
      <w:r w:rsidRPr="00560F13">
        <w:rPr>
          <w:rFonts w:ascii="Arial" w:hAnsi="Arial" w:cs="Arial"/>
          <w:sz w:val="18"/>
          <w:szCs w:val="18"/>
          <w:lang w:val="en-US"/>
        </w:rPr>
        <w:t xml:space="preserve">. </w:t>
      </w:r>
    </w:p>
  </w:footnote>
  <w:footnote w:id="241">
    <w:p w14:paraId="3D181A7F" w14:textId="77777777" w:rsidR="000C68FA" w:rsidRPr="00560F13" w:rsidRDefault="000C68FA" w:rsidP="002218C4">
      <w:pPr>
        <w:pStyle w:val="SingleTxtG"/>
        <w:spacing w:after="0" w:line="200" w:lineRule="exact"/>
        <w:ind w:left="0" w:right="0"/>
        <w:rPr>
          <w:rFonts w:ascii="Arial" w:hAnsi="Arial" w:cs="Arial"/>
          <w:sz w:val="18"/>
          <w:szCs w:val="18"/>
          <w:lang w:val="en-US"/>
        </w:rPr>
      </w:pPr>
      <w:r w:rsidRPr="00560F13">
        <w:rPr>
          <w:rStyle w:val="Appelnotedebasdep"/>
          <w:rFonts w:ascii="Arial" w:hAnsi="Arial" w:cs="Arial"/>
        </w:rPr>
        <w:footnoteRef/>
      </w:r>
      <w:r w:rsidRPr="00560F13">
        <w:rPr>
          <w:rFonts w:ascii="Arial" w:hAnsi="Arial" w:cs="Arial"/>
          <w:sz w:val="18"/>
          <w:szCs w:val="18"/>
          <w:lang w:val="en-US"/>
        </w:rPr>
        <w:t xml:space="preserve"> </w:t>
      </w:r>
      <w:r w:rsidRPr="00560F13">
        <w:rPr>
          <w:rFonts w:ascii="Arial" w:hAnsi="Arial" w:cs="Arial"/>
          <w:i/>
          <w:sz w:val="18"/>
          <w:szCs w:val="18"/>
          <w:u w:val="single"/>
          <w:lang w:val="en-US"/>
        </w:rPr>
        <w:t>Denmark, France, Norway, Sweden and the Netherlands v. Turkey</w:t>
      </w:r>
      <w:r w:rsidRPr="00560F13">
        <w:rPr>
          <w:rFonts w:ascii="Arial" w:hAnsi="Arial" w:cs="Arial"/>
          <w:sz w:val="18"/>
          <w:szCs w:val="18"/>
          <w:lang w:val="en-US"/>
        </w:rPr>
        <w:t xml:space="preserve">, nos. 9940-44/82 </w:t>
      </w:r>
    </w:p>
  </w:footnote>
  <w:footnote w:id="242">
    <w:p w14:paraId="60BD41B1" w14:textId="77777777" w:rsidR="000C68FA" w:rsidRPr="00560F13" w:rsidRDefault="000C68FA" w:rsidP="002218C4">
      <w:pPr>
        <w:pStyle w:val="SingleTxtG"/>
        <w:spacing w:after="0" w:line="200" w:lineRule="exact"/>
        <w:ind w:left="0" w:right="0"/>
        <w:rPr>
          <w:rFonts w:ascii="Arial" w:hAnsi="Arial" w:cs="Arial"/>
          <w:sz w:val="18"/>
          <w:szCs w:val="18"/>
          <w:lang w:val="en-US"/>
        </w:rPr>
      </w:pPr>
      <w:r w:rsidRPr="00560F13">
        <w:rPr>
          <w:rStyle w:val="Appelnotedebasdep"/>
          <w:rFonts w:ascii="Arial" w:hAnsi="Arial" w:cs="Arial"/>
        </w:rPr>
        <w:footnoteRef/>
      </w:r>
      <w:r w:rsidRPr="00560F13">
        <w:rPr>
          <w:rFonts w:ascii="Arial" w:hAnsi="Arial" w:cs="Arial"/>
          <w:sz w:val="18"/>
          <w:szCs w:val="18"/>
          <w:lang w:val="en-US"/>
        </w:rPr>
        <w:t xml:space="preserve"> </w:t>
      </w:r>
      <w:r w:rsidRPr="00560F13">
        <w:rPr>
          <w:rFonts w:ascii="Arial" w:hAnsi="Arial" w:cs="Arial"/>
          <w:i/>
          <w:sz w:val="18"/>
          <w:szCs w:val="18"/>
          <w:u w:val="single"/>
          <w:lang w:val="en-US"/>
        </w:rPr>
        <w:t>France, Norway, Denmark, Sweden and the Netherlands v. Turkey</w:t>
      </w:r>
      <w:r w:rsidRPr="00560F13">
        <w:rPr>
          <w:rFonts w:ascii="Arial" w:hAnsi="Arial" w:cs="Arial"/>
          <w:sz w:val="18"/>
          <w:szCs w:val="18"/>
          <w:lang w:val="en-US"/>
        </w:rPr>
        <w:t xml:space="preserve">, nos 9940-44/82, </w:t>
      </w:r>
      <w:hyperlink r:id="rId293" w:anchor="{%22itemid%22:[%22001-74161%22]}" w:history="1">
        <w:r w:rsidRPr="00560F13">
          <w:rPr>
            <w:rStyle w:val="Lienhypertexte"/>
            <w:rFonts w:ascii="Arial" w:hAnsi="Arial" w:cs="Arial"/>
            <w:sz w:val="18"/>
            <w:szCs w:val="18"/>
            <w:lang w:val="en-US"/>
          </w:rPr>
          <w:t>admissibility decision</w:t>
        </w:r>
      </w:hyperlink>
      <w:r w:rsidRPr="00560F13">
        <w:rPr>
          <w:rFonts w:ascii="Arial" w:hAnsi="Arial" w:cs="Arial"/>
          <w:sz w:val="18"/>
          <w:szCs w:val="18"/>
          <w:lang w:val="en-US"/>
        </w:rPr>
        <w:t>, 6 December 1983</w:t>
      </w:r>
    </w:p>
  </w:footnote>
  <w:footnote w:id="243">
    <w:p w14:paraId="578E0F0C" w14:textId="77777777" w:rsidR="000C68FA" w:rsidRPr="00560F13" w:rsidRDefault="000C68FA" w:rsidP="002218C4">
      <w:pPr>
        <w:pStyle w:val="SingleTxtG"/>
        <w:spacing w:after="0" w:line="200" w:lineRule="exact"/>
        <w:ind w:left="0" w:right="0"/>
        <w:rPr>
          <w:rFonts w:ascii="Arial" w:hAnsi="Arial" w:cs="Arial"/>
          <w:sz w:val="18"/>
          <w:szCs w:val="18"/>
          <w:lang w:val="en-US"/>
        </w:rPr>
      </w:pPr>
      <w:r w:rsidRPr="00560F13">
        <w:rPr>
          <w:rStyle w:val="Appelnotedebasdep"/>
          <w:rFonts w:ascii="Arial" w:hAnsi="Arial" w:cs="Arial"/>
        </w:rPr>
        <w:footnoteRef/>
      </w:r>
      <w:r w:rsidRPr="00560F13">
        <w:rPr>
          <w:rFonts w:ascii="Arial" w:hAnsi="Arial" w:cs="Arial"/>
          <w:sz w:val="18"/>
          <w:szCs w:val="18"/>
          <w:lang w:val="en-US"/>
        </w:rPr>
        <w:t xml:space="preserve"> </w:t>
      </w:r>
      <w:r w:rsidRPr="00560F13">
        <w:rPr>
          <w:rFonts w:ascii="Arial" w:hAnsi="Arial" w:cs="Arial"/>
          <w:i/>
          <w:sz w:val="18"/>
          <w:szCs w:val="18"/>
          <w:u w:val="single"/>
          <w:lang w:val="en-US"/>
        </w:rPr>
        <w:t>France, Norway, Denmark, Sweden and the Netherlands v. Turkey</w:t>
      </w:r>
      <w:r w:rsidRPr="00560F13">
        <w:rPr>
          <w:rFonts w:ascii="Arial" w:hAnsi="Arial" w:cs="Arial"/>
          <w:sz w:val="18"/>
          <w:szCs w:val="18"/>
          <w:lang w:val="en-US"/>
        </w:rPr>
        <w:t xml:space="preserve">, nos 9940-44/82, </w:t>
      </w:r>
      <w:hyperlink r:id="rId294" w:history="1">
        <w:r w:rsidRPr="00560F13">
          <w:rPr>
            <w:rStyle w:val="Lienhypertexte"/>
            <w:rFonts w:ascii="Arial" w:hAnsi="Arial" w:cs="Arial"/>
            <w:sz w:val="18"/>
            <w:szCs w:val="18"/>
            <w:lang w:val="en-US"/>
          </w:rPr>
          <w:t>report of the Commission</w:t>
        </w:r>
      </w:hyperlink>
      <w:r w:rsidRPr="00560F13">
        <w:rPr>
          <w:rFonts w:ascii="Arial" w:hAnsi="Arial" w:cs="Arial"/>
          <w:sz w:val="18"/>
          <w:szCs w:val="18"/>
          <w:lang w:val="en-US"/>
        </w:rPr>
        <w:t xml:space="preserve">, 7 December 1985 (friendly settlement) </w:t>
      </w:r>
    </w:p>
  </w:footnote>
  <w:footnote w:id="244">
    <w:p w14:paraId="7FE420D6"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95" w:history="1">
        <w:r w:rsidRPr="00560F13">
          <w:rPr>
            <w:rStyle w:val="Lienhypertexte"/>
            <w:rFonts w:ascii="Arial" w:hAnsi="Arial" w:cs="Arial"/>
            <w:i/>
            <w:sz w:val="18"/>
            <w:szCs w:val="18"/>
          </w:rPr>
          <w:t>Denmark v. Turkey</w:t>
        </w:r>
      </w:hyperlink>
      <w:r w:rsidRPr="00560F13">
        <w:rPr>
          <w:rStyle w:val="Lienhypertexte"/>
          <w:rFonts w:ascii="Arial" w:hAnsi="Arial" w:cs="Arial"/>
          <w:sz w:val="18"/>
          <w:szCs w:val="18"/>
        </w:rPr>
        <w:t>,</w:t>
      </w:r>
      <w:r w:rsidRPr="00560F13">
        <w:rPr>
          <w:rFonts w:ascii="Arial" w:hAnsi="Arial" w:cs="Arial"/>
          <w:sz w:val="18"/>
          <w:szCs w:val="18"/>
        </w:rPr>
        <w:t xml:space="preserve"> no. 34382/97, 5 April 2000. </w:t>
      </w:r>
    </w:p>
  </w:footnote>
  <w:footnote w:id="245">
    <w:p w14:paraId="6DCCBE01"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296" w:history="1">
        <w:r w:rsidRPr="00560F13">
          <w:rPr>
            <w:rStyle w:val="Lienhypertexte"/>
            <w:rFonts w:ascii="Arial" w:hAnsi="Arial" w:cs="Arial"/>
            <w:i/>
            <w:sz w:val="18"/>
            <w:szCs w:val="18"/>
          </w:rPr>
          <w:t>Denmark v. Turkey</w:t>
        </w:r>
      </w:hyperlink>
      <w:r w:rsidRPr="00560F13">
        <w:rPr>
          <w:rStyle w:val="Lienhypertexte"/>
          <w:rFonts w:ascii="Arial" w:hAnsi="Arial" w:cs="Arial"/>
          <w:sz w:val="18"/>
          <w:szCs w:val="18"/>
        </w:rPr>
        <w:t>,</w:t>
      </w:r>
      <w:r w:rsidRPr="00560F13">
        <w:rPr>
          <w:rFonts w:ascii="Arial" w:hAnsi="Arial" w:cs="Arial"/>
          <w:sz w:val="18"/>
          <w:szCs w:val="18"/>
        </w:rPr>
        <w:t xml:space="preserve"> no. 34382/97, 5 April 2000. </w:t>
      </w:r>
    </w:p>
  </w:footnote>
  <w:footnote w:id="246">
    <w:p w14:paraId="62A22DC3"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r w:rsidRPr="00560F13">
        <w:rPr>
          <w:rStyle w:val="author"/>
          <w:rFonts w:ascii="Arial" w:eastAsiaTheme="majorEastAsia" w:hAnsi="Arial" w:cs="Arial"/>
          <w:i/>
          <w:iCs/>
          <w:color w:val="000000"/>
          <w:sz w:val="18"/>
          <w:szCs w:val="18"/>
          <w:bdr w:val="none" w:sz="0" w:space="0" w:color="auto" w:frame="1"/>
          <w:shd w:val="clear" w:color="auto" w:fill="FFFFFF"/>
        </w:rPr>
        <w:t>Helen Keller</w:t>
      </w:r>
      <w:r w:rsidRPr="00560F13">
        <w:rPr>
          <w:rStyle w:val="cite-authors"/>
          <w:rFonts w:ascii="Arial" w:eastAsiaTheme="majorEastAsia" w:hAnsi="Arial" w:cs="Arial"/>
          <w:i/>
          <w:iCs/>
          <w:color w:val="000000"/>
          <w:sz w:val="18"/>
          <w:szCs w:val="18"/>
          <w:bdr w:val="none" w:sz="0" w:space="0" w:color="auto" w:frame="1"/>
          <w:shd w:val="clear" w:color="auto" w:fill="FFFFFF"/>
        </w:rPr>
        <w:t> </w:t>
      </w:r>
      <w:r w:rsidRPr="00560F13">
        <w:rPr>
          <w:rStyle w:val="author"/>
          <w:rFonts w:ascii="Arial" w:eastAsiaTheme="majorEastAsia" w:hAnsi="Arial" w:cs="Arial"/>
          <w:i/>
          <w:iCs/>
          <w:color w:val="000000"/>
          <w:sz w:val="18"/>
          <w:szCs w:val="18"/>
          <w:bdr w:val="none" w:sz="0" w:space="0" w:color="auto" w:frame="1"/>
          <w:shd w:val="clear" w:color="auto" w:fill="FFFFFF"/>
        </w:rPr>
        <w:t>Réka Piskóty</w:t>
      </w:r>
      <w:r w:rsidRPr="00560F13">
        <w:rPr>
          <w:rStyle w:val="cite-authors"/>
          <w:rFonts w:ascii="Arial" w:eastAsiaTheme="majorEastAsia" w:hAnsi="Arial" w:cs="Arial"/>
          <w:i/>
          <w:iCs/>
          <w:color w:val="000000"/>
          <w:sz w:val="18"/>
          <w:szCs w:val="18"/>
          <w:bdr w:val="none" w:sz="0" w:space="0" w:color="auto" w:frame="1"/>
          <w:shd w:val="clear" w:color="auto" w:fill="FFFFFF"/>
        </w:rPr>
        <w:t> </w:t>
      </w:r>
      <w:r w:rsidRPr="00560F13">
        <w:rPr>
          <w:rStyle w:val="cite-title"/>
          <w:rFonts w:ascii="Arial" w:eastAsiaTheme="majorEastAsia" w:hAnsi="Arial" w:cs="Arial"/>
          <w:color w:val="000000"/>
          <w:sz w:val="18"/>
          <w:szCs w:val="18"/>
          <w:bdr w:val="none" w:sz="0" w:space="0" w:color="auto" w:frame="1"/>
          <w:shd w:val="clear" w:color="auto" w:fill="FFFFFF"/>
        </w:rPr>
        <w:t>Friendly Settlements as the Sleeping Beauty in Inter-State Cases: Opportunities and Risks for the European Court of Human Rights,</w:t>
      </w:r>
      <w:r w:rsidRPr="00560F13">
        <w:rPr>
          <w:rFonts w:ascii="Arial" w:hAnsi="Arial" w:cs="Arial"/>
          <w:color w:val="000000"/>
          <w:sz w:val="18"/>
          <w:szCs w:val="18"/>
          <w:shd w:val="clear" w:color="auto" w:fill="FFFFFF"/>
        </w:rPr>
        <w:t> </w:t>
      </w:r>
      <w:r w:rsidRPr="00560F13">
        <w:rPr>
          <w:rStyle w:val="cite-blog"/>
          <w:rFonts w:ascii="Arial" w:eastAsiaTheme="majorEastAsia" w:hAnsi="Arial" w:cs="Arial"/>
          <w:i/>
          <w:iCs/>
          <w:color w:val="000000"/>
          <w:sz w:val="18"/>
          <w:szCs w:val="18"/>
          <w:bdr w:val="none" w:sz="0" w:space="0" w:color="auto" w:frame="1"/>
          <w:shd w:val="clear" w:color="auto" w:fill="FFFFFF"/>
        </w:rPr>
        <w:t>Völkerrechtsblog,</w:t>
      </w:r>
      <w:r w:rsidRPr="00560F13">
        <w:rPr>
          <w:rFonts w:ascii="Arial" w:hAnsi="Arial" w:cs="Arial"/>
          <w:color w:val="000000"/>
          <w:sz w:val="18"/>
          <w:szCs w:val="18"/>
          <w:shd w:val="clear" w:color="auto" w:fill="FFFFFF"/>
        </w:rPr>
        <w:t> </w:t>
      </w:r>
      <w:r w:rsidRPr="00560F13">
        <w:rPr>
          <w:rStyle w:val="cite-date"/>
          <w:rFonts w:ascii="Arial" w:eastAsiaTheme="majorEastAsia" w:hAnsi="Arial" w:cs="Arial"/>
          <w:color w:val="000000"/>
          <w:sz w:val="18"/>
          <w:szCs w:val="18"/>
          <w:bdr w:val="none" w:sz="0" w:space="0" w:color="auto" w:frame="1"/>
          <w:shd w:val="clear" w:color="auto" w:fill="FFFFFF"/>
        </w:rPr>
        <w:t>28.04.2021</w:t>
      </w:r>
      <w:r w:rsidRPr="00560F13">
        <w:rPr>
          <w:rStyle w:val="doi"/>
          <w:rFonts w:ascii="Arial" w:eastAsiaTheme="majorEastAsia" w:hAnsi="Arial" w:cs="Arial"/>
          <w:color w:val="000000"/>
          <w:bdr w:val="none" w:sz="0" w:space="0" w:color="auto" w:frame="1"/>
          <w:shd w:val="clear" w:color="auto" w:fill="FFFFFF"/>
        </w:rPr>
        <w:t>, doi: </w:t>
      </w:r>
      <w:hyperlink r:id="rId297" w:history="1">
        <w:r w:rsidRPr="005E3BA3">
          <w:rPr>
            <w:rStyle w:val="Lienhypertexte"/>
            <w:rFonts w:ascii="Arial" w:eastAsiaTheme="majorEastAsia" w:hAnsi="Arial" w:cs="Arial"/>
            <w:sz w:val="18"/>
            <w:szCs w:val="18"/>
            <w:bdr w:val="none" w:sz="0" w:space="0" w:color="auto" w:frame="1"/>
            <w:shd w:val="clear" w:color="auto" w:fill="FFFFFF"/>
          </w:rPr>
          <w:t>10.17176/20210428-181222-0</w:t>
        </w:r>
      </w:hyperlink>
      <w:r w:rsidRPr="00560F13">
        <w:rPr>
          <w:rStyle w:val="doi"/>
          <w:rFonts w:ascii="Arial" w:eastAsiaTheme="majorEastAsia" w:hAnsi="Arial" w:cs="Arial"/>
          <w:color w:val="000000"/>
          <w:bdr w:val="none" w:sz="0" w:space="0" w:color="auto" w:frame="1"/>
          <w:shd w:val="clear" w:color="auto" w:fill="FFFFFF"/>
        </w:rPr>
        <w:t xml:space="preserve"> </w:t>
      </w:r>
    </w:p>
  </w:footnote>
  <w:footnote w:id="247">
    <w:p w14:paraId="02C2865B"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r w:rsidRPr="00560F13">
        <w:rPr>
          <w:rStyle w:val="author"/>
          <w:rFonts w:ascii="Arial" w:eastAsiaTheme="majorEastAsia" w:hAnsi="Arial" w:cs="Arial"/>
          <w:i/>
          <w:iCs/>
          <w:color w:val="000000"/>
          <w:sz w:val="18"/>
          <w:szCs w:val="18"/>
          <w:bdr w:val="none" w:sz="0" w:space="0" w:color="auto" w:frame="1"/>
          <w:shd w:val="clear" w:color="auto" w:fill="FFFFFF"/>
        </w:rPr>
        <w:t>Helen Keller</w:t>
      </w:r>
      <w:r w:rsidRPr="00560F13">
        <w:rPr>
          <w:rStyle w:val="cite-authors"/>
          <w:rFonts w:ascii="Arial" w:eastAsiaTheme="majorEastAsia" w:hAnsi="Arial" w:cs="Arial"/>
          <w:i/>
          <w:iCs/>
          <w:color w:val="000000"/>
          <w:sz w:val="18"/>
          <w:szCs w:val="18"/>
          <w:bdr w:val="none" w:sz="0" w:space="0" w:color="auto" w:frame="1"/>
          <w:shd w:val="clear" w:color="auto" w:fill="FFFFFF"/>
        </w:rPr>
        <w:t> </w:t>
      </w:r>
      <w:r w:rsidRPr="00560F13">
        <w:rPr>
          <w:rStyle w:val="author"/>
          <w:rFonts w:ascii="Arial" w:eastAsiaTheme="majorEastAsia" w:hAnsi="Arial" w:cs="Arial"/>
          <w:i/>
          <w:iCs/>
          <w:color w:val="000000"/>
          <w:sz w:val="18"/>
          <w:szCs w:val="18"/>
          <w:bdr w:val="none" w:sz="0" w:space="0" w:color="auto" w:frame="1"/>
          <w:shd w:val="clear" w:color="auto" w:fill="FFFFFF"/>
        </w:rPr>
        <w:t>Réka Piskóty</w:t>
      </w:r>
      <w:r w:rsidRPr="00560F13">
        <w:rPr>
          <w:rStyle w:val="cite-authors"/>
          <w:rFonts w:ascii="Arial" w:eastAsiaTheme="majorEastAsia" w:hAnsi="Arial" w:cs="Arial"/>
          <w:i/>
          <w:iCs/>
          <w:color w:val="000000"/>
          <w:sz w:val="18"/>
          <w:szCs w:val="18"/>
          <w:bdr w:val="none" w:sz="0" w:space="0" w:color="auto" w:frame="1"/>
          <w:shd w:val="clear" w:color="auto" w:fill="FFFFFF"/>
        </w:rPr>
        <w:t> </w:t>
      </w:r>
      <w:r w:rsidRPr="00560F13">
        <w:rPr>
          <w:rStyle w:val="cite-title"/>
          <w:rFonts w:ascii="Arial" w:eastAsiaTheme="majorEastAsia" w:hAnsi="Arial" w:cs="Arial"/>
          <w:color w:val="000000"/>
          <w:sz w:val="18"/>
          <w:szCs w:val="18"/>
          <w:bdr w:val="none" w:sz="0" w:space="0" w:color="auto" w:frame="1"/>
          <w:shd w:val="clear" w:color="auto" w:fill="FFFFFF"/>
        </w:rPr>
        <w:t>Friendly Settlements as the Sleeping Beauty in Inter-State Cases: Opportunities and Risks for the European Court of Human Rights,</w:t>
      </w:r>
      <w:r w:rsidRPr="00560F13">
        <w:rPr>
          <w:rFonts w:ascii="Arial" w:hAnsi="Arial" w:cs="Arial"/>
          <w:color w:val="000000"/>
          <w:sz w:val="18"/>
          <w:szCs w:val="18"/>
          <w:shd w:val="clear" w:color="auto" w:fill="FFFFFF"/>
        </w:rPr>
        <w:t> </w:t>
      </w:r>
      <w:r w:rsidRPr="00560F13">
        <w:rPr>
          <w:rStyle w:val="cite-blog"/>
          <w:rFonts w:ascii="Arial" w:eastAsiaTheme="majorEastAsia" w:hAnsi="Arial" w:cs="Arial"/>
          <w:i/>
          <w:iCs/>
          <w:color w:val="000000"/>
          <w:sz w:val="18"/>
          <w:szCs w:val="18"/>
          <w:bdr w:val="none" w:sz="0" w:space="0" w:color="auto" w:frame="1"/>
          <w:shd w:val="clear" w:color="auto" w:fill="FFFFFF"/>
        </w:rPr>
        <w:t>Völkerrechtsblog,</w:t>
      </w:r>
      <w:r w:rsidRPr="00560F13">
        <w:rPr>
          <w:rFonts w:ascii="Arial" w:hAnsi="Arial" w:cs="Arial"/>
          <w:color w:val="000000"/>
          <w:sz w:val="18"/>
          <w:szCs w:val="18"/>
          <w:shd w:val="clear" w:color="auto" w:fill="FFFFFF"/>
        </w:rPr>
        <w:t> </w:t>
      </w:r>
      <w:r w:rsidRPr="00560F13">
        <w:rPr>
          <w:rStyle w:val="cite-date"/>
          <w:rFonts w:ascii="Arial" w:eastAsiaTheme="majorEastAsia" w:hAnsi="Arial" w:cs="Arial"/>
          <w:color w:val="000000"/>
          <w:sz w:val="18"/>
          <w:szCs w:val="18"/>
          <w:bdr w:val="none" w:sz="0" w:space="0" w:color="auto" w:frame="1"/>
          <w:shd w:val="clear" w:color="auto" w:fill="FFFFFF"/>
        </w:rPr>
        <w:t>28.04.2021</w:t>
      </w:r>
      <w:r w:rsidRPr="00560F13">
        <w:rPr>
          <w:rStyle w:val="doi"/>
          <w:rFonts w:ascii="Arial" w:eastAsiaTheme="majorEastAsia" w:hAnsi="Arial" w:cs="Arial"/>
          <w:color w:val="000000"/>
          <w:bdr w:val="none" w:sz="0" w:space="0" w:color="auto" w:frame="1"/>
          <w:shd w:val="clear" w:color="auto" w:fill="FFFFFF"/>
        </w:rPr>
        <w:t>, doi: </w:t>
      </w:r>
      <w:hyperlink r:id="rId298" w:history="1">
        <w:r w:rsidRPr="005E3BA3">
          <w:rPr>
            <w:rStyle w:val="Lienhypertexte"/>
            <w:rFonts w:ascii="Arial" w:eastAsiaTheme="majorEastAsia" w:hAnsi="Arial" w:cs="Arial"/>
            <w:sz w:val="18"/>
            <w:szCs w:val="18"/>
            <w:bdr w:val="none" w:sz="0" w:space="0" w:color="auto" w:frame="1"/>
            <w:shd w:val="clear" w:color="auto" w:fill="FFFFFF"/>
          </w:rPr>
          <w:t>10.17176/20210428-181222-0</w:t>
        </w:r>
      </w:hyperlink>
      <w:r w:rsidRPr="00560F13">
        <w:rPr>
          <w:rStyle w:val="doi"/>
          <w:rFonts w:ascii="Arial" w:eastAsiaTheme="majorEastAsia" w:hAnsi="Arial" w:cs="Arial"/>
          <w:color w:val="000000"/>
          <w:bdr w:val="none" w:sz="0" w:space="0" w:color="auto" w:frame="1"/>
          <w:shd w:val="clear" w:color="auto" w:fill="FFFFFF"/>
        </w:rPr>
        <w:t xml:space="preserve">  </w:t>
      </w:r>
    </w:p>
  </w:footnote>
  <w:footnote w:id="248">
    <w:p w14:paraId="7BA915D7"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r w:rsidRPr="00560F13">
        <w:rPr>
          <w:rStyle w:val="author"/>
          <w:rFonts w:ascii="Arial" w:eastAsiaTheme="majorEastAsia" w:hAnsi="Arial" w:cs="Arial"/>
          <w:i/>
          <w:iCs/>
          <w:color w:val="000000"/>
          <w:sz w:val="18"/>
          <w:szCs w:val="18"/>
          <w:bdr w:val="none" w:sz="0" w:space="0" w:color="auto" w:frame="1"/>
          <w:shd w:val="clear" w:color="auto" w:fill="FFFFFF"/>
        </w:rPr>
        <w:t>Helen Keller</w:t>
      </w:r>
      <w:r w:rsidRPr="00560F13">
        <w:rPr>
          <w:rStyle w:val="cite-authors"/>
          <w:rFonts w:ascii="Arial" w:eastAsiaTheme="majorEastAsia" w:hAnsi="Arial" w:cs="Arial"/>
          <w:i/>
          <w:iCs/>
          <w:color w:val="000000"/>
          <w:sz w:val="18"/>
          <w:szCs w:val="18"/>
          <w:bdr w:val="none" w:sz="0" w:space="0" w:color="auto" w:frame="1"/>
          <w:shd w:val="clear" w:color="auto" w:fill="FFFFFF"/>
        </w:rPr>
        <w:t> </w:t>
      </w:r>
      <w:r w:rsidRPr="00560F13">
        <w:rPr>
          <w:rStyle w:val="author"/>
          <w:rFonts w:ascii="Arial" w:eastAsiaTheme="majorEastAsia" w:hAnsi="Arial" w:cs="Arial"/>
          <w:i/>
          <w:iCs/>
          <w:color w:val="000000"/>
          <w:sz w:val="18"/>
          <w:szCs w:val="18"/>
          <w:bdr w:val="none" w:sz="0" w:space="0" w:color="auto" w:frame="1"/>
          <w:shd w:val="clear" w:color="auto" w:fill="FFFFFF"/>
        </w:rPr>
        <w:t>Réka Piskóty</w:t>
      </w:r>
      <w:r w:rsidRPr="00560F13">
        <w:rPr>
          <w:rStyle w:val="cite-authors"/>
          <w:rFonts w:ascii="Arial" w:eastAsiaTheme="majorEastAsia" w:hAnsi="Arial" w:cs="Arial"/>
          <w:i/>
          <w:iCs/>
          <w:color w:val="000000"/>
          <w:sz w:val="18"/>
          <w:szCs w:val="18"/>
          <w:bdr w:val="none" w:sz="0" w:space="0" w:color="auto" w:frame="1"/>
          <w:shd w:val="clear" w:color="auto" w:fill="FFFFFF"/>
        </w:rPr>
        <w:t> </w:t>
      </w:r>
      <w:r w:rsidRPr="00560F13">
        <w:rPr>
          <w:rStyle w:val="cite-title"/>
          <w:rFonts w:ascii="Arial" w:eastAsiaTheme="majorEastAsia" w:hAnsi="Arial" w:cs="Arial"/>
          <w:color w:val="000000"/>
          <w:sz w:val="18"/>
          <w:szCs w:val="18"/>
          <w:bdr w:val="none" w:sz="0" w:space="0" w:color="auto" w:frame="1"/>
          <w:shd w:val="clear" w:color="auto" w:fill="FFFFFF"/>
        </w:rPr>
        <w:t>Friendly Settlements as the Sleeping Beauty in Inter-State Cases: Opportunities and Risks for the European Court of Human Rights,</w:t>
      </w:r>
      <w:r w:rsidRPr="00560F13">
        <w:rPr>
          <w:rFonts w:ascii="Arial" w:hAnsi="Arial" w:cs="Arial"/>
          <w:color w:val="000000"/>
          <w:sz w:val="18"/>
          <w:szCs w:val="18"/>
          <w:shd w:val="clear" w:color="auto" w:fill="FFFFFF"/>
        </w:rPr>
        <w:t> </w:t>
      </w:r>
      <w:r w:rsidRPr="00560F13">
        <w:rPr>
          <w:rStyle w:val="cite-blog"/>
          <w:rFonts w:ascii="Arial" w:eastAsiaTheme="majorEastAsia" w:hAnsi="Arial" w:cs="Arial"/>
          <w:i/>
          <w:iCs/>
          <w:color w:val="000000"/>
          <w:sz w:val="18"/>
          <w:szCs w:val="18"/>
          <w:bdr w:val="none" w:sz="0" w:space="0" w:color="auto" w:frame="1"/>
          <w:shd w:val="clear" w:color="auto" w:fill="FFFFFF"/>
        </w:rPr>
        <w:t>Völkerrechtsblog,</w:t>
      </w:r>
      <w:r w:rsidRPr="00560F13">
        <w:rPr>
          <w:rFonts w:ascii="Arial" w:hAnsi="Arial" w:cs="Arial"/>
          <w:color w:val="000000"/>
          <w:sz w:val="18"/>
          <w:szCs w:val="18"/>
          <w:shd w:val="clear" w:color="auto" w:fill="FFFFFF"/>
        </w:rPr>
        <w:t> </w:t>
      </w:r>
      <w:r w:rsidRPr="00560F13">
        <w:rPr>
          <w:rStyle w:val="cite-date"/>
          <w:rFonts w:ascii="Arial" w:eastAsiaTheme="majorEastAsia" w:hAnsi="Arial" w:cs="Arial"/>
          <w:color w:val="000000"/>
          <w:sz w:val="18"/>
          <w:szCs w:val="18"/>
          <w:bdr w:val="none" w:sz="0" w:space="0" w:color="auto" w:frame="1"/>
          <w:shd w:val="clear" w:color="auto" w:fill="FFFFFF"/>
        </w:rPr>
        <w:t>28.04.2021</w:t>
      </w:r>
      <w:r w:rsidRPr="00560F13">
        <w:rPr>
          <w:rStyle w:val="doi"/>
          <w:rFonts w:ascii="Arial" w:eastAsiaTheme="majorEastAsia" w:hAnsi="Arial" w:cs="Arial"/>
          <w:color w:val="000000"/>
          <w:bdr w:val="none" w:sz="0" w:space="0" w:color="auto" w:frame="1"/>
          <w:shd w:val="clear" w:color="auto" w:fill="FFFFFF"/>
        </w:rPr>
        <w:t>, doi: </w:t>
      </w:r>
      <w:hyperlink r:id="rId299" w:history="1">
        <w:r w:rsidRPr="005E3BA3">
          <w:rPr>
            <w:rStyle w:val="Lienhypertexte"/>
            <w:rFonts w:ascii="Arial" w:eastAsiaTheme="majorEastAsia" w:hAnsi="Arial" w:cs="Arial"/>
            <w:sz w:val="18"/>
            <w:szCs w:val="18"/>
            <w:bdr w:val="none" w:sz="0" w:space="0" w:color="auto" w:frame="1"/>
            <w:shd w:val="clear" w:color="auto" w:fill="FFFFFF"/>
          </w:rPr>
          <w:t>10.17176/20210428-181222-0</w:t>
        </w:r>
      </w:hyperlink>
      <w:r w:rsidRPr="00560F13">
        <w:rPr>
          <w:rStyle w:val="doi"/>
          <w:rFonts w:ascii="Arial" w:eastAsiaTheme="majorEastAsia" w:hAnsi="Arial" w:cs="Arial"/>
          <w:color w:val="000000"/>
          <w:bdr w:val="none" w:sz="0" w:space="0" w:color="auto" w:frame="1"/>
          <w:shd w:val="clear" w:color="auto" w:fill="FFFFFF"/>
        </w:rPr>
        <w:t xml:space="preserve">  </w:t>
      </w:r>
    </w:p>
  </w:footnote>
  <w:footnote w:id="249">
    <w:p w14:paraId="20B7CF92"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300" w:history="1">
        <w:r w:rsidRPr="00560F13">
          <w:rPr>
            <w:rStyle w:val="Lienhypertexte"/>
            <w:rFonts w:ascii="Arial" w:hAnsi="Arial" w:cs="Arial"/>
            <w:i/>
            <w:iCs/>
            <w:sz w:val="18"/>
            <w:szCs w:val="18"/>
          </w:rPr>
          <w:t>Tahsin Acar v. Turkey</w:t>
        </w:r>
      </w:hyperlink>
      <w:r w:rsidRPr="00560F13">
        <w:rPr>
          <w:rFonts w:ascii="Arial" w:hAnsi="Arial" w:cs="Arial"/>
          <w:i/>
          <w:iCs/>
          <w:sz w:val="18"/>
          <w:szCs w:val="18"/>
        </w:rPr>
        <w:t xml:space="preserve"> </w:t>
      </w:r>
      <w:r w:rsidRPr="00560F13">
        <w:rPr>
          <w:rFonts w:ascii="Arial" w:hAnsi="Arial" w:cs="Arial"/>
          <w:sz w:val="18"/>
          <w:szCs w:val="18"/>
        </w:rPr>
        <w:t>[GC], no. 26307/95, §§ 78, 79, 83</w:t>
      </w:r>
    </w:p>
  </w:footnote>
  <w:footnote w:id="250">
    <w:p w14:paraId="46A2E530"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301" w:history="1">
        <w:r w:rsidRPr="00560F13">
          <w:rPr>
            <w:rStyle w:val="Lienhypertexte"/>
            <w:rFonts w:ascii="Arial" w:hAnsi="Arial" w:cs="Arial"/>
            <w:i/>
            <w:sz w:val="18"/>
            <w:szCs w:val="18"/>
          </w:rPr>
          <w:t>Rantsev v. Cyprus and Russia</w:t>
        </w:r>
      </w:hyperlink>
      <w:r w:rsidRPr="00560F13">
        <w:rPr>
          <w:rFonts w:ascii="Arial" w:hAnsi="Arial" w:cs="Arial"/>
          <w:sz w:val="18"/>
          <w:szCs w:val="18"/>
        </w:rPr>
        <w:t>, no. 25965/04, 7 January 2010: The Court rejected a unilateral declaration proposed by the Cypriot Government, which concerned the death of the applicant’s daughter in Cyprus despite the acknowledged violations of Articles 2, 3 and 4 of the Convention and offer of compensation, in light of the serious nature of the allegations of human trafficking and the paucity of case-law under Article 4 ECHR.</w:t>
      </w:r>
    </w:p>
  </w:footnote>
  <w:footnote w:id="251">
    <w:p w14:paraId="723F3169" w14:textId="77777777" w:rsidR="000C68FA" w:rsidRPr="00560F13" w:rsidRDefault="000C68FA" w:rsidP="002218C4">
      <w:pPr>
        <w:pStyle w:val="SingleTxtG"/>
        <w:spacing w:after="0" w:line="200" w:lineRule="exact"/>
        <w:ind w:left="0" w:right="0"/>
        <w:rPr>
          <w:rFonts w:ascii="Arial" w:hAnsi="Arial" w:cs="Arial"/>
          <w:sz w:val="18"/>
          <w:szCs w:val="18"/>
          <w:lang w:val="en-US"/>
        </w:rPr>
      </w:pPr>
      <w:r w:rsidRPr="00560F13">
        <w:rPr>
          <w:rStyle w:val="Appelnotedebasdep"/>
          <w:rFonts w:ascii="Arial" w:hAnsi="Arial" w:cs="Arial"/>
        </w:rPr>
        <w:footnoteRef/>
      </w:r>
      <w:r w:rsidRPr="00560F13">
        <w:rPr>
          <w:rFonts w:ascii="Arial" w:hAnsi="Arial" w:cs="Arial"/>
          <w:sz w:val="18"/>
          <w:szCs w:val="18"/>
          <w:lang w:val="en-US"/>
        </w:rPr>
        <w:t xml:space="preserve"> </w:t>
      </w:r>
      <w:hyperlink r:id="rId302" w:history="1">
        <w:r w:rsidRPr="00560F13">
          <w:rPr>
            <w:rStyle w:val="Lienhypertexte"/>
            <w:rFonts w:ascii="Arial" w:hAnsi="Arial" w:cs="Arial"/>
            <w:i/>
            <w:sz w:val="18"/>
            <w:szCs w:val="18"/>
            <w:lang w:val="en-US"/>
          </w:rPr>
          <w:t>Tomov and others v. Russia</w:t>
        </w:r>
      </w:hyperlink>
      <w:r w:rsidRPr="00560F13">
        <w:rPr>
          <w:rFonts w:ascii="Arial" w:hAnsi="Arial" w:cs="Arial"/>
          <w:sz w:val="18"/>
          <w:szCs w:val="18"/>
          <w:lang w:val="en-US"/>
        </w:rPr>
        <w:t xml:space="preserve">, nos. 18255/10 and others, §100, 9 April 2019. </w:t>
      </w:r>
    </w:p>
  </w:footnote>
  <w:footnote w:id="252">
    <w:p w14:paraId="7D577437"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https://www.echr.coe.int/Documents/Stats_analysis_2020_ENG.pdf In 2015, 2,970 unilateral declarations were accepted by the Court. The number fell in 2016 to 1,766, and significantly decreasing again in 2017 to 754 UDs. In 2018 there were 865 declarations.  </w:t>
      </w:r>
    </w:p>
  </w:footnote>
  <w:footnote w:id="253">
    <w:p w14:paraId="1F12518D" w14:textId="77777777" w:rsidR="000C68FA" w:rsidRPr="00560F13" w:rsidRDefault="000C68FA" w:rsidP="002218C4">
      <w:pPr>
        <w:pStyle w:val="SingleTxtG"/>
        <w:spacing w:after="0" w:line="200" w:lineRule="exact"/>
        <w:ind w:left="0"/>
        <w:rPr>
          <w:rFonts w:ascii="Arial" w:hAnsi="Arial" w:cs="Arial"/>
          <w:b/>
          <w:bCs/>
          <w:color w:val="FF0000"/>
          <w:sz w:val="18"/>
          <w:szCs w:val="18"/>
          <w:lang w:val="en-US" w:eastAsia="el-GR"/>
        </w:rPr>
      </w:pPr>
      <w:r w:rsidRPr="00560F13">
        <w:rPr>
          <w:rStyle w:val="Appelnotedebasdep"/>
          <w:rFonts w:ascii="Arial" w:hAnsi="Arial" w:cs="Arial"/>
        </w:rPr>
        <w:footnoteRef/>
      </w:r>
      <w:r w:rsidRPr="00560F13">
        <w:rPr>
          <w:rFonts w:ascii="Arial" w:hAnsi="Arial" w:cs="Arial"/>
          <w:sz w:val="18"/>
          <w:szCs w:val="18"/>
        </w:rPr>
        <w:t xml:space="preserve"> </w:t>
      </w:r>
      <w:hyperlink r:id="rId303" w:history="1">
        <w:r w:rsidRPr="00560F13">
          <w:rPr>
            <w:rStyle w:val="Lienhypertexte"/>
            <w:rFonts w:ascii="Arial" w:hAnsi="Arial" w:cs="Arial"/>
            <w:i/>
            <w:iCs/>
            <w:sz w:val="18"/>
            <w:szCs w:val="18"/>
          </w:rPr>
          <w:t>Xenides-Arestis v. Turkey</w:t>
        </w:r>
      </w:hyperlink>
      <w:r w:rsidRPr="00560F13">
        <w:rPr>
          <w:rFonts w:ascii="Arial" w:hAnsi="Arial" w:cs="Arial"/>
          <w:sz w:val="18"/>
          <w:szCs w:val="18"/>
        </w:rPr>
        <w:t>, no.</w:t>
      </w:r>
      <w:r w:rsidRPr="00560F13">
        <w:rPr>
          <w:rFonts w:ascii="Arial" w:hAnsi="Arial" w:cs="Arial"/>
          <w:i/>
          <w:iCs/>
          <w:sz w:val="18"/>
          <w:szCs w:val="18"/>
          <w:shd w:val="clear" w:color="auto" w:fill="FFFFFF"/>
        </w:rPr>
        <w:t xml:space="preserve"> </w:t>
      </w:r>
      <w:r w:rsidRPr="00560F13">
        <w:rPr>
          <w:rFonts w:ascii="Arial" w:hAnsi="Arial" w:cs="Arial"/>
          <w:i/>
          <w:iCs/>
          <w:sz w:val="18"/>
          <w:szCs w:val="18"/>
        </w:rPr>
        <w:t>46347/99</w:t>
      </w:r>
      <w:r w:rsidRPr="00560F13">
        <w:rPr>
          <w:rFonts w:ascii="Arial" w:hAnsi="Arial" w:cs="Arial"/>
          <w:sz w:val="18"/>
          <w:szCs w:val="18"/>
        </w:rPr>
        <w:t>, §§ 39, 40, 22 December 2005</w:t>
      </w:r>
      <w:r w:rsidRPr="00560F13">
        <w:rPr>
          <w:rFonts w:ascii="Arial" w:hAnsi="Arial" w:cs="Arial"/>
          <w:color w:val="FF0000"/>
          <w:sz w:val="18"/>
          <w:szCs w:val="18"/>
          <w:lang w:val="en-US" w:eastAsia="el-GR"/>
        </w:rPr>
        <w:t xml:space="preserve"> </w:t>
      </w:r>
    </w:p>
  </w:footnote>
  <w:footnote w:id="254">
    <w:p w14:paraId="1CCF5389"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304" w:history="1">
        <w:r w:rsidRPr="00560F13">
          <w:rPr>
            <w:rStyle w:val="Lienhypertexte"/>
            <w:rFonts w:ascii="Arial" w:hAnsi="Arial" w:cs="Arial"/>
            <w:i/>
            <w:iCs/>
            <w:color w:val="auto"/>
            <w:sz w:val="18"/>
            <w:szCs w:val="18"/>
          </w:rPr>
          <w:t>Xenides-Arestis v. Turkey</w:t>
        </w:r>
      </w:hyperlink>
      <w:r w:rsidRPr="00560F13">
        <w:rPr>
          <w:rFonts w:ascii="Arial" w:hAnsi="Arial" w:cs="Arial"/>
          <w:sz w:val="18"/>
          <w:szCs w:val="18"/>
        </w:rPr>
        <w:t>, no.</w:t>
      </w:r>
      <w:r w:rsidRPr="00560F13">
        <w:rPr>
          <w:rFonts w:ascii="Arial" w:hAnsi="Arial" w:cs="Arial"/>
          <w:i/>
          <w:iCs/>
          <w:sz w:val="18"/>
          <w:szCs w:val="18"/>
          <w:shd w:val="clear" w:color="auto" w:fill="FFFFFF"/>
        </w:rPr>
        <w:t xml:space="preserve"> </w:t>
      </w:r>
      <w:r w:rsidRPr="00560F13">
        <w:rPr>
          <w:rFonts w:ascii="Arial" w:hAnsi="Arial" w:cs="Arial"/>
          <w:i/>
          <w:iCs/>
          <w:sz w:val="18"/>
          <w:szCs w:val="18"/>
        </w:rPr>
        <w:t>46347/99</w:t>
      </w:r>
      <w:r w:rsidRPr="00560F13">
        <w:rPr>
          <w:rFonts w:ascii="Arial" w:hAnsi="Arial" w:cs="Arial"/>
          <w:sz w:val="18"/>
          <w:szCs w:val="18"/>
        </w:rPr>
        <w:t xml:space="preserve">, § 38, 22 December 2005, with the Court seeing no reason to depart from the findings in Loizidou v. Turkey, </w:t>
      </w:r>
      <w:r w:rsidRPr="00560F13">
        <w:rPr>
          <w:rFonts w:ascii="Arial" w:hAnsi="Arial" w:cs="Arial"/>
          <w:sz w:val="18"/>
          <w:szCs w:val="18"/>
          <w:lang w:val="en-US" w:eastAsia="el-GR"/>
        </w:rPr>
        <w:t>Preliminary objections, judgment of 23 March 1995, Series A no. 310; merits, judgment of 18 December 1996, </w:t>
      </w:r>
      <w:r w:rsidRPr="00560F13">
        <w:rPr>
          <w:rFonts w:ascii="Arial" w:hAnsi="Arial" w:cs="Arial"/>
          <w:i/>
          <w:iCs/>
          <w:sz w:val="18"/>
          <w:szCs w:val="18"/>
          <w:lang w:val="en-US" w:eastAsia="el-GR"/>
        </w:rPr>
        <w:t>Reports of Judgments and Decisions</w:t>
      </w:r>
      <w:r w:rsidRPr="00560F13">
        <w:rPr>
          <w:rFonts w:ascii="Arial" w:hAnsi="Arial" w:cs="Arial"/>
          <w:sz w:val="18"/>
          <w:szCs w:val="18"/>
          <w:lang w:val="en-US" w:eastAsia="el-GR"/>
        </w:rPr>
        <w:t> 1996</w:t>
      </w:r>
      <w:r w:rsidRPr="00560F13">
        <w:rPr>
          <w:rFonts w:ascii="Arial" w:hAnsi="Arial" w:cs="Arial"/>
          <w:sz w:val="18"/>
          <w:szCs w:val="18"/>
          <w:lang w:val="en-US" w:eastAsia="el-GR"/>
        </w:rPr>
        <w:noBreakHyphen/>
        <w:t>VI; Article 50, judgment of 29 July 1998, </w:t>
      </w:r>
      <w:r w:rsidRPr="00560F13">
        <w:rPr>
          <w:rFonts w:ascii="Arial" w:hAnsi="Arial" w:cs="Arial"/>
          <w:i/>
          <w:iCs/>
          <w:sz w:val="18"/>
          <w:szCs w:val="18"/>
          <w:lang w:val="en-US" w:eastAsia="el-GR"/>
        </w:rPr>
        <w:t>Reports </w:t>
      </w:r>
      <w:r w:rsidRPr="00560F13">
        <w:rPr>
          <w:rFonts w:ascii="Arial" w:hAnsi="Arial" w:cs="Arial"/>
          <w:sz w:val="18"/>
          <w:szCs w:val="18"/>
          <w:lang w:val="en-US" w:eastAsia="el-GR"/>
        </w:rPr>
        <w:t>1998</w:t>
      </w:r>
      <w:r w:rsidRPr="00560F13">
        <w:rPr>
          <w:rFonts w:ascii="Arial" w:hAnsi="Arial" w:cs="Arial"/>
          <w:sz w:val="18"/>
          <w:szCs w:val="18"/>
          <w:lang w:val="en-US" w:eastAsia="el-GR"/>
        </w:rPr>
        <w:noBreakHyphen/>
        <w:t xml:space="preserve">IV; and the findings in Cyprus v. Turkey, </w:t>
      </w:r>
      <w:r w:rsidRPr="00560F13">
        <w:rPr>
          <w:rFonts w:ascii="Arial" w:hAnsi="Arial" w:cs="Arial"/>
          <w:sz w:val="18"/>
          <w:szCs w:val="18"/>
        </w:rPr>
        <w:t xml:space="preserve">Cyprus v. Turkey </w:t>
      </w:r>
      <w:r w:rsidRPr="00560F13">
        <w:rPr>
          <w:rFonts w:ascii="Arial" w:hAnsi="Arial" w:cs="Arial"/>
          <w:sz w:val="18"/>
          <w:szCs w:val="18"/>
          <w:lang w:val="en-US" w:eastAsia="el-GR"/>
        </w:rPr>
        <w:t>[GC], no. 25781/94, ECHR 2001</w:t>
      </w:r>
      <w:r w:rsidRPr="00560F13">
        <w:rPr>
          <w:rFonts w:ascii="Arial" w:hAnsi="Arial" w:cs="Arial"/>
          <w:sz w:val="18"/>
          <w:szCs w:val="18"/>
          <w:lang w:val="en-US" w:eastAsia="el-GR"/>
        </w:rPr>
        <w:noBreakHyphen/>
        <w:t>IV.</w:t>
      </w:r>
    </w:p>
  </w:footnote>
  <w:footnote w:id="255">
    <w:p w14:paraId="58C462EB"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305" w:history="1">
        <w:r w:rsidRPr="00560F13">
          <w:rPr>
            <w:rStyle w:val="Lienhypertexte"/>
            <w:rFonts w:ascii="Arial" w:hAnsi="Arial" w:cs="Arial"/>
            <w:i/>
            <w:iCs/>
            <w:color w:val="auto"/>
            <w:sz w:val="18"/>
            <w:szCs w:val="18"/>
          </w:rPr>
          <w:t>Xenides-Arestis v. Turkey</w:t>
        </w:r>
      </w:hyperlink>
      <w:r w:rsidRPr="00560F13">
        <w:rPr>
          <w:rFonts w:ascii="Arial" w:hAnsi="Arial" w:cs="Arial"/>
          <w:sz w:val="18"/>
          <w:szCs w:val="18"/>
        </w:rPr>
        <w:t>, no.</w:t>
      </w:r>
      <w:r w:rsidRPr="00560F13">
        <w:rPr>
          <w:rFonts w:ascii="Arial" w:hAnsi="Arial" w:cs="Arial"/>
          <w:i/>
          <w:iCs/>
          <w:sz w:val="18"/>
          <w:szCs w:val="18"/>
          <w:shd w:val="clear" w:color="auto" w:fill="FFFFFF"/>
        </w:rPr>
        <w:t xml:space="preserve"> </w:t>
      </w:r>
      <w:r w:rsidRPr="00560F13">
        <w:rPr>
          <w:rFonts w:ascii="Arial" w:hAnsi="Arial" w:cs="Arial"/>
          <w:i/>
          <w:iCs/>
          <w:sz w:val="18"/>
          <w:szCs w:val="18"/>
        </w:rPr>
        <w:t>46347/99</w:t>
      </w:r>
      <w:r w:rsidRPr="00560F13">
        <w:rPr>
          <w:rFonts w:ascii="Arial" w:hAnsi="Arial" w:cs="Arial"/>
          <w:sz w:val="18"/>
          <w:szCs w:val="18"/>
        </w:rPr>
        <w:t>, § 38, 22 December 2005.</w:t>
      </w:r>
    </w:p>
  </w:footnote>
  <w:footnote w:id="256">
    <w:p w14:paraId="0113BB66"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306" w:history="1">
        <w:r w:rsidRPr="00560F13">
          <w:rPr>
            <w:rStyle w:val="Lienhypertexte"/>
            <w:rFonts w:ascii="Arial" w:hAnsi="Arial" w:cs="Arial"/>
            <w:i/>
            <w:iCs/>
            <w:color w:val="auto"/>
            <w:sz w:val="18"/>
            <w:szCs w:val="18"/>
          </w:rPr>
          <w:t>Xenides-Arestis v. Turkey</w:t>
        </w:r>
      </w:hyperlink>
      <w:r w:rsidRPr="00560F13">
        <w:rPr>
          <w:rFonts w:ascii="Arial" w:hAnsi="Arial" w:cs="Arial"/>
          <w:sz w:val="18"/>
          <w:szCs w:val="18"/>
        </w:rPr>
        <w:t>, no.</w:t>
      </w:r>
      <w:r w:rsidRPr="00560F13">
        <w:rPr>
          <w:rFonts w:ascii="Arial" w:hAnsi="Arial" w:cs="Arial"/>
          <w:i/>
          <w:iCs/>
          <w:sz w:val="18"/>
          <w:szCs w:val="18"/>
          <w:shd w:val="clear" w:color="auto" w:fill="FFFFFF"/>
        </w:rPr>
        <w:t xml:space="preserve"> </w:t>
      </w:r>
      <w:r w:rsidRPr="00560F13">
        <w:rPr>
          <w:rFonts w:ascii="Arial" w:hAnsi="Arial" w:cs="Arial"/>
          <w:i/>
          <w:iCs/>
          <w:sz w:val="18"/>
          <w:szCs w:val="18"/>
        </w:rPr>
        <w:t>46347/99</w:t>
      </w:r>
      <w:r w:rsidRPr="00560F13">
        <w:rPr>
          <w:rFonts w:ascii="Arial" w:hAnsi="Arial" w:cs="Arial"/>
          <w:sz w:val="18"/>
          <w:szCs w:val="18"/>
        </w:rPr>
        <w:t>, § 40, 22 December 2005.</w:t>
      </w:r>
    </w:p>
  </w:footnote>
  <w:footnote w:id="257">
    <w:p w14:paraId="6D08EC5A"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w:t>
      </w:r>
      <w:hyperlink r:id="rId307" w:history="1">
        <w:r w:rsidRPr="00560F13">
          <w:rPr>
            <w:rStyle w:val="Lienhypertexte"/>
            <w:rFonts w:ascii="Arial" w:hAnsi="Arial" w:cs="Arial"/>
            <w:i/>
            <w:iCs/>
            <w:sz w:val="18"/>
            <w:szCs w:val="18"/>
          </w:rPr>
          <w:t>Demopolous and others v. Turkey</w:t>
        </w:r>
      </w:hyperlink>
      <w:r w:rsidRPr="00560F13">
        <w:rPr>
          <w:rFonts w:ascii="Arial" w:hAnsi="Arial" w:cs="Arial"/>
          <w:sz w:val="18"/>
          <w:szCs w:val="18"/>
        </w:rPr>
        <w:t xml:space="preserve"> (dec) </w:t>
      </w:r>
      <w:r w:rsidRPr="00560F13">
        <w:rPr>
          <w:rStyle w:val="sb8d990e2"/>
          <w:rFonts w:ascii="Arial" w:hAnsi="Arial" w:cs="Arial"/>
          <w:color w:val="000000"/>
          <w:sz w:val="18"/>
          <w:szCs w:val="18"/>
        </w:rPr>
        <w:t xml:space="preserve">nos. </w:t>
      </w:r>
      <w:r w:rsidRPr="00560F13">
        <w:rPr>
          <w:rFonts w:ascii="Arial" w:hAnsi="Arial" w:cs="Arial"/>
          <w:sz w:val="18"/>
          <w:szCs w:val="18"/>
        </w:rPr>
        <w:t>46113/99</w:t>
      </w:r>
      <w:r w:rsidRPr="00560F13">
        <w:rPr>
          <w:rStyle w:val="sb8d990e2"/>
          <w:rFonts w:ascii="Arial" w:hAnsi="Arial" w:cs="Arial"/>
          <w:color w:val="000000"/>
          <w:sz w:val="18"/>
          <w:szCs w:val="18"/>
        </w:rPr>
        <w:t xml:space="preserve">, </w:t>
      </w:r>
      <w:r w:rsidRPr="00560F13">
        <w:rPr>
          <w:rFonts w:ascii="Arial" w:hAnsi="Arial" w:cs="Arial"/>
          <w:sz w:val="18"/>
          <w:szCs w:val="18"/>
        </w:rPr>
        <w:t>3843/02</w:t>
      </w:r>
      <w:r w:rsidRPr="00560F13">
        <w:rPr>
          <w:rStyle w:val="sb8d990e2"/>
          <w:rFonts w:ascii="Arial" w:hAnsi="Arial" w:cs="Arial"/>
          <w:color w:val="000000"/>
          <w:sz w:val="18"/>
          <w:szCs w:val="18"/>
        </w:rPr>
        <w:t xml:space="preserve">, </w:t>
      </w:r>
      <w:bookmarkStart w:id="102" w:name="_Hlk45891438"/>
      <w:r w:rsidRPr="00560F13">
        <w:rPr>
          <w:rFonts w:ascii="Arial" w:hAnsi="Arial" w:cs="Arial"/>
          <w:sz w:val="18"/>
          <w:szCs w:val="18"/>
        </w:rPr>
        <w:t>13751/02</w:t>
      </w:r>
      <w:r w:rsidRPr="00560F13">
        <w:rPr>
          <w:rStyle w:val="sb8d990e2"/>
          <w:rFonts w:ascii="Arial" w:hAnsi="Arial" w:cs="Arial"/>
          <w:color w:val="000000"/>
          <w:sz w:val="18"/>
          <w:szCs w:val="18"/>
        </w:rPr>
        <w:t xml:space="preserve">, </w:t>
      </w:r>
      <w:bookmarkEnd w:id="102"/>
      <w:r w:rsidRPr="00560F13">
        <w:rPr>
          <w:rFonts w:ascii="Arial" w:hAnsi="Arial" w:cs="Arial"/>
          <w:sz w:val="18"/>
          <w:szCs w:val="18"/>
        </w:rPr>
        <w:t>13466/03</w:t>
      </w:r>
      <w:r w:rsidRPr="00560F13">
        <w:rPr>
          <w:rStyle w:val="sb8d990e2"/>
          <w:rFonts w:ascii="Arial" w:hAnsi="Arial" w:cs="Arial"/>
          <w:color w:val="000000"/>
          <w:sz w:val="18"/>
          <w:szCs w:val="18"/>
        </w:rPr>
        <w:t xml:space="preserve">, </w:t>
      </w:r>
      <w:r w:rsidRPr="00560F13">
        <w:rPr>
          <w:rFonts w:ascii="Arial" w:hAnsi="Arial" w:cs="Arial"/>
          <w:sz w:val="18"/>
          <w:szCs w:val="18"/>
        </w:rPr>
        <w:t>10200/04</w:t>
      </w:r>
      <w:r w:rsidRPr="00560F13">
        <w:rPr>
          <w:rStyle w:val="sb8d990e2"/>
          <w:rFonts w:ascii="Arial" w:hAnsi="Arial" w:cs="Arial"/>
          <w:color w:val="000000"/>
          <w:sz w:val="18"/>
          <w:szCs w:val="18"/>
        </w:rPr>
        <w:t xml:space="preserve">, </w:t>
      </w:r>
      <w:r w:rsidRPr="00560F13">
        <w:rPr>
          <w:rFonts w:ascii="Arial" w:hAnsi="Arial" w:cs="Arial"/>
          <w:sz w:val="18"/>
          <w:szCs w:val="18"/>
        </w:rPr>
        <w:t>14163/04</w:t>
      </w:r>
      <w:r w:rsidRPr="00560F13">
        <w:rPr>
          <w:rStyle w:val="sb8d990e2"/>
          <w:rFonts w:ascii="Arial" w:hAnsi="Arial" w:cs="Arial"/>
          <w:color w:val="000000"/>
          <w:sz w:val="18"/>
          <w:szCs w:val="18"/>
        </w:rPr>
        <w:t xml:space="preserve">, </w:t>
      </w:r>
      <w:r w:rsidRPr="00560F13">
        <w:rPr>
          <w:rFonts w:ascii="Arial" w:hAnsi="Arial" w:cs="Arial"/>
          <w:sz w:val="18"/>
          <w:szCs w:val="18"/>
        </w:rPr>
        <w:t>19993/04</w:t>
      </w:r>
      <w:r w:rsidRPr="00560F13">
        <w:rPr>
          <w:rStyle w:val="sb8d990e2"/>
          <w:rFonts w:ascii="Arial" w:hAnsi="Arial" w:cs="Arial"/>
          <w:color w:val="000000"/>
          <w:sz w:val="18"/>
          <w:szCs w:val="18"/>
        </w:rPr>
        <w:t xml:space="preserve">, </w:t>
      </w:r>
      <w:r w:rsidRPr="00560F13">
        <w:rPr>
          <w:rFonts w:ascii="Arial" w:hAnsi="Arial" w:cs="Arial"/>
          <w:sz w:val="18"/>
          <w:szCs w:val="18"/>
        </w:rPr>
        <w:t>21819/04</w:t>
      </w:r>
      <w:r w:rsidRPr="00560F13">
        <w:rPr>
          <w:rStyle w:val="sb8d990e2"/>
          <w:rFonts w:ascii="Arial" w:hAnsi="Arial" w:cs="Arial"/>
          <w:color w:val="000000"/>
          <w:sz w:val="18"/>
          <w:szCs w:val="18"/>
        </w:rPr>
        <w:t>, §127, 1 March 2010.</w:t>
      </w:r>
    </w:p>
  </w:footnote>
  <w:footnote w:id="258">
    <w:p w14:paraId="0A6030A9"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Ibid, § 63.</w:t>
      </w:r>
    </w:p>
  </w:footnote>
  <w:footnote w:id="259">
    <w:p w14:paraId="27377B11"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Rule 61§1 of the Rules of the Court. In a pilot judgment, the Court’s task is not only to decide whether a violation of the Convention occurred in the specific case but also to identify the systemic problem and to give the Government clear indications of the type of remedial measures needed to resolve it. A key feature of the pilot procedure is the possibility of adjourning, or “freezing,” related cases for a period of time on the condition that the Government act promptly to adopt the national measures required to satisfy the judgment. The Court can, however, resume examining adjourned cases whenever the interests of justice so require.</w:t>
      </w:r>
    </w:p>
  </w:footnote>
  <w:footnote w:id="260">
    <w:p w14:paraId="16791372" w14:textId="77777777" w:rsidR="000C68FA" w:rsidRPr="00CC222F" w:rsidRDefault="000C68FA" w:rsidP="002218C4">
      <w:pPr>
        <w:pStyle w:val="SingleTxtG"/>
        <w:spacing w:after="0" w:line="200" w:lineRule="exact"/>
        <w:ind w:left="0" w:right="0"/>
        <w:rPr>
          <w:rFonts w:ascii="Arial" w:hAnsi="Arial" w:cs="Arial"/>
          <w:sz w:val="18"/>
          <w:szCs w:val="18"/>
          <w:lang w:val="en-US"/>
        </w:rPr>
      </w:pPr>
      <w:r w:rsidRPr="00560F13">
        <w:rPr>
          <w:rStyle w:val="Appelnotedebasdep"/>
          <w:rFonts w:ascii="Arial" w:hAnsi="Arial" w:cs="Arial"/>
        </w:rPr>
        <w:footnoteRef/>
      </w:r>
      <w:r w:rsidRPr="00560F13">
        <w:rPr>
          <w:rFonts w:ascii="Arial" w:hAnsi="Arial" w:cs="Arial"/>
          <w:sz w:val="18"/>
          <w:szCs w:val="18"/>
          <w:lang w:val="en-US"/>
        </w:rPr>
        <w:t xml:space="preserve"> L. Wildhaber, </w:t>
      </w:r>
      <w:bookmarkStart w:id="104" w:name="_Hlk69407870"/>
      <w:r w:rsidRPr="00CC222F">
        <w:rPr>
          <w:rFonts w:ascii="Arial" w:hAnsi="Arial" w:cs="Arial"/>
          <w:sz w:val="18"/>
          <w:szCs w:val="18"/>
          <w:lang w:val="en-US"/>
        </w:rPr>
        <w:t xml:space="preserve">Pilot judgment in cases of structural or systemic problems on the national level in R. Wolfrum, U. Deutsch, The European Court of Human Rights Overwhelmed by applications: Problems and possible solutions; P. Leach, Responding to systemic human rights violations: an analysis of pilot judgments of the European Court of Human Rights and their impact at national level; A Buyse, Airborne or Bound to Crash? The rise of pilot judgment and their appeal as a tool to deal with the aftermath of conflict.  </w:t>
      </w:r>
      <w:bookmarkEnd w:id="104"/>
    </w:p>
  </w:footnote>
  <w:footnote w:id="261">
    <w:p w14:paraId="3DEBAED7" w14:textId="77777777" w:rsidR="000C68FA" w:rsidRPr="00560F13" w:rsidRDefault="000C68FA" w:rsidP="002218C4">
      <w:pPr>
        <w:pStyle w:val="SingleTxtG"/>
        <w:spacing w:after="0" w:line="200" w:lineRule="exact"/>
        <w:ind w:left="0" w:right="0"/>
        <w:rPr>
          <w:rFonts w:ascii="Arial" w:hAnsi="Arial" w:cs="Arial"/>
          <w:sz w:val="18"/>
          <w:szCs w:val="18"/>
          <w:lang w:val="en-US"/>
        </w:rPr>
      </w:pPr>
      <w:r w:rsidRPr="00560F13">
        <w:rPr>
          <w:rStyle w:val="Appelnotedebasdep"/>
          <w:rFonts w:ascii="Arial" w:hAnsi="Arial" w:cs="Arial"/>
        </w:rPr>
        <w:footnoteRef/>
      </w:r>
      <w:r w:rsidRPr="00560F13">
        <w:rPr>
          <w:rFonts w:ascii="Arial" w:hAnsi="Arial" w:cs="Arial"/>
          <w:sz w:val="18"/>
          <w:szCs w:val="18"/>
        </w:rPr>
        <w:t xml:space="preserve"> The terms “South Ossetia” and “Abkhazia” refer to the regions of Georgia which are beyond the </w:t>
      </w:r>
      <w:r w:rsidRPr="00560F13">
        <w:rPr>
          <w:rFonts w:ascii="Arial" w:hAnsi="Arial" w:cs="Arial"/>
          <w:i/>
          <w:sz w:val="18"/>
          <w:szCs w:val="18"/>
        </w:rPr>
        <w:t>de facto</w:t>
      </w:r>
      <w:r w:rsidRPr="00560F13">
        <w:rPr>
          <w:rFonts w:ascii="Arial" w:hAnsi="Arial" w:cs="Arial"/>
          <w:sz w:val="18"/>
          <w:szCs w:val="18"/>
        </w:rPr>
        <w:t xml:space="preserve"> control of the Georgian Government.</w:t>
      </w:r>
    </w:p>
  </w:footnote>
  <w:footnote w:id="262">
    <w:p w14:paraId="159F5150"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The applicants alleged breaches of their Convention rights resulting principally from the hostilities and the absence of adequate investigations by the state authorities.</w:t>
      </w:r>
    </w:p>
  </w:footnote>
  <w:footnote w:id="263">
    <w:p w14:paraId="1BFF306C"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w:t>
      </w:r>
      <w:r w:rsidRPr="00560F13">
        <w:rPr>
          <w:rFonts w:ascii="Arial" w:hAnsi="Arial" w:cs="Arial"/>
          <w:i/>
          <w:sz w:val="18"/>
          <w:szCs w:val="18"/>
        </w:rPr>
        <w:t>Abayeva and Others v. Georgia</w:t>
      </w:r>
      <w:r w:rsidRPr="00560F13">
        <w:rPr>
          <w:rFonts w:ascii="Arial" w:hAnsi="Arial" w:cs="Arial"/>
          <w:sz w:val="18"/>
          <w:szCs w:val="18"/>
        </w:rPr>
        <w:t xml:space="preserve"> (dec.), nos. </w:t>
      </w:r>
      <w:hyperlink r:id="rId308" w:history="1">
        <w:r w:rsidRPr="00560F13">
          <w:rPr>
            <w:rStyle w:val="Lienhypertexte"/>
            <w:rFonts w:ascii="Arial" w:hAnsi="Arial" w:cs="Arial"/>
            <w:color w:val="auto"/>
            <w:sz w:val="18"/>
            <w:szCs w:val="18"/>
          </w:rPr>
          <w:t>52196/08</w:t>
        </w:r>
      </w:hyperlink>
      <w:r w:rsidRPr="00560F13">
        <w:rPr>
          <w:rFonts w:ascii="Arial" w:hAnsi="Arial" w:cs="Arial"/>
          <w:sz w:val="18"/>
          <w:szCs w:val="18"/>
        </w:rPr>
        <w:t xml:space="preserve">, 52200/08, 49671/08, 46657/08 and 53894/08, 23 March 2010; </w:t>
      </w:r>
      <w:r w:rsidRPr="00560F13">
        <w:rPr>
          <w:rFonts w:ascii="Arial" w:hAnsi="Arial" w:cs="Arial"/>
          <w:i/>
          <w:sz w:val="18"/>
          <w:szCs w:val="18"/>
        </w:rPr>
        <w:t>Khetagurova and Others v. Georgia</w:t>
      </w:r>
      <w:r w:rsidRPr="00560F13">
        <w:rPr>
          <w:rFonts w:ascii="Arial" w:hAnsi="Arial" w:cs="Arial"/>
          <w:sz w:val="18"/>
          <w:szCs w:val="18"/>
        </w:rPr>
        <w:t xml:space="preserve"> (dec.), no. </w:t>
      </w:r>
      <w:hyperlink r:id="rId309" w:history="1">
        <w:r w:rsidRPr="00560F13">
          <w:rPr>
            <w:rStyle w:val="Lienhypertexte"/>
            <w:rFonts w:ascii="Arial" w:hAnsi="Arial" w:cs="Arial"/>
            <w:color w:val="auto"/>
            <w:sz w:val="18"/>
            <w:szCs w:val="18"/>
          </w:rPr>
          <w:t>43253/08</w:t>
        </w:r>
      </w:hyperlink>
      <w:r w:rsidRPr="00560F13">
        <w:rPr>
          <w:rFonts w:ascii="Arial" w:hAnsi="Arial" w:cs="Arial"/>
          <w:sz w:val="18"/>
          <w:szCs w:val="18"/>
        </w:rPr>
        <w:t xml:space="preserve"> and 1548 applications, 14 December 2010.</w:t>
      </w:r>
    </w:p>
  </w:footnote>
  <w:footnote w:id="264">
    <w:p w14:paraId="27F16837"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w:t>
      </w:r>
      <w:r w:rsidRPr="00560F13">
        <w:rPr>
          <w:rFonts w:ascii="Arial" w:hAnsi="Arial" w:cs="Arial"/>
          <w:i/>
          <w:sz w:val="18"/>
          <w:szCs w:val="18"/>
        </w:rPr>
        <w:t>Dzhioyeva and Others v. Georgia</w:t>
      </w:r>
      <w:r w:rsidRPr="00560F13">
        <w:rPr>
          <w:rFonts w:ascii="Arial" w:hAnsi="Arial" w:cs="Arial"/>
          <w:sz w:val="18"/>
          <w:szCs w:val="18"/>
        </w:rPr>
        <w:t xml:space="preserve"> (dec.), nos. </w:t>
      </w:r>
      <w:hyperlink r:id="rId310" w:history="1">
        <w:r w:rsidRPr="00560F13">
          <w:rPr>
            <w:rStyle w:val="Lienhypertexte"/>
            <w:rFonts w:ascii="Arial" w:hAnsi="Arial" w:cs="Arial"/>
            <w:color w:val="auto"/>
            <w:sz w:val="18"/>
            <w:szCs w:val="18"/>
          </w:rPr>
          <w:t>24964/09</w:t>
        </w:r>
      </w:hyperlink>
      <w:r w:rsidRPr="00560F13">
        <w:rPr>
          <w:rFonts w:ascii="Arial" w:hAnsi="Arial" w:cs="Arial"/>
          <w:sz w:val="18"/>
          <w:szCs w:val="18"/>
        </w:rPr>
        <w:t xml:space="preserve">, 20548/09 and 22469/09; </w:t>
      </w:r>
      <w:r w:rsidRPr="00560F13">
        <w:rPr>
          <w:rFonts w:ascii="Arial" w:hAnsi="Arial" w:cs="Arial"/>
          <w:i/>
          <w:sz w:val="18"/>
          <w:szCs w:val="18"/>
        </w:rPr>
        <w:t>Kudukhova and Kudukhova v. Georgia</w:t>
      </w:r>
      <w:r w:rsidRPr="00560F13">
        <w:rPr>
          <w:rFonts w:ascii="Arial" w:hAnsi="Arial" w:cs="Arial"/>
          <w:sz w:val="18"/>
          <w:szCs w:val="18"/>
        </w:rPr>
        <w:t xml:space="preserve"> (dec.), nos. </w:t>
      </w:r>
      <w:hyperlink r:id="rId311" w:history="1">
        <w:r w:rsidRPr="00560F13">
          <w:rPr>
            <w:rStyle w:val="Lienhypertexte"/>
            <w:rFonts w:ascii="Arial" w:hAnsi="Arial" w:cs="Arial"/>
            <w:color w:val="auto"/>
            <w:sz w:val="18"/>
            <w:szCs w:val="18"/>
          </w:rPr>
          <w:t>8274/09</w:t>
        </w:r>
      </w:hyperlink>
      <w:r w:rsidRPr="00560F13">
        <w:rPr>
          <w:rFonts w:ascii="Arial" w:hAnsi="Arial" w:cs="Arial"/>
          <w:sz w:val="18"/>
          <w:szCs w:val="18"/>
        </w:rPr>
        <w:t xml:space="preserve"> and 8275/09; </w:t>
      </w:r>
      <w:r w:rsidRPr="00560F13">
        <w:rPr>
          <w:rFonts w:ascii="Arial" w:hAnsi="Arial" w:cs="Arial"/>
          <w:i/>
          <w:sz w:val="18"/>
          <w:szCs w:val="18"/>
        </w:rPr>
        <w:t>Naniyeva and Bagayev v. Georgia</w:t>
      </w:r>
      <w:r w:rsidRPr="00560F13">
        <w:rPr>
          <w:rFonts w:ascii="Arial" w:hAnsi="Arial" w:cs="Arial"/>
          <w:sz w:val="18"/>
          <w:szCs w:val="18"/>
        </w:rPr>
        <w:t xml:space="preserve"> (dec.), nos. </w:t>
      </w:r>
      <w:hyperlink r:id="rId312" w:history="1">
        <w:r w:rsidRPr="00560F13">
          <w:rPr>
            <w:rStyle w:val="Lienhypertexte"/>
            <w:rFonts w:ascii="Arial" w:hAnsi="Arial" w:cs="Arial"/>
            <w:color w:val="auto"/>
            <w:sz w:val="18"/>
            <w:szCs w:val="18"/>
          </w:rPr>
          <w:t>2256/09</w:t>
        </w:r>
      </w:hyperlink>
      <w:r w:rsidRPr="00560F13">
        <w:rPr>
          <w:rFonts w:ascii="Arial" w:hAnsi="Arial" w:cs="Arial"/>
          <w:sz w:val="18"/>
          <w:szCs w:val="18"/>
        </w:rPr>
        <w:t xml:space="preserve"> and 2260/09.</w:t>
      </w:r>
    </w:p>
  </w:footnote>
  <w:footnote w:id="265">
    <w:p w14:paraId="7337DCAB"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w:t>
      </w:r>
      <w:r w:rsidRPr="00560F13">
        <w:rPr>
          <w:rFonts w:ascii="Arial" w:hAnsi="Arial" w:cs="Arial"/>
          <w:i/>
          <w:sz w:val="18"/>
          <w:szCs w:val="18"/>
        </w:rPr>
        <w:t>Georgia v. Russia</w:t>
      </w:r>
      <w:r w:rsidRPr="00560F13">
        <w:rPr>
          <w:rFonts w:ascii="Arial" w:hAnsi="Arial" w:cs="Arial"/>
          <w:sz w:val="18"/>
          <w:szCs w:val="18"/>
        </w:rPr>
        <w:t xml:space="preserve"> (I) [GC] </w:t>
      </w:r>
      <w:r w:rsidRPr="00560F13">
        <w:rPr>
          <w:rFonts w:ascii="Arial" w:hAnsi="Arial" w:cs="Arial"/>
          <w:i/>
          <w:sz w:val="18"/>
          <w:szCs w:val="18"/>
        </w:rPr>
        <w:t>(merits)</w:t>
      </w:r>
      <w:r w:rsidRPr="00560F13">
        <w:rPr>
          <w:rFonts w:ascii="Arial" w:hAnsi="Arial" w:cs="Arial"/>
          <w:sz w:val="18"/>
          <w:szCs w:val="18"/>
        </w:rPr>
        <w:t>, 3 July 2014; and the subsequent judgment on just satisfaction of 29 January 2019.</w:t>
      </w:r>
    </w:p>
  </w:footnote>
  <w:footnote w:id="266">
    <w:p w14:paraId="41199265" w14:textId="77777777" w:rsidR="000C68FA" w:rsidRPr="00560F13" w:rsidRDefault="000C68FA" w:rsidP="002218C4">
      <w:pPr>
        <w:pStyle w:val="SingleTxtG"/>
        <w:spacing w:after="0" w:line="200" w:lineRule="exact"/>
        <w:ind w:left="0" w:right="0"/>
        <w:rPr>
          <w:rFonts w:ascii="Arial" w:hAnsi="Arial" w:cs="Arial"/>
          <w:iCs/>
          <w:sz w:val="18"/>
          <w:szCs w:val="18"/>
        </w:rPr>
      </w:pPr>
      <w:r w:rsidRPr="00560F13">
        <w:rPr>
          <w:rStyle w:val="Appelnotedebasdep"/>
          <w:rFonts w:ascii="Arial" w:hAnsi="Arial" w:cs="Arial"/>
        </w:rPr>
        <w:footnoteRef/>
      </w:r>
      <w:r w:rsidRPr="00560F13">
        <w:rPr>
          <w:rFonts w:ascii="Arial" w:hAnsi="Arial" w:cs="Arial"/>
          <w:sz w:val="18"/>
          <w:szCs w:val="18"/>
        </w:rPr>
        <w:t xml:space="preserve"> See </w:t>
      </w:r>
      <w:r w:rsidRPr="00560F13">
        <w:rPr>
          <w:rFonts w:ascii="Arial" w:hAnsi="Arial" w:cs="Arial"/>
          <w:i/>
          <w:sz w:val="18"/>
          <w:szCs w:val="18"/>
        </w:rPr>
        <w:t xml:space="preserve">Ukraine v. Russia (re Crimea) </w:t>
      </w:r>
      <w:r w:rsidRPr="00560F13">
        <w:rPr>
          <w:rFonts w:ascii="Arial" w:hAnsi="Arial" w:cs="Arial"/>
          <w:sz w:val="18"/>
          <w:szCs w:val="18"/>
        </w:rPr>
        <w:t xml:space="preserve">(dec.), </w:t>
      </w:r>
      <w:r w:rsidRPr="00560F13">
        <w:rPr>
          <w:rFonts w:ascii="Arial" w:hAnsi="Arial" w:cs="Arial"/>
          <w:iCs/>
          <w:sz w:val="18"/>
          <w:szCs w:val="18"/>
        </w:rPr>
        <w:t>nos. </w:t>
      </w:r>
      <w:hyperlink r:id="rId313" w:anchor="{%22appno%22:[%2220958/14%22]}" w:tgtFrame="_blank" w:history="1">
        <w:r w:rsidRPr="00560F13">
          <w:rPr>
            <w:rStyle w:val="Lienhypertexte"/>
            <w:rFonts w:ascii="Arial" w:hAnsi="Arial" w:cs="Arial"/>
            <w:iCs/>
            <w:color w:val="auto"/>
            <w:sz w:val="18"/>
            <w:szCs w:val="18"/>
          </w:rPr>
          <w:t>20958/14</w:t>
        </w:r>
      </w:hyperlink>
      <w:r w:rsidRPr="00560F13">
        <w:rPr>
          <w:rFonts w:ascii="Arial" w:hAnsi="Arial" w:cs="Arial"/>
          <w:iCs/>
          <w:sz w:val="18"/>
          <w:szCs w:val="18"/>
        </w:rPr>
        <w:t> and </w:t>
      </w:r>
      <w:hyperlink r:id="rId314" w:anchor="{%22appno%22:[%2238334/18%22]}" w:tgtFrame="_blank" w:history="1">
        <w:r w:rsidRPr="00560F13">
          <w:rPr>
            <w:rStyle w:val="Lienhypertexte"/>
            <w:rFonts w:ascii="Arial" w:hAnsi="Arial" w:cs="Arial"/>
            <w:iCs/>
            <w:color w:val="auto"/>
            <w:sz w:val="18"/>
            <w:szCs w:val="18"/>
          </w:rPr>
          <w:t>38334/18</w:t>
        </w:r>
      </w:hyperlink>
      <w:r w:rsidRPr="00560F13">
        <w:rPr>
          <w:rFonts w:ascii="Arial" w:hAnsi="Arial" w:cs="Arial"/>
          <w:iCs/>
          <w:sz w:val="18"/>
          <w:szCs w:val="18"/>
        </w:rPr>
        <w:t>,</w:t>
      </w:r>
      <w:r w:rsidRPr="00560F13">
        <w:rPr>
          <w:rFonts w:ascii="Arial" w:hAnsi="Arial" w:cs="Arial"/>
          <w:i/>
          <w:sz w:val="18"/>
          <w:szCs w:val="18"/>
        </w:rPr>
        <w:t xml:space="preserve"> </w:t>
      </w:r>
      <w:r w:rsidRPr="00560F13">
        <w:rPr>
          <w:rFonts w:ascii="Arial" w:hAnsi="Arial" w:cs="Arial"/>
          <w:iCs/>
          <w:sz w:val="18"/>
          <w:szCs w:val="18"/>
        </w:rPr>
        <w:t xml:space="preserve">16 December 2020. </w:t>
      </w:r>
      <w:r w:rsidRPr="00560F13">
        <w:rPr>
          <w:rFonts w:ascii="Arial" w:hAnsi="Arial" w:cs="Arial"/>
          <w:sz w:val="18"/>
          <w:szCs w:val="18"/>
        </w:rPr>
        <w:t>The application no. 38334/18 was joined to the case no. 20958/14 in December 2020.</w:t>
      </w:r>
    </w:p>
  </w:footnote>
  <w:footnote w:id="267">
    <w:p w14:paraId="0D11F35A"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These applications were joined in November 2020.</w:t>
      </w:r>
    </w:p>
  </w:footnote>
  <w:footnote w:id="268">
    <w:p w14:paraId="04B18231"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w:t>
      </w:r>
      <w:hyperlink r:id="rId315" w:history="1">
        <w:r w:rsidRPr="00560F13">
          <w:rPr>
            <w:rStyle w:val="Lienhypertexte"/>
            <w:rFonts w:ascii="Arial" w:hAnsi="Arial" w:cs="Arial"/>
            <w:i/>
            <w:color w:val="auto"/>
            <w:sz w:val="18"/>
            <w:szCs w:val="18"/>
          </w:rPr>
          <w:t>Ioppa and Others v. Ukraine</w:t>
        </w:r>
      </w:hyperlink>
      <w:r w:rsidRPr="00560F13">
        <w:rPr>
          <w:rFonts w:ascii="Arial" w:hAnsi="Arial" w:cs="Arial"/>
          <w:sz w:val="18"/>
          <w:szCs w:val="18"/>
        </w:rPr>
        <w:t xml:space="preserve"> and </w:t>
      </w:r>
      <w:hyperlink r:id="rId316" w:history="1">
        <w:r w:rsidRPr="00560F13">
          <w:rPr>
            <w:rStyle w:val="Lienhypertexte"/>
            <w:rFonts w:ascii="Arial" w:hAnsi="Arial" w:cs="Arial"/>
            <w:i/>
            <w:color w:val="auto"/>
            <w:sz w:val="18"/>
            <w:szCs w:val="18"/>
          </w:rPr>
          <w:t>Ayley and Others v. Russia and Angline and Others v. Russia</w:t>
        </w:r>
      </w:hyperlink>
      <w:r w:rsidRPr="00560F13">
        <w:rPr>
          <w:rFonts w:ascii="Arial" w:hAnsi="Arial" w:cs="Arial"/>
          <w:sz w:val="18"/>
          <w:szCs w:val="18"/>
        </w:rPr>
        <w:t>.</w:t>
      </w:r>
    </w:p>
  </w:footnote>
  <w:footnote w:id="269">
    <w:p w14:paraId="28DC31A6"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w:t>
      </w:r>
      <w:r w:rsidRPr="00560F13">
        <w:rPr>
          <w:rFonts w:ascii="Arial" w:hAnsi="Arial" w:cs="Arial"/>
          <w:i/>
          <w:sz w:val="18"/>
          <w:szCs w:val="18"/>
        </w:rPr>
        <w:t>Lisnyy v. Ukraine and Russia</w:t>
      </w:r>
      <w:r w:rsidRPr="00560F13">
        <w:rPr>
          <w:rFonts w:ascii="Arial" w:hAnsi="Arial" w:cs="Arial"/>
          <w:sz w:val="18"/>
          <w:szCs w:val="18"/>
        </w:rPr>
        <w:t xml:space="preserve"> (dec.), nos. </w:t>
      </w:r>
      <w:hyperlink r:id="rId317" w:history="1">
        <w:r w:rsidRPr="00560F13">
          <w:rPr>
            <w:rStyle w:val="Lienhypertexte"/>
            <w:rFonts w:ascii="Arial" w:hAnsi="Arial" w:cs="Arial"/>
            <w:color w:val="auto"/>
            <w:sz w:val="18"/>
            <w:szCs w:val="18"/>
          </w:rPr>
          <w:t>5355/15</w:t>
        </w:r>
      </w:hyperlink>
      <w:r w:rsidRPr="00560F13">
        <w:rPr>
          <w:rFonts w:ascii="Arial" w:hAnsi="Arial" w:cs="Arial"/>
          <w:sz w:val="18"/>
          <w:szCs w:val="18"/>
        </w:rPr>
        <w:t>, 44913/15 and 50853/15, 5 July 2016.</w:t>
      </w:r>
    </w:p>
  </w:footnote>
  <w:footnote w:id="270">
    <w:p w14:paraId="2269685A"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Including the applications in the case </w:t>
      </w:r>
      <w:r w:rsidRPr="00560F13">
        <w:rPr>
          <w:rFonts w:ascii="Arial" w:hAnsi="Arial" w:cs="Arial"/>
          <w:i/>
          <w:iCs/>
          <w:sz w:val="18"/>
          <w:szCs w:val="18"/>
        </w:rPr>
        <w:t>Lisnyy v. Ukraine and Russia</w:t>
      </w:r>
      <w:r w:rsidRPr="00560F13">
        <w:rPr>
          <w:rFonts w:ascii="Arial" w:hAnsi="Arial" w:cs="Arial"/>
          <w:sz w:val="18"/>
          <w:szCs w:val="18"/>
        </w:rPr>
        <w:t>, cited above.</w:t>
      </w:r>
    </w:p>
  </w:footnote>
  <w:footnote w:id="271">
    <w:p w14:paraId="40D4FD44"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This figure does not include the decided inter-State case.</w:t>
      </w:r>
    </w:p>
  </w:footnote>
  <w:footnote w:id="272">
    <w:p w14:paraId="4604F8DD"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w:t>
      </w:r>
      <w:r w:rsidRPr="00560F13">
        <w:rPr>
          <w:rFonts w:ascii="Arial" w:hAnsi="Arial" w:cs="Arial"/>
          <w:i/>
          <w:sz w:val="18"/>
          <w:szCs w:val="18"/>
        </w:rPr>
        <w:t>Chiragov and Others v. Armenia</w:t>
      </w:r>
      <w:r w:rsidRPr="00560F13">
        <w:rPr>
          <w:rFonts w:ascii="Arial" w:hAnsi="Arial" w:cs="Arial"/>
          <w:sz w:val="18"/>
          <w:szCs w:val="18"/>
        </w:rPr>
        <w:t xml:space="preserve"> [GC], no. </w:t>
      </w:r>
      <w:hyperlink r:id="rId318" w:history="1">
        <w:r w:rsidRPr="00560F13">
          <w:rPr>
            <w:rStyle w:val="Lienhypertexte"/>
            <w:rFonts w:ascii="Arial" w:hAnsi="Arial" w:cs="Arial"/>
            <w:iCs/>
            <w:color w:val="auto"/>
            <w:sz w:val="18"/>
            <w:szCs w:val="18"/>
            <w:lang w:val="en-US"/>
          </w:rPr>
          <w:t>13216/05</w:t>
        </w:r>
      </w:hyperlink>
      <w:r w:rsidRPr="00560F13">
        <w:rPr>
          <w:rStyle w:val="Appelnotedebasdep"/>
          <w:rFonts w:ascii="Arial" w:hAnsi="Arial" w:cs="Arial"/>
          <w:iCs/>
          <w:lang w:val="en-US"/>
        </w:rPr>
        <w:footnoteRef/>
      </w:r>
      <w:r w:rsidRPr="00560F13">
        <w:rPr>
          <w:rFonts w:ascii="Arial" w:hAnsi="Arial" w:cs="Arial"/>
          <w:sz w:val="18"/>
          <w:szCs w:val="18"/>
        </w:rPr>
        <w:t xml:space="preserve">, ECHR 2015; </w:t>
      </w:r>
      <w:r w:rsidRPr="00560F13">
        <w:rPr>
          <w:rFonts w:ascii="Arial" w:hAnsi="Arial" w:cs="Arial"/>
          <w:sz w:val="18"/>
          <w:szCs w:val="18"/>
          <w:lang w:val="en-US"/>
        </w:rPr>
        <w:t xml:space="preserve">and </w:t>
      </w:r>
      <w:r w:rsidRPr="00560F13">
        <w:rPr>
          <w:rFonts w:ascii="Arial" w:hAnsi="Arial" w:cs="Arial"/>
          <w:i/>
          <w:sz w:val="18"/>
          <w:szCs w:val="18"/>
        </w:rPr>
        <w:t>Sargsyan v. Azerbaijan</w:t>
      </w:r>
      <w:r w:rsidRPr="00560F13">
        <w:rPr>
          <w:rFonts w:ascii="Arial" w:hAnsi="Arial" w:cs="Arial"/>
          <w:sz w:val="18"/>
          <w:szCs w:val="18"/>
        </w:rPr>
        <w:t xml:space="preserve"> [GC], no. </w:t>
      </w:r>
      <w:hyperlink r:id="rId319" w:history="1">
        <w:r w:rsidRPr="00560F13">
          <w:rPr>
            <w:rStyle w:val="Lienhypertexte"/>
            <w:rFonts w:ascii="Arial" w:hAnsi="Arial" w:cs="Arial"/>
            <w:iCs/>
            <w:color w:val="auto"/>
            <w:sz w:val="18"/>
            <w:szCs w:val="18"/>
            <w:lang w:val="en-US"/>
          </w:rPr>
          <w:t>40167/06</w:t>
        </w:r>
      </w:hyperlink>
      <w:r w:rsidRPr="00560F13">
        <w:rPr>
          <w:rFonts w:ascii="Arial" w:hAnsi="Arial" w:cs="Arial"/>
          <w:sz w:val="18"/>
          <w:szCs w:val="18"/>
        </w:rPr>
        <w:t>, ECHR 2015; both judgments on merits in June 2015 and on just satisfaction in December 2017.</w:t>
      </w:r>
    </w:p>
  </w:footnote>
  <w:footnote w:id="273">
    <w:p w14:paraId="47CC03FC"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w:t>
      </w:r>
      <w:r w:rsidRPr="00560F13">
        <w:rPr>
          <w:rFonts w:ascii="Arial" w:hAnsi="Arial" w:cs="Arial"/>
          <w:sz w:val="18"/>
          <w:szCs w:val="18"/>
          <w:lang w:val="en-US"/>
        </w:rPr>
        <w:t xml:space="preserve">See </w:t>
      </w:r>
      <w:r w:rsidRPr="00560F13">
        <w:rPr>
          <w:rFonts w:ascii="Arial" w:hAnsi="Arial" w:cs="Arial"/>
          <w:i/>
          <w:sz w:val="18"/>
          <w:szCs w:val="18"/>
          <w:lang w:val="en-US"/>
        </w:rPr>
        <w:t>Amrahov v. Armenia</w:t>
      </w:r>
      <w:r w:rsidRPr="00560F13">
        <w:rPr>
          <w:rFonts w:ascii="Arial" w:hAnsi="Arial" w:cs="Arial"/>
          <w:sz w:val="18"/>
          <w:szCs w:val="18"/>
          <w:lang w:val="en-US"/>
        </w:rPr>
        <w:t xml:space="preserve"> (dec.), no. </w:t>
      </w:r>
      <w:hyperlink r:id="rId320" w:history="1">
        <w:r w:rsidRPr="00560F13">
          <w:rPr>
            <w:rStyle w:val="Lienhypertexte"/>
            <w:rFonts w:ascii="Arial" w:hAnsi="Arial" w:cs="Arial"/>
            <w:color w:val="auto"/>
            <w:sz w:val="18"/>
            <w:szCs w:val="18"/>
            <w:lang w:val="en-US"/>
          </w:rPr>
          <w:t>49169/16</w:t>
        </w:r>
      </w:hyperlink>
      <w:r w:rsidRPr="00560F13">
        <w:rPr>
          <w:rFonts w:ascii="Arial" w:hAnsi="Arial" w:cs="Arial"/>
          <w:sz w:val="18"/>
          <w:szCs w:val="18"/>
          <w:lang w:val="en-US"/>
        </w:rPr>
        <w:t xml:space="preserve">, 26 February 2019; and </w:t>
      </w:r>
      <w:r w:rsidRPr="00560F13">
        <w:rPr>
          <w:rFonts w:ascii="Arial" w:hAnsi="Arial" w:cs="Arial"/>
          <w:i/>
          <w:sz w:val="18"/>
          <w:szCs w:val="18"/>
        </w:rPr>
        <w:t>Khudunts v. Azerbaijan</w:t>
      </w:r>
      <w:r w:rsidRPr="00560F13">
        <w:rPr>
          <w:rFonts w:ascii="Arial" w:hAnsi="Arial" w:cs="Arial"/>
          <w:sz w:val="18"/>
          <w:szCs w:val="18"/>
        </w:rPr>
        <w:t>, no. </w:t>
      </w:r>
      <w:hyperlink r:id="rId321" w:history="1">
        <w:r w:rsidRPr="00560F13">
          <w:rPr>
            <w:rStyle w:val="Lienhypertexte"/>
            <w:rFonts w:ascii="Arial" w:hAnsi="Arial" w:cs="Arial"/>
            <w:color w:val="auto"/>
            <w:sz w:val="18"/>
            <w:szCs w:val="18"/>
          </w:rPr>
          <w:t>74628/16</w:t>
        </w:r>
      </w:hyperlink>
      <w:r w:rsidRPr="00560F13">
        <w:rPr>
          <w:rFonts w:ascii="Arial" w:hAnsi="Arial" w:cs="Arial"/>
          <w:sz w:val="18"/>
          <w:szCs w:val="18"/>
          <w:lang w:val="en-US"/>
        </w:rPr>
        <w:t>, 26</w:t>
      </w:r>
      <w:r w:rsidRPr="00560F13">
        <w:rPr>
          <w:rFonts w:ascii="Arial" w:hAnsi="Arial" w:cs="Arial"/>
          <w:sz w:val="18"/>
          <w:szCs w:val="18"/>
          <w:lang w:val="uk-UA"/>
        </w:rPr>
        <w:t> </w:t>
      </w:r>
      <w:r w:rsidRPr="00560F13">
        <w:rPr>
          <w:rFonts w:ascii="Arial" w:hAnsi="Arial" w:cs="Arial"/>
          <w:sz w:val="18"/>
          <w:szCs w:val="18"/>
          <w:lang w:val="en-US"/>
        </w:rPr>
        <w:t>February 2019.</w:t>
      </w:r>
    </w:p>
  </w:footnote>
  <w:footnote w:id="274">
    <w:p w14:paraId="78C1C23F"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The application is still pending (see </w:t>
      </w:r>
      <w:r w:rsidRPr="00560F13">
        <w:rPr>
          <w:rFonts w:ascii="Arial" w:hAnsi="Arial" w:cs="Arial"/>
          <w:i/>
          <w:sz w:val="18"/>
          <w:szCs w:val="18"/>
        </w:rPr>
        <w:t>Babchin v. the Republic of Moldova and Russia</w:t>
      </w:r>
      <w:r w:rsidRPr="00560F13">
        <w:rPr>
          <w:rFonts w:ascii="Arial" w:hAnsi="Arial" w:cs="Arial"/>
          <w:sz w:val="18"/>
          <w:szCs w:val="18"/>
        </w:rPr>
        <w:t xml:space="preserve"> (merits)[Committee], no. 55698/14, 17 September 2019).</w:t>
      </w:r>
    </w:p>
  </w:footnote>
  <w:footnote w:id="275">
    <w:p w14:paraId="3C45D3B6"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w:t>
      </w:r>
      <w:r w:rsidRPr="00560F13">
        <w:rPr>
          <w:rFonts w:ascii="Arial" w:hAnsi="Arial" w:cs="Arial"/>
          <w:i/>
          <w:sz w:val="18"/>
          <w:szCs w:val="18"/>
        </w:rPr>
        <w:t>Catan and Others v. the Republic of Moldova and Russia</w:t>
      </w:r>
      <w:r w:rsidRPr="00560F13">
        <w:rPr>
          <w:rFonts w:ascii="Arial" w:hAnsi="Arial" w:cs="Arial"/>
          <w:sz w:val="18"/>
          <w:szCs w:val="18"/>
        </w:rPr>
        <w:t xml:space="preserve"> [GC], nos. </w:t>
      </w:r>
      <w:hyperlink r:id="rId322" w:history="1">
        <w:r w:rsidRPr="00560F13">
          <w:rPr>
            <w:rStyle w:val="Lienhypertexte"/>
            <w:rFonts w:ascii="Arial" w:hAnsi="Arial" w:cs="Arial"/>
            <w:color w:val="auto"/>
            <w:sz w:val="18"/>
            <w:szCs w:val="18"/>
          </w:rPr>
          <w:t>43370/04</w:t>
        </w:r>
      </w:hyperlink>
      <w:r w:rsidRPr="00560F13">
        <w:rPr>
          <w:rFonts w:ascii="Arial" w:hAnsi="Arial" w:cs="Arial"/>
          <w:sz w:val="18"/>
          <w:szCs w:val="18"/>
        </w:rPr>
        <w:t xml:space="preserve"> and 2 others, ECHR 2012 (extracts), 19 October 2012; and </w:t>
      </w:r>
      <w:r w:rsidRPr="00560F13">
        <w:rPr>
          <w:rFonts w:ascii="Arial" w:hAnsi="Arial" w:cs="Arial"/>
          <w:i/>
          <w:sz w:val="18"/>
          <w:szCs w:val="18"/>
        </w:rPr>
        <w:t>Mozer v. the Republic of Moldova and Russia</w:t>
      </w:r>
      <w:r w:rsidRPr="00560F13">
        <w:rPr>
          <w:rFonts w:ascii="Arial" w:hAnsi="Arial" w:cs="Arial"/>
          <w:sz w:val="18"/>
          <w:szCs w:val="18"/>
        </w:rPr>
        <w:t xml:space="preserve"> [GC], no. </w:t>
      </w:r>
      <w:hyperlink r:id="rId323" w:history="1">
        <w:r w:rsidRPr="00560F13">
          <w:rPr>
            <w:rStyle w:val="Lienhypertexte"/>
            <w:rFonts w:ascii="Arial" w:hAnsi="Arial" w:cs="Arial"/>
            <w:color w:val="auto"/>
            <w:sz w:val="18"/>
            <w:szCs w:val="18"/>
          </w:rPr>
          <w:t>11138/10</w:t>
        </w:r>
      </w:hyperlink>
      <w:r w:rsidRPr="00560F13">
        <w:rPr>
          <w:rFonts w:ascii="Arial" w:hAnsi="Arial" w:cs="Arial"/>
          <w:sz w:val="18"/>
          <w:szCs w:val="18"/>
        </w:rPr>
        <w:t xml:space="preserve">, 23 February 2016. See also </w:t>
      </w:r>
      <w:r w:rsidRPr="00560F13">
        <w:rPr>
          <w:rFonts w:ascii="Arial" w:hAnsi="Arial" w:cs="Arial"/>
          <w:i/>
          <w:sz w:val="18"/>
          <w:szCs w:val="18"/>
        </w:rPr>
        <w:t>Ilaşcu and Others v. Moldova and Russia</w:t>
      </w:r>
      <w:r w:rsidRPr="00560F13">
        <w:rPr>
          <w:rFonts w:ascii="Arial" w:hAnsi="Arial" w:cs="Arial"/>
          <w:sz w:val="18"/>
          <w:szCs w:val="18"/>
        </w:rPr>
        <w:t xml:space="preserve"> [GC], no. 48787/99, ECHR 2004</w:t>
      </w:r>
      <w:r w:rsidRPr="00560F13">
        <w:rPr>
          <w:rFonts w:ascii="Arial" w:hAnsi="Arial" w:cs="Arial"/>
          <w:sz w:val="18"/>
          <w:szCs w:val="18"/>
        </w:rPr>
        <w:noBreakHyphen/>
        <w:t>VII.</w:t>
      </w:r>
    </w:p>
  </w:footnote>
  <w:footnote w:id="276">
    <w:p w14:paraId="5DD7CB73" w14:textId="77777777" w:rsidR="000C68FA" w:rsidRPr="00560F13" w:rsidRDefault="000C68FA" w:rsidP="002218C4">
      <w:pPr>
        <w:pStyle w:val="SingleTxtG"/>
        <w:spacing w:after="0" w:line="200" w:lineRule="exact"/>
        <w:ind w:left="0" w:right="0"/>
        <w:rPr>
          <w:rFonts w:ascii="Arial" w:hAnsi="Arial" w:cs="Arial"/>
          <w:sz w:val="18"/>
          <w:szCs w:val="18"/>
        </w:rPr>
      </w:pPr>
      <w:r w:rsidRPr="00560F13">
        <w:rPr>
          <w:rStyle w:val="Appelnotedebasdep"/>
          <w:rFonts w:ascii="Arial" w:hAnsi="Arial" w:cs="Arial"/>
        </w:rPr>
        <w:footnoteRef/>
      </w:r>
      <w:r w:rsidRPr="00560F13">
        <w:rPr>
          <w:rFonts w:ascii="Arial" w:hAnsi="Arial" w:cs="Arial"/>
          <w:sz w:val="18"/>
          <w:szCs w:val="18"/>
        </w:rPr>
        <w:t xml:space="preserve">  See </w:t>
      </w:r>
      <w:r w:rsidRPr="00560F13">
        <w:rPr>
          <w:rFonts w:ascii="Arial" w:hAnsi="Arial" w:cs="Arial"/>
          <w:i/>
          <w:sz w:val="18"/>
          <w:szCs w:val="18"/>
        </w:rPr>
        <w:t>Cyprus v. Turkey</w:t>
      </w:r>
      <w:r w:rsidRPr="00560F13">
        <w:rPr>
          <w:rFonts w:ascii="Arial" w:hAnsi="Arial" w:cs="Arial"/>
          <w:sz w:val="18"/>
          <w:szCs w:val="18"/>
        </w:rPr>
        <w:t xml:space="preserve"> [GC], no. 25781/94, 10 May 2001; and on just satisfaction of 12 May 2014.</w:t>
      </w:r>
    </w:p>
  </w:footnote>
  <w:footnote w:id="277">
    <w:p w14:paraId="3AA4EEEB" w14:textId="77777777" w:rsidR="000C68FA" w:rsidRPr="00560F13" w:rsidRDefault="000C68FA" w:rsidP="002218C4">
      <w:pPr>
        <w:pStyle w:val="SingleTxtG"/>
        <w:spacing w:after="0" w:line="200" w:lineRule="exact"/>
        <w:ind w:left="0" w:right="0"/>
        <w:rPr>
          <w:rFonts w:ascii="Arial" w:hAnsi="Arial" w:cs="Arial"/>
          <w:sz w:val="18"/>
          <w:szCs w:val="18"/>
          <w:lang w:val="en-US"/>
        </w:rPr>
      </w:pPr>
      <w:r w:rsidRPr="00560F13">
        <w:rPr>
          <w:rStyle w:val="Appelnotedebasdep"/>
          <w:rFonts w:ascii="Arial" w:hAnsi="Arial" w:cs="Arial"/>
        </w:rPr>
        <w:footnoteRef/>
      </w:r>
      <w:r w:rsidRPr="00560F13">
        <w:rPr>
          <w:rFonts w:ascii="Arial" w:hAnsi="Arial" w:cs="Arial"/>
          <w:sz w:val="18"/>
          <w:szCs w:val="18"/>
        </w:rPr>
        <w:t xml:space="preserve">  See also </w:t>
      </w:r>
      <w:r w:rsidRPr="00560F13">
        <w:rPr>
          <w:rFonts w:ascii="Arial" w:hAnsi="Arial" w:cs="Arial"/>
          <w:i/>
          <w:sz w:val="18"/>
          <w:szCs w:val="18"/>
        </w:rPr>
        <w:t xml:space="preserve">Loizidou v. Turkey </w:t>
      </w:r>
      <w:r w:rsidRPr="00560F13">
        <w:rPr>
          <w:rFonts w:ascii="Arial" w:hAnsi="Arial" w:cs="Arial"/>
          <w:sz w:val="18"/>
          <w:szCs w:val="18"/>
        </w:rPr>
        <w:t xml:space="preserve">(preliminary objections), 23 March 1995, Series A no. 310; </w:t>
      </w:r>
      <w:r w:rsidRPr="00560F13">
        <w:rPr>
          <w:rFonts w:ascii="Arial" w:hAnsi="Arial" w:cs="Arial"/>
          <w:i/>
          <w:sz w:val="18"/>
          <w:szCs w:val="18"/>
        </w:rPr>
        <w:t>Loizidou v. Turkey (merits)</w:t>
      </w:r>
      <w:r w:rsidRPr="00560F13">
        <w:rPr>
          <w:rFonts w:ascii="Arial" w:hAnsi="Arial" w:cs="Arial"/>
          <w:sz w:val="18"/>
          <w:szCs w:val="18"/>
        </w:rPr>
        <w:t xml:space="preserve">, 18 December 1996, Reports of Judgments and Decisions 1996 VI; </w:t>
      </w:r>
      <w:r w:rsidRPr="00560F13">
        <w:rPr>
          <w:rFonts w:ascii="Arial" w:hAnsi="Arial" w:cs="Arial"/>
          <w:i/>
          <w:sz w:val="18"/>
          <w:szCs w:val="18"/>
        </w:rPr>
        <w:t>Loizidou v. Turkey (Article 50)</w:t>
      </w:r>
      <w:r w:rsidRPr="00560F13">
        <w:rPr>
          <w:rFonts w:ascii="Arial" w:hAnsi="Arial" w:cs="Arial"/>
          <w:sz w:val="18"/>
          <w:szCs w:val="18"/>
        </w:rPr>
        <w:t>, 28</w:t>
      </w:r>
      <w:r w:rsidRPr="00560F13">
        <w:rPr>
          <w:rFonts w:ascii="Arial" w:hAnsi="Arial" w:cs="Arial"/>
          <w:sz w:val="18"/>
          <w:szCs w:val="18"/>
          <w:lang w:val="uk-UA"/>
        </w:rPr>
        <w:t> </w:t>
      </w:r>
      <w:r w:rsidRPr="00560F13">
        <w:rPr>
          <w:rFonts w:ascii="Arial" w:hAnsi="Arial" w:cs="Arial"/>
          <w:sz w:val="18"/>
          <w:szCs w:val="18"/>
        </w:rPr>
        <w:t>July 1998, Reports of Judgments and Decisions 1998 IV.</w:t>
      </w:r>
    </w:p>
  </w:footnote>
  <w:footnote w:id="278">
    <w:p w14:paraId="646E75AD" w14:textId="77777777" w:rsidR="000C68FA" w:rsidRPr="00560F13" w:rsidRDefault="000C68FA" w:rsidP="002218C4">
      <w:pPr>
        <w:pStyle w:val="SingleTxtG"/>
        <w:spacing w:after="0" w:line="200" w:lineRule="exact"/>
        <w:ind w:left="0" w:right="0"/>
        <w:rPr>
          <w:rFonts w:ascii="Arial" w:hAnsi="Arial" w:cs="Arial"/>
          <w:sz w:val="18"/>
          <w:szCs w:val="18"/>
          <w:lang w:val="en-US"/>
        </w:rPr>
      </w:pPr>
      <w:r w:rsidRPr="00560F13">
        <w:rPr>
          <w:rStyle w:val="Appelnotedebasdep"/>
          <w:rFonts w:ascii="Arial" w:hAnsi="Arial" w:cs="Arial"/>
        </w:rPr>
        <w:footnoteRef/>
      </w:r>
      <w:r w:rsidRPr="00560F13">
        <w:rPr>
          <w:rFonts w:ascii="Arial" w:hAnsi="Arial" w:cs="Arial"/>
          <w:sz w:val="18"/>
          <w:szCs w:val="18"/>
        </w:rPr>
        <w:t xml:space="preserve">  See </w:t>
      </w:r>
      <w:r w:rsidRPr="00560F13">
        <w:rPr>
          <w:rFonts w:ascii="Arial" w:hAnsi="Arial" w:cs="Arial"/>
          <w:i/>
          <w:sz w:val="18"/>
          <w:szCs w:val="18"/>
        </w:rPr>
        <w:t>Demopoulos and Others v. Turkey</w:t>
      </w:r>
      <w:r w:rsidRPr="00560F13">
        <w:rPr>
          <w:rFonts w:ascii="Arial" w:hAnsi="Arial" w:cs="Arial"/>
          <w:sz w:val="18"/>
          <w:szCs w:val="18"/>
        </w:rPr>
        <w:t xml:space="preserve"> [GC] (dec.), no. </w:t>
      </w:r>
      <w:hyperlink r:id="rId324" w:history="1">
        <w:r w:rsidRPr="00560F13">
          <w:rPr>
            <w:rStyle w:val="Lienhypertexte"/>
            <w:rFonts w:ascii="Arial" w:hAnsi="Arial" w:cs="Arial"/>
            <w:color w:val="auto"/>
            <w:sz w:val="18"/>
            <w:szCs w:val="18"/>
          </w:rPr>
          <w:t>46113/99</w:t>
        </w:r>
      </w:hyperlink>
      <w:r w:rsidRPr="00560F13">
        <w:rPr>
          <w:rFonts w:ascii="Arial" w:hAnsi="Arial" w:cs="Arial"/>
          <w:sz w:val="18"/>
          <w:szCs w:val="18"/>
        </w:rPr>
        <w:t xml:space="preserve"> and 7 others, 1 March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A544C" w14:textId="77777777" w:rsidR="000C68FA" w:rsidRDefault="000C68FA">
    <w:pPr>
      <w:tabs>
        <w:tab w:val="center" w:pos="4535"/>
      </w:tabs>
      <w:rPr>
        <w:rFonts w:ascii="Arial" w:hAnsi="Arial" w:cs="Arial"/>
        <w:sz w:val="20"/>
        <w:szCs w:val="20"/>
        <w:lang w:val="en-GB"/>
      </w:rPr>
    </w:pPr>
    <w:bookmarkStart w:id="112" w:name="_Hlk32855428"/>
    <w:bookmarkStart w:id="113" w:name="_Hlk32855429"/>
    <w:r>
      <w:rPr>
        <w:rFonts w:ascii="Arial" w:hAnsi="Arial" w:cs="Arial"/>
        <w:sz w:val="20"/>
        <w:szCs w:val="20"/>
        <w:lang w:val="en-GB"/>
      </w:rPr>
      <w:t>DH-SYSC-IV(2020)R1</w:t>
    </w:r>
    <w:bookmarkEnd w:id="112"/>
    <w:bookmarkEnd w:id="11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E5A19" w14:textId="78D2C11F" w:rsidR="000C68FA" w:rsidRDefault="000C68FA" w:rsidP="001849A7">
    <w:pPr>
      <w:tabs>
        <w:tab w:val="center" w:pos="4535"/>
      </w:tabs>
      <w:jc w:val="right"/>
      <w:rPr>
        <w:rFonts w:ascii="Arial" w:hAnsi="Arial" w:cs="Arial"/>
        <w:sz w:val="20"/>
        <w:szCs w:val="20"/>
        <w:lang w:val="en-GB"/>
      </w:rPr>
    </w:pPr>
    <w:r>
      <w:rPr>
        <w:rFonts w:ascii="Arial" w:hAnsi="Arial" w:cs="Arial"/>
        <w:sz w:val="20"/>
        <w:szCs w:val="20"/>
        <w:lang w:val="en-GB"/>
      </w:rPr>
      <w:t>DH-SYSC-IV(2021)R4</w:t>
    </w:r>
  </w:p>
  <w:p w14:paraId="31534A66" w14:textId="77777777" w:rsidR="000C68FA" w:rsidRDefault="000C68FA">
    <w:pPr>
      <w:jc w:val="right"/>
      <w:rPr>
        <w:rFonts w:ascii="Arial" w:hAnsi="Arial" w:cs="Arial"/>
        <w:sz w:val="2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5BA43" w14:textId="77777777" w:rsidR="000C68FA" w:rsidRDefault="000C68FA" w:rsidP="001849A7">
    <w:pPr>
      <w:pStyle w:val="Titre1"/>
      <w:keepLines w:val="0"/>
      <w:spacing w:before="0"/>
      <w:ind w:left="-567"/>
      <w:rPr>
        <w:rFonts w:ascii="Arial" w:eastAsia="Times New Roman" w:hAnsi="Arial" w:cs="Times New Roman"/>
        <w:b/>
        <w:smallCaps/>
        <w:color w:val="auto"/>
        <w:sz w:val="24"/>
        <w:szCs w:val="20"/>
        <w:lang w:val="en-GB" w:eastAsia="en-US"/>
      </w:rPr>
    </w:pPr>
    <w:r w:rsidRPr="004F2D21">
      <w:rPr>
        <w:rFonts w:ascii="Arial" w:eastAsia="Times New Roman" w:hAnsi="Arial" w:cs="Times New Roman"/>
        <w:b/>
        <w:smallCaps/>
        <w:noProof/>
        <w:color w:val="auto"/>
        <w:sz w:val="24"/>
        <w:szCs w:val="20"/>
      </w:rPr>
      <w:drawing>
        <wp:anchor distT="0" distB="0" distL="114300" distR="114300" simplePos="0" relativeHeight="251659264" behindDoc="0" locked="0" layoutInCell="1" allowOverlap="1" wp14:anchorId="4BF4A4F2" wp14:editId="0368B0EF">
          <wp:simplePos x="0" y="0"/>
          <wp:positionH relativeFrom="column">
            <wp:posOffset>4824730</wp:posOffset>
          </wp:positionH>
          <wp:positionV relativeFrom="paragraph">
            <wp:posOffset>-121920</wp:posOffset>
          </wp:positionV>
          <wp:extent cx="1525270" cy="12192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5270" cy="1219200"/>
                  </a:xfrm>
                  <a:prstGeom prst="rect">
                    <a:avLst/>
                  </a:prstGeom>
                  <a:noFill/>
                </pic:spPr>
              </pic:pic>
            </a:graphicData>
          </a:graphic>
          <wp14:sizeRelH relativeFrom="page">
            <wp14:pctWidth>0</wp14:pctWidth>
          </wp14:sizeRelH>
          <wp14:sizeRelV relativeFrom="page">
            <wp14:pctHeight>0</wp14:pctHeight>
          </wp14:sizeRelV>
        </wp:anchor>
      </w:drawing>
    </w:r>
  </w:p>
  <w:p w14:paraId="32677295" w14:textId="77777777" w:rsidR="000C68FA" w:rsidRDefault="000C68FA" w:rsidP="001849A7">
    <w:pPr>
      <w:rPr>
        <w:lang w:val="en-GB" w:eastAsia="en-US"/>
      </w:rPr>
    </w:pPr>
  </w:p>
  <w:p w14:paraId="45A39A97" w14:textId="77777777" w:rsidR="000C68FA" w:rsidRPr="008B0609" w:rsidRDefault="000C68FA" w:rsidP="001849A7">
    <w:pPr>
      <w:rPr>
        <w:lang w:val="en-GB" w:eastAsia="en-US"/>
      </w:rPr>
    </w:pPr>
  </w:p>
  <w:p w14:paraId="306E723E" w14:textId="77777777" w:rsidR="000C68FA" w:rsidRDefault="000C68FA" w:rsidP="001849A7">
    <w:pPr>
      <w:ind w:left="-567"/>
      <w:rPr>
        <w:lang w:val="en-US"/>
      </w:rPr>
    </w:pPr>
  </w:p>
  <w:p w14:paraId="182170C5" w14:textId="77777777" w:rsidR="000C68FA" w:rsidRDefault="000C68FA" w:rsidP="001849A7">
    <w:pPr>
      <w:pStyle w:val="En-tte"/>
      <w:ind w:left="-567" w:right="-573"/>
    </w:pPr>
  </w:p>
  <w:p w14:paraId="55EFEA8A" w14:textId="77777777" w:rsidR="000C68FA" w:rsidRPr="004F2D21" w:rsidRDefault="000C68FA" w:rsidP="001849A7">
    <w:pPr>
      <w:pStyle w:val="En-tte"/>
      <w:rPr>
        <w:lang w:val="fr-FR"/>
      </w:rPr>
    </w:pPr>
  </w:p>
  <w:p w14:paraId="70059A14" w14:textId="77777777" w:rsidR="000C68FA" w:rsidRDefault="000C68FA">
    <w:pPr>
      <w:ind w:right="-85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85AC83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16457F"/>
    <w:multiLevelType w:val="multilevel"/>
    <w:tmpl w:val="A90CC1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C587B"/>
    <w:multiLevelType w:val="hybridMultilevel"/>
    <w:tmpl w:val="D26866A4"/>
    <w:lvl w:ilvl="0" w:tplc="7B6AF10A">
      <w:start w:val="29"/>
      <w:numFmt w:val="bullet"/>
      <w:lvlText w:val="-"/>
      <w:lvlJc w:val="left"/>
      <w:pPr>
        <w:ind w:left="2486" w:hanging="360"/>
      </w:pPr>
      <w:rPr>
        <w:rFonts w:ascii="Arial" w:eastAsiaTheme="minorHAnsi" w:hAnsi="Arial" w:cs="Arial" w:hint="default"/>
        <w:b w:val="0"/>
      </w:rPr>
    </w:lvl>
    <w:lvl w:ilvl="1" w:tplc="040C0003" w:tentative="1">
      <w:start w:val="1"/>
      <w:numFmt w:val="bullet"/>
      <w:lvlText w:val="o"/>
      <w:lvlJc w:val="left"/>
      <w:pPr>
        <w:ind w:left="3206" w:hanging="360"/>
      </w:pPr>
      <w:rPr>
        <w:rFonts w:ascii="Courier New" w:hAnsi="Courier New" w:cs="Courier New" w:hint="default"/>
      </w:rPr>
    </w:lvl>
    <w:lvl w:ilvl="2" w:tplc="040C0005" w:tentative="1">
      <w:start w:val="1"/>
      <w:numFmt w:val="bullet"/>
      <w:lvlText w:val=""/>
      <w:lvlJc w:val="left"/>
      <w:pPr>
        <w:ind w:left="3926" w:hanging="360"/>
      </w:pPr>
      <w:rPr>
        <w:rFonts w:ascii="Wingdings" w:hAnsi="Wingdings" w:hint="default"/>
      </w:rPr>
    </w:lvl>
    <w:lvl w:ilvl="3" w:tplc="040C0001" w:tentative="1">
      <w:start w:val="1"/>
      <w:numFmt w:val="bullet"/>
      <w:lvlText w:val=""/>
      <w:lvlJc w:val="left"/>
      <w:pPr>
        <w:ind w:left="4646" w:hanging="360"/>
      </w:pPr>
      <w:rPr>
        <w:rFonts w:ascii="Symbol" w:hAnsi="Symbol" w:hint="default"/>
      </w:rPr>
    </w:lvl>
    <w:lvl w:ilvl="4" w:tplc="040C0003" w:tentative="1">
      <w:start w:val="1"/>
      <w:numFmt w:val="bullet"/>
      <w:lvlText w:val="o"/>
      <w:lvlJc w:val="left"/>
      <w:pPr>
        <w:ind w:left="5366" w:hanging="360"/>
      </w:pPr>
      <w:rPr>
        <w:rFonts w:ascii="Courier New" w:hAnsi="Courier New" w:cs="Courier New" w:hint="default"/>
      </w:rPr>
    </w:lvl>
    <w:lvl w:ilvl="5" w:tplc="040C0005" w:tentative="1">
      <w:start w:val="1"/>
      <w:numFmt w:val="bullet"/>
      <w:lvlText w:val=""/>
      <w:lvlJc w:val="left"/>
      <w:pPr>
        <w:ind w:left="6086" w:hanging="360"/>
      </w:pPr>
      <w:rPr>
        <w:rFonts w:ascii="Wingdings" w:hAnsi="Wingdings" w:hint="default"/>
      </w:rPr>
    </w:lvl>
    <w:lvl w:ilvl="6" w:tplc="040C0001" w:tentative="1">
      <w:start w:val="1"/>
      <w:numFmt w:val="bullet"/>
      <w:lvlText w:val=""/>
      <w:lvlJc w:val="left"/>
      <w:pPr>
        <w:ind w:left="6806" w:hanging="360"/>
      </w:pPr>
      <w:rPr>
        <w:rFonts w:ascii="Symbol" w:hAnsi="Symbol" w:hint="default"/>
      </w:rPr>
    </w:lvl>
    <w:lvl w:ilvl="7" w:tplc="040C0003" w:tentative="1">
      <w:start w:val="1"/>
      <w:numFmt w:val="bullet"/>
      <w:lvlText w:val="o"/>
      <w:lvlJc w:val="left"/>
      <w:pPr>
        <w:ind w:left="7526" w:hanging="360"/>
      </w:pPr>
      <w:rPr>
        <w:rFonts w:ascii="Courier New" w:hAnsi="Courier New" w:cs="Courier New" w:hint="default"/>
      </w:rPr>
    </w:lvl>
    <w:lvl w:ilvl="8" w:tplc="040C0005" w:tentative="1">
      <w:start w:val="1"/>
      <w:numFmt w:val="bullet"/>
      <w:lvlText w:val=""/>
      <w:lvlJc w:val="left"/>
      <w:pPr>
        <w:ind w:left="8246" w:hanging="360"/>
      </w:pPr>
      <w:rPr>
        <w:rFonts w:ascii="Wingdings" w:hAnsi="Wingdings" w:hint="default"/>
      </w:rPr>
    </w:lvl>
  </w:abstractNum>
  <w:abstractNum w:abstractNumId="3" w15:restartNumberingAfterBreak="0">
    <w:nsid w:val="06F928C1"/>
    <w:multiLevelType w:val="hybridMultilevel"/>
    <w:tmpl w:val="7BD2CA70"/>
    <w:lvl w:ilvl="0" w:tplc="AF1EB208">
      <w:start w:val="3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316DEC"/>
    <w:multiLevelType w:val="multilevel"/>
    <w:tmpl w:val="A98E4F3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F645F1"/>
    <w:multiLevelType w:val="hybridMultilevel"/>
    <w:tmpl w:val="59C09F7E"/>
    <w:lvl w:ilvl="0" w:tplc="676E8484">
      <w:start w:val="1"/>
      <w:numFmt w:val="decimal"/>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0C0F5BFC"/>
    <w:multiLevelType w:val="multilevel"/>
    <w:tmpl w:val="79FEA660"/>
    <w:lvl w:ilvl="0">
      <w:start w:val="1"/>
      <w:numFmt w:val="none"/>
      <w:pStyle w:val="JuHHead"/>
      <w:suff w:val="nothing"/>
      <w:lvlText w:val="%1"/>
      <w:lvlJc w:val="left"/>
      <w:pPr>
        <w:ind w:left="0" w:firstLine="0"/>
      </w:pPr>
      <w:rPr>
        <w:rFonts w:hint="default"/>
      </w:rPr>
    </w:lvl>
    <w:lvl w:ilvl="1">
      <w:start w:val="1"/>
      <w:numFmt w:val="upperRoman"/>
      <w:pStyle w:val="JuHHead"/>
      <w:lvlText w:val="%2."/>
      <w:lvlJc w:val="left"/>
      <w:pPr>
        <w:ind w:left="2524"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w:numFmt w:val="decimal"/>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7" w15:restartNumberingAfterBreak="0">
    <w:nsid w:val="11C90334"/>
    <w:multiLevelType w:val="hybridMultilevel"/>
    <w:tmpl w:val="CD001B0E"/>
    <w:lvl w:ilvl="0" w:tplc="D09EC78C">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A0661F"/>
    <w:multiLevelType w:val="hybridMultilevel"/>
    <w:tmpl w:val="FBD6CEDE"/>
    <w:lvl w:ilvl="0" w:tplc="12C2F66C">
      <w:start w:val="15"/>
      <w:numFmt w:val="bullet"/>
      <w:lvlText w:val="-"/>
      <w:lvlJc w:val="left"/>
      <w:pPr>
        <w:ind w:left="1070" w:hanging="360"/>
      </w:pPr>
      <w:rPr>
        <w:rFonts w:ascii="Arial" w:eastAsiaTheme="minorHAnsi" w:hAnsi="Arial" w:cs="Aria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B07F89"/>
    <w:multiLevelType w:val="hybridMultilevel"/>
    <w:tmpl w:val="DE54CB9C"/>
    <w:lvl w:ilvl="0" w:tplc="4926BDE8">
      <w:start w:val="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E6234"/>
    <w:multiLevelType w:val="multilevel"/>
    <w:tmpl w:val="58E80F40"/>
    <w:lvl w:ilvl="0">
      <w:start w:val="1"/>
      <w:numFmt w:val="lowerRoman"/>
      <w:lvlText w:val="(%1)"/>
      <w:lvlJc w:val="left"/>
      <w:pPr>
        <w:ind w:left="1569" w:hanging="720"/>
      </w:pPr>
      <w:rPr>
        <w:rFonts w:ascii="Arial" w:hAnsi="Arial"/>
        <w:color w:val="auto"/>
        <w:sz w:val="20"/>
      </w:rPr>
    </w:lvl>
    <w:lvl w:ilvl="1">
      <w:start w:val="1"/>
      <w:numFmt w:val="lowerLetter"/>
      <w:lvlText w:val="%2."/>
      <w:lvlJc w:val="left"/>
      <w:pPr>
        <w:ind w:left="1929" w:hanging="360"/>
      </w:pPr>
    </w:lvl>
    <w:lvl w:ilvl="2">
      <w:start w:val="1"/>
      <w:numFmt w:val="lowerRoman"/>
      <w:lvlText w:val="%3."/>
      <w:lvlJc w:val="right"/>
      <w:pPr>
        <w:ind w:left="2649" w:hanging="180"/>
      </w:pPr>
    </w:lvl>
    <w:lvl w:ilvl="3">
      <w:start w:val="1"/>
      <w:numFmt w:val="decimal"/>
      <w:lvlText w:val="%4."/>
      <w:lvlJc w:val="left"/>
      <w:pPr>
        <w:ind w:left="3369" w:hanging="360"/>
      </w:pPr>
    </w:lvl>
    <w:lvl w:ilvl="4">
      <w:start w:val="1"/>
      <w:numFmt w:val="lowerLetter"/>
      <w:lvlText w:val="%5."/>
      <w:lvlJc w:val="left"/>
      <w:pPr>
        <w:ind w:left="4089" w:hanging="360"/>
      </w:pPr>
    </w:lvl>
    <w:lvl w:ilvl="5">
      <w:start w:val="1"/>
      <w:numFmt w:val="lowerRoman"/>
      <w:lvlText w:val="%6."/>
      <w:lvlJc w:val="right"/>
      <w:pPr>
        <w:ind w:left="4809" w:hanging="180"/>
      </w:pPr>
    </w:lvl>
    <w:lvl w:ilvl="6">
      <w:start w:val="1"/>
      <w:numFmt w:val="decimal"/>
      <w:lvlText w:val="%7."/>
      <w:lvlJc w:val="left"/>
      <w:pPr>
        <w:ind w:left="5529" w:hanging="360"/>
      </w:pPr>
    </w:lvl>
    <w:lvl w:ilvl="7">
      <w:start w:val="1"/>
      <w:numFmt w:val="lowerLetter"/>
      <w:lvlText w:val="%8."/>
      <w:lvlJc w:val="left"/>
      <w:pPr>
        <w:ind w:left="6249" w:hanging="360"/>
      </w:pPr>
    </w:lvl>
    <w:lvl w:ilvl="8">
      <w:start w:val="1"/>
      <w:numFmt w:val="lowerRoman"/>
      <w:lvlText w:val="%9."/>
      <w:lvlJc w:val="right"/>
      <w:pPr>
        <w:ind w:left="6969" w:hanging="180"/>
      </w:pPr>
    </w:lvl>
  </w:abstractNum>
  <w:abstractNum w:abstractNumId="11" w15:restartNumberingAfterBreak="0">
    <w:nsid w:val="1C326A53"/>
    <w:multiLevelType w:val="multilevel"/>
    <w:tmpl w:val="234EDD0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eastAsiaTheme="minorEastAsia" w:cs="Arial" w:hint="default"/>
        <w:i w:val="0"/>
        <w:sz w:val="22"/>
      </w:rPr>
    </w:lvl>
    <w:lvl w:ilvl="2">
      <w:start w:val="1"/>
      <w:numFmt w:val="decimal"/>
      <w:isLgl/>
      <w:lvlText w:val="%1.%2.%3."/>
      <w:lvlJc w:val="left"/>
      <w:pPr>
        <w:ind w:left="1080" w:hanging="720"/>
      </w:pPr>
      <w:rPr>
        <w:rFonts w:eastAsiaTheme="minorEastAsia" w:cs="Arial" w:hint="default"/>
        <w:i w:val="0"/>
        <w:sz w:val="22"/>
      </w:rPr>
    </w:lvl>
    <w:lvl w:ilvl="3">
      <w:start w:val="1"/>
      <w:numFmt w:val="decimal"/>
      <w:isLgl/>
      <w:lvlText w:val="%1.%2.%3.%4."/>
      <w:lvlJc w:val="left"/>
      <w:pPr>
        <w:ind w:left="1440" w:hanging="1080"/>
      </w:pPr>
      <w:rPr>
        <w:rFonts w:eastAsiaTheme="minorEastAsia" w:cs="Arial" w:hint="default"/>
        <w:i w:val="0"/>
        <w:sz w:val="22"/>
      </w:rPr>
    </w:lvl>
    <w:lvl w:ilvl="4">
      <w:start w:val="1"/>
      <w:numFmt w:val="decimal"/>
      <w:isLgl/>
      <w:lvlText w:val="%1.%2.%3.%4.%5."/>
      <w:lvlJc w:val="left"/>
      <w:pPr>
        <w:ind w:left="1440" w:hanging="1080"/>
      </w:pPr>
      <w:rPr>
        <w:rFonts w:eastAsiaTheme="minorEastAsia" w:cs="Arial" w:hint="default"/>
        <w:i w:val="0"/>
        <w:sz w:val="22"/>
      </w:rPr>
    </w:lvl>
    <w:lvl w:ilvl="5">
      <w:start w:val="1"/>
      <w:numFmt w:val="decimal"/>
      <w:isLgl/>
      <w:lvlText w:val="%1.%2.%3.%4.%5.%6."/>
      <w:lvlJc w:val="left"/>
      <w:pPr>
        <w:ind w:left="1800" w:hanging="1440"/>
      </w:pPr>
      <w:rPr>
        <w:rFonts w:eastAsiaTheme="minorEastAsia" w:cs="Arial" w:hint="default"/>
        <w:i w:val="0"/>
        <w:sz w:val="22"/>
      </w:rPr>
    </w:lvl>
    <w:lvl w:ilvl="6">
      <w:start w:val="1"/>
      <w:numFmt w:val="decimal"/>
      <w:isLgl/>
      <w:lvlText w:val="%1.%2.%3.%4.%5.%6.%7."/>
      <w:lvlJc w:val="left"/>
      <w:pPr>
        <w:ind w:left="1800" w:hanging="1440"/>
      </w:pPr>
      <w:rPr>
        <w:rFonts w:eastAsiaTheme="minorEastAsia" w:cs="Arial" w:hint="default"/>
        <w:i w:val="0"/>
        <w:sz w:val="22"/>
      </w:rPr>
    </w:lvl>
    <w:lvl w:ilvl="7">
      <w:start w:val="1"/>
      <w:numFmt w:val="decimal"/>
      <w:isLgl/>
      <w:lvlText w:val="%1.%2.%3.%4.%5.%6.%7.%8."/>
      <w:lvlJc w:val="left"/>
      <w:pPr>
        <w:ind w:left="2160" w:hanging="1800"/>
      </w:pPr>
      <w:rPr>
        <w:rFonts w:eastAsiaTheme="minorEastAsia" w:cs="Arial" w:hint="default"/>
        <w:i w:val="0"/>
        <w:sz w:val="22"/>
      </w:rPr>
    </w:lvl>
    <w:lvl w:ilvl="8">
      <w:start w:val="1"/>
      <w:numFmt w:val="decimal"/>
      <w:isLgl/>
      <w:lvlText w:val="%1.%2.%3.%4.%5.%6.%7.%8.%9."/>
      <w:lvlJc w:val="left"/>
      <w:pPr>
        <w:ind w:left="2520" w:hanging="2160"/>
      </w:pPr>
      <w:rPr>
        <w:rFonts w:eastAsiaTheme="minorEastAsia" w:cs="Arial" w:hint="default"/>
        <w:i w:val="0"/>
        <w:sz w:val="22"/>
      </w:rPr>
    </w:lvl>
  </w:abstractNum>
  <w:abstractNum w:abstractNumId="12" w15:restartNumberingAfterBreak="0">
    <w:nsid w:val="1F470CD0"/>
    <w:multiLevelType w:val="hybridMultilevel"/>
    <w:tmpl w:val="E4BA5E8A"/>
    <w:lvl w:ilvl="0" w:tplc="4926BDE8">
      <w:start w:val="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00073"/>
    <w:multiLevelType w:val="hybridMultilevel"/>
    <w:tmpl w:val="F3A6E27A"/>
    <w:lvl w:ilvl="0" w:tplc="9112EB1A">
      <w:start w:val="9"/>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A721EB"/>
    <w:multiLevelType w:val="hybridMultilevel"/>
    <w:tmpl w:val="97401910"/>
    <w:lvl w:ilvl="0" w:tplc="E09C63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8045048"/>
    <w:multiLevelType w:val="hybridMultilevel"/>
    <w:tmpl w:val="0868D0F4"/>
    <w:lvl w:ilvl="0" w:tplc="8674B9E4">
      <w:start w:val="3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1D1E41"/>
    <w:multiLevelType w:val="hybridMultilevel"/>
    <w:tmpl w:val="6696FD58"/>
    <w:lvl w:ilvl="0" w:tplc="11507F18">
      <w:start w:val="1"/>
      <w:numFmt w:val="decimal"/>
      <w:lvlText w:val="%1."/>
      <w:lvlJc w:val="left"/>
      <w:pPr>
        <w:ind w:left="1352" w:hanging="360"/>
      </w:pPr>
      <w:rPr>
        <w:rFonts w:hint="default"/>
        <w:b w:val="0"/>
        <w:u w:val="none"/>
      </w:rPr>
    </w:lvl>
    <w:lvl w:ilvl="1" w:tplc="C5668D5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5B0095"/>
    <w:multiLevelType w:val="hybridMultilevel"/>
    <w:tmpl w:val="BB76323E"/>
    <w:lvl w:ilvl="0" w:tplc="2AC4ECF2">
      <w:start w:val="8"/>
      <w:numFmt w:val="bullet"/>
      <w:lvlText w:val="-"/>
      <w:lvlJc w:val="left"/>
      <w:pPr>
        <w:ind w:left="1494" w:hanging="360"/>
      </w:pPr>
      <w:rPr>
        <w:rFonts w:ascii="Times New Roman" w:eastAsia="SimSu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8" w15:restartNumberingAfterBreak="0">
    <w:nsid w:val="30F85FAB"/>
    <w:multiLevelType w:val="hybridMultilevel"/>
    <w:tmpl w:val="D3B20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5E55E61"/>
    <w:multiLevelType w:val="hybridMultilevel"/>
    <w:tmpl w:val="9D58C44C"/>
    <w:lvl w:ilvl="0" w:tplc="2EBE9CD2">
      <w:start w:val="12"/>
      <w:numFmt w:val="bullet"/>
      <w:lvlText w:val="-"/>
      <w:lvlJc w:val="left"/>
      <w:pPr>
        <w:ind w:left="360" w:hanging="360"/>
      </w:pPr>
      <w:rPr>
        <w:rFonts w:ascii="Century Gothic" w:eastAsiaTheme="minorHAns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BA32D1B"/>
    <w:multiLevelType w:val="hybridMultilevel"/>
    <w:tmpl w:val="894EE958"/>
    <w:lvl w:ilvl="0" w:tplc="A4CA720A">
      <w:start w:val="4"/>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3E7974A9"/>
    <w:multiLevelType w:val="hybridMultilevel"/>
    <w:tmpl w:val="A8925990"/>
    <w:lvl w:ilvl="0" w:tplc="54D6257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053C15"/>
    <w:multiLevelType w:val="multilevel"/>
    <w:tmpl w:val="EF784CFE"/>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lang w:val="en-G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3374D82"/>
    <w:multiLevelType w:val="hybridMultilevel"/>
    <w:tmpl w:val="53B0E5F8"/>
    <w:lvl w:ilvl="0" w:tplc="49D61498">
      <w:start w:val="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553567A"/>
    <w:multiLevelType w:val="multilevel"/>
    <w:tmpl w:val="9CE467F8"/>
    <w:lvl w:ilvl="0">
      <w:start w:val="1"/>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1B7F48"/>
    <w:multiLevelType w:val="hybridMultilevel"/>
    <w:tmpl w:val="9C001B40"/>
    <w:lvl w:ilvl="0" w:tplc="90D0FF52">
      <w:start w:val="15"/>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6113C9"/>
    <w:multiLevelType w:val="hybridMultilevel"/>
    <w:tmpl w:val="34F29F58"/>
    <w:lvl w:ilvl="0" w:tplc="9EEADFCC">
      <w:start w:val="7"/>
      <w:numFmt w:val="bullet"/>
      <w:lvlText w:val="-"/>
      <w:lvlJc w:val="left"/>
      <w:pPr>
        <w:ind w:left="2486" w:hanging="360"/>
      </w:pPr>
      <w:rPr>
        <w:rFonts w:ascii="Arial" w:eastAsiaTheme="minorHAnsi" w:hAnsi="Arial" w:cs="Arial" w:hint="default"/>
      </w:rPr>
    </w:lvl>
    <w:lvl w:ilvl="1" w:tplc="040C0003" w:tentative="1">
      <w:start w:val="1"/>
      <w:numFmt w:val="bullet"/>
      <w:lvlText w:val="o"/>
      <w:lvlJc w:val="left"/>
      <w:pPr>
        <w:ind w:left="3206" w:hanging="360"/>
      </w:pPr>
      <w:rPr>
        <w:rFonts w:ascii="Courier New" w:hAnsi="Courier New" w:cs="Courier New" w:hint="default"/>
      </w:rPr>
    </w:lvl>
    <w:lvl w:ilvl="2" w:tplc="040C0005" w:tentative="1">
      <w:start w:val="1"/>
      <w:numFmt w:val="bullet"/>
      <w:lvlText w:val=""/>
      <w:lvlJc w:val="left"/>
      <w:pPr>
        <w:ind w:left="3926" w:hanging="360"/>
      </w:pPr>
      <w:rPr>
        <w:rFonts w:ascii="Wingdings" w:hAnsi="Wingdings" w:hint="default"/>
      </w:rPr>
    </w:lvl>
    <w:lvl w:ilvl="3" w:tplc="040C0001" w:tentative="1">
      <w:start w:val="1"/>
      <w:numFmt w:val="bullet"/>
      <w:lvlText w:val=""/>
      <w:lvlJc w:val="left"/>
      <w:pPr>
        <w:ind w:left="4646" w:hanging="360"/>
      </w:pPr>
      <w:rPr>
        <w:rFonts w:ascii="Symbol" w:hAnsi="Symbol" w:hint="default"/>
      </w:rPr>
    </w:lvl>
    <w:lvl w:ilvl="4" w:tplc="040C0003" w:tentative="1">
      <w:start w:val="1"/>
      <w:numFmt w:val="bullet"/>
      <w:lvlText w:val="o"/>
      <w:lvlJc w:val="left"/>
      <w:pPr>
        <w:ind w:left="5366" w:hanging="360"/>
      </w:pPr>
      <w:rPr>
        <w:rFonts w:ascii="Courier New" w:hAnsi="Courier New" w:cs="Courier New" w:hint="default"/>
      </w:rPr>
    </w:lvl>
    <w:lvl w:ilvl="5" w:tplc="040C0005" w:tentative="1">
      <w:start w:val="1"/>
      <w:numFmt w:val="bullet"/>
      <w:lvlText w:val=""/>
      <w:lvlJc w:val="left"/>
      <w:pPr>
        <w:ind w:left="6086" w:hanging="360"/>
      </w:pPr>
      <w:rPr>
        <w:rFonts w:ascii="Wingdings" w:hAnsi="Wingdings" w:hint="default"/>
      </w:rPr>
    </w:lvl>
    <w:lvl w:ilvl="6" w:tplc="040C0001" w:tentative="1">
      <w:start w:val="1"/>
      <w:numFmt w:val="bullet"/>
      <w:lvlText w:val=""/>
      <w:lvlJc w:val="left"/>
      <w:pPr>
        <w:ind w:left="6806" w:hanging="360"/>
      </w:pPr>
      <w:rPr>
        <w:rFonts w:ascii="Symbol" w:hAnsi="Symbol" w:hint="default"/>
      </w:rPr>
    </w:lvl>
    <w:lvl w:ilvl="7" w:tplc="040C0003" w:tentative="1">
      <w:start w:val="1"/>
      <w:numFmt w:val="bullet"/>
      <w:lvlText w:val="o"/>
      <w:lvlJc w:val="left"/>
      <w:pPr>
        <w:ind w:left="7526" w:hanging="360"/>
      </w:pPr>
      <w:rPr>
        <w:rFonts w:ascii="Courier New" w:hAnsi="Courier New" w:cs="Courier New" w:hint="default"/>
      </w:rPr>
    </w:lvl>
    <w:lvl w:ilvl="8" w:tplc="040C0005" w:tentative="1">
      <w:start w:val="1"/>
      <w:numFmt w:val="bullet"/>
      <w:lvlText w:val=""/>
      <w:lvlJc w:val="left"/>
      <w:pPr>
        <w:ind w:left="8246" w:hanging="360"/>
      </w:pPr>
      <w:rPr>
        <w:rFonts w:ascii="Wingdings" w:hAnsi="Wingdings" w:hint="default"/>
      </w:rPr>
    </w:lvl>
  </w:abstractNum>
  <w:abstractNum w:abstractNumId="27" w15:restartNumberingAfterBreak="0">
    <w:nsid w:val="50121B74"/>
    <w:multiLevelType w:val="hybridMultilevel"/>
    <w:tmpl w:val="DDC431DC"/>
    <w:lvl w:ilvl="0" w:tplc="79DC6464">
      <w:start w:val="82"/>
      <w:numFmt w:val="bullet"/>
      <w:lvlText w:val="-"/>
      <w:lvlJc w:val="left"/>
      <w:pPr>
        <w:ind w:left="1776" w:hanging="360"/>
      </w:pPr>
      <w:rPr>
        <w:rFonts w:ascii="Arial" w:eastAsia="Times New Roman" w:hAnsi="Arial" w:cs="Arial" w:hint="default"/>
        <w:color w:val="333333"/>
        <w:lang w:val="en-GB"/>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8" w15:restartNumberingAfterBreak="0">
    <w:nsid w:val="50AC0F4B"/>
    <w:multiLevelType w:val="hybridMultilevel"/>
    <w:tmpl w:val="08B41AF4"/>
    <w:lvl w:ilvl="0" w:tplc="C02044D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6C74E3C"/>
    <w:multiLevelType w:val="hybridMultilevel"/>
    <w:tmpl w:val="C79404F6"/>
    <w:lvl w:ilvl="0" w:tplc="B41ACD7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12B82"/>
    <w:multiLevelType w:val="hybridMultilevel"/>
    <w:tmpl w:val="A6DCD492"/>
    <w:lvl w:ilvl="0" w:tplc="D874694A">
      <w:start w:val="8"/>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1" w15:restartNumberingAfterBreak="0">
    <w:nsid w:val="5FEB0ADE"/>
    <w:multiLevelType w:val="hybridMultilevel"/>
    <w:tmpl w:val="F87C6136"/>
    <w:lvl w:ilvl="0" w:tplc="04090017">
      <w:start w:val="1"/>
      <w:numFmt w:val="lowerLetter"/>
      <w:lvlText w:val="%1)"/>
      <w:lvlJc w:val="left"/>
      <w:pPr>
        <w:ind w:left="970" w:hanging="360"/>
      </w:pPr>
    </w:lvl>
    <w:lvl w:ilvl="1" w:tplc="04090019">
      <w:start w:val="1"/>
      <w:numFmt w:val="lowerLetter"/>
      <w:lvlText w:val="%2."/>
      <w:lvlJc w:val="left"/>
      <w:pPr>
        <w:ind w:left="1690" w:hanging="360"/>
      </w:pPr>
    </w:lvl>
    <w:lvl w:ilvl="2" w:tplc="0409001B">
      <w:start w:val="1"/>
      <w:numFmt w:val="lowerRoman"/>
      <w:lvlText w:val="%3."/>
      <w:lvlJc w:val="right"/>
      <w:pPr>
        <w:ind w:left="2410" w:hanging="180"/>
      </w:pPr>
    </w:lvl>
    <w:lvl w:ilvl="3" w:tplc="0409000F">
      <w:start w:val="1"/>
      <w:numFmt w:val="decimal"/>
      <w:lvlText w:val="%4."/>
      <w:lvlJc w:val="left"/>
      <w:pPr>
        <w:ind w:left="3130" w:hanging="360"/>
      </w:pPr>
    </w:lvl>
    <w:lvl w:ilvl="4" w:tplc="04090019">
      <w:start w:val="1"/>
      <w:numFmt w:val="lowerLetter"/>
      <w:lvlText w:val="%5."/>
      <w:lvlJc w:val="left"/>
      <w:pPr>
        <w:ind w:left="3850" w:hanging="360"/>
      </w:pPr>
    </w:lvl>
    <w:lvl w:ilvl="5" w:tplc="0409001B">
      <w:start w:val="1"/>
      <w:numFmt w:val="lowerRoman"/>
      <w:lvlText w:val="%6."/>
      <w:lvlJc w:val="right"/>
      <w:pPr>
        <w:ind w:left="4570" w:hanging="180"/>
      </w:pPr>
    </w:lvl>
    <w:lvl w:ilvl="6" w:tplc="0409000F">
      <w:start w:val="1"/>
      <w:numFmt w:val="decimal"/>
      <w:lvlText w:val="%7."/>
      <w:lvlJc w:val="left"/>
      <w:pPr>
        <w:ind w:left="5290" w:hanging="360"/>
      </w:pPr>
    </w:lvl>
    <w:lvl w:ilvl="7" w:tplc="04090019">
      <w:start w:val="1"/>
      <w:numFmt w:val="lowerLetter"/>
      <w:lvlText w:val="%8."/>
      <w:lvlJc w:val="left"/>
      <w:pPr>
        <w:ind w:left="6010" w:hanging="360"/>
      </w:pPr>
    </w:lvl>
    <w:lvl w:ilvl="8" w:tplc="0409001B">
      <w:start w:val="1"/>
      <w:numFmt w:val="lowerRoman"/>
      <w:lvlText w:val="%9."/>
      <w:lvlJc w:val="right"/>
      <w:pPr>
        <w:ind w:left="6730" w:hanging="180"/>
      </w:pPr>
    </w:lvl>
  </w:abstractNum>
  <w:abstractNum w:abstractNumId="32" w15:restartNumberingAfterBreak="0">
    <w:nsid w:val="60CB0A57"/>
    <w:multiLevelType w:val="hybridMultilevel"/>
    <w:tmpl w:val="E38022E2"/>
    <w:lvl w:ilvl="0" w:tplc="3238018E">
      <w:start w:val="3"/>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58D2B05"/>
    <w:multiLevelType w:val="hybridMultilevel"/>
    <w:tmpl w:val="6810AC84"/>
    <w:lvl w:ilvl="0" w:tplc="CB482FE8">
      <w:start w:val="1"/>
      <w:numFmt w:val="low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B695BA8"/>
    <w:multiLevelType w:val="hybridMultilevel"/>
    <w:tmpl w:val="C59C6DD8"/>
    <w:lvl w:ilvl="0" w:tplc="D3866FFE">
      <w:start w:val="2"/>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5" w15:restartNumberingAfterBreak="0">
    <w:nsid w:val="6BFD1C73"/>
    <w:multiLevelType w:val="hybridMultilevel"/>
    <w:tmpl w:val="03D68F4C"/>
    <w:lvl w:ilvl="0" w:tplc="D5409D7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982348"/>
    <w:multiLevelType w:val="hybridMultilevel"/>
    <w:tmpl w:val="41A00930"/>
    <w:lvl w:ilvl="0" w:tplc="7CF43414">
      <w:start w:val="2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20B5690"/>
    <w:multiLevelType w:val="hybridMultilevel"/>
    <w:tmpl w:val="4C0AA0F0"/>
    <w:lvl w:ilvl="0" w:tplc="BE7658DC">
      <w:start w:val="2"/>
      <w:numFmt w:val="decimal"/>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38" w15:restartNumberingAfterBreak="0">
    <w:nsid w:val="72730853"/>
    <w:multiLevelType w:val="hybridMultilevel"/>
    <w:tmpl w:val="3B660848"/>
    <w:lvl w:ilvl="0" w:tplc="040C000F">
      <w:start w:val="1"/>
      <w:numFmt w:val="decimal"/>
      <w:lvlText w:val="%1."/>
      <w:lvlJc w:val="left"/>
      <w:pPr>
        <w:ind w:left="1353"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69A502F"/>
    <w:multiLevelType w:val="hybridMultilevel"/>
    <w:tmpl w:val="89D427AE"/>
    <w:lvl w:ilvl="0" w:tplc="040C0019">
      <w:start w:val="1"/>
      <w:numFmt w:val="lowerLetter"/>
      <w:lvlText w:val="%1."/>
      <w:lvlJc w:val="left"/>
      <w:pPr>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AEF0368"/>
    <w:multiLevelType w:val="multilevel"/>
    <w:tmpl w:val="2AAA2D9E"/>
    <w:lvl w:ilvl="0">
      <w:start w:val="1"/>
      <w:numFmt w:val="decimal"/>
      <w:lvlText w:val="%1."/>
      <w:lvlJc w:val="left"/>
      <w:pPr>
        <w:ind w:left="108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7B832161"/>
    <w:multiLevelType w:val="hybridMultilevel"/>
    <w:tmpl w:val="7DF0F6F6"/>
    <w:lvl w:ilvl="0" w:tplc="040C000F">
      <w:start w:val="1"/>
      <w:numFmt w:val="decimal"/>
      <w:lvlText w:val="%1."/>
      <w:lvlJc w:val="left"/>
      <w:pPr>
        <w:ind w:left="1352" w:hanging="360"/>
      </w:pPr>
    </w:lvl>
    <w:lvl w:ilvl="1" w:tplc="040C0019">
      <w:start w:val="1"/>
      <w:numFmt w:val="lowerLetter"/>
      <w:lvlText w:val="%2."/>
      <w:lvlJc w:val="left"/>
      <w:pPr>
        <w:ind w:left="1440" w:hanging="360"/>
      </w:pPr>
    </w:lvl>
    <w:lvl w:ilvl="2" w:tplc="79DC6464">
      <w:start w:val="82"/>
      <w:numFmt w:val="bullet"/>
      <w:lvlText w:val="-"/>
      <w:lvlJc w:val="left"/>
      <w:pPr>
        <w:ind w:left="2340" w:hanging="360"/>
      </w:pPr>
      <w:rPr>
        <w:rFonts w:ascii="Arial" w:eastAsia="Times New Roman" w:hAnsi="Arial" w:cs="Arial" w:hint="default"/>
        <w:color w:val="333333"/>
        <w:lang w:val="en-G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26"/>
  </w:num>
  <w:num w:numId="3">
    <w:abstractNumId w:val="2"/>
  </w:num>
  <w:num w:numId="4">
    <w:abstractNumId w:val="38"/>
  </w:num>
  <w:num w:numId="5">
    <w:abstractNumId w:val="39"/>
  </w:num>
  <w:num w:numId="6">
    <w:abstractNumId w:val="32"/>
  </w:num>
  <w:num w:numId="7">
    <w:abstractNumId w:val="8"/>
  </w:num>
  <w:num w:numId="8">
    <w:abstractNumId w:val="27"/>
  </w:num>
  <w:num w:numId="9">
    <w:abstractNumId w:val="41"/>
  </w:num>
  <w:num w:numId="10">
    <w:abstractNumId w:val="10"/>
  </w:num>
  <w:num w:numId="11">
    <w:abstractNumId w:val="24"/>
  </w:num>
  <w:num w:numId="12">
    <w:abstractNumId w:val="23"/>
  </w:num>
  <w:num w:numId="13">
    <w:abstractNumId w:val="4"/>
  </w:num>
  <w:num w:numId="14">
    <w:abstractNumId w:val="18"/>
  </w:num>
  <w:num w:numId="15">
    <w:abstractNumId w:val="5"/>
  </w:num>
  <w:num w:numId="16">
    <w:abstractNumId w:val="11"/>
  </w:num>
  <w:num w:numId="17">
    <w:abstractNumId w:val="40"/>
  </w:num>
  <w:num w:numId="18">
    <w:abstractNumId w:val="12"/>
  </w:num>
  <w:num w:numId="19">
    <w:abstractNumId w:val="9"/>
  </w:num>
  <w:num w:numId="20">
    <w:abstractNumId w:val="7"/>
  </w:num>
  <w:num w:numId="21">
    <w:abstractNumId w:val="22"/>
  </w:num>
  <w:num w:numId="22">
    <w:abstractNumId w:val="15"/>
  </w:num>
  <w:num w:numId="23">
    <w:abstractNumId w:val="3"/>
  </w:num>
  <w:num w:numId="24">
    <w:abstractNumId w:val="14"/>
  </w:num>
  <w:num w:numId="25">
    <w:abstractNumId w:val="33"/>
  </w:num>
  <w:num w:numId="26">
    <w:abstractNumId w:val="36"/>
  </w:num>
  <w:num w:numId="27">
    <w:abstractNumId w:val="25"/>
  </w:num>
  <w:num w:numId="28">
    <w:abstractNumId w:val="28"/>
  </w:num>
  <w:num w:numId="29">
    <w:abstractNumId w:val="1"/>
  </w:num>
  <w:num w:numId="30">
    <w:abstractNumId w:val="6"/>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1"/>
  </w:num>
  <w:num w:numId="34">
    <w:abstractNumId w:val="13"/>
  </w:num>
  <w:num w:numId="35">
    <w:abstractNumId w:val="37"/>
  </w:num>
  <w:num w:numId="36">
    <w:abstractNumId w:val="21"/>
  </w:num>
  <w:num w:numId="37">
    <w:abstractNumId w:val="20"/>
  </w:num>
  <w:num w:numId="38">
    <w:abstractNumId w:val="34"/>
  </w:num>
  <w:num w:numId="39">
    <w:abstractNumId w:val="17"/>
  </w:num>
  <w:num w:numId="40">
    <w:abstractNumId w:val="30"/>
  </w:num>
  <w:num w:numId="41">
    <w:abstractNumId w:val="19"/>
  </w:num>
  <w:num w:numId="42">
    <w:abstractNumId w:val="35"/>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C51E6"/>
    <w:rsid w:val="00001567"/>
    <w:rsid w:val="000B3090"/>
    <w:rsid w:val="000C68FA"/>
    <w:rsid w:val="00120775"/>
    <w:rsid w:val="0014066A"/>
    <w:rsid w:val="00162A94"/>
    <w:rsid w:val="001849A7"/>
    <w:rsid w:val="002218C4"/>
    <w:rsid w:val="00231154"/>
    <w:rsid w:val="00246971"/>
    <w:rsid w:val="002710F7"/>
    <w:rsid w:val="00272644"/>
    <w:rsid w:val="00276E8F"/>
    <w:rsid w:val="002A7DB2"/>
    <w:rsid w:val="0031279F"/>
    <w:rsid w:val="00374463"/>
    <w:rsid w:val="00381ED7"/>
    <w:rsid w:val="00395C22"/>
    <w:rsid w:val="0039784D"/>
    <w:rsid w:val="003C6F63"/>
    <w:rsid w:val="003C6FA7"/>
    <w:rsid w:val="003D1F96"/>
    <w:rsid w:val="003D3897"/>
    <w:rsid w:val="004627D6"/>
    <w:rsid w:val="00467C92"/>
    <w:rsid w:val="005071C2"/>
    <w:rsid w:val="005469D8"/>
    <w:rsid w:val="005649E9"/>
    <w:rsid w:val="0060118B"/>
    <w:rsid w:val="00616F99"/>
    <w:rsid w:val="00645E47"/>
    <w:rsid w:val="00647FD8"/>
    <w:rsid w:val="00695BFE"/>
    <w:rsid w:val="006F3049"/>
    <w:rsid w:val="00775C45"/>
    <w:rsid w:val="007F0EE5"/>
    <w:rsid w:val="00844969"/>
    <w:rsid w:val="008732C8"/>
    <w:rsid w:val="00882D42"/>
    <w:rsid w:val="008E32C6"/>
    <w:rsid w:val="00973103"/>
    <w:rsid w:val="00A06CD7"/>
    <w:rsid w:val="00AB7464"/>
    <w:rsid w:val="00AF7C7C"/>
    <w:rsid w:val="00B9041E"/>
    <w:rsid w:val="00BC6474"/>
    <w:rsid w:val="00BD4F5D"/>
    <w:rsid w:val="00BF04E5"/>
    <w:rsid w:val="00C12C1F"/>
    <w:rsid w:val="00C2630F"/>
    <w:rsid w:val="00C95E47"/>
    <w:rsid w:val="00CA2EAF"/>
    <w:rsid w:val="00CC6667"/>
    <w:rsid w:val="00CD6799"/>
    <w:rsid w:val="00D711C8"/>
    <w:rsid w:val="00DC12ED"/>
    <w:rsid w:val="00DC51E6"/>
    <w:rsid w:val="00E164D9"/>
    <w:rsid w:val="00E6088C"/>
    <w:rsid w:val="00E76CAC"/>
    <w:rsid w:val="00E84A3F"/>
    <w:rsid w:val="00E85EC4"/>
    <w:rsid w:val="00F01217"/>
    <w:rsid w:val="00F16AC1"/>
    <w:rsid w:val="00F6124B"/>
    <w:rsid w:val="00F756AE"/>
    <w:rsid w:val="00F876C2"/>
    <w:rsid w:val="00FC23C1"/>
    <w:rsid w:val="00FF49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EC44CAD"/>
  <w15:chartTrackingRefBased/>
  <w15:docId w15:val="{99DD2CD3-3267-4329-B53A-2C8F35E6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98" w:unhideWhenUsed="1"/>
    <w:lsdException w:name="header" w:semiHidden="1" w:unhideWhenUsed="1"/>
    <w:lsdException w:name="footer" w:semiHidden="1" w:uiPriority="4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8"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1E6"/>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DC51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DC51E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DC51E6"/>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semiHidden/>
    <w:unhideWhenUsed/>
    <w:qFormat/>
    <w:rsid w:val="00DC51E6"/>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val="en-GB" w:eastAsia="en-GB"/>
    </w:rPr>
  </w:style>
  <w:style w:type="paragraph" w:styleId="Titre5">
    <w:name w:val="heading 5"/>
    <w:basedOn w:val="Normal"/>
    <w:next w:val="Normal"/>
    <w:link w:val="Titre5Car"/>
    <w:uiPriority w:val="9"/>
    <w:semiHidden/>
    <w:unhideWhenUsed/>
    <w:qFormat/>
    <w:rsid w:val="00DC51E6"/>
    <w:pPr>
      <w:keepNext/>
      <w:keepLines/>
      <w:spacing w:before="40" w:line="276" w:lineRule="auto"/>
      <w:outlineLvl w:val="4"/>
    </w:pPr>
    <w:rPr>
      <w:rFonts w:asciiTheme="majorHAnsi" w:eastAsiaTheme="majorEastAsia" w:hAnsiTheme="majorHAnsi" w:cstheme="majorBidi"/>
      <w:color w:val="365F91" w:themeColor="accent1" w:themeShade="BF"/>
      <w:sz w:val="22"/>
      <w:szCs w:val="22"/>
      <w:lang w:val="en-GB" w:eastAsia="en-GB"/>
    </w:rPr>
  </w:style>
  <w:style w:type="paragraph" w:styleId="Titre6">
    <w:name w:val="heading 6"/>
    <w:basedOn w:val="Normal"/>
    <w:next w:val="Normal"/>
    <w:link w:val="Titre6Car"/>
    <w:uiPriority w:val="9"/>
    <w:semiHidden/>
    <w:unhideWhenUsed/>
    <w:qFormat/>
    <w:rsid w:val="00DC51E6"/>
    <w:pPr>
      <w:keepNext/>
      <w:keepLines/>
      <w:spacing w:before="40" w:line="276" w:lineRule="auto"/>
      <w:outlineLvl w:val="5"/>
    </w:pPr>
    <w:rPr>
      <w:rFonts w:asciiTheme="majorHAnsi" w:eastAsiaTheme="majorEastAsia" w:hAnsiTheme="majorHAnsi" w:cstheme="majorBidi"/>
      <w:color w:val="243F60" w:themeColor="accent1" w:themeShade="7F"/>
      <w:sz w:val="22"/>
      <w:szCs w:val="22"/>
      <w:lang w:val="en-GB" w:eastAsia="en-GB"/>
    </w:rPr>
  </w:style>
  <w:style w:type="paragraph" w:styleId="Titre7">
    <w:name w:val="heading 7"/>
    <w:basedOn w:val="Normal"/>
    <w:next w:val="Normal"/>
    <w:link w:val="Titre7Car"/>
    <w:uiPriority w:val="9"/>
    <w:semiHidden/>
    <w:unhideWhenUsed/>
    <w:qFormat/>
    <w:rsid w:val="00DC51E6"/>
    <w:pPr>
      <w:keepNext/>
      <w:keepLines/>
      <w:spacing w:before="40" w:line="276" w:lineRule="auto"/>
      <w:outlineLvl w:val="6"/>
    </w:pPr>
    <w:rPr>
      <w:rFonts w:asciiTheme="majorHAnsi" w:eastAsiaTheme="majorEastAsia" w:hAnsiTheme="majorHAnsi" w:cstheme="majorBidi"/>
      <w:i/>
      <w:iCs/>
      <w:color w:val="243F60" w:themeColor="accent1" w:themeShade="7F"/>
      <w:sz w:val="22"/>
      <w:szCs w:val="22"/>
      <w:lang w:val="en-GB" w:eastAsia="en-GB"/>
    </w:rPr>
  </w:style>
  <w:style w:type="paragraph" w:styleId="Titre8">
    <w:name w:val="heading 8"/>
    <w:basedOn w:val="Normal"/>
    <w:next w:val="Normal"/>
    <w:link w:val="Titre8Car"/>
    <w:uiPriority w:val="9"/>
    <w:semiHidden/>
    <w:unhideWhenUsed/>
    <w:qFormat/>
    <w:rsid w:val="00DC51E6"/>
    <w:pPr>
      <w:keepNext/>
      <w:keepLines/>
      <w:spacing w:before="40" w:line="276" w:lineRule="auto"/>
      <w:outlineLvl w:val="7"/>
    </w:pPr>
    <w:rPr>
      <w:rFonts w:asciiTheme="majorHAnsi" w:eastAsiaTheme="majorEastAsia" w:hAnsiTheme="majorHAnsi" w:cstheme="majorBidi"/>
      <w:color w:val="272727" w:themeColor="text1" w:themeTint="D8"/>
      <w:sz w:val="21"/>
      <w:szCs w:val="21"/>
      <w:lang w:val="en-GB" w:eastAsia="en-GB"/>
    </w:rPr>
  </w:style>
  <w:style w:type="paragraph" w:styleId="Titre9">
    <w:name w:val="heading 9"/>
    <w:basedOn w:val="Normal"/>
    <w:next w:val="Normal"/>
    <w:link w:val="Titre9Car"/>
    <w:uiPriority w:val="9"/>
    <w:semiHidden/>
    <w:unhideWhenUsed/>
    <w:qFormat/>
    <w:rsid w:val="00DC51E6"/>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51E6"/>
    <w:rPr>
      <w:rFonts w:asciiTheme="majorHAnsi" w:eastAsiaTheme="majorEastAsia" w:hAnsiTheme="majorHAnsi" w:cstheme="majorBidi"/>
      <w:color w:val="365F91" w:themeColor="accent1" w:themeShade="BF"/>
      <w:sz w:val="32"/>
      <w:szCs w:val="32"/>
      <w:lang w:val="fr-FR" w:eastAsia="fr-FR"/>
    </w:rPr>
  </w:style>
  <w:style w:type="character" w:customStyle="1" w:styleId="Titre2Car">
    <w:name w:val="Titre 2 Car"/>
    <w:basedOn w:val="Policepardfaut"/>
    <w:link w:val="Titre2"/>
    <w:uiPriority w:val="9"/>
    <w:rsid w:val="00DC51E6"/>
    <w:rPr>
      <w:rFonts w:asciiTheme="majorHAnsi" w:eastAsiaTheme="majorEastAsia" w:hAnsiTheme="majorHAnsi" w:cstheme="majorBidi"/>
      <w:color w:val="365F91" w:themeColor="accent1" w:themeShade="BF"/>
      <w:sz w:val="26"/>
      <w:szCs w:val="26"/>
      <w:lang w:val="fr-FR" w:eastAsia="fr-FR"/>
    </w:rPr>
  </w:style>
  <w:style w:type="character" w:customStyle="1" w:styleId="Titre3Car">
    <w:name w:val="Titre 3 Car"/>
    <w:basedOn w:val="Policepardfaut"/>
    <w:link w:val="Titre3"/>
    <w:uiPriority w:val="9"/>
    <w:rsid w:val="00DC51E6"/>
    <w:rPr>
      <w:rFonts w:asciiTheme="majorHAnsi" w:eastAsiaTheme="majorEastAsia" w:hAnsiTheme="majorHAnsi" w:cstheme="majorBidi"/>
      <w:color w:val="243F60" w:themeColor="accent1" w:themeShade="7F"/>
      <w:sz w:val="24"/>
      <w:szCs w:val="24"/>
      <w:lang w:val="fr-FR" w:eastAsia="fr-FR"/>
    </w:rPr>
  </w:style>
  <w:style w:type="character" w:customStyle="1" w:styleId="Titre4Car">
    <w:name w:val="Titre 4 Car"/>
    <w:basedOn w:val="Policepardfaut"/>
    <w:link w:val="Titre4"/>
    <w:uiPriority w:val="9"/>
    <w:semiHidden/>
    <w:rsid w:val="00DC51E6"/>
    <w:rPr>
      <w:rFonts w:asciiTheme="majorHAnsi" w:eastAsiaTheme="majorEastAsia" w:hAnsiTheme="majorHAnsi" w:cstheme="majorBidi"/>
      <w:i/>
      <w:iCs/>
      <w:color w:val="365F91" w:themeColor="accent1" w:themeShade="BF"/>
      <w:lang w:val="en-GB" w:eastAsia="en-GB"/>
    </w:rPr>
  </w:style>
  <w:style w:type="character" w:customStyle="1" w:styleId="Titre5Car">
    <w:name w:val="Titre 5 Car"/>
    <w:basedOn w:val="Policepardfaut"/>
    <w:link w:val="Titre5"/>
    <w:uiPriority w:val="9"/>
    <w:semiHidden/>
    <w:rsid w:val="00DC51E6"/>
    <w:rPr>
      <w:rFonts w:asciiTheme="majorHAnsi" w:eastAsiaTheme="majorEastAsia" w:hAnsiTheme="majorHAnsi" w:cstheme="majorBidi"/>
      <w:color w:val="365F91" w:themeColor="accent1" w:themeShade="BF"/>
      <w:lang w:val="en-GB" w:eastAsia="en-GB"/>
    </w:rPr>
  </w:style>
  <w:style w:type="character" w:customStyle="1" w:styleId="Titre6Car">
    <w:name w:val="Titre 6 Car"/>
    <w:basedOn w:val="Policepardfaut"/>
    <w:link w:val="Titre6"/>
    <w:uiPriority w:val="9"/>
    <w:semiHidden/>
    <w:rsid w:val="00DC51E6"/>
    <w:rPr>
      <w:rFonts w:asciiTheme="majorHAnsi" w:eastAsiaTheme="majorEastAsia" w:hAnsiTheme="majorHAnsi" w:cstheme="majorBidi"/>
      <w:color w:val="243F60" w:themeColor="accent1" w:themeShade="7F"/>
      <w:lang w:val="en-GB" w:eastAsia="en-GB"/>
    </w:rPr>
  </w:style>
  <w:style w:type="character" w:customStyle="1" w:styleId="Titre7Car">
    <w:name w:val="Titre 7 Car"/>
    <w:basedOn w:val="Policepardfaut"/>
    <w:link w:val="Titre7"/>
    <w:uiPriority w:val="9"/>
    <w:semiHidden/>
    <w:rsid w:val="00DC51E6"/>
    <w:rPr>
      <w:rFonts w:asciiTheme="majorHAnsi" w:eastAsiaTheme="majorEastAsia" w:hAnsiTheme="majorHAnsi" w:cstheme="majorBidi"/>
      <w:i/>
      <w:iCs/>
      <w:color w:val="243F60" w:themeColor="accent1" w:themeShade="7F"/>
      <w:lang w:val="en-GB" w:eastAsia="en-GB"/>
    </w:rPr>
  </w:style>
  <w:style w:type="character" w:customStyle="1" w:styleId="Titre8Car">
    <w:name w:val="Titre 8 Car"/>
    <w:basedOn w:val="Policepardfaut"/>
    <w:link w:val="Titre8"/>
    <w:uiPriority w:val="9"/>
    <w:semiHidden/>
    <w:rsid w:val="00DC51E6"/>
    <w:rPr>
      <w:rFonts w:asciiTheme="majorHAnsi" w:eastAsiaTheme="majorEastAsia" w:hAnsiTheme="majorHAnsi" w:cstheme="majorBidi"/>
      <w:color w:val="272727" w:themeColor="text1" w:themeTint="D8"/>
      <w:sz w:val="21"/>
      <w:szCs w:val="21"/>
      <w:lang w:val="en-GB" w:eastAsia="en-GB"/>
    </w:rPr>
  </w:style>
  <w:style w:type="character" w:customStyle="1" w:styleId="Titre9Car">
    <w:name w:val="Titre 9 Car"/>
    <w:basedOn w:val="Policepardfaut"/>
    <w:link w:val="Titre9"/>
    <w:uiPriority w:val="9"/>
    <w:semiHidden/>
    <w:rsid w:val="00DC51E6"/>
    <w:rPr>
      <w:rFonts w:asciiTheme="majorHAnsi" w:eastAsiaTheme="majorEastAsia" w:hAnsiTheme="majorHAnsi" w:cstheme="majorBidi"/>
      <w:i/>
      <w:iCs/>
      <w:color w:val="272727" w:themeColor="text1" w:themeTint="D8"/>
      <w:sz w:val="21"/>
      <w:szCs w:val="21"/>
      <w:lang w:val="en-GB" w:eastAsia="en-GB"/>
    </w:rPr>
  </w:style>
  <w:style w:type="paragraph" w:styleId="Pieddepage">
    <w:name w:val="footer"/>
    <w:basedOn w:val="Normal"/>
    <w:link w:val="PieddepageCar"/>
    <w:uiPriority w:val="49"/>
    <w:rsid w:val="00DC51E6"/>
    <w:pPr>
      <w:tabs>
        <w:tab w:val="center" w:pos="4320"/>
        <w:tab w:val="right" w:pos="8640"/>
      </w:tabs>
    </w:pPr>
  </w:style>
  <w:style w:type="character" w:customStyle="1" w:styleId="PieddepageCar">
    <w:name w:val="Pied de page Car"/>
    <w:basedOn w:val="Policepardfaut"/>
    <w:link w:val="Pieddepage"/>
    <w:uiPriority w:val="49"/>
    <w:rsid w:val="00DC51E6"/>
    <w:rPr>
      <w:rFonts w:ascii="Times New Roman" w:eastAsia="Times New Roman" w:hAnsi="Times New Roman" w:cs="Times New Roman"/>
      <w:sz w:val="24"/>
      <w:szCs w:val="24"/>
      <w:lang w:val="fr-FR" w:eastAsia="fr-FR"/>
    </w:rPr>
  </w:style>
  <w:style w:type="character" w:styleId="Lienhypertexte">
    <w:name w:val="Hyperlink"/>
    <w:uiPriority w:val="99"/>
    <w:rsid w:val="00DC51E6"/>
    <w:rPr>
      <w:color w:val="0000FF"/>
      <w:u w:val="single"/>
    </w:rPr>
  </w:style>
  <w:style w:type="table" w:styleId="Grilledutableau">
    <w:name w:val="Table Grid"/>
    <w:basedOn w:val="TableauNormal"/>
    <w:uiPriority w:val="59"/>
    <w:rsid w:val="00DC51E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C51E6"/>
    <w:pPr>
      <w:spacing w:before="100" w:beforeAutospacing="1" w:after="100" w:afterAutospacing="1"/>
    </w:pPr>
    <w:rPr>
      <w:rFonts w:ascii="Verdana" w:hAnsi="Verdana"/>
      <w:color w:val="000000"/>
      <w:sz w:val="29"/>
      <w:szCs w:val="29"/>
      <w:lang w:val="en-US" w:eastAsia="en-US"/>
    </w:rPr>
  </w:style>
  <w:style w:type="paragraph" w:styleId="Paragraphedeliste">
    <w:name w:val="List Paragraph"/>
    <w:aliases w:val="MAIN CONTENT,List Paragraph12,Colorful List - Accent 11,List Paragraph2,Normal numbered,List Paragraph11,OBC Bullet,F5 List Paragraph,List Paragraph1,Dot pt,List Paragraph Char Char Char,Indicator Text,Numbered Para 1,Bullet 1"/>
    <w:basedOn w:val="Normal"/>
    <w:link w:val="ParagraphedelisteCar"/>
    <w:uiPriority w:val="34"/>
    <w:qFormat/>
    <w:rsid w:val="00DC51E6"/>
    <w:pPr>
      <w:spacing w:after="200" w:line="276" w:lineRule="auto"/>
      <w:ind w:left="720"/>
      <w:contextualSpacing/>
    </w:pPr>
    <w:rPr>
      <w:rFonts w:ascii="Calibri" w:hAnsi="Calibri"/>
      <w:sz w:val="22"/>
      <w:szCs w:val="22"/>
      <w:lang w:val="en-GB" w:eastAsia="en-US"/>
    </w:rPr>
  </w:style>
  <w:style w:type="character" w:customStyle="1" w:styleId="ParagraphedelisteCar">
    <w:name w:val="Paragraphe de liste Car"/>
    <w:aliases w:val="MAIN CONTENT Car,List Paragraph12 Car,Colorful List - Accent 11 Car,List Paragraph2 Car,Normal numbered Car,List Paragraph11 Car,OBC Bullet Car,F5 List Paragraph Car,List Paragraph1 Car,Dot pt Car,Indicator Text Car,Bullet 1 Car"/>
    <w:link w:val="Paragraphedeliste"/>
    <w:uiPriority w:val="34"/>
    <w:qFormat/>
    <w:rsid w:val="00DC51E6"/>
    <w:rPr>
      <w:rFonts w:ascii="Calibri" w:eastAsia="Times New Roman" w:hAnsi="Calibri" w:cs="Times New Roman"/>
      <w:lang w:val="en-GB"/>
    </w:rPr>
  </w:style>
  <w:style w:type="paragraph" w:styleId="Textebrut">
    <w:name w:val="Plain Text"/>
    <w:basedOn w:val="Normal"/>
    <w:link w:val="TextebrutCar"/>
    <w:uiPriority w:val="99"/>
    <w:unhideWhenUsed/>
    <w:rsid w:val="00DC51E6"/>
    <w:rPr>
      <w:rFonts w:ascii="MS Gothic" w:eastAsia="MS Gothic" w:hAnsi="MS Gothic"/>
      <w:sz w:val="20"/>
      <w:szCs w:val="20"/>
    </w:rPr>
  </w:style>
  <w:style w:type="character" w:customStyle="1" w:styleId="TextebrutCar">
    <w:name w:val="Texte brut Car"/>
    <w:basedOn w:val="Policepardfaut"/>
    <w:link w:val="Textebrut"/>
    <w:uiPriority w:val="99"/>
    <w:rsid w:val="00DC51E6"/>
    <w:rPr>
      <w:rFonts w:ascii="MS Gothic" w:eastAsia="MS Gothic" w:hAnsi="MS Gothic" w:cs="Times New Roman"/>
      <w:sz w:val="20"/>
      <w:szCs w:val="20"/>
      <w:lang w:val="fr-FR" w:eastAsia="fr-FR"/>
    </w:rPr>
  </w:style>
  <w:style w:type="paragraph" w:customStyle="1" w:styleId="Abstract">
    <w:name w:val="Abstract"/>
    <w:rsid w:val="00DC51E6"/>
    <w:pPr>
      <w:keepNext/>
      <w:keepLines/>
      <w:widowControl w:val="0"/>
      <w:tabs>
        <w:tab w:val="left" w:pos="-720"/>
      </w:tabs>
      <w:suppressAutoHyphens/>
      <w:spacing w:after="0" w:line="240" w:lineRule="auto"/>
      <w:jc w:val="center"/>
    </w:pPr>
    <w:rPr>
      <w:rFonts w:ascii="Times Roman" w:eastAsia="Times New Roman" w:hAnsi="Times Roman" w:cs="Times New Roman"/>
      <w:snapToGrid w:val="0"/>
      <w:sz w:val="24"/>
      <w:szCs w:val="20"/>
      <w:lang w:val="fr-FR"/>
    </w:rPr>
  </w:style>
  <w:style w:type="paragraph" w:styleId="Sansinterligne">
    <w:name w:val="No Spacing"/>
    <w:uiPriority w:val="1"/>
    <w:qFormat/>
    <w:rsid w:val="00DC51E6"/>
    <w:pPr>
      <w:spacing w:after="0" w:line="240" w:lineRule="auto"/>
    </w:pPr>
    <w:rPr>
      <w:rFonts w:ascii="Times New Roman" w:eastAsia="Times New Roman" w:hAnsi="Times New Roman" w:cs="Times New Roman"/>
      <w:sz w:val="24"/>
      <w:szCs w:val="24"/>
      <w:lang w:val="fr-FR" w:eastAsia="fr-FR"/>
    </w:rPr>
  </w:style>
  <w:style w:type="character" w:styleId="Accentuation">
    <w:name w:val="Emphasis"/>
    <w:uiPriority w:val="20"/>
    <w:qFormat/>
    <w:rsid w:val="00DC51E6"/>
    <w:rPr>
      <w:i/>
      <w:iCs/>
    </w:rPr>
  </w:style>
  <w:style w:type="paragraph" w:customStyle="1" w:styleId="Default">
    <w:name w:val="Default"/>
    <w:qFormat/>
    <w:rsid w:val="00DC51E6"/>
    <w:pPr>
      <w:autoSpaceDE w:val="0"/>
      <w:autoSpaceDN w:val="0"/>
      <w:adjustRightInd w:val="0"/>
      <w:spacing w:after="0" w:line="240" w:lineRule="auto"/>
    </w:pPr>
    <w:rPr>
      <w:rFonts w:ascii="Arial" w:hAnsi="Arial" w:cs="Arial"/>
      <w:color w:val="000000"/>
      <w:sz w:val="24"/>
      <w:szCs w:val="24"/>
      <w:lang w:val="fr-FR"/>
    </w:rPr>
  </w:style>
  <w:style w:type="paragraph" w:styleId="Textedebulles">
    <w:name w:val="Balloon Text"/>
    <w:basedOn w:val="Normal"/>
    <w:link w:val="TextedebullesCar"/>
    <w:uiPriority w:val="99"/>
    <w:semiHidden/>
    <w:unhideWhenUsed/>
    <w:rsid w:val="00DC51E6"/>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51E6"/>
    <w:rPr>
      <w:rFonts w:ascii="Segoe UI" w:eastAsia="Times New Roman" w:hAnsi="Segoe UI" w:cs="Segoe UI"/>
      <w:sz w:val="18"/>
      <w:szCs w:val="18"/>
      <w:lang w:val="fr-FR" w:eastAsia="fr-FR"/>
    </w:rPr>
  </w:style>
  <w:style w:type="character" w:styleId="Appelnotedebasdep">
    <w:name w:val="footnote reference"/>
    <w:aliases w:val="callout,Footnotes refss,Fußnotenzeichen_Raxen Car,SUPERS Car,Footnote symbol Car,Times 10 Point Car,Exposant 3 Point Car,En-tête Car Char Char Car,callout Car,Footnotes refss Car,callout Char Char Char Char Char,callout Char,4_G"/>
    <w:basedOn w:val="Policepardfaut"/>
    <w:link w:val="calloutCharCharCharChar"/>
    <w:uiPriority w:val="99"/>
    <w:unhideWhenUsed/>
    <w:qFormat/>
    <w:rsid w:val="00DC51E6"/>
    <w:rPr>
      <w:vertAlign w:val="superscript"/>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
    <w:link w:val="Appelnotedebasdep"/>
    <w:uiPriority w:val="99"/>
    <w:rsid w:val="00DC51E6"/>
    <w:pPr>
      <w:spacing w:after="160" w:line="240" w:lineRule="exact"/>
    </w:pPr>
    <w:rPr>
      <w:rFonts w:asciiTheme="minorHAnsi" w:eastAsiaTheme="minorHAnsi" w:hAnsiTheme="minorHAnsi" w:cstheme="minorBidi"/>
      <w:sz w:val="22"/>
      <w:szCs w:val="22"/>
      <w:vertAlign w:val="superscript"/>
      <w:lang w:val="en-US" w:eastAsia="en-US"/>
    </w:rPr>
  </w:style>
  <w:style w:type="paragraph" w:customStyle="1" w:styleId="cmnormal">
    <w:name w:val="cm_normal"/>
    <w:basedOn w:val="Normal"/>
    <w:qFormat/>
    <w:rsid w:val="00DC51E6"/>
    <w:pPr>
      <w:spacing w:before="100" w:beforeAutospacing="1" w:after="100" w:afterAutospacing="1"/>
    </w:pPr>
  </w:style>
  <w:style w:type="paragraph" w:styleId="Notedebasdepage">
    <w:name w:val="footnote text"/>
    <w:aliases w:val="Footnote Text Char Char,Footnote Text Char1 Char Char,Footnote Text Char Char Char Char,Footnote Text Char Char1,Footnote Text Char1 Char,Footnote Text Char Char Char,Footnote,n,footnotes,SUPERS,ftx,Char,C,f,5,poznppMV"/>
    <w:basedOn w:val="Normal"/>
    <w:link w:val="NotedebasdepageCar"/>
    <w:unhideWhenUsed/>
    <w:qFormat/>
    <w:rsid w:val="00DC51E6"/>
    <w:rPr>
      <w:sz w:val="20"/>
      <w:szCs w:val="20"/>
    </w:rPr>
  </w:style>
  <w:style w:type="character" w:customStyle="1" w:styleId="NotedebasdepageCar">
    <w:name w:val="Note de bas de page Car"/>
    <w:aliases w:val="Footnote Text Char Char Car,Footnote Text Char1 Char Char Car,Footnote Text Char Char Char Char Car,Footnote Text Char Char1 Car,Footnote Text Char1 Char Car,Footnote Text Char Char Char Car,Footnote Car,n Car,footnotes Car,C Car"/>
    <w:basedOn w:val="Policepardfaut"/>
    <w:link w:val="Notedebasdepage"/>
    <w:uiPriority w:val="99"/>
    <w:qFormat/>
    <w:rsid w:val="00DC51E6"/>
    <w:rPr>
      <w:rFonts w:ascii="Times New Roman" w:eastAsia="Times New Roman" w:hAnsi="Times New Roman" w:cs="Times New Roman"/>
      <w:sz w:val="20"/>
      <w:szCs w:val="20"/>
      <w:lang w:val="fr-FR" w:eastAsia="fr-FR"/>
    </w:rPr>
  </w:style>
  <w:style w:type="character" w:styleId="lev">
    <w:name w:val="Strong"/>
    <w:basedOn w:val="Policepardfaut"/>
    <w:uiPriority w:val="22"/>
    <w:qFormat/>
    <w:rsid w:val="00DC51E6"/>
    <w:rPr>
      <w:b/>
      <w:bCs/>
    </w:rPr>
  </w:style>
  <w:style w:type="character" w:styleId="Lienhypertextesuivivisit">
    <w:name w:val="FollowedHyperlink"/>
    <w:basedOn w:val="Policepardfaut"/>
    <w:uiPriority w:val="99"/>
    <w:semiHidden/>
    <w:unhideWhenUsed/>
    <w:rsid w:val="00DC51E6"/>
    <w:rPr>
      <w:color w:val="800080" w:themeColor="followedHyperlink"/>
      <w:u w:val="single"/>
    </w:rPr>
  </w:style>
  <w:style w:type="paragraph" w:styleId="En-tte">
    <w:name w:val="header"/>
    <w:basedOn w:val="Normal"/>
    <w:link w:val="En-tteCar"/>
    <w:uiPriority w:val="99"/>
    <w:unhideWhenUsed/>
    <w:rsid w:val="00DC51E6"/>
    <w:pPr>
      <w:tabs>
        <w:tab w:val="center" w:pos="4513"/>
        <w:tab w:val="right" w:pos="9026"/>
      </w:tabs>
    </w:pPr>
    <w:rPr>
      <w:lang w:val="en-GB"/>
    </w:rPr>
  </w:style>
  <w:style w:type="character" w:customStyle="1" w:styleId="En-tteCar">
    <w:name w:val="En-tête Car"/>
    <w:basedOn w:val="Policepardfaut"/>
    <w:link w:val="En-tte"/>
    <w:uiPriority w:val="99"/>
    <w:rsid w:val="00DC51E6"/>
    <w:rPr>
      <w:rFonts w:ascii="Times New Roman" w:eastAsia="Times New Roman" w:hAnsi="Times New Roman" w:cs="Times New Roman"/>
      <w:sz w:val="24"/>
      <w:szCs w:val="24"/>
      <w:lang w:val="en-GB" w:eastAsia="fr-FR"/>
    </w:rPr>
  </w:style>
  <w:style w:type="paragraph" w:customStyle="1" w:styleId="APP">
    <w:name w:val="APP"/>
    <w:basedOn w:val="NormalWeb"/>
    <w:qFormat/>
    <w:rsid w:val="00DC51E6"/>
    <w:pPr>
      <w:spacing w:before="0" w:beforeAutospacing="0" w:after="0" w:afterAutospacing="0"/>
      <w:jc w:val="both"/>
    </w:pPr>
    <w:rPr>
      <w:rFonts w:ascii="Arial" w:eastAsia="Calibri" w:hAnsi="Arial" w:cs="Arial"/>
      <w:bCs/>
      <w:color w:val="auto"/>
      <w:sz w:val="20"/>
      <w:szCs w:val="20"/>
      <w:lang w:eastAsia="en-GB"/>
    </w:rPr>
  </w:style>
  <w:style w:type="character" w:customStyle="1" w:styleId="UnresolvedMention1">
    <w:name w:val="Unresolved Mention1"/>
    <w:basedOn w:val="Policepardfaut"/>
    <w:uiPriority w:val="99"/>
    <w:semiHidden/>
    <w:unhideWhenUsed/>
    <w:rsid w:val="00DC51E6"/>
    <w:rPr>
      <w:color w:val="605E5C"/>
      <w:shd w:val="clear" w:color="auto" w:fill="E1DFDD"/>
    </w:rPr>
  </w:style>
  <w:style w:type="paragraph" w:styleId="Commentaire">
    <w:name w:val="annotation text"/>
    <w:basedOn w:val="Normal"/>
    <w:link w:val="CommentaireCar"/>
    <w:uiPriority w:val="98"/>
    <w:unhideWhenUsed/>
    <w:rsid w:val="00DC51E6"/>
    <w:pPr>
      <w:spacing w:after="20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8"/>
    <w:rsid w:val="00DC51E6"/>
    <w:rPr>
      <w:sz w:val="20"/>
      <w:szCs w:val="20"/>
      <w:lang w:val="fr-FR"/>
    </w:rPr>
  </w:style>
  <w:style w:type="character" w:customStyle="1" w:styleId="UnresolvedMention2">
    <w:name w:val="Unresolved Mention2"/>
    <w:basedOn w:val="Policepardfaut"/>
    <w:uiPriority w:val="99"/>
    <w:rsid w:val="00DC51E6"/>
    <w:rPr>
      <w:color w:val="605E5C"/>
      <w:shd w:val="clear" w:color="auto" w:fill="E1DFDD"/>
    </w:rPr>
  </w:style>
  <w:style w:type="character" w:customStyle="1" w:styleId="column">
    <w:name w:val="column"/>
    <w:basedOn w:val="Policepardfaut"/>
    <w:rsid w:val="00DC51E6"/>
  </w:style>
  <w:style w:type="character" w:customStyle="1" w:styleId="sb8d990e2">
    <w:name w:val="sb8d990e2"/>
    <w:basedOn w:val="Policepardfaut"/>
    <w:qFormat/>
    <w:rsid w:val="00DC51E6"/>
  </w:style>
  <w:style w:type="paragraph" w:styleId="TM1">
    <w:name w:val="toc 1"/>
    <w:basedOn w:val="Normal"/>
    <w:next w:val="Normal"/>
    <w:autoRedefine/>
    <w:uiPriority w:val="39"/>
    <w:unhideWhenUsed/>
    <w:rsid w:val="00DC51E6"/>
    <w:pPr>
      <w:tabs>
        <w:tab w:val="right" w:leader="dot" w:pos="9350"/>
      </w:tabs>
      <w:spacing w:after="100" w:line="276" w:lineRule="auto"/>
    </w:pPr>
    <w:rPr>
      <w:rFonts w:ascii="Arial" w:eastAsiaTheme="minorEastAsia" w:hAnsi="Arial" w:cs="Arial"/>
      <w:b/>
      <w:noProof/>
      <w:sz w:val="22"/>
      <w:szCs w:val="22"/>
      <w:lang w:val="en-GB" w:eastAsia="en-GB"/>
    </w:rPr>
  </w:style>
  <w:style w:type="paragraph" w:styleId="TM2">
    <w:name w:val="toc 2"/>
    <w:basedOn w:val="Normal"/>
    <w:next w:val="Normal"/>
    <w:autoRedefine/>
    <w:uiPriority w:val="39"/>
    <w:unhideWhenUsed/>
    <w:rsid w:val="00DC51E6"/>
    <w:pPr>
      <w:tabs>
        <w:tab w:val="right" w:leader="dot" w:pos="9350"/>
      </w:tabs>
      <w:spacing w:after="100" w:line="276" w:lineRule="auto"/>
      <w:ind w:left="284"/>
    </w:pPr>
    <w:rPr>
      <w:rFonts w:asciiTheme="minorHAnsi" w:eastAsiaTheme="minorEastAsia" w:hAnsiTheme="minorHAnsi" w:cstheme="minorBidi"/>
      <w:sz w:val="22"/>
      <w:szCs w:val="22"/>
      <w:lang w:val="en-GB" w:eastAsia="en-GB"/>
    </w:rPr>
  </w:style>
  <w:style w:type="paragraph" w:styleId="TM3">
    <w:name w:val="toc 3"/>
    <w:basedOn w:val="Normal"/>
    <w:next w:val="Normal"/>
    <w:autoRedefine/>
    <w:uiPriority w:val="39"/>
    <w:unhideWhenUsed/>
    <w:rsid w:val="00DC51E6"/>
    <w:pPr>
      <w:tabs>
        <w:tab w:val="right" w:leader="dot" w:pos="9350"/>
      </w:tabs>
      <w:spacing w:after="100" w:line="276" w:lineRule="auto"/>
      <w:ind w:left="567"/>
    </w:pPr>
    <w:rPr>
      <w:rFonts w:asciiTheme="minorHAnsi" w:eastAsiaTheme="minorEastAsia" w:hAnsiTheme="minorHAnsi" w:cstheme="minorBidi"/>
      <w:sz w:val="22"/>
      <w:szCs w:val="22"/>
      <w:lang w:val="en-GB" w:eastAsia="en-GB"/>
    </w:rPr>
  </w:style>
  <w:style w:type="character" w:customStyle="1" w:styleId="s6b621b36">
    <w:name w:val="s6b621b36"/>
    <w:basedOn w:val="Policepardfaut"/>
    <w:rsid w:val="00DC51E6"/>
  </w:style>
  <w:style w:type="character" w:customStyle="1" w:styleId="wordhighlighted">
    <w:name w:val="wordhighlighted"/>
    <w:basedOn w:val="Policepardfaut"/>
    <w:rsid w:val="00DC51E6"/>
  </w:style>
  <w:style w:type="character" w:customStyle="1" w:styleId="vsmall">
    <w:name w:val="vsmall"/>
    <w:basedOn w:val="Policepardfaut"/>
    <w:rsid w:val="00DC51E6"/>
  </w:style>
  <w:style w:type="paragraph" w:customStyle="1" w:styleId="s269b7f08">
    <w:name w:val="s269b7f08"/>
    <w:basedOn w:val="Normal"/>
    <w:rsid w:val="00DC51E6"/>
    <w:pPr>
      <w:spacing w:before="100" w:beforeAutospacing="1" w:after="100" w:afterAutospacing="1"/>
    </w:pPr>
    <w:rPr>
      <w:lang w:val="en-US" w:eastAsia="en-US"/>
    </w:rPr>
  </w:style>
  <w:style w:type="character" w:customStyle="1" w:styleId="sf6541cea">
    <w:name w:val="sf6541cea"/>
    <w:basedOn w:val="Policepardfaut"/>
    <w:rsid w:val="00DC51E6"/>
  </w:style>
  <w:style w:type="paragraph" w:customStyle="1" w:styleId="s30eec3f8">
    <w:name w:val="s30eec3f8"/>
    <w:basedOn w:val="Normal"/>
    <w:rsid w:val="00DC51E6"/>
    <w:pPr>
      <w:spacing w:before="100" w:beforeAutospacing="1" w:after="100" w:afterAutospacing="1"/>
    </w:pPr>
    <w:rPr>
      <w:lang w:val="en-US" w:eastAsia="en-US"/>
    </w:rPr>
  </w:style>
  <w:style w:type="paragraph" w:customStyle="1" w:styleId="s9e9b0cd7">
    <w:name w:val="s9e9b0cd7"/>
    <w:basedOn w:val="Normal"/>
    <w:rsid w:val="00DC51E6"/>
    <w:pPr>
      <w:spacing w:before="100" w:beforeAutospacing="1" w:after="100" w:afterAutospacing="1"/>
    </w:pPr>
    <w:rPr>
      <w:lang w:val="en-US" w:eastAsia="en-US"/>
    </w:rPr>
  </w:style>
  <w:style w:type="character" w:customStyle="1" w:styleId="sfbbfee58">
    <w:name w:val="sfbbfee58"/>
    <w:basedOn w:val="Policepardfaut"/>
    <w:rsid w:val="00DC51E6"/>
  </w:style>
  <w:style w:type="character" w:customStyle="1" w:styleId="sea881cdf">
    <w:name w:val="sea881cdf"/>
    <w:basedOn w:val="Policepardfaut"/>
    <w:rsid w:val="00DC51E6"/>
  </w:style>
  <w:style w:type="character" w:customStyle="1" w:styleId="ObjetducommentaireCar">
    <w:name w:val="Objet du commentaire Car"/>
    <w:basedOn w:val="CommentaireCar"/>
    <w:link w:val="Objetducommentaire"/>
    <w:uiPriority w:val="99"/>
    <w:semiHidden/>
    <w:rsid w:val="00DC51E6"/>
    <w:rPr>
      <w:rFonts w:eastAsiaTheme="minorEastAsia"/>
      <w:b/>
      <w:bCs/>
      <w:sz w:val="20"/>
      <w:szCs w:val="20"/>
      <w:lang w:val="en-GB" w:eastAsia="en-GB"/>
    </w:rPr>
  </w:style>
  <w:style w:type="paragraph" w:styleId="Objetducommentaire">
    <w:name w:val="annotation subject"/>
    <w:basedOn w:val="Commentaire"/>
    <w:next w:val="Commentaire"/>
    <w:link w:val="ObjetducommentaireCar"/>
    <w:uiPriority w:val="99"/>
    <w:semiHidden/>
    <w:unhideWhenUsed/>
    <w:rsid w:val="00DC51E6"/>
    <w:rPr>
      <w:rFonts w:eastAsiaTheme="minorEastAsia"/>
      <w:b/>
      <w:bCs/>
      <w:lang w:val="en-GB" w:eastAsia="en-GB"/>
    </w:rPr>
  </w:style>
  <w:style w:type="character" w:customStyle="1" w:styleId="CommentSubjectChar1">
    <w:name w:val="Comment Subject Char1"/>
    <w:basedOn w:val="CommentaireCar"/>
    <w:uiPriority w:val="99"/>
    <w:semiHidden/>
    <w:rsid w:val="00DC51E6"/>
    <w:rPr>
      <w:b/>
      <w:bCs/>
      <w:sz w:val="20"/>
      <w:szCs w:val="20"/>
      <w:lang w:val="fr-FR"/>
    </w:rPr>
  </w:style>
  <w:style w:type="character" w:customStyle="1" w:styleId="s1a844bc0">
    <w:name w:val="s1a844bc0"/>
    <w:basedOn w:val="Policepardfaut"/>
    <w:rsid w:val="00DC51E6"/>
  </w:style>
  <w:style w:type="character" w:customStyle="1" w:styleId="normal10">
    <w:name w:val="normal10"/>
    <w:basedOn w:val="Policepardfaut"/>
    <w:rsid w:val="00DC51E6"/>
  </w:style>
  <w:style w:type="paragraph" w:customStyle="1" w:styleId="s8b146764">
    <w:name w:val="s8b146764"/>
    <w:basedOn w:val="Normal"/>
    <w:rsid w:val="00DC51E6"/>
    <w:pPr>
      <w:spacing w:before="100" w:beforeAutospacing="1" w:after="100" w:afterAutospacing="1"/>
    </w:pPr>
    <w:rPr>
      <w:lang w:val="en-US" w:eastAsia="en-US"/>
    </w:rPr>
  </w:style>
  <w:style w:type="paragraph" w:customStyle="1" w:styleId="SingleTxtG">
    <w:name w:val="_ Single Txt_G"/>
    <w:basedOn w:val="Normal"/>
    <w:link w:val="SingleTxtGChar"/>
    <w:qFormat/>
    <w:rsid w:val="00DC51E6"/>
    <w:pPr>
      <w:suppressAutoHyphens/>
      <w:spacing w:after="120" w:line="240" w:lineRule="atLeast"/>
      <w:ind w:left="1134" w:right="1134"/>
      <w:jc w:val="both"/>
    </w:pPr>
    <w:rPr>
      <w:rFonts w:eastAsia="SimSun"/>
      <w:sz w:val="20"/>
      <w:szCs w:val="20"/>
      <w:lang w:val="en-GB" w:eastAsia="zh-CN"/>
    </w:rPr>
  </w:style>
  <w:style w:type="character" w:customStyle="1" w:styleId="SingleTxtGChar">
    <w:name w:val="_ Single Txt_G Char"/>
    <w:link w:val="SingleTxtG"/>
    <w:locked/>
    <w:rsid w:val="00DC51E6"/>
    <w:rPr>
      <w:rFonts w:ascii="Times New Roman" w:eastAsia="SimSun" w:hAnsi="Times New Roman" w:cs="Times New Roman"/>
      <w:sz w:val="20"/>
      <w:szCs w:val="20"/>
      <w:lang w:val="en-GB" w:eastAsia="zh-CN"/>
    </w:rPr>
  </w:style>
  <w:style w:type="character" w:customStyle="1" w:styleId="sf1c7242d">
    <w:name w:val="sf1c7242d"/>
    <w:basedOn w:val="Policepardfaut"/>
    <w:rsid w:val="00DC51E6"/>
  </w:style>
  <w:style w:type="character" w:customStyle="1" w:styleId="sc916d4d3">
    <w:name w:val="sc916d4d3"/>
    <w:basedOn w:val="Policepardfaut"/>
    <w:rsid w:val="00DC51E6"/>
  </w:style>
  <w:style w:type="character" w:customStyle="1" w:styleId="s9e48bbcd">
    <w:name w:val="s9e48bbcd"/>
    <w:basedOn w:val="Policepardfaut"/>
    <w:rsid w:val="00DC51E6"/>
  </w:style>
  <w:style w:type="paragraph" w:customStyle="1" w:styleId="s746c8714">
    <w:name w:val="s746c8714"/>
    <w:basedOn w:val="Normal"/>
    <w:rsid w:val="00DC51E6"/>
    <w:pPr>
      <w:spacing w:before="100" w:beforeAutospacing="1" w:after="100" w:afterAutospacing="1"/>
    </w:pPr>
  </w:style>
  <w:style w:type="character" w:customStyle="1" w:styleId="NotedefinCar">
    <w:name w:val="Note de fin Car"/>
    <w:basedOn w:val="Policepardfaut"/>
    <w:link w:val="Notedefin"/>
    <w:uiPriority w:val="99"/>
    <w:semiHidden/>
    <w:rsid w:val="00DC51E6"/>
    <w:rPr>
      <w:rFonts w:eastAsiaTheme="minorEastAsia"/>
      <w:sz w:val="20"/>
      <w:szCs w:val="20"/>
      <w:lang w:val="en-GB" w:eastAsia="en-GB"/>
    </w:rPr>
  </w:style>
  <w:style w:type="paragraph" w:styleId="Notedefin">
    <w:name w:val="endnote text"/>
    <w:basedOn w:val="Normal"/>
    <w:link w:val="NotedefinCar"/>
    <w:uiPriority w:val="99"/>
    <w:semiHidden/>
    <w:unhideWhenUsed/>
    <w:rsid w:val="00DC51E6"/>
    <w:rPr>
      <w:rFonts w:asciiTheme="minorHAnsi" w:eastAsiaTheme="minorEastAsia" w:hAnsiTheme="minorHAnsi" w:cstheme="minorBidi"/>
      <w:sz w:val="20"/>
      <w:szCs w:val="20"/>
      <w:lang w:val="en-GB" w:eastAsia="en-GB"/>
    </w:rPr>
  </w:style>
  <w:style w:type="character" w:customStyle="1" w:styleId="EndnoteTextChar1">
    <w:name w:val="Endnote Text Char1"/>
    <w:basedOn w:val="Policepardfaut"/>
    <w:uiPriority w:val="99"/>
    <w:semiHidden/>
    <w:rsid w:val="00DC51E6"/>
    <w:rPr>
      <w:rFonts w:ascii="Times New Roman" w:eastAsia="Times New Roman" w:hAnsi="Times New Roman" w:cs="Times New Roman"/>
      <w:sz w:val="20"/>
      <w:szCs w:val="20"/>
      <w:lang w:val="fr-FR" w:eastAsia="fr-FR"/>
    </w:rPr>
  </w:style>
  <w:style w:type="character" w:customStyle="1" w:styleId="a">
    <w:name w:val="Привязка сноски"/>
    <w:rsid w:val="00DC51E6"/>
    <w:rPr>
      <w:vertAlign w:val="superscript"/>
    </w:rPr>
  </w:style>
  <w:style w:type="character" w:customStyle="1" w:styleId="a0">
    <w:name w:val="Символ сноски"/>
    <w:qFormat/>
    <w:rsid w:val="00DC51E6"/>
  </w:style>
  <w:style w:type="paragraph" w:customStyle="1" w:styleId="JuPara">
    <w:name w:val="Ju_Para"/>
    <w:aliases w:val="_Para"/>
    <w:basedOn w:val="Normal"/>
    <w:link w:val="JuParaChar"/>
    <w:uiPriority w:val="4"/>
    <w:qFormat/>
    <w:rsid w:val="00DC51E6"/>
    <w:pPr>
      <w:ind w:firstLine="284"/>
      <w:jc w:val="both"/>
    </w:pPr>
    <w:rPr>
      <w:rFonts w:asciiTheme="minorHAnsi" w:eastAsiaTheme="minorHAnsi" w:hAnsiTheme="minorHAnsi" w:cstheme="minorBidi"/>
      <w:lang w:val="en-GB" w:eastAsia="en-US"/>
    </w:rPr>
  </w:style>
  <w:style w:type="character" w:customStyle="1" w:styleId="JuParaChar">
    <w:name w:val="Ju_Para Char"/>
    <w:aliases w:val="_Para Char"/>
    <w:link w:val="JuPara"/>
    <w:uiPriority w:val="4"/>
    <w:rsid w:val="00DC51E6"/>
    <w:rPr>
      <w:sz w:val="24"/>
      <w:szCs w:val="24"/>
      <w:lang w:val="en-GB"/>
    </w:rPr>
  </w:style>
  <w:style w:type="paragraph" w:customStyle="1" w:styleId="s3b14e18e">
    <w:name w:val="s3b14e18e"/>
    <w:basedOn w:val="Normal"/>
    <w:rsid w:val="00DC51E6"/>
    <w:pPr>
      <w:spacing w:before="100" w:beforeAutospacing="1" w:after="100" w:afterAutospacing="1"/>
    </w:pPr>
  </w:style>
  <w:style w:type="paragraph" w:customStyle="1" w:styleId="JuHIRoman">
    <w:name w:val="Ju_H_I_Roman"/>
    <w:aliases w:val="_Head_2"/>
    <w:basedOn w:val="Titre2"/>
    <w:next w:val="JuPara"/>
    <w:uiPriority w:val="17"/>
    <w:qFormat/>
    <w:rsid w:val="00DC51E6"/>
    <w:pPr>
      <w:tabs>
        <w:tab w:val="left" w:pos="454"/>
        <w:tab w:val="left" w:pos="567"/>
        <w:tab w:val="left" w:pos="680"/>
      </w:tabs>
      <w:spacing w:before="100" w:beforeAutospacing="1" w:after="240"/>
      <w:ind w:left="397" w:hanging="397"/>
      <w:jc w:val="both"/>
    </w:pPr>
    <w:rPr>
      <w:bCs/>
      <w:caps/>
      <w:color w:val="auto"/>
      <w:sz w:val="24"/>
      <w:lang w:val="en-GB" w:eastAsia="en-US"/>
    </w:rPr>
  </w:style>
  <w:style w:type="paragraph" w:customStyle="1" w:styleId="JuHA">
    <w:name w:val="Ju_H_A"/>
    <w:aliases w:val="_Head_3"/>
    <w:basedOn w:val="Titre3"/>
    <w:next w:val="JuPara"/>
    <w:uiPriority w:val="17"/>
    <w:qFormat/>
    <w:rsid w:val="00DC51E6"/>
    <w:pPr>
      <w:numPr>
        <w:ilvl w:val="2"/>
        <w:numId w:val="30"/>
      </w:numPr>
      <w:spacing w:before="100" w:beforeAutospacing="1" w:after="240"/>
      <w:jc w:val="both"/>
    </w:pPr>
    <w:rPr>
      <w:b/>
      <w:bCs/>
      <w:color w:val="auto"/>
      <w:szCs w:val="22"/>
      <w:lang w:val="en-GB" w:eastAsia="en-US"/>
    </w:rPr>
  </w:style>
  <w:style w:type="paragraph" w:customStyle="1" w:styleId="JuH1">
    <w:name w:val="Ju_H_1."/>
    <w:aliases w:val="_Head_4"/>
    <w:basedOn w:val="Titre4"/>
    <w:next w:val="JuPara"/>
    <w:uiPriority w:val="17"/>
    <w:rsid w:val="00DC51E6"/>
    <w:pPr>
      <w:numPr>
        <w:ilvl w:val="3"/>
        <w:numId w:val="30"/>
      </w:numPr>
      <w:spacing w:before="100" w:beforeAutospacing="1" w:after="120" w:line="240" w:lineRule="auto"/>
      <w:ind w:left="1800" w:hanging="1080"/>
      <w:jc w:val="both"/>
    </w:pPr>
    <w:rPr>
      <w:bCs/>
      <w:color w:val="auto"/>
      <w:sz w:val="24"/>
      <w:lang w:eastAsia="en-US"/>
    </w:rPr>
  </w:style>
  <w:style w:type="paragraph" w:customStyle="1" w:styleId="JuHa0">
    <w:name w:val="Ju_H_a"/>
    <w:aliases w:val="_Head_5"/>
    <w:basedOn w:val="Titre5"/>
    <w:next w:val="JuPara"/>
    <w:uiPriority w:val="17"/>
    <w:rsid w:val="00DC51E6"/>
    <w:pPr>
      <w:numPr>
        <w:ilvl w:val="4"/>
        <w:numId w:val="30"/>
      </w:numPr>
      <w:spacing w:before="100" w:beforeAutospacing="1" w:after="120" w:line="240" w:lineRule="auto"/>
      <w:ind w:left="1800" w:hanging="1080"/>
      <w:jc w:val="both"/>
    </w:pPr>
    <w:rPr>
      <w:b/>
      <w:bCs/>
      <w:color w:val="auto"/>
      <w:sz w:val="20"/>
      <w:lang w:eastAsia="en-US"/>
    </w:rPr>
  </w:style>
  <w:style w:type="paragraph" w:customStyle="1" w:styleId="JuHi">
    <w:name w:val="Ju_H_i"/>
    <w:aliases w:val="_Head_6"/>
    <w:basedOn w:val="Titre6"/>
    <w:next w:val="JuPara"/>
    <w:uiPriority w:val="17"/>
    <w:rsid w:val="00DC51E6"/>
    <w:pPr>
      <w:numPr>
        <w:ilvl w:val="5"/>
        <w:numId w:val="30"/>
      </w:numPr>
      <w:tabs>
        <w:tab w:val="left" w:pos="1077"/>
        <w:tab w:val="left" w:pos="1134"/>
        <w:tab w:val="left" w:pos="1191"/>
        <w:tab w:val="left" w:pos="1247"/>
      </w:tabs>
      <w:spacing w:before="100" w:beforeAutospacing="1" w:after="120" w:line="271" w:lineRule="auto"/>
      <w:ind w:left="2160" w:hanging="1440"/>
      <w:jc w:val="both"/>
    </w:pPr>
    <w:rPr>
      <w:bCs/>
      <w:i/>
      <w:iCs/>
      <w:color w:val="auto"/>
      <w:sz w:val="20"/>
      <w:lang w:eastAsia="en-US" w:bidi="en-US"/>
    </w:rPr>
  </w:style>
  <w:style w:type="paragraph" w:customStyle="1" w:styleId="JuHalpha">
    <w:name w:val="Ju_H_alpha"/>
    <w:aliases w:val="_Head_7"/>
    <w:basedOn w:val="Titre7"/>
    <w:next w:val="JuPara"/>
    <w:uiPriority w:val="17"/>
    <w:rsid w:val="00DC51E6"/>
    <w:pPr>
      <w:numPr>
        <w:ilvl w:val="6"/>
        <w:numId w:val="30"/>
      </w:numPr>
      <w:tabs>
        <w:tab w:val="left" w:pos="1361"/>
      </w:tabs>
      <w:spacing w:before="100" w:beforeAutospacing="1" w:after="120" w:line="240" w:lineRule="auto"/>
      <w:ind w:left="2160" w:hanging="1440"/>
      <w:jc w:val="both"/>
    </w:pPr>
    <w:rPr>
      <w:i w:val="0"/>
      <w:color w:val="auto"/>
      <w:sz w:val="20"/>
      <w:lang w:eastAsia="en-US" w:bidi="en-US"/>
    </w:rPr>
  </w:style>
  <w:style w:type="paragraph" w:customStyle="1" w:styleId="JuH">
    <w:name w:val="Ju_H_–"/>
    <w:aliases w:val="_Head_8"/>
    <w:basedOn w:val="Titre8"/>
    <w:next w:val="JuPara"/>
    <w:uiPriority w:val="17"/>
    <w:rsid w:val="00DC51E6"/>
    <w:pPr>
      <w:numPr>
        <w:ilvl w:val="7"/>
        <w:numId w:val="30"/>
      </w:numPr>
      <w:spacing w:before="100" w:beforeAutospacing="1" w:after="120" w:line="240" w:lineRule="auto"/>
      <w:ind w:left="2520" w:hanging="1800"/>
      <w:jc w:val="both"/>
    </w:pPr>
    <w:rPr>
      <w:i/>
      <w:color w:val="auto"/>
      <w:sz w:val="20"/>
      <w:szCs w:val="20"/>
      <w:lang w:eastAsia="en-US" w:bidi="en-US"/>
    </w:rPr>
  </w:style>
  <w:style w:type="paragraph" w:customStyle="1" w:styleId="ECHRHeading9">
    <w:name w:val="ECHR_Heading_9"/>
    <w:aliases w:val="_Head_9"/>
    <w:basedOn w:val="Titre9"/>
    <w:uiPriority w:val="17"/>
    <w:semiHidden/>
    <w:rsid w:val="00DC51E6"/>
    <w:pPr>
      <w:numPr>
        <w:ilvl w:val="8"/>
        <w:numId w:val="30"/>
      </w:numPr>
      <w:spacing w:before="100" w:beforeAutospacing="1" w:line="240" w:lineRule="auto"/>
      <w:ind w:left="2520" w:hanging="1800"/>
      <w:contextualSpacing/>
      <w:jc w:val="both"/>
    </w:pPr>
    <w:rPr>
      <w:i w:val="0"/>
      <w:color w:val="auto"/>
      <w:spacing w:val="5"/>
      <w:sz w:val="18"/>
      <w:szCs w:val="20"/>
      <w:lang w:eastAsia="en-US" w:bidi="en-US"/>
    </w:rPr>
  </w:style>
  <w:style w:type="paragraph" w:customStyle="1" w:styleId="JuHHead">
    <w:name w:val="Ju_H_Head"/>
    <w:aliases w:val="_Head_1"/>
    <w:basedOn w:val="Titre1"/>
    <w:next w:val="JuPara"/>
    <w:uiPriority w:val="17"/>
    <w:qFormat/>
    <w:rsid w:val="00DC51E6"/>
    <w:pPr>
      <w:numPr>
        <w:ilvl w:val="1"/>
        <w:numId w:val="30"/>
      </w:numPr>
      <w:spacing w:before="100" w:beforeAutospacing="1" w:after="240"/>
      <w:ind w:left="0" w:firstLine="0"/>
      <w:jc w:val="both"/>
    </w:pPr>
    <w:rPr>
      <w:bCs/>
      <w:caps/>
      <w:color w:val="auto"/>
      <w:sz w:val="28"/>
      <w:szCs w:val="28"/>
      <w:lang w:val="en-GB" w:eastAsia="en-US"/>
    </w:rPr>
  </w:style>
  <w:style w:type="paragraph" w:customStyle="1" w:styleId="ECHRParaSpaced">
    <w:name w:val="ECHR_Para_Spaced"/>
    <w:aliases w:val="Para_Spaced"/>
    <w:basedOn w:val="Normal"/>
    <w:uiPriority w:val="4"/>
    <w:qFormat/>
    <w:rsid w:val="00DC51E6"/>
    <w:pPr>
      <w:spacing w:before="120" w:after="120"/>
      <w:jc w:val="both"/>
    </w:pPr>
    <w:rPr>
      <w:rFonts w:asciiTheme="minorHAnsi" w:eastAsiaTheme="minorHAnsi" w:hAnsiTheme="minorHAnsi" w:cstheme="minorBidi"/>
      <w:sz w:val="22"/>
      <w:szCs w:val="22"/>
      <w:lang w:val="en-GB" w:eastAsia="en-US"/>
    </w:rPr>
  </w:style>
  <w:style w:type="paragraph" w:customStyle="1" w:styleId="ECHRHeading1">
    <w:name w:val="ECHR_Heading_1"/>
    <w:aliases w:val="Head_1"/>
    <w:basedOn w:val="Titre1"/>
    <w:next w:val="ECHRParaSpaced"/>
    <w:uiPriority w:val="21"/>
    <w:qFormat/>
    <w:rsid w:val="00DC51E6"/>
    <w:pPr>
      <w:pBdr>
        <w:bottom w:val="single" w:sz="12" w:space="1" w:color="17365D" w:themeColor="text2" w:themeShade="BF"/>
      </w:pBdr>
      <w:contextualSpacing/>
    </w:pPr>
    <w:rPr>
      <w:b/>
      <w:color w:val="4F6228" w:themeColor="accent3" w:themeShade="80"/>
      <w:sz w:val="28"/>
      <w:szCs w:val="28"/>
      <w:lang w:val="en-GB" w:eastAsia="en-US"/>
    </w:rPr>
  </w:style>
  <w:style w:type="paragraph" w:customStyle="1" w:styleId="ECHRHeading2">
    <w:name w:val="ECHR_Heading_2"/>
    <w:aliases w:val="Head_2"/>
    <w:basedOn w:val="Titre2"/>
    <w:next w:val="ECHRParaSpaced"/>
    <w:uiPriority w:val="21"/>
    <w:qFormat/>
    <w:rsid w:val="00DC51E6"/>
    <w:pPr>
      <w:spacing w:before="240"/>
      <w:contextualSpacing/>
    </w:pPr>
    <w:rPr>
      <w:b/>
      <w:color w:val="4F6228" w:themeColor="accent3" w:themeShade="80"/>
      <w:sz w:val="28"/>
      <w:lang w:val="en-GB" w:eastAsia="en-US"/>
    </w:rPr>
  </w:style>
  <w:style w:type="paragraph" w:customStyle="1" w:styleId="ECHRTitleCentreTOC1">
    <w:name w:val="ECHR_Title_Centre_TOC_1"/>
    <w:aliases w:val="Title_C_TOC"/>
    <w:basedOn w:val="Normal"/>
    <w:next w:val="ECHRHeading1"/>
    <w:uiPriority w:val="25"/>
    <w:qFormat/>
    <w:rsid w:val="00DC51E6"/>
    <w:pPr>
      <w:keepNext/>
      <w:keepLines/>
      <w:spacing w:before="240"/>
      <w:contextualSpacing/>
      <w:jc w:val="center"/>
      <w:outlineLvl w:val="0"/>
    </w:pPr>
    <w:rPr>
      <w:rFonts w:asciiTheme="majorHAnsi" w:eastAsiaTheme="minorHAnsi" w:hAnsiTheme="majorHAnsi" w:cstheme="minorBidi"/>
      <w:b/>
      <w:color w:val="4F6228" w:themeColor="accent3" w:themeShade="80"/>
      <w:sz w:val="32"/>
      <w:szCs w:val="22"/>
      <w:lang w:val="en-GB" w:eastAsia="en-US"/>
    </w:rPr>
  </w:style>
  <w:style w:type="paragraph" w:styleId="Titre">
    <w:name w:val="Title"/>
    <w:basedOn w:val="Normal"/>
    <w:next w:val="Normal"/>
    <w:link w:val="TitreCar"/>
    <w:uiPriority w:val="98"/>
    <w:qFormat/>
    <w:rsid w:val="00DC51E6"/>
    <w:pPr>
      <w:pBdr>
        <w:bottom w:val="single" w:sz="4" w:space="1" w:color="auto"/>
      </w:pBdr>
      <w:contextualSpacing/>
    </w:pPr>
    <w:rPr>
      <w:rFonts w:asciiTheme="majorHAnsi" w:eastAsiaTheme="majorEastAsia" w:hAnsiTheme="majorHAnsi" w:cstheme="majorBidi"/>
      <w:spacing w:val="5"/>
      <w:sz w:val="52"/>
      <w:szCs w:val="52"/>
      <w:lang w:val="en-GB" w:eastAsia="en-US" w:bidi="en-US"/>
    </w:rPr>
  </w:style>
  <w:style w:type="character" w:customStyle="1" w:styleId="TitreCar">
    <w:name w:val="Titre Car"/>
    <w:basedOn w:val="Policepardfaut"/>
    <w:link w:val="Titre"/>
    <w:uiPriority w:val="98"/>
    <w:rsid w:val="00DC51E6"/>
    <w:rPr>
      <w:rFonts w:asciiTheme="majorHAnsi" w:eastAsiaTheme="majorEastAsia" w:hAnsiTheme="majorHAnsi" w:cstheme="majorBidi"/>
      <w:spacing w:val="5"/>
      <w:sz w:val="52"/>
      <w:szCs w:val="52"/>
      <w:lang w:val="en-GB" w:bidi="en-US"/>
    </w:rPr>
  </w:style>
  <w:style w:type="character" w:customStyle="1" w:styleId="UnresolvedMention4">
    <w:name w:val="Unresolved Mention4"/>
    <w:basedOn w:val="Policepardfaut"/>
    <w:uiPriority w:val="99"/>
    <w:rsid w:val="00DC51E6"/>
    <w:rPr>
      <w:color w:val="605E5C"/>
      <w:shd w:val="clear" w:color="auto" w:fill="E1DFDD"/>
    </w:rPr>
  </w:style>
  <w:style w:type="character" w:styleId="Marquedecommentaire">
    <w:name w:val="annotation reference"/>
    <w:basedOn w:val="Policepardfaut"/>
    <w:uiPriority w:val="98"/>
    <w:semiHidden/>
    <w:unhideWhenUsed/>
    <w:rsid w:val="00DC51E6"/>
    <w:rPr>
      <w:sz w:val="16"/>
      <w:szCs w:val="16"/>
    </w:rPr>
  </w:style>
  <w:style w:type="paragraph" w:styleId="Rvision">
    <w:name w:val="Revision"/>
    <w:hidden/>
    <w:uiPriority w:val="99"/>
    <w:semiHidden/>
    <w:rsid w:val="00DC51E6"/>
    <w:pPr>
      <w:spacing w:after="0" w:line="240" w:lineRule="auto"/>
    </w:pPr>
    <w:rPr>
      <w:rFonts w:ascii="Times New Roman" w:eastAsia="Times New Roman" w:hAnsi="Times New Roman" w:cs="Times New Roman"/>
      <w:sz w:val="24"/>
      <w:szCs w:val="24"/>
      <w:lang w:val="fr-FR" w:eastAsia="fr-FR"/>
    </w:rPr>
  </w:style>
  <w:style w:type="character" w:styleId="Mentionnonrsolue">
    <w:name w:val="Unresolved Mention"/>
    <w:basedOn w:val="Policepardfaut"/>
    <w:uiPriority w:val="99"/>
    <w:rsid w:val="00DC51E6"/>
    <w:rPr>
      <w:color w:val="605E5C"/>
      <w:shd w:val="clear" w:color="auto" w:fill="E1DFDD"/>
    </w:rPr>
  </w:style>
  <w:style w:type="table" w:customStyle="1" w:styleId="Grilledutableau1">
    <w:name w:val="Grille du tableau1"/>
    <w:basedOn w:val="TableauNormal"/>
    <w:next w:val="Grilledutableau"/>
    <w:uiPriority w:val="59"/>
    <w:rsid w:val="0031279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3D389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Policepardfaut"/>
    <w:uiPriority w:val="99"/>
    <w:semiHidden/>
    <w:rsid w:val="002218C4"/>
    <w:rPr>
      <w:rFonts w:ascii="Segoe UI" w:eastAsia="Times New Roman" w:hAnsi="Segoe UI" w:cs="Segoe UI"/>
      <w:sz w:val="18"/>
      <w:szCs w:val="18"/>
      <w:lang w:val="fr-FR" w:eastAsia="fr-FR"/>
    </w:rPr>
  </w:style>
  <w:style w:type="character" w:customStyle="1" w:styleId="cite-authors">
    <w:name w:val="cite-authors"/>
    <w:basedOn w:val="Policepardfaut"/>
    <w:rsid w:val="002218C4"/>
  </w:style>
  <w:style w:type="character" w:customStyle="1" w:styleId="author">
    <w:name w:val="author"/>
    <w:basedOn w:val="Policepardfaut"/>
    <w:rsid w:val="002218C4"/>
  </w:style>
  <w:style w:type="character" w:customStyle="1" w:styleId="cite-title">
    <w:name w:val="cite-title"/>
    <w:basedOn w:val="Policepardfaut"/>
    <w:rsid w:val="002218C4"/>
  </w:style>
  <w:style w:type="character" w:customStyle="1" w:styleId="cite-blog">
    <w:name w:val="cite-blog"/>
    <w:basedOn w:val="Policepardfaut"/>
    <w:rsid w:val="002218C4"/>
  </w:style>
  <w:style w:type="character" w:customStyle="1" w:styleId="cite-date">
    <w:name w:val="cite-date"/>
    <w:basedOn w:val="Policepardfaut"/>
    <w:rsid w:val="002218C4"/>
  </w:style>
  <w:style w:type="character" w:customStyle="1" w:styleId="doi">
    <w:name w:val="doi"/>
    <w:basedOn w:val="Policepardfaut"/>
    <w:rsid w:val="002218C4"/>
  </w:style>
  <w:style w:type="paragraph" w:customStyle="1" w:styleId="sfa83d483">
    <w:name w:val="sfa83d483"/>
    <w:basedOn w:val="Normal"/>
    <w:rsid w:val="002218C4"/>
    <w:pPr>
      <w:spacing w:before="100" w:beforeAutospacing="1" w:after="100" w:afterAutospacing="1"/>
      <w:ind w:firstLine="720"/>
      <w:jc w:val="both"/>
    </w:pPr>
  </w:style>
  <w:style w:type="paragraph" w:customStyle="1" w:styleId="scea44844">
    <w:name w:val="scea44844"/>
    <w:basedOn w:val="Normal"/>
    <w:rsid w:val="002218C4"/>
    <w:pPr>
      <w:spacing w:before="100" w:beforeAutospacing="1" w:after="100" w:afterAutospacing="1"/>
      <w:ind w:firstLine="720"/>
      <w:jc w:val="both"/>
    </w:pPr>
  </w:style>
  <w:style w:type="paragraph" w:styleId="En-ttedetabledesmatires">
    <w:name w:val="TOC Heading"/>
    <w:basedOn w:val="Titre1"/>
    <w:next w:val="Normal"/>
    <w:uiPriority w:val="39"/>
    <w:unhideWhenUsed/>
    <w:qFormat/>
    <w:rsid w:val="002218C4"/>
    <w:pPr>
      <w:spacing w:line="259" w:lineRule="auto"/>
      <w:ind w:firstLine="720"/>
      <w:jc w:val="both"/>
      <w:outlineLvl w:val="9"/>
    </w:pPr>
    <w:rPr>
      <w:lang w:val="en-US" w:eastAsia="en-US"/>
    </w:rPr>
  </w:style>
  <w:style w:type="character" w:customStyle="1" w:styleId="UnresolvedMention3">
    <w:name w:val="Unresolved Mention3"/>
    <w:basedOn w:val="Policepardfaut"/>
    <w:uiPriority w:val="99"/>
    <w:semiHidden/>
    <w:unhideWhenUsed/>
    <w:rsid w:val="002218C4"/>
    <w:rPr>
      <w:color w:val="605E5C"/>
      <w:shd w:val="clear" w:color="auto" w:fill="E1DFDD"/>
    </w:rPr>
  </w:style>
  <w:style w:type="character" w:customStyle="1" w:styleId="FootnoteCharacters">
    <w:name w:val="Footnote Characters"/>
    <w:basedOn w:val="Policepardfaut"/>
    <w:uiPriority w:val="99"/>
    <w:unhideWhenUsed/>
    <w:qFormat/>
    <w:rsid w:val="002218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dh-sysc-iv-2021-02-en/1680a38797" TargetMode="External"/><Relationship Id="rId13" Type="http://schemas.openxmlformats.org/officeDocument/2006/relationships/hyperlink" Target="https://search.coe.int/cm/Pages/result_details.aspx?Reference=CM/Res(2011)24" TargetMode="External"/><Relationship Id="rId18" Type="http://schemas.openxmlformats.org/officeDocument/2006/relationships/hyperlink" Target="https://rm.coe.int/steering-committee-for-human-rights-cddh-committee-of-experts-on-the-s/16809f939f" TargetMode="External"/><Relationship Id="rId26" Type="http://schemas.openxmlformats.org/officeDocument/2006/relationships/hyperlink" Target="https://rm.coe.int/copenhagen-declaration/16807b915c"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rm.coe.int/steering-committee-for-human-rights-comite-directeur-pour-les-droits-d/1680a0950e" TargetMode="External"/><Relationship Id="rId34" Type="http://schemas.openxmlformats.org/officeDocument/2006/relationships/hyperlink" Target="https://www.echr.coe.int/Documents/Guide_Art_1_ENG.pdf"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earch.coe.int/cm/Pages/result_details.aspx?ObjectId=0900001680a27292" TargetMode="External"/><Relationship Id="rId17" Type="http://schemas.openxmlformats.org/officeDocument/2006/relationships/hyperlink" Target="https://rm.coe.int/steering-committee-for-human-rights-cddh-committee-of-experts-on-the-s/16809f939f" TargetMode="External"/><Relationship Id="rId25" Type="http://schemas.openxmlformats.org/officeDocument/2006/relationships/hyperlink" Target="https://rm.coe.int/steering-committee-for-human-rights-cddh-cddh-report-on-the-place-of-t/1680994279" TargetMode="External"/><Relationship Id="rId33" Type="http://schemas.openxmlformats.org/officeDocument/2006/relationships/hyperlink" Target="https://echr.coe.int/Documents/Press_Q_A_Inter-State_cases_ENG.pdf" TargetMode="External"/><Relationship Id="rId38" Type="http://schemas.openxmlformats.org/officeDocument/2006/relationships/hyperlink" Target="https://www.echr.coe.int/documents/fs_armed_conflicts_eng.pdf" TargetMode="External"/><Relationship Id="rId2" Type="http://schemas.openxmlformats.org/officeDocument/2006/relationships/numbering" Target="numbering.xml"/><Relationship Id="rId16" Type="http://schemas.openxmlformats.org/officeDocument/2006/relationships/hyperlink" Target="https://rm.coe.int/dh-sysc-iv-2020-04-rev2-15-march-21/1680a1c9a9" TargetMode="External"/><Relationship Id="rId20" Type="http://schemas.openxmlformats.org/officeDocument/2006/relationships/hyperlink" Target="https://rm.coe.int/steering-committee-for-human-rights-comite-directeur-pour-les-droits-d/1680a0950f" TargetMode="External"/><Relationship Id="rId29" Type="http://schemas.openxmlformats.org/officeDocument/2006/relationships/hyperlink" Target="http://hudoc.echr.coe.int/eng?i=001-207622"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m.coe.int/drafting-group-on-the-effective-processing-and-resolution-of-inter-sta/1680996b5f" TargetMode="External"/><Relationship Id="rId24" Type="http://schemas.openxmlformats.org/officeDocument/2006/relationships/hyperlink" Target="https://rm.coe.int/overview-of-inter-cases-before-the-echr-non-paper/16809f02db" TargetMode="External"/><Relationship Id="rId32" Type="http://schemas.openxmlformats.org/officeDocument/2006/relationships/hyperlink" Target="http://hudoc.echr.coe.int/eng?i=001-157568" TargetMode="External"/><Relationship Id="rId37" Type="http://schemas.openxmlformats.org/officeDocument/2006/relationships/hyperlink" Target="https://www.echr.coe.int/Documents/Guide_Art_1_ENG.pdf"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m.coe.int/steering-committee-for-human-rights-cddh-report-93rd-meeting-strasbour/1680a134a9" TargetMode="External"/><Relationship Id="rId23" Type="http://schemas.openxmlformats.org/officeDocument/2006/relationships/hyperlink" Target="https://rm.coe.int/steering-committee-for-human-rights-cddh-proposals-for-a-more-efficien/168094e6e1" TargetMode="External"/><Relationship Id="rId28" Type="http://schemas.openxmlformats.org/officeDocument/2006/relationships/hyperlink" Target="http://hudoc.echr.coe.int/eng?i=001-145546" TargetMode="External"/><Relationship Id="rId36" Type="http://schemas.openxmlformats.org/officeDocument/2006/relationships/hyperlink" Target="https://www.echr.coe.int/Documents/Guide_Art_1_ENG.pdf" TargetMode="External"/><Relationship Id="rId10" Type="http://schemas.openxmlformats.org/officeDocument/2006/relationships/hyperlink" Target="https://rm.coe.int/steering-committee-for-human-rights-cddh-draft-thematic-form-on-gender/1680a00dfc" TargetMode="External"/><Relationship Id="rId19" Type="http://schemas.openxmlformats.org/officeDocument/2006/relationships/hyperlink" Target="https://rm.coe.int/dh-sysc-iv-2021-r3-en/1680a25683" TargetMode="External"/><Relationship Id="rId31" Type="http://schemas.openxmlformats.org/officeDocument/2006/relationships/hyperlink" Target="https://echr.coe.int/Documents/Press_Q_A_Inter-State_cases_ENG.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m.coe.int/letter-from-the-registrar-to-dh-sysc-iv-chair/1680a38799" TargetMode="External"/><Relationship Id="rId14" Type="http://schemas.openxmlformats.org/officeDocument/2006/relationships/hyperlink" Target="https://rm.coe.int/steering-committee-for-human-rights-cddh-report-94th-meeting-strasbour/1680a32c48" TargetMode="External"/><Relationship Id="rId22" Type="http://schemas.openxmlformats.org/officeDocument/2006/relationships/hyperlink" Target="https://rm.coe.int/steering-committee-for-human-rights-cddh-committee-of-experts-on-the-s/1680a0a4f1" TargetMode="External"/><Relationship Id="rId27" Type="http://schemas.openxmlformats.org/officeDocument/2006/relationships/hyperlink" Target="http://hudoc.echr.coe.int/eng?i=001-207757" TargetMode="External"/><Relationship Id="rId30" Type="http://schemas.openxmlformats.org/officeDocument/2006/relationships/hyperlink" Target="https://www.echr.coe.int/documents/fs_armed_conflicts_eng.pdf" TargetMode="External"/><Relationship Id="rId35" Type="http://schemas.openxmlformats.org/officeDocument/2006/relationships/hyperlink" Target="https://www.echr.coe.int/documents/fs_armed_conflicts_eng.pdf" TargetMode="External"/><Relationship Id="rId43" Type="http://schemas.openxmlformats.org/officeDocument/2006/relationships/header" Target="header3.xml"/></Relationships>
</file>

<file path=word/_rels/footnotes.xml.rels><?xml version="1.0" encoding="UTF-8" standalone="yes"?>
<Relationships xmlns="http://schemas.openxmlformats.org/package/2006/relationships"><Relationship Id="rId117" Type="http://schemas.openxmlformats.org/officeDocument/2006/relationships/hyperlink" Target="http://hudoc.echr.coe.int/eng?i=001-121143" TargetMode="External"/><Relationship Id="rId299" Type="http://schemas.openxmlformats.org/officeDocument/2006/relationships/hyperlink" Target="https://voelkerrechtsblog.org/friendly-settlements-as-the-sleeping-beauty-in-inter-state-cases/" TargetMode="External"/><Relationship Id="rId303" Type="http://schemas.openxmlformats.org/officeDocument/2006/relationships/hyperlink" Target="http://hudoc.echr.coe.int/eng?i=001-71800" TargetMode="External"/><Relationship Id="rId21" Type="http://schemas.openxmlformats.org/officeDocument/2006/relationships/hyperlink" Target="https://rm.coe.int/copenhagen-declaration/16807b915c" TargetMode="External"/><Relationship Id="rId42" Type="http://schemas.openxmlformats.org/officeDocument/2006/relationships/hyperlink" Target="https://rm.coe.int/steering-committee-for-human-rights-cddh-proposals-for-a-more-efficien/168094e6e1" TargetMode="External"/><Relationship Id="rId63" Type="http://schemas.openxmlformats.org/officeDocument/2006/relationships/hyperlink" Target="http://hudoc.echr.coe.int/eng?i=001-61241" TargetMode="External"/><Relationship Id="rId84" Type="http://schemas.openxmlformats.org/officeDocument/2006/relationships/hyperlink" Target="http://hudoc.echr.coe.int/eng?i=001-207622" TargetMode="External"/><Relationship Id="rId138" Type="http://schemas.openxmlformats.org/officeDocument/2006/relationships/hyperlink" Target="http://hudoc.echr.coe.int/eng?i=001-103216" TargetMode="External"/><Relationship Id="rId159" Type="http://schemas.openxmlformats.org/officeDocument/2006/relationships/hyperlink" Target="http://hudoc.echr.coe.int/eng?i=001-207757" TargetMode="External"/><Relationship Id="rId324" Type="http://schemas.openxmlformats.org/officeDocument/2006/relationships/hyperlink" Target="http://hudoc.echr.coe.int/eng?i=001-97649" TargetMode="External"/><Relationship Id="rId170" Type="http://schemas.openxmlformats.org/officeDocument/2006/relationships/hyperlink" Target="http://hudoc.echr.coe.int/eng?i=001-207757" TargetMode="External"/><Relationship Id="rId191" Type="http://schemas.openxmlformats.org/officeDocument/2006/relationships/hyperlink" Target="https://hudoc.echr.coe.int/eng" TargetMode="External"/><Relationship Id="rId205" Type="http://schemas.openxmlformats.org/officeDocument/2006/relationships/hyperlink" Target="https://hudoc.echr.coe.int/eng" TargetMode="External"/><Relationship Id="rId226" Type="http://schemas.openxmlformats.org/officeDocument/2006/relationships/hyperlink" Target="http://hudoc.echr.coe.int/eng?i=001-207622" TargetMode="External"/><Relationship Id="rId247" Type="http://schemas.openxmlformats.org/officeDocument/2006/relationships/hyperlink" Target="https://www.echr.coe.int/Documents/Rules_Court_ENG.pdf" TargetMode="External"/><Relationship Id="rId107" Type="http://schemas.openxmlformats.org/officeDocument/2006/relationships/hyperlink" Target="http://hudoc.echr.coe.int/app/conversion/pdf/?library=ECHR&amp;id=003-6875827-9221606&amp;filename=European%20Court%20joins%20three%20inter-State%20applications.pdf" TargetMode="External"/><Relationship Id="rId268" Type="http://schemas.openxmlformats.org/officeDocument/2006/relationships/hyperlink" Target="http://hudoc.echr.coe.int/eng?i=001-189019" TargetMode="External"/><Relationship Id="rId289" Type="http://schemas.openxmlformats.org/officeDocument/2006/relationships/hyperlink" Target="http://hudoc.echr.coe.int/eng?i=001-49199" TargetMode="External"/><Relationship Id="rId11" Type="http://schemas.openxmlformats.org/officeDocument/2006/relationships/hyperlink" Target="https://rm.coe.int/cddh-2019-r92-en/168099535f" TargetMode="External"/><Relationship Id="rId32" Type="http://schemas.openxmlformats.org/officeDocument/2006/relationships/hyperlink" Target="http://hudoc.echr.coe.int/eng?i=001-145546" TargetMode="External"/><Relationship Id="rId53" Type="http://schemas.openxmlformats.org/officeDocument/2006/relationships/hyperlink" Target="http://hudoc.echr.coe.int/eng?i=001-145546" TargetMode="External"/><Relationship Id="rId74" Type="http://schemas.openxmlformats.org/officeDocument/2006/relationships/hyperlink" Target="http://hudoc.echr.coe.int/eng?i=001-101349" TargetMode="External"/><Relationship Id="rId128" Type="http://schemas.openxmlformats.org/officeDocument/2006/relationships/hyperlink" Target="http://hudoc.echr.coe.int/eng?i=001-199515" TargetMode="External"/><Relationship Id="rId149" Type="http://schemas.openxmlformats.org/officeDocument/2006/relationships/hyperlink" Target="https://hudoc.echr.coe.int/fre" TargetMode="External"/><Relationship Id="rId314" Type="http://schemas.openxmlformats.org/officeDocument/2006/relationships/hyperlink" Target="https://hudoc.echr.coe.int/eng" TargetMode="External"/><Relationship Id="rId5" Type="http://schemas.openxmlformats.org/officeDocument/2006/relationships/hyperlink" Target="https://rm.coe.int/steering-committee-for-human-rights-comite-directeur-pour-les-droits-d/1680943434" TargetMode="External"/><Relationship Id="rId95" Type="http://schemas.openxmlformats.org/officeDocument/2006/relationships/hyperlink" Target="http://hudoc.echr.coe.int/eng?i=001-206897" TargetMode="External"/><Relationship Id="rId160" Type="http://schemas.openxmlformats.org/officeDocument/2006/relationships/hyperlink" Target="https://www.echr.coe.int/Documents/Rules_Court_ENG.pdf" TargetMode="External"/><Relationship Id="rId181" Type="http://schemas.openxmlformats.org/officeDocument/2006/relationships/hyperlink" Target="http://hudoc.echr.coe.int/eng?i=001-127684" TargetMode="External"/><Relationship Id="rId216" Type="http://schemas.openxmlformats.org/officeDocument/2006/relationships/hyperlink" Target="https://hudoc.echr.coe.int/eng" TargetMode="External"/><Relationship Id="rId237" Type="http://schemas.openxmlformats.org/officeDocument/2006/relationships/hyperlink" Target="http://hudoc.echr.coe.int/eng?i=001-108097" TargetMode="External"/><Relationship Id="rId258" Type="http://schemas.openxmlformats.org/officeDocument/2006/relationships/hyperlink" Target="http://hudoc.echr.coe.int/eng?i=001-167795" TargetMode="External"/><Relationship Id="rId279" Type="http://schemas.openxmlformats.org/officeDocument/2006/relationships/hyperlink" Target="http://hudoc.echr.coe.int/eng?i=001-109868" TargetMode="External"/><Relationship Id="rId22" Type="http://schemas.openxmlformats.org/officeDocument/2006/relationships/hyperlink" Target="https://rm.coe.int/steering-committee-for-human-rights-cddh-proposals-for-a-more-efficien/168094e6e1" TargetMode="External"/><Relationship Id="rId43" Type="http://schemas.openxmlformats.org/officeDocument/2006/relationships/hyperlink" Target="https://rm.coe.int/comments-of-the-european-court-of-human-rights-interlaken-process-/16809e4f34" TargetMode="External"/><Relationship Id="rId64" Type="http://schemas.openxmlformats.org/officeDocument/2006/relationships/hyperlink" Target="http://hudoc.echr.coe.int/eng?i=001-22806" TargetMode="External"/><Relationship Id="rId118" Type="http://schemas.openxmlformats.org/officeDocument/2006/relationships/hyperlink" Target="http://hudoc.echr.coe.int/eng?i=001-106308" TargetMode="External"/><Relationship Id="rId139" Type="http://schemas.openxmlformats.org/officeDocument/2006/relationships/hyperlink" Target="http://hudoc.echr.coe.int/eng?i=001-2003" TargetMode="External"/><Relationship Id="rId290" Type="http://schemas.openxmlformats.org/officeDocument/2006/relationships/hyperlink" Target="http://hudoc.echr.coe.int/eng?i=001-95640" TargetMode="External"/><Relationship Id="rId304" Type="http://schemas.openxmlformats.org/officeDocument/2006/relationships/hyperlink" Target="http://hudoc.echr.coe.int/eng?i=001-71800" TargetMode="External"/><Relationship Id="rId85" Type="http://schemas.openxmlformats.org/officeDocument/2006/relationships/hyperlink" Target="http://hudoc.echr.coe.int/eng?i=001-207622" TargetMode="External"/><Relationship Id="rId150" Type="http://schemas.openxmlformats.org/officeDocument/2006/relationships/hyperlink" Target="http://hudoc.echr.coe.int/eng?i=001-3213" TargetMode="External"/><Relationship Id="rId171" Type="http://schemas.openxmlformats.org/officeDocument/2006/relationships/hyperlink" Target="http://hudoc.echr.coe.int/eng?i=001-207757" TargetMode="External"/><Relationship Id="rId192" Type="http://schemas.openxmlformats.org/officeDocument/2006/relationships/hyperlink" Target="http://hudoc.echr.coe.int/eng?i=001-58901" TargetMode="External"/><Relationship Id="rId206" Type="http://schemas.openxmlformats.org/officeDocument/2006/relationships/hyperlink" Target="http://hudoc.echr.coe.int/eng?i=001-127684" TargetMode="External"/><Relationship Id="rId227" Type="http://schemas.openxmlformats.org/officeDocument/2006/relationships/hyperlink" Target="https://hudoc.echr.coe.int/eng" TargetMode="External"/><Relationship Id="rId248" Type="http://schemas.openxmlformats.org/officeDocument/2006/relationships/hyperlink" Target="https://rm.coe.int/steering-committee-for-human-rights-comite-directeur-pour-les-droits-d/1680943434" TargetMode="External"/><Relationship Id="rId269" Type="http://schemas.openxmlformats.org/officeDocument/2006/relationships/hyperlink" Target="http://hudoc.echr.coe.int/eng?i=001-189019" TargetMode="External"/><Relationship Id="rId12" Type="http://schemas.openxmlformats.org/officeDocument/2006/relationships/hyperlink" Target="https://rm.coe.int/steering-committee-for-human-rights-cddh-contribution-of-the-cddh-to-t/1680990d49" TargetMode="External"/><Relationship Id="rId33" Type="http://schemas.openxmlformats.org/officeDocument/2006/relationships/hyperlink" Target="http://hudoc.echr.coe.int/eng?i=001-207622" TargetMode="External"/><Relationship Id="rId108" Type="http://schemas.openxmlformats.org/officeDocument/2006/relationships/hyperlink" Target="http://hudoc.echr.coe.int/eng?i=001-207622" TargetMode="External"/><Relationship Id="rId129" Type="http://schemas.openxmlformats.org/officeDocument/2006/relationships/hyperlink" Target="http://hudoc.echr.coe.int/eng?i=001-121143" TargetMode="External"/><Relationship Id="rId280" Type="http://schemas.openxmlformats.org/officeDocument/2006/relationships/hyperlink" Target="http://hudoc.echr.coe.int/eng?i=001-57587" TargetMode="External"/><Relationship Id="rId315" Type="http://schemas.openxmlformats.org/officeDocument/2006/relationships/hyperlink" Target="http://hudoc.echr.coe.int/eng?i=001-165535" TargetMode="External"/><Relationship Id="rId54" Type="http://schemas.openxmlformats.org/officeDocument/2006/relationships/hyperlink" Target="http://hudoc.echr.coe.int/eng?i=001-207622" TargetMode="External"/><Relationship Id="rId75" Type="http://schemas.openxmlformats.org/officeDocument/2006/relationships/hyperlink" Target="http://hudoc.echr.coe.int/eng?i=001-146873" TargetMode="External"/><Relationship Id="rId96" Type="http://schemas.openxmlformats.org/officeDocument/2006/relationships/hyperlink" Target="http://hudoc.echr.coe.int/eng?i=001-206897" TargetMode="External"/><Relationship Id="rId140" Type="http://schemas.openxmlformats.org/officeDocument/2006/relationships/hyperlink" Target="http://hudoc.echr.coe.int/eng?i=001-187961" TargetMode="External"/><Relationship Id="rId161" Type="http://schemas.openxmlformats.org/officeDocument/2006/relationships/hyperlink" Target="http://hudoc.echr.coe.int/eng?i=001-57506" TargetMode="External"/><Relationship Id="rId182" Type="http://schemas.openxmlformats.org/officeDocument/2006/relationships/hyperlink" Target="http://hudoc.echr.coe.int/eng?i=001-127684" TargetMode="External"/><Relationship Id="rId217" Type="http://schemas.openxmlformats.org/officeDocument/2006/relationships/hyperlink" Target="http://hudoc.echr.coe.int/eng?i=001-207757" TargetMode="External"/><Relationship Id="rId6" Type="http://schemas.openxmlformats.org/officeDocument/2006/relationships/hyperlink" Target="https://rm.coe.int/steering-committee-for-human-rights-cddh-proposals-for-a-more-efficien/168094e6e1" TargetMode="External"/><Relationship Id="rId238" Type="http://schemas.openxmlformats.org/officeDocument/2006/relationships/hyperlink" Target="http://hudoc.echr.coe.int/eng?i=001-189019" TargetMode="External"/><Relationship Id="rId259" Type="http://schemas.openxmlformats.org/officeDocument/2006/relationships/hyperlink" Target="http://hudoc.echr.coe.int/eng?i=001-68790" TargetMode="External"/><Relationship Id="rId23" Type="http://schemas.openxmlformats.org/officeDocument/2006/relationships/hyperlink" Target="https://rm.coe.int/steering-committee-for-human-rights-cddh-draft-additional-elements-res/168094ef0b" TargetMode="External"/><Relationship Id="rId119" Type="http://schemas.openxmlformats.org/officeDocument/2006/relationships/hyperlink" Target="http://hudoc.echr.coe.int/eng?i=001-142444" TargetMode="External"/><Relationship Id="rId270" Type="http://schemas.openxmlformats.org/officeDocument/2006/relationships/hyperlink" Target="https://hudoc.echr.coe.int/eng" TargetMode="External"/><Relationship Id="rId291" Type="http://schemas.openxmlformats.org/officeDocument/2006/relationships/hyperlink" Target="https://hudoc.echr.coe.int/eng" TargetMode="External"/><Relationship Id="rId305" Type="http://schemas.openxmlformats.org/officeDocument/2006/relationships/hyperlink" Target="http://hudoc.echr.coe.int/eng?i=001-71800" TargetMode="External"/><Relationship Id="rId44" Type="http://schemas.openxmlformats.org/officeDocument/2006/relationships/hyperlink" Target="file:///\\bmjdatams.bmj.local\Desktop$\mellech-ka\Desktop\v" TargetMode="External"/><Relationship Id="rId65" Type="http://schemas.openxmlformats.org/officeDocument/2006/relationships/hyperlink" Target="http://hudoc.echr.coe.int/eng?i=001-22702" TargetMode="External"/><Relationship Id="rId86" Type="http://schemas.openxmlformats.org/officeDocument/2006/relationships/hyperlink" Target="http://hudoc.echr.coe.int/eng?i=001-207622" TargetMode="External"/><Relationship Id="rId130" Type="http://schemas.openxmlformats.org/officeDocument/2006/relationships/hyperlink" Target="http://hudoc.echr.coe.int/eng?i=001-106308" TargetMode="External"/><Relationship Id="rId151" Type="http://schemas.openxmlformats.org/officeDocument/2006/relationships/hyperlink" Target="https://rm.coe.int/CoERMPublicCommonSearchServices/DisplayDCTMContent?documentId=09000016804bf092" TargetMode="External"/><Relationship Id="rId172" Type="http://schemas.openxmlformats.org/officeDocument/2006/relationships/hyperlink" Target="http://hudoc.echr.coe.int/eng?i=001-207622" TargetMode="External"/><Relationship Id="rId193" Type="http://schemas.openxmlformats.org/officeDocument/2006/relationships/hyperlink" Target="http://hudoc.echr.coe.int/eng?i=001-61698" TargetMode="External"/><Relationship Id="rId207" Type="http://schemas.openxmlformats.org/officeDocument/2006/relationships/hyperlink" Target="http://hudoc.echr.coe.int/eng?i=001-127684" TargetMode="External"/><Relationship Id="rId228" Type="http://schemas.openxmlformats.org/officeDocument/2006/relationships/hyperlink" Target="http://hudoc.echr.coe.int/eng?i=001-207622" TargetMode="External"/><Relationship Id="rId249" Type="http://schemas.openxmlformats.org/officeDocument/2006/relationships/hyperlink" Target="http://assembly.coe.int/nw/xml/XRef/Xref-XML2HTML-en.asp?fileid=17576&amp;lang=en" TargetMode="External"/><Relationship Id="rId13" Type="http://schemas.openxmlformats.org/officeDocument/2006/relationships/hyperlink" Target="https://rm.coe.int/steering-committee-for-human-rights-cddh-cddh-report-on-the-place-of-t/1680994279" TargetMode="External"/><Relationship Id="rId109" Type="http://schemas.openxmlformats.org/officeDocument/2006/relationships/hyperlink" Target="http://hudoc.echr.coe.int/eng?i=001-207622" TargetMode="External"/><Relationship Id="rId260" Type="http://schemas.openxmlformats.org/officeDocument/2006/relationships/hyperlink" Target="http://hudoc.echr.coe.int/eng?i=001-144151" TargetMode="External"/><Relationship Id="rId281" Type="http://schemas.openxmlformats.org/officeDocument/2006/relationships/hyperlink" Target="http://hudoc.echr.coe.int/eng?i=001-71556" TargetMode="External"/><Relationship Id="rId316" Type="http://schemas.openxmlformats.org/officeDocument/2006/relationships/hyperlink" Target="http://hudoc.echr.coe.int/eng?i=001-192578" TargetMode="External"/><Relationship Id="rId34" Type="http://schemas.openxmlformats.org/officeDocument/2006/relationships/hyperlink" Target="http://hudoc.echr.coe.int/eng?i=001-207757" TargetMode="External"/><Relationship Id="rId55" Type="http://schemas.openxmlformats.org/officeDocument/2006/relationships/hyperlink" Target="https://www.echr.coe.int/Documents/Denmark_v_Greece_I.pdf" TargetMode="External"/><Relationship Id="rId76" Type="http://schemas.openxmlformats.org/officeDocument/2006/relationships/hyperlink" Target="http://hudoc.echr.coe.int/eng?i=001-207622" TargetMode="External"/><Relationship Id="rId97" Type="http://schemas.openxmlformats.org/officeDocument/2006/relationships/hyperlink" Target="http://hudoc.echr.coe.int/eng?i=001-206897" TargetMode="External"/><Relationship Id="rId120" Type="http://schemas.openxmlformats.org/officeDocument/2006/relationships/hyperlink" Target="http://hudoc.echr.coe.int/eng?i=001-193851" TargetMode="External"/><Relationship Id="rId141" Type="http://schemas.openxmlformats.org/officeDocument/2006/relationships/hyperlink" Target="https://treaties.un.org/Pages/ViewDetails.aspx?src=TREATY&amp;mtdsg_no=IV-5&amp;chapter=4" TargetMode="External"/><Relationship Id="rId7" Type="http://schemas.openxmlformats.org/officeDocument/2006/relationships/hyperlink" Target="https://rm.coe.int/steering-committee-for-human-rights-cddh-draft-additional-elements-res/168094ef0b" TargetMode="External"/><Relationship Id="rId162" Type="http://schemas.openxmlformats.org/officeDocument/2006/relationships/hyperlink" Target="http://hudoc.echr.coe.int/eng?i=001-69630" TargetMode="External"/><Relationship Id="rId183" Type="http://schemas.openxmlformats.org/officeDocument/2006/relationships/hyperlink" Target="http://hudoc.echr.coe.int/eng?i=001-127684" TargetMode="External"/><Relationship Id="rId218" Type="http://schemas.openxmlformats.org/officeDocument/2006/relationships/hyperlink" Target="https://hudoc.echr.coe.int/eng" TargetMode="External"/><Relationship Id="rId239" Type="http://schemas.openxmlformats.org/officeDocument/2006/relationships/hyperlink" Target="https://hudoc.echr.coe.int/eng" TargetMode="External"/><Relationship Id="rId250" Type="http://schemas.openxmlformats.org/officeDocument/2006/relationships/hyperlink" Target="https://www.echr.coe.int/Documents/Rules_Court_ENG.pdf" TargetMode="External"/><Relationship Id="rId271" Type="http://schemas.openxmlformats.org/officeDocument/2006/relationships/hyperlink" Target="https://hudoc.echr.coe.int/eng" TargetMode="External"/><Relationship Id="rId292" Type="http://schemas.openxmlformats.org/officeDocument/2006/relationships/hyperlink" Target="http://hudoc.echr.coe.int/eng?i=001-95638" TargetMode="External"/><Relationship Id="rId306" Type="http://schemas.openxmlformats.org/officeDocument/2006/relationships/hyperlink" Target="http://hudoc.echr.coe.int/eng?i=001-71800" TargetMode="External"/><Relationship Id="rId24" Type="http://schemas.openxmlformats.org/officeDocument/2006/relationships/hyperlink" Target="https://rm.coe.int/steering-committee-for-human-rights-cddh-proposals-for-a-more-efficien/168094e6e1" TargetMode="External"/><Relationship Id="rId45" Type="http://schemas.openxmlformats.org/officeDocument/2006/relationships/hyperlink" Target="file:///\\bmjdatams.bmj.local\Desktop$\mellech-ka\Desktop\v" TargetMode="External"/><Relationship Id="rId66" Type="http://schemas.openxmlformats.org/officeDocument/2006/relationships/hyperlink" Target="http://hudoc.echr.coe.int/eng?i=001-100969" TargetMode="External"/><Relationship Id="rId87" Type="http://schemas.openxmlformats.org/officeDocument/2006/relationships/hyperlink" Target="http://hudoc.echr.coe.int/eng?i=001-206897" TargetMode="External"/><Relationship Id="rId110" Type="http://schemas.openxmlformats.org/officeDocument/2006/relationships/hyperlink" Target="https://rm.coe.int/steering-committee-for-human-rights-comite-directeur-pour-les-droits-d/1680943434" TargetMode="External"/><Relationship Id="rId131" Type="http://schemas.openxmlformats.org/officeDocument/2006/relationships/hyperlink" Target="http://hudoc.echr.coe.int/eng?i=001-87620" TargetMode="External"/><Relationship Id="rId152" Type="http://schemas.openxmlformats.org/officeDocument/2006/relationships/hyperlink" Target="https://rm.coe.int/CoERMPublicCommonSearchServices/DisplayDCTMContent?documentId=09000016804bf092" TargetMode="External"/><Relationship Id="rId173" Type="http://schemas.openxmlformats.org/officeDocument/2006/relationships/hyperlink" Target="https://hudoc.echr.coe.int/eng" TargetMode="External"/><Relationship Id="rId194" Type="http://schemas.openxmlformats.org/officeDocument/2006/relationships/hyperlink" Target="http://hudoc.echr.coe.int/eng?i=001-77932" TargetMode="External"/><Relationship Id="rId208" Type="http://schemas.openxmlformats.org/officeDocument/2006/relationships/hyperlink" Target="http://hudoc.echr.coe.int/eng?i=001-207622" TargetMode="External"/><Relationship Id="rId229" Type="http://schemas.openxmlformats.org/officeDocument/2006/relationships/hyperlink" Target="http://hudoc.echr.coe.int/eng?i=001-207622" TargetMode="External"/><Relationship Id="rId19" Type="http://schemas.openxmlformats.org/officeDocument/2006/relationships/hyperlink" Target="https://rm.coe.int/steering-committee-for-human-rights-cddh-proposals-for-a-more-efficien/168094e6e1" TargetMode="External"/><Relationship Id="rId224" Type="http://schemas.openxmlformats.org/officeDocument/2006/relationships/hyperlink" Target="http://hudoc.echr.coe.int/eng?i=001-207622" TargetMode="External"/><Relationship Id="rId240" Type="http://schemas.openxmlformats.org/officeDocument/2006/relationships/hyperlink" Target="http://hudoc.echr.coe.int/eng?i=001-207757" TargetMode="External"/><Relationship Id="rId245" Type="http://schemas.openxmlformats.org/officeDocument/2006/relationships/hyperlink" Target="http://hudoc.echr.coe.int/eng?i=001-59454" TargetMode="External"/><Relationship Id="rId261" Type="http://schemas.openxmlformats.org/officeDocument/2006/relationships/hyperlink" Target="http://hudoc.echr.coe.int/eng?i=001-189019" TargetMode="External"/><Relationship Id="rId266" Type="http://schemas.openxmlformats.org/officeDocument/2006/relationships/hyperlink" Target="http://hudoc.echr.coe.int/eng?i=001-189019" TargetMode="External"/><Relationship Id="rId287" Type="http://schemas.openxmlformats.org/officeDocument/2006/relationships/hyperlink" Target="http://hudoc.echr.coe.int/eng?i=001-75361" TargetMode="External"/><Relationship Id="rId14" Type="http://schemas.openxmlformats.org/officeDocument/2006/relationships/hyperlink" Target="https://search.coe.int/cm/Pages/result_details.aspx?ObjectId=0900001680993c9e" TargetMode="External"/><Relationship Id="rId30" Type="http://schemas.openxmlformats.org/officeDocument/2006/relationships/hyperlink" Target="http://hudoc.echr.coe.int/eng?i=001-57506" TargetMode="External"/><Relationship Id="rId35" Type="http://schemas.openxmlformats.org/officeDocument/2006/relationships/hyperlink" Target="http://hudoc.echr.coe.int/eng?i=001-207757" TargetMode="External"/><Relationship Id="rId56" Type="http://schemas.openxmlformats.org/officeDocument/2006/relationships/hyperlink" Target="http://hudoc.echr.coe.int/eng?i=001-57506" TargetMode="External"/><Relationship Id="rId77" Type="http://schemas.openxmlformats.org/officeDocument/2006/relationships/hyperlink" Target="http://hudoc.echr.coe.int/eng?i=001-207622" TargetMode="External"/><Relationship Id="rId100" Type="http://schemas.openxmlformats.org/officeDocument/2006/relationships/hyperlink" Target="https://rm.coe.int/steering-committee-for-human-rights-comite-directeur-pour-les-droits-d/1680943434" TargetMode="External"/><Relationship Id="rId105" Type="http://schemas.openxmlformats.org/officeDocument/2006/relationships/hyperlink" Target="https://hudoc.echr.coe.int/app/conversion/pdf?library=ECHR&amp;id=003-6282063-8189102&amp;filename=ECHR%20to%20adjourn%20some%20individual%20applications%20related%20to%20Eastern%20Ukraine.pdf" TargetMode="External"/><Relationship Id="rId126" Type="http://schemas.openxmlformats.org/officeDocument/2006/relationships/hyperlink" Target="http://hudoc.echr.coe.int/eng?i=001-111414" TargetMode="External"/><Relationship Id="rId147" Type="http://schemas.openxmlformats.org/officeDocument/2006/relationships/hyperlink" Target="https://www.coe.int/en/web/human-rights-intergovernmental-cooperation/human-rights-development-cddh/plenary-meeting-reports" TargetMode="External"/><Relationship Id="rId168" Type="http://schemas.openxmlformats.org/officeDocument/2006/relationships/hyperlink" Target="http://hudoc.echr.coe.int/eng?i=001-207757" TargetMode="External"/><Relationship Id="rId282" Type="http://schemas.openxmlformats.org/officeDocument/2006/relationships/hyperlink" Target="http://hudoc.echr.coe.int/eng?i=001-82839" TargetMode="External"/><Relationship Id="rId312" Type="http://schemas.openxmlformats.org/officeDocument/2006/relationships/hyperlink" Target="http://hudoc.echr.coe.int/eng?i=001-188710" TargetMode="External"/><Relationship Id="rId317" Type="http://schemas.openxmlformats.org/officeDocument/2006/relationships/hyperlink" Target="http://hudoc.echr.coe.int/eng?i=001-165566" TargetMode="External"/><Relationship Id="rId8" Type="http://schemas.openxmlformats.org/officeDocument/2006/relationships/hyperlink" Target="https://rm.coe.int/steering-committee-for-human-rights-cddh-report-91st-meeting-strasbour/168096f6ab" TargetMode="External"/><Relationship Id="rId51" Type="http://schemas.openxmlformats.org/officeDocument/2006/relationships/hyperlink" Target="http://hudoc.echr.coe.int/eng?i=001-57506" TargetMode="External"/><Relationship Id="rId72" Type="http://schemas.openxmlformats.org/officeDocument/2006/relationships/hyperlink" Target="http://hudoc.echr.coe.int/eng?i=001-100666" TargetMode="External"/><Relationship Id="rId93" Type="http://schemas.openxmlformats.org/officeDocument/2006/relationships/hyperlink" Target="http://hudoc.echr.coe.int/eng?i=001-207622" TargetMode="External"/><Relationship Id="rId98" Type="http://schemas.openxmlformats.org/officeDocument/2006/relationships/hyperlink" Target="http://hudoc.echr.coe.int/eng?i=001-206897" TargetMode="External"/><Relationship Id="rId121" Type="http://schemas.openxmlformats.org/officeDocument/2006/relationships/hyperlink" Target="http://hudoc.echr.coe.int/eng?i=001-80314" TargetMode="External"/><Relationship Id="rId142" Type="http://schemas.openxmlformats.org/officeDocument/2006/relationships/hyperlink" Target="https://tbinternet.ohchr.org/_layouts/15/treatybodyexternal/Download.aspx?symbolno=CCPR%2fC%2f123%2fD%2f2807%2f2016&amp;Lang=en" TargetMode="External"/><Relationship Id="rId163" Type="http://schemas.openxmlformats.org/officeDocument/2006/relationships/hyperlink" Target="http://hudoc.echr.coe.int/eng?i=001-145546" TargetMode="External"/><Relationship Id="rId184" Type="http://schemas.openxmlformats.org/officeDocument/2006/relationships/hyperlink" Target="http://hudoc.echr.coe.int/eng?i=001-127684" TargetMode="External"/><Relationship Id="rId189" Type="http://schemas.openxmlformats.org/officeDocument/2006/relationships/hyperlink" Target="http://hudoc.echr.coe.int/eng?i=001-127684" TargetMode="External"/><Relationship Id="rId219" Type="http://schemas.openxmlformats.org/officeDocument/2006/relationships/hyperlink" Target="http://hudoc.echr.coe.int/eng?i=001-207757" TargetMode="External"/><Relationship Id="rId3" Type="http://schemas.openxmlformats.org/officeDocument/2006/relationships/hyperlink" Target="https://rm.coe.int/steering-committee-for-human-rights-cddh-report-91st-meeting-strasbour/168096f6ab" TargetMode="External"/><Relationship Id="rId214" Type="http://schemas.openxmlformats.org/officeDocument/2006/relationships/hyperlink" Target="http://hudoc.echr.coe.int/eng?i=001-207622" TargetMode="External"/><Relationship Id="rId230" Type="http://schemas.openxmlformats.org/officeDocument/2006/relationships/hyperlink" Target="https://hudoc.echr.coe.int/eng" TargetMode="External"/><Relationship Id="rId235" Type="http://schemas.openxmlformats.org/officeDocument/2006/relationships/hyperlink" Target="http://hudoc.echr.coe.int/eng?i=001-108097" TargetMode="External"/><Relationship Id="rId251" Type="http://schemas.openxmlformats.org/officeDocument/2006/relationships/hyperlink" Target="http://hudoc.echr.coe.int/eng?i=001-142541" TargetMode="External"/><Relationship Id="rId256" Type="http://schemas.openxmlformats.org/officeDocument/2006/relationships/hyperlink" Target="http://hudoc.echr.coe.int/eng?i=001-142541" TargetMode="External"/><Relationship Id="rId277" Type="http://schemas.openxmlformats.org/officeDocument/2006/relationships/hyperlink" Target="http://hudoc.echr.coe.int/eng?i=001-189019" TargetMode="External"/><Relationship Id="rId298" Type="http://schemas.openxmlformats.org/officeDocument/2006/relationships/hyperlink" Target="https://voelkerrechtsblog.org/friendly-settlements-as-the-sleeping-beauty-in-inter-state-cases/" TargetMode="External"/><Relationship Id="rId25" Type="http://schemas.openxmlformats.org/officeDocument/2006/relationships/hyperlink" Target="http://hudoc.echr.coe.int/eng?i=001-115598" TargetMode="External"/><Relationship Id="rId46" Type="http://schemas.openxmlformats.org/officeDocument/2006/relationships/hyperlink" Target="file:///\\bmjdatams.bmj.local\Desktop$\mellech-ka\Desktop\v" TargetMode="External"/><Relationship Id="rId67" Type="http://schemas.openxmlformats.org/officeDocument/2006/relationships/hyperlink" Target="http://hudoc.echr.coe.int/eng?i=001-80795" TargetMode="External"/><Relationship Id="rId116" Type="http://schemas.openxmlformats.org/officeDocument/2006/relationships/hyperlink" Target="http://hudoc.echr.coe.int/eng?i=001-106308" TargetMode="External"/><Relationship Id="rId137" Type="http://schemas.openxmlformats.org/officeDocument/2006/relationships/hyperlink" Target="http://hudoc.echr.coe.int/eng?i=001-199515" TargetMode="External"/><Relationship Id="rId158" Type="http://schemas.openxmlformats.org/officeDocument/2006/relationships/hyperlink" Target="https://rm.coe.int/steering-committee-for-human-rights-cddh-proposals-for-a-more-efficien/168094e6e1" TargetMode="External"/><Relationship Id="rId272" Type="http://schemas.openxmlformats.org/officeDocument/2006/relationships/hyperlink" Target="https://hudoc.echr.coe.int/eng" TargetMode="External"/><Relationship Id="rId293" Type="http://schemas.openxmlformats.org/officeDocument/2006/relationships/hyperlink" Target="https://hudoc.echr.coe.int/eng" TargetMode="External"/><Relationship Id="rId302" Type="http://schemas.openxmlformats.org/officeDocument/2006/relationships/hyperlink" Target="http://hudoc.echr.coe.int/eng?i=001-192209" TargetMode="External"/><Relationship Id="rId307" Type="http://schemas.openxmlformats.org/officeDocument/2006/relationships/hyperlink" Target="http://hudoc.echr.coe.int/eng?i=001-97649" TargetMode="External"/><Relationship Id="rId323" Type="http://schemas.openxmlformats.org/officeDocument/2006/relationships/hyperlink" Target="http://hudoc.echr.coe.int/eng?i=001-161055" TargetMode="External"/><Relationship Id="rId20" Type="http://schemas.openxmlformats.org/officeDocument/2006/relationships/hyperlink" Target="https://rm.coe.int/comments-of-the-european-court-of-human-rights-interlaken-process-/16809e4f34" TargetMode="External"/><Relationship Id="rId41" Type="http://schemas.openxmlformats.org/officeDocument/2006/relationships/hyperlink" Target="http://hudoc.echr.coe.int/eng?i=001-206897" TargetMode="External"/><Relationship Id="rId62" Type="http://schemas.openxmlformats.org/officeDocument/2006/relationships/hyperlink" Target="http://hudoc.echr.coe.int/eng?i=001-43391" TargetMode="External"/><Relationship Id="rId83" Type="http://schemas.openxmlformats.org/officeDocument/2006/relationships/hyperlink" Target="http://hudoc.echr.coe.int/eng?i=001-207622" TargetMode="External"/><Relationship Id="rId88" Type="http://schemas.openxmlformats.org/officeDocument/2006/relationships/hyperlink" Target="https://hudoc.echr.coe.int/app/conversion/pdf/?library=ECHR&amp;id=001-74811&amp;filename=CYPRUS%20v.%20TURKEY.pdf" TargetMode="External"/><Relationship Id="rId111" Type="http://schemas.openxmlformats.org/officeDocument/2006/relationships/hyperlink" Target="http://hudoc.echr.coe.int/eng?i=001-112143" TargetMode="External"/><Relationship Id="rId132" Type="http://schemas.openxmlformats.org/officeDocument/2006/relationships/hyperlink" Target="http://hudoc.echr.coe.int/eng?i=001-103216" TargetMode="External"/><Relationship Id="rId153" Type="http://schemas.openxmlformats.org/officeDocument/2006/relationships/hyperlink" Target="http://hudoc.echr.coe.int/eng?i=001-3213" TargetMode="External"/><Relationship Id="rId174" Type="http://schemas.openxmlformats.org/officeDocument/2006/relationships/hyperlink" Target="http://hudoc.echr.coe.int/eng?i=001-207757" TargetMode="External"/><Relationship Id="rId179" Type="http://schemas.openxmlformats.org/officeDocument/2006/relationships/hyperlink" Target="http://hudoc.echr.coe.int/eng?i=001-127684" TargetMode="External"/><Relationship Id="rId195" Type="http://schemas.openxmlformats.org/officeDocument/2006/relationships/hyperlink" Target="http://hudoc.echr.coe.int/eng?i=001-127684" TargetMode="External"/><Relationship Id="rId209" Type="http://schemas.openxmlformats.org/officeDocument/2006/relationships/hyperlink" Target="http://hudoc.echr.coe.int/eng?i=001-207622" TargetMode="External"/><Relationship Id="rId190" Type="http://schemas.openxmlformats.org/officeDocument/2006/relationships/hyperlink" Target="http://hudoc.echr.coe.int/eng?i=001-81908" TargetMode="External"/><Relationship Id="rId204" Type="http://schemas.openxmlformats.org/officeDocument/2006/relationships/hyperlink" Target="http://hudoc.echr.coe.int/eng?i=001-127684" TargetMode="External"/><Relationship Id="rId220" Type="http://schemas.openxmlformats.org/officeDocument/2006/relationships/hyperlink" Target="https://hudoc.echr.coe.int/eng" TargetMode="External"/><Relationship Id="rId225" Type="http://schemas.openxmlformats.org/officeDocument/2006/relationships/hyperlink" Target="http://hudoc.echr.coe.int/eng?i=001-207622" TargetMode="External"/><Relationship Id="rId241" Type="http://schemas.openxmlformats.org/officeDocument/2006/relationships/hyperlink" Target="https://www.echr.coe.int/Documents/Rules_Court_ENG.pdf" TargetMode="External"/><Relationship Id="rId246" Type="http://schemas.openxmlformats.org/officeDocument/2006/relationships/hyperlink" Target="http://hudoc.echr.coe.int/eng?i=001-207757" TargetMode="External"/><Relationship Id="rId267" Type="http://schemas.openxmlformats.org/officeDocument/2006/relationships/hyperlink" Target="http://hudoc.echr.coe.int/eng?i=001-145546" TargetMode="External"/><Relationship Id="rId288" Type="http://schemas.openxmlformats.org/officeDocument/2006/relationships/hyperlink" Target="http://hudoc.echr.coe.int/eng?i=001-75356" TargetMode="External"/><Relationship Id="rId15" Type="http://schemas.openxmlformats.org/officeDocument/2006/relationships/hyperlink" Target="https://rm.coe.int/comments-of-the-european-court-of-human-rights-interlaken-process-/16809e4f34" TargetMode="External"/><Relationship Id="rId36" Type="http://schemas.openxmlformats.org/officeDocument/2006/relationships/hyperlink" Target="http://hudoc.echr.coe.int/eng?i=001-207622" TargetMode="External"/><Relationship Id="rId57" Type="http://schemas.openxmlformats.org/officeDocument/2006/relationships/hyperlink" Target="http://hudoc.echr.coe.int/eng?i=001-59454" TargetMode="External"/><Relationship Id="rId106" Type="http://schemas.openxmlformats.org/officeDocument/2006/relationships/hyperlink" Target="https://rm.coe.int/steering-committee-for-human-rights-cddh-proposals-for-a-more-efficien/168094e6e1" TargetMode="External"/><Relationship Id="rId127" Type="http://schemas.openxmlformats.org/officeDocument/2006/relationships/hyperlink" Target="http://hudoc.echr.coe.int/eng?i=001-142444" TargetMode="External"/><Relationship Id="rId262" Type="http://schemas.openxmlformats.org/officeDocument/2006/relationships/hyperlink" Target="http://hudoc.echr.coe.int/eng?i=001-144151" TargetMode="External"/><Relationship Id="rId283" Type="http://schemas.openxmlformats.org/officeDocument/2006/relationships/hyperlink" Target="http://hudoc.echr.coe.int/eng?i=001-94026" TargetMode="External"/><Relationship Id="rId313" Type="http://schemas.openxmlformats.org/officeDocument/2006/relationships/hyperlink" Target="https://hudoc.echr.coe.int/eng" TargetMode="External"/><Relationship Id="rId318" Type="http://schemas.openxmlformats.org/officeDocument/2006/relationships/hyperlink" Target="http://hudoc.echr.coe.int/eng?i=001-155353" TargetMode="External"/><Relationship Id="rId10" Type="http://schemas.openxmlformats.org/officeDocument/2006/relationships/hyperlink" Target="https://rm.coe.int/drafting-group-on-the-effective-processing-and-resolution-of-inter-sta/1680996b5f" TargetMode="External"/><Relationship Id="rId31" Type="http://schemas.openxmlformats.org/officeDocument/2006/relationships/hyperlink" Target="http://hudoc.echr.coe.int/eng?i=001-59454" TargetMode="External"/><Relationship Id="rId52" Type="http://schemas.openxmlformats.org/officeDocument/2006/relationships/hyperlink" Target="http://hudoc.echr.coe.int/eng?i=001-59454" TargetMode="External"/><Relationship Id="rId73" Type="http://schemas.openxmlformats.org/officeDocument/2006/relationships/hyperlink" Target="http://hudoc.echr.coe.int/eng?i=001-109049" TargetMode="External"/><Relationship Id="rId78" Type="http://schemas.openxmlformats.org/officeDocument/2006/relationships/hyperlink" Target="http://hudoc.echr.coe.int/eng?i=001-206897" TargetMode="External"/><Relationship Id="rId94" Type="http://schemas.openxmlformats.org/officeDocument/2006/relationships/hyperlink" Target="http://hudoc.echr.coe.int/eng?i=001-207622" TargetMode="External"/><Relationship Id="rId99" Type="http://schemas.openxmlformats.org/officeDocument/2006/relationships/hyperlink" Target="https://rm.coe.int/steering-committee-for-human-rights-cddh-proposals-for-a-more-efficien/168094e6e1" TargetMode="External"/><Relationship Id="rId101" Type="http://schemas.openxmlformats.org/officeDocument/2006/relationships/hyperlink" Target="https://rm.coe.int/steering-committee-for-human-rights-comite-directeur-pour-les-droits-d/1680943434" TargetMode="External"/><Relationship Id="rId122" Type="http://schemas.openxmlformats.org/officeDocument/2006/relationships/hyperlink" Target="http://hudoc.echr.coe.int/eng?i=001-103216" TargetMode="External"/><Relationship Id="rId143" Type="http://schemas.openxmlformats.org/officeDocument/2006/relationships/hyperlink" Target="https://tbinternet.ohchr.org/_layouts/15/treatybodyexternal/Download.aspx?symbolno=CCPR%2fC%2f123%2fD%2f2747%2f2016&amp;Lang=en" TargetMode="External"/><Relationship Id="rId148" Type="http://schemas.openxmlformats.org/officeDocument/2006/relationships/hyperlink" Target="https://rm.coe.int/steering-committee-for-human-rights-cddh-cddh-report-on-the-place-of-t/1680994279" TargetMode="External"/><Relationship Id="rId164" Type="http://schemas.openxmlformats.org/officeDocument/2006/relationships/hyperlink" Target="http://hudoc.echr.coe.int/eng?i=001-57506" TargetMode="External"/><Relationship Id="rId169" Type="http://schemas.openxmlformats.org/officeDocument/2006/relationships/hyperlink" Target="https://hudoc.echr.coe.int/eng" TargetMode="External"/><Relationship Id="rId185" Type="http://schemas.openxmlformats.org/officeDocument/2006/relationships/hyperlink" Target="http://hudoc.echr.coe.int/eng?i=001-127684" TargetMode="External"/><Relationship Id="rId4" Type="http://schemas.openxmlformats.org/officeDocument/2006/relationships/hyperlink" Target="https://rm.coe.int/steering-committee-for-human-rights-cddh-draft-additional-elements-res/168094ef0b" TargetMode="External"/><Relationship Id="rId9" Type="http://schemas.openxmlformats.org/officeDocument/2006/relationships/hyperlink" Target="https://rm.coe.int/steering-committee-for-human-rights-cddh-report-91st-meeting-strasbour/168096f6ab" TargetMode="External"/><Relationship Id="rId180" Type="http://schemas.openxmlformats.org/officeDocument/2006/relationships/hyperlink" Target="http://hudoc.echr.coe.int/eng?i=001-189019" TargetMode="External"/><Relationship Id="rId210" Type="http://schemas.openxmlformats.org/officeDocument/2006/relationships/hyperlink" Target="http://hudoc.echr.coe.int/eng?i=001-207622" TargetMode="External"/><Relationship Id="rId215" Type="http://schemas.openxmlformats.org/officeDocument/2006/relationships/hyperlink" Target="http://hudoc.echr.coe.int/eng?i=001-207757" TargetMode="External"/><Relationship Id="rId236" Type="http://schemas.openxmlformats.org/officeDocument/2006/relationships/hyperlink" Target="http://hudoc.echr.coe.int/eng?i=001-108097" TargetMode="External"/><Relationship Id="rId257" Type="http://schemas.openxmlformats.org/officeDocument/2006/relationships/hyperlink" Target="http://hudoc.echr.coe.int/eng?i=001-142541" TargetMode="External"/><Relationship Id="rId278" Type="http://schemas.openxmlformats.org/officeDocument/2006/relationships/hyperlink" Target="http://hudoc.echr.coe.int/eng?i=001-189019" TargetMode="External"/><Relationship Id="rId26" Type="http://schemas.openxmlformats.org/officeDocument/2006/relationships/hyperlink" Target="https://rm.coe.int/copenhagen-declaration/16807b915c" TargetMode="External"/><Relationship Id="rId231" Type="http://schemas.openxmlformats.org/officeDocument/2006/relationships/hyperlink" Target="http://hudoc.echr.coe.int/eng?i=001-207757" TargetMode="External"/><Relationship Id="rId252" Type="http://schemas.openxmlformats.org/officeDocument/2006/relationships/hyperlink" Target="http://hudoc.echr.coe.int/eng?i=001-145546" TargetMode="External"/><Relationship Id="rId273" Type="http://schemas.openxmlformats.org/officeDocument/2006/relationships/hyperlink" Target="https://hudoc.echr.coe.int/eng" TargetMode="External"/><Relationship Id="rId294" Type="http://schemas.openxmlformats.org/officeDocument/2006/relationships/hyperlink" Target="http://hudoc.echr.coe.int/eng?i=001-95690" TargetMode="External"/><Relationship Id="rId308" Type="http://schemas.openxmlformats.org/officeDocument/2006/relationships/hyperlink" Target="http://hudoc.echr.coe.int/eng?i=001-98199" TargetMode="External"/><Relationship Id="rId47" Type="http://schemas.openxmlformats.org/officeDocument/2006/relationships/hyperlink" Target="file:///\\bmjdatams.bmj.local\Desktop$\mellech-ka\Desktop\v" TargetMode="External"/><Relationship Id="rId68" Type="http://schemas.openxmlformats.org/officeDocument/2006/relationships/hyperlink" Target="http://hudoc.echr.coe.int/eng?i=001-152683" TargetMode="External"/><Relationship Id="rId89" Type="http://schemas.openxmlformats.org/officeDocument/2006/relationships/hyperlink" Target="https://hudoc.echr.coe.int/eng" TargetMode="External"/><Relationship Id="rId112" Type="http://schemas.openxmlformats.org/officeDocument/2006/relationships/hyperlink" Target="http://hudoc.echr.coe.int/eng?i=001-93265" TargetMode="External"/><Relationship Id="rId133" Type="http://schemas.openxmlformats.org/officeDocument/2006/relationships/hyperlink" Target="http://hudoc.echr.coe.int/eng?i=001-193851" TargetMode="External"/><Relationship Id="rId154" Type="http://schemas.openxmlformats.org/officeDocument/2006/relationships/hyperlink" Target="https://rm.coe.int/steering-committee-for-human-rights-cddh-proposals-for-a-more-efficien/168094e6e1" TargetMode="External"/><Relationship Id="rId175" Type="http://schemas.openxmlformats.org/officeDocument/2006/relationships/hyperlink" Target="http://hudoc.echr.coe.int/eng?i=001-189019" TargetMode="External"/><Relationship Id="rId196" Type="http://schemas.openxmlformats.org/officeDocument/2006/relationships/hyperlink" Target="http://hudoc.echr.coe.int/eng?i=001-145546" TargetMode="External"/><Relationship Id="rId200" Type="http://schemas.openxmlformats.org/officeDocument/2006/relationships/hyperlink" Target="http://hudoc.echr.coe.int/eng?i=001-127684" TargetMode="External"/><Relationship Id="rId16" Type="http://schemas.openxmlformats.org/officeDocument/2006/relationships/hyperlink" Target="https://search.coe.int/cm/Pages/result_details.aspx?ObjectID=0900001680a03d50" TargetMode="External"/><Relationship Id="rId221" Type="http://schemas.openxmlformats.org/officeDocument/2006/relationships/hyperlink" Target="https://hudoc.echr.coe.int/eng" TargetMode="External"/><Relationship Id="rId242" Type="http://schemas.openxmlformats.org/officeDocument/2006/relationships/hyperlink" Target="https://www.echr.coe.int/Documents/Rules_Court_ENG.pdf" TargetMode="External"/><Relationship Id="rId263" Type="http://schemas.openxmlformats.org/officeDocument/2006/relationships/hyperlink" Target="http://hudoc.echr.coe.int/eng?i=001-207757" TargetMode="External"/><Relationship Id="rId284" Type="http://schemas.openxmlformats.org/officeDocument/2006/relationships/hyperlink" Target="https://www.echr.coe.int/Documents/Stats_analysis_2019_ENG.pdf" TargetMode="External"/><Relationship Id="rId319" Type="http://schemas.openxmlformats.org/officeDocument/2006/relationships/hyperlink" Target="http://hudoc.echr.coe.int/eng?i=001-155662" TargetMode="External"/><Relationship Id="rId37" Type="http://schemas.openxmlformats.org/officeDocument/2006/relationships/hyperlink" Target="http://hudoc.echr.coe.int/eng?i=001-115598" TargetMode="External"/><Relationship Id="rId58" Type="http://schemas.openxmlformats.org/officeDocument/2006/relationships/hyperlink" Target="http://hudoc.echr.coe.int/eng?i=001-145546" TargetMode="External"/><Relationship Id="rId79" Type="http://schemas.openxmlformats.org/officeDocument/2006/relationships/hyperlink" Target="http://hudoc.echr.coe.int/eng?i=001-206897" TargetMode="External"/><Relationship Id="rId102" Type="http://schemas.openxmlformats.org/officeDocument/2006/relationships/hyperlink" Target="http://hudoc.echr.coe.int/eng?i=001-94162" TargetMode="External"/><Relationship Id="rId123" Type="http://schemas.openxmlformats.org/officeDocument/2006/relationships/hyperlink" Target="http://hudoc.echr.coe.int/eng?i=001-142444" TargetMode="External"/><Relationship Id="rId144" Type="http://schemas.openxmlformats.org/officeDocument/2006/relationships/hyperlink" Target="http://docstore.ohchr.org/SelfServices/FilesHandler.ashx?enc=6QkG1d%2FPPRiCAqhKb7yhsjGaL55TOU6a3MWglTLsUGb4Blm4%2F9Fg7afiv12RmlbBPOG2D%2BoyeZ1RO2qxRqh9C8LagQwDmzRR86JZAvEmre2uyi0eWuPSFI%2BoQ1b6khBJGEu%2BZkJM%2BEt%2FrMoQEmGvkg%3D%3D" TargetMode="External"/><Relationship Id="rId90" Type="http://schemas.openxmlformats.org/officeDocument/2006/relationships/hyperlink" Target="http://hudoc.echr.coe.int/eng?i=001-3213" TargetMode="External"/><Relationship Id="rId165" Type="http://schemas.openxmlformats.org/officeDocument/2006/relationships/hyperlink" Target="https://hudoc.echr.coe.int/eng" TargetMode="External"/><Relationship Id="rId186" Type="http://schemas.openxmlformats.org/officeDocument/2006/relationships/hyperlink" Target="http://hudoc.echr.coe.int/eng?i=001-104636" TargetMode="External"/><Relationship Id="rId211" Type="http://schemas.openxmlformats.org/officeDocument/2006/relationships/hyperlink" Target="http://hudoc.echr.coe.int/eng?i=001-207622" TargetMode="External"/><Relationship Id="rId232" Type="http://schemas.openxmlformats.org/officeDocument/2006/relationships/hyperlink" Target="https://hudoc.echr.coe.int/eng" TargetMode="External"/><Relationship Id="rId253" Type="http://schemas.openxmlformats.org/officeDocument/2006/relationships/hyperlink" Target="https://hudoc.echr.coe.int/eng" TargetMode="External"/><Relationship Id="rId274" Type="http://schemas.openxmlformats.org/officeDocument/2006/relationships/hyperlink" Target="https://rm.coe.int/steering-committee-for-human-rights-cddh-proposals-for-a-more-efficien/168094e6e1" TargetMode="External"/><Relationship Id="rId295" Type="http://schemas.openxmlformats.org/officeDocument/2006/relationships/hyperlink" Target="http://hudoc.echr.coe.int/eng?i=001-58542" TargetMode="External"/><Relationship Id="rId309" Type="http://schemas.openxmlformats.org/officeDocument/2006/relationships/hyperlink" Target="http://hudoc.echr.coe.int/eng?i=001-102598" TargetMode="External"/><Relationship Id="rId27" Type="http://schemas.openxmlformats.org/officeDocument/2006/relationships/hyperlink" Target="https://rm.coe.int/proceedings-actes-high-level-conference-on-the-future-of-the-european-/1680695aae" TargetMode="External"/><Relationship Id="rId48" Type="http://schemas.openxmlformats.org/officeDocument/2006/relationships/hyperlink" Target="http://hudoc.echr.coe.int/eng?i=001-57506" TargetMode="External"/><Relationship Id="rId69" Type="http://schemas.openxmlformats.org/officeDocument/2006/relationships/hyperlink" Target="http://hudoc.echr.coe.int/eng?i=001-68476" TargetMode="External"/><Relationship Id="rId113" Type="http://schemas.openxmlformats.org/officeDocument/2006/relationships/hyperlink" Target="http://hudoc.echr.coe.int/eng?i=001-162205" TargetMode="External"/><Relationship Id="rId134" Type="http://schemas.openxmlformats.org/officeDocument/2006/relationships/hyperlink" Target="http://hudoc.echr.coe.int/eng?i=001-92489" TargetMode="External"/><Relationship Id="rId320" Type="http://schemas.openxmlformats.org/officeDocument/2006/relationships/hyperlink" Target="http://hudoc.echr.coe.int/eng?i=001-192085" TargetMode="External"/><Relationship Id="rId80" Type="http://schemas.openxmlformats.org/officeDocument/2006/relationships/hyperlink" Target="http://hudoc.echr.coe.int/eng?i=001-206897" TargetMode="External"/><Relationship Id="rId155" Type="http://schemas.openxmlformats.org/officeDocument/2006/relationships/hyperlink" Target="http://hudoc.echr.coe.int/eng?i=001-207622" TargetMode="External"/><Relationship Id="rId176" Type="http://schemas.openxmlformats.org/officeDocument/2006/relationships/hyperlink" Target="http://hudoc.echr.coe.int/eng?i=001-207757" TargetMode="External"/><Relationship Id="rId197" Type="http://schemas.openxmlformats.org/officeDocument/2006/relationships/hyperlink" Target="http://hudoc.echr.coe.int/eng?i=001-207757" TargetMode="External"/><Relationship Id="rId201" Type="http://schemas.openxmlformats.org/officeDocument/2006/relationships/hyperlink" Target="http://hudoc.echr.coe.int/eng?i=001-207757" TargetMode="External"/><Relationship Id="rId222" Type="http://schemas.openxmlformats.org/officeDocument/2006/relationships/hyperlink" Target="http://hudoc.echr.coe.int/eng?i=001-207757" TargetMode="External"/><Relationship Id="rId243" Type="http://schemas.openxmlformats.org/officeDocument/2006/relationships/hyperlink" Target="http://hudoc.echr.coe.int/eng?i=001-207757" TargetMode="External"/><Relationship Id="rId264" Type="http://schemas.openxmlformats.org/officeDocument/2006/relationships/hyperlink" Target="http://hudoc.echr.coe.int/eng?i=001-189019" TargetMode="External"/><Relationship Id="rId285" Type="http://schemas.openxmlformats.org/officeDocument/2006/relationships/hyperlink" Target="http://hudoc.echr.coe.int/eng?i=001-73858" TargetMode="External"/><Relationship Id="rId17" Type="http://schemas.openxmlformats.org/officeDocument/2006/relationships/hyperlink" Target="https://search.coe.int/cm/Pages/result_details.aspx?ObjectID=0900001680a03d50" TargetMode="External"/><Relationship Id="rId38" Type="http://schemas.openxmlformats.org/officeDocument/2006/relationships/hyperlink" Target="http://hudoc.echr.coe.int/eng?i=001-144151" TargetMode="External"/><Relationship Id="rId59" Type="http://schemas.openxmlformats.org/officeDocument/2006/relationships/hyperlink" Target="http://hudoc.echr.coe.int/eng?i=001-74885" TargetMode="External"/><Relationship Id="rId103" Type="http://schemas.openxmlformats.org/officeDocument/2006/relationships/hyperlink" Target="https://hudoc.echr.coe.int/app/conversion/pdf?library=ECHR&amp;id=003-6282063-8189102&amp;filename=ECHR%20to%20adjourn%20some%20individual%20applications%20related%20to%20Eastern%20Ukraine.pdf" TargetMode="External"/><Relationship Id="rId124" Type="http://schemas.openxmlformats.org/officeDocument/2006/relationships/hyperlink" Target="http://hudoc.echr.coe.int/eng?i=001-2026" TargetMode="External"/><Relationship Id="rId310" Type="http://schemas.openxmlformats.org/officeDocument/2006/relationships/hyperlink" Target="http://hudoc.echr.coe.int/eng?i=001-188714" TargetMode="External"/><Relationship Id="rId70" Type="http://schemas.openxmlformats.org/officeDocument/2006/relationships/hyperlink" Target="http://hudoc.echr.coe.int/eng?i=001-97450" TargetMode="External"/><Relationship Id="rId91" Type="http://schemas.openxmlformats.org/officeDocument/2006/relationships/hyperlink" Target="https://hudoc.echr.coe.int/app/conversion/pdf/?library=ECHR&amp;id=001-74811&amp;filename=CYPRUS%20v.%20TURKEY.pdf" TargetMode="External"/><Relationship Id="rId145" Type="http://schemas.openxmlformats.org/officeDocument/2006/relationships/hyperlink" Target="https://tbinternet.ohchr.org/_layouts/15/treatybodyexternal/Download.aspx?symbolno=CCPR%2fC%2f123%2fD%2f2807%2f2016&amp;Lang=en" TargetMode="External"/><Relationship Id="rId166" Type="http://schemas.openxmlformats.org/officeDocument/2006/relationships/hyperlink" Target="http://hudoc.echr.coe.int/eng?i=001-207757" TargetMode="External"/><Relationship Id="rId187" Type="http://schemas.openxmlformats.org/officeDocument/2006/relationships/hyperlink" Target="http://hudoc.echr.coe.int/eng?i=001-100265" TargetMode="External"/><Relationship Id="rId1" Type="http://schemas.openxmlformats.org/officeDocument/2006/relationships/hyperlink" Target="https://rm.coe.int/steering-committee-for-human-rights-cddh-contribution-of-the-cddh-to-t/1680990d49" TargetMode="External"/><Relationship Id="rId212" Type="http://schemas.openxmlformats.org/officeDocument/2006/relationships/hyperlink" Target="http://hudoc.echr.coe.int/eng?i=001-207622" TargetMode="External"/><Relationship Id="rId233" Type="http://schemas.openxmlformats.org/officeDocument/2006/relationships/hyperlink" Target="https://hudoc.echr.coe.int/eng" TargetMode="External"/><Relationship Id="rId254" Type="http://schemas.openxmlformats.org/officeDocument/2006/relationships/hyperlink" Target="http://hudoc.echr.coe.int/eng?i=001-60509" TargetMode="External"/><Relationship Id="rId28" Type="http://schemas.openxmlformats.org/officeDocument/2006/relationships/hyperlink" Target="http://hudoc.echr.coe.int/eng?i=001-207622" TargetMode="External"/><Relationship Id="rId49" Type="http://schemas.openxmlformats.org/officeDocument/2006/relationships/hyperlink" Target="http://hudoc.echr.coe.int/eng?i=001-207622" TargetMode="External"/><Relationship Id="rId114" Type="http://schemas.openxmlformats.org/officeDocument/2006/relationships/hyperlink" Target="https://hudoc.echr.coe.int/eng" TargetMode="External"/><Relationship Id="rId275" Type="http://schemas.openxmlformats.org/officeDocument/2006/relationships/hyperlink" Target="http://hudoc.echr.coe.int/eng?i=001-207757" TargetMode="External"/><Relationship Id="rId296" Type="http://schemas.openxmlformats.org/officeDocument/2006/relationships/hyperlink" Target="http://hudoc.echr.coe.int/eng?i=001-58542" TargetMode="External"/><Relationship Id="rId300" Type="http://schemas.openxmlformats.org/officeDocument/2006/relationships/hyperlink" Target="http://hudoc.echr.coe.int/eng?i=001-61698" TargetMode="External"/><Relationship Id="rId60" Type="http://schemas.openxmlformats.org/officeDocument/2006/relationships/hyperlink" Target="https://hudoc.echr.coe.int/fre" TargetMode="External"/><Relationship Id="rId81" Type="http://schemas.openxmlformats.org/officeDocument/2006/relationships/hyperlink" Target="http://hudoc.echr.coe.int/eng?i=001-206897" TargetMode="External"/><Relationship Id="rId135" Type="http://schemas.openxmlformats.org/officeDocument/2006/relationships/hyperlink" Target="http://hudoc.echr.coe.int/eng?i=001-142444" TargetMode="External"/><Relationship Id="rId156" Type="http://schemas.openxmlformats.org/officeDocument/2006/relationships/hyperlink" Target="https://rm.coe.int/steering-committee-for-human-rights-cddh-draft-additional-elements-res/168094ef0b" TargetMode="External"/><Relationship Id="rId177" Type="http://schemas.openxmlformats.org/officeDocument/2006/relationships/hyperlink" Target="http://hudoc.echr.coe.int/eng?i=001-76493" TargetMode="External"/><Relationship Id="rId198" Type="http://schemas.openxmlformats.org/officeDocument/2006/relationships/hyperlink" Target="http://hudoc.echr.coe.int/eng?i=001-84670" TargetMode="External"/><Relationship Id="rId321" Type="http://schemas.openxmlformats.org/officeDocument/2006/relationships/hyperlink" Target="http://hudoc.echr.coe.int/eng?i=001-192087" TargetMode="External"/><Relationship Id="rId202" Type="http://schemas.openxmlformats.org/officeDocument/2006/relationships/hyperlink" Target="http://hudoc.echr.coe.int/eng?i=001-99750" TargetMode="External"/><Relationship Id="rId223" Type="http://schemas.openxmlformats.org/officeDocument/2006/relationships/hyperlink" Target="http://hudoc.echr.coe.int/eng?i=001-207622" TargetMode="External"/><Relationship Id="rId244" Type="http://schemas.openxmlformats.org/officeDocument/2006/relationships/hyperlink" Target="https://www.echr.coe.int/Documents/Rules_Court_ENG.pdf" TargetMode="External"/><Relationship Id="rId18" Type="http://schemas.openxmlformats.org/officeDocument/2006/relationships/hyperlink" Target="https://echr.coe.int/Documents/InterState_applications_ENG.pdf" TargetMode="External"/><Relationship Id="rId39" Type="http://schemas.openxmlformats.org/officeDocument/2006/relationships/hyperlink" Target="http://hudoc.echr.coe.int/eng?i=001-57506" TargetMode="External"/><Relationship Id="rId265" Type="http://schemas.openxmlformats.org/officeDocument/2006/relationships/hyperlink" Target="http://hudoc.echr.coe.int/eng?i=001-189019" TargetMode="External"/><Relationship Id="rId286" Type="http://schemas.openxmlformats.org/officeDocument/2006/relationships/hyperlink" Target="https://search.coe.int/cm/Pages/result_details.aspx?ObjectId=09000016805e346d" TargetMode="External"/><Relationship Id="rId50" Type="http://schemas.openxmlformats.org/officeDocument/2006/relationships/hyperlink" Target="http://hudoc.echr.coe.int/eng?i=001-59454" TargetMode="External"/><Relationship Id="rId104" Type="http://schemas.openxmlformats.org/officeDocument/2006/relationships/hyperlink" Target="https://hudoc.echr.coe.int/eng" TargetMode="External"/><Relationship Id="rId125" Type="http://schemas.openxmlformats.org/officeDocument/2006/relationships/hyperlink" Target="http://hudoc.echr.coe.int/eng?i=001-72492" TargetMode="External"/><Relationship Id="rId146" Type="http://schemas.openxmlformats.org/officeDocument/2006/relationships/hyperlink" Target="https://tbinternet.ohchr.org/_layouts/15/treatybodyexternal/Download.aspx?symbolno=CCPR%2fC%2f123%2fD%2f2807%2f2016&amp;Lang=en" TargetMode="External"/><Relationship Id="rId167" Type="http://schemas.openxmlformats.org/officeDocument/2006/relationships/hyperlink" Target="https://hudoc.echr.coe.int/eng" TargetMode="External"/><Relationship Id="rId188" Type="http://schemas.openxmlformats.org/officeDocument/2006/relationships/hyperlink" Target="http://hudoc.echr.coe.int/eng?i=001-127684" TargetMode="External"/><Relationship Id="rId311" Type="http://schemas.openxmlformats.org/officeDocument/2006/relationships/hyperlink" Target="http://hudoc.echr.coe.int/eng?i=001-188712" TargetMode="External"/><Relationship Id="rId71" Type="http://schemas.openxmlformats.org/officeDocument/2006/relationships/hyperlink" Target="http://hudoc.echr.coe.int/eng?i=001-97649" TargetMode="External"/><Relationship Id="rId92" Type="http://schemas.openxmlformats.org/officeDocument/2006/relationships/hyperlink" Target="https://hudoc.echr.coe.int/eng" TargetMode="External"/><Relationship Id="rId213" Type="http://schemas.openxmlformats.org/officeDocument/2006/relationships/hyperlink" Target="http://hudoc.echr.coe.int/eng?i=001-207622" TargetMode="External"/><Relationship Id="rId234" Type="http://schemas.openxmlformats.org/officeDocument/2006/relationships/hyperlink" Target="http://hudoc.echr.coe.int/eng?i=001-207757" TargetMode="External"/><Relationship Id="rId2" Type="http://schemas.openxmlformats.org/officeDocument/2006/relationships/hyperlink" Target="https://search.coe.int/cm/Pages/result_details.aspx?ObjectID=09000016808ae26d" TargetMode="External"/><Relationship Id="rId29" Type="http://schemas.openxmlformats.org/officeDocument/2006/relationships/hyperlink" Target="http://hudoc.echr.coe.int/eng?i=001-207757" TargetMode="External"/><Relationship Id="rId255" Type="http://schemas.openxmlformats.org/officeDocument/2006/relationships/hyperlink" Target="https://www.echr.coe.int/Documents/Denmark_v_Greece_I.pdf" TargetMode="External"/><Relationship Id="rId276" Type="http://schemas.openxmlformats.org/officeDocument/2006/relationships/hyperlink" Target="https://rm.coe.int/steering-committee-for-human-rights-cddh-proposals-for-a-more-efficien/168094e6e1" TargetMode="External"/><Relationship Id="rId297" Type="http://schemas.openxmlformats.org/officeDocument/2006/relationships/hyperlink" Target="https://voelkerrechtsblog.org/friendly-settlements-as-the-sleeping-beauty-in-inter-state-cases/" TargetMode="External"/><Relationship Id="rId40" Type="http://schemas.openxmlformats.org/officeDocument/2006/relationships/hyperlink" Target="http://hudoc.echr.coe.int/eng?i=001-144151" TargetMode="External"/><Relationship Id="rId115" Type="http://schemas.openxmlformats.org/officeDocument/2006/relationships/hyperlink" Target="https://rm.coe.int/steering-committee-for-human-rights-comite-directeur-pour-les-droits-d/1680943434" TargetMode="External"/><Relationship Id="rId136" Type="http://schemas.openxmlformats.org/officeDocument/2006/relationships/hyperlink" Target="http://hudoc.echr.coe.int/eng?i=001-187961" TargetMode="External"/><Relationship Id="rId157" Type="http://schemas.openxmlformats.org/officeDocument/2006/relationships/hyperlink" Target="http://hudoc.echr.coe.int/eng?i=001-207757" TargetMode="External"/><Relationship Id="rId178" Type="http://schemas.openxmlformats.org/officeDocument/2006/relationships/hyperlink" Target="http://hudoc.echr.coe.int/eng?i=001-61698" TargetMode="External"/><Relationship Id="rId301" Type="http://schemas.openxmlformats.org/officeDocument/2006/relationships/hyperlink" Target="http://hudoc.echr.coe.int/fre?i=001-96549" TargetMode="External"/><Relationship Id="rId322" Type="http://schemas.openxmlformats.org/officeDocument/2006/relationships/hyperlink" Target="http://hudoc.echr.coe.int/eng?i=001-114082" TargetMode="External"/><Relationship Id="rId61" Type="http://schemas.openxmlformats.org/officeDocument/2006/relationships/hyperlink" Target="http://hudoc.echr.coe.int/eng?i=001-58003" TargetMode="External"/><Relationship Id="rId82" Type="http://schemas.openxmlformats.org/officeDocument/2006/relationships/hyperlink" Target="http://hudoc.echr.coe.int/eng?i=001-108097" TargetMode="External"/><Relationship Id="rId199" Type="http://schemas.openxmlformats.org/officeDocument/2006/relationships/hyperlink" Target="http://hudoc.echr.coe.int/eng?i=001-69616" TargetMode="External"/><Relationship Id="rId203" Type="http://schemas.openxmlformats.org/officeDocument/2006/relationships/hyperlink" Target="https://hudoc.echr.coe.int/e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9D6B2-BB2E-4F78-BB24-F35B19BE2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55</Pages>
  <Words>24392</Words>
  <Characters>134156</Characters>
  <Application>Microsoft Office Word</Application>
  <DocSecurity>0</DocSecurity>
  <Lines>1117</Lines>
  <Paragraphs>316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BELHADJMILED Sarah</dc:creator>
  <cp:keywords/>
  <dc:description/>
  <cp:lastModifiedBy>DOMAGALSKI Nicolas</cp:lastModifiedBy>
  <cp:revision>6</cp:revision>
  <dcterms:created xsi:type="dcterms:W3CDTF">2021-09-24T09:21:00Z</dcterms:created>
  <dcterms:modified xsi:type="dcterms:W3CDTF">2021-09-24T15:56:00Z</dcterms:modified>
</cp:coreProperties>
</file>