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7FCBA" w14:textId="77777777" w:rsidR="00F331F8" w:rsidRDefault="00F331F8" w:rsidP="00971933">
      <w:pPr>
        <w:spacing w:line="240" w:lineRule="auto"/>
        <w:jc w:val="right"/>
        <w:rPr>
          <w:rFonts w:ascii="Arial" w:hAnsi="Arial" w:cs="Arial"/>
          <w:sz w:val="24"/>
          <w:szCs w:val="24"/>
          <w:lang w:val="fr-FR"/>
        </w:rPr>
      </w:pPr>
    </w:p>
    <w:p w14:paraId="54FC10A4" w14:textId="6A263D59" w:rsidR="00F331F8" w:rsidRPr="00F331F8" w:rsidRDefault="00F331F8" w:rsidP="001A5EA7">
      <w:pPr>
        <w:spacing w:line="240" w:lineRule="auto"/>
        <w:jc w:val="right"/>
        <w:rPr>
          <w:rFonts w:ascii="Arial" w:eastAsia="Times New Roman" w:hAnsi="Arial" w:cs="Arial"/>
          <w:bCs/>
          <w:color w:val="7F7F7F" w:themeColor="text1" w:themeTint="80"/>
          <w:kern w:val="36"/>
          <w:sz w:val="24"/>
          <w:szCs w:val="24"/>
          <w:lang w:val="fr-FR"/>
        </w:rPr>
      </w:pPr>
      <w:r w:rsidRPr="0068423C">
        <w:rPr>
          <w:rFonts w:ascii="Arial" w:hAnsi="Arial" w:cs="Arial"/>
          <w:sz w:val="24"/>
          <w:szCs w:val="24"/>
          <w:lang w:val="fr-FR"/>
        </w:rPr>
        <w:t>DH-SYSC(2021)</w:t>
      </w:r>
      <w:r w:rsidR="001A5EA7">
        <w:rPr>
          <w:rFonts w:ascii="Arial" w:hAnsi="Arial" w:cs="Arial"/>
          <w:sz w:val="24"/>
          <w:szCs w:val="24"/>
          <w:lang w:val="fr-FR"/>
        </w:rPr>
        <w:t>R</w:t>
      </w:r>
      <w:r w:rsidR="004F1B91">
        <w:rPr>
          <w:rFonts w:ascii="Arial" w:hAnsi="Arial" w:cs="Arial"/>
          <w:sz w:val="24"/>
          <w:szCs w:val="24"/>
          <w:lang w:val="fr-FR"/>
        </w:rPr>
        <w:t>6 Addendum</w:t>
      </w:r>
      <w:r w:rsidR="001A5EA7">
        <w:rPr>
          <w:rFonts w:ascii="Arial" w:hAnsi="Arial" w:cs="Arial"/>
          <w:sz w:val="24"/>
          <w:szCs w:val="24"/>
          <w:lang w:val="fr-FR"/>
        </w:rPr>
        <w:br/>
      </w:r>
      <w:r w:rsidRPr="00F331F8">
        <w:rPr>
          <w:rFonts w:ascii="Arial" w:eastAsia="Times New Roman" w:hAnsi="Arial" w:cs="Arial"/>
          <w:bCs/>
          <w:kern w:val="36"/>
          <w:sz w:val="24"/>
          <w:szCs w:val="24"/>
          <w:lang w:val="fr-FR"/>
        </w:rPr>
        <w:t>2</w:t>
      </w:r>
      <w:r w:rsidR="003E1363">
        <w:rPr>
          <w:rFonts w:ascii="Arial" w:eastAsia="Times New Roman" w:hAnsi="Arial" w:cs="Arial"/>
          <w:bCs/>
          <w:kern w:val="36"/>
          <w:sz w:val="24"/>
          <w:szCs w:val="24"/>
          <w:lang w:val="fr-FR"/>
        </w:rPr>
        <w:t>8</w:t>
      </w:r>
      <w:r w:rsidRPr="00F331F8">
        <w:rPr>
          <w:rFonts w:ascii="Arial" w:eastAsia="Times New Roman" w:hAnsi="Arial" w:cs="Arial"/>
          <w:bCs/>
          <w:kern w:val="36"/>
          <w:sz w:val="24"/>
          <w:szCs w:val="24"/>
          <w:lang w:val="fr-FR"/>
        </w:rPr>
        <w:t>/</w:t>
      </w:r>
      <w:r w:rsidR="001A5EA7">
        <w:rPr>
          <w:rFonts w:ascii="Arial" w:eastAsia="Times New Roman" w:hAnsi="Arial" w:cs="Arial"/>
          <w:bCs/>
          <w:kern w:val="36"/>
          <w:sz w:val="24"/>
          <w:szCs w:val="24"/>
          <w:lang w:val="fr-FR"/>
        </w:rPr>
        <w:t>10</w:t>
      </w:r>
      <w:r w:rsidRPr="00F331F8">
        <w:rPr>
          <w:rFonts w:ascii="Arial" w:eastAsia="Times New Roman" w:hAnsi="Arial" w:cs="Arial"/>
          <w:bCs/>
          <w:kern w:val="36"/>
          <w:sz w:val="24"/>
          <w:szCs w:val="24"/>
          <w:lang w:val="fr-FR"/>
        </w:rPr>
        <w:t>/2021</w:t>
      </w:r>
    </w:p>
    <w:p w14:paraId="65174DD3" w14:textId="154C4296" w:rsidR="00F331F8" w:rsidRDefault="00F331F8" w:rsidP="00971933">
      <w:pPr>
        <w:spacing w:line="240" w:lineRule="auto"/>
        <w:jc w:val="center"/>
        <w:rPr>
          <w:rFonts w:ascii="Arial" w:eastAsia="Times New Roman" w:hAnsi="Arial" w:cs="Arial"/>
          <w:bCs/>
          <w:color w:val="7F7F7F" w:themeColor="text1" w:themeTint="80"/>
          <w:kern w:val="36"/>
          <w:sz w:val="24"/>
          <w:szCs w:val="24"/>
          <w:lang w:val="fr-FR"/>
        </w:rPr>
      </w:pPr>
    </w:p>
    <w:p w14:paraId="29A31F94" w14:textId="54A9BECF" w:rsidR="001A5EA7" w:rsidRDefault="001A5EA7" w:rsidP="00971933">
      <w:pPr>
        <w:spacing w:line="240" w:lineRule="auto"/>
        <w:jc w:val="center"/>
        <w:rPr>
          <w:rFonts w:ascii="Arial" w:eastAsia="Times New Roman" w:hAnsi="Arial" w:cs="Arial"/>
          <w:bCs/>
          <w:color w:val="7F7F7F" w:themeColor="text1" w:themeTint="80"/>
          <w:kern w:val="36"/>
          <w:sz w:val="24"/>
          <w:szCs w:val="24"/>
          <w:lang w:val="fr-FR"/>
        </w:rPr>
      </w:pPr>
    </w:p>
    <w:p w14:paraId="0F09E797" w14:textId="77777777" w:rsidR="001A5EA7" w:rsidRDefault="001A5EA7" w:rsidP="00971933">
      <w:pPr>
        <w:spacing w:line="240" w:lineRule="auto"/>
        <w:jc w:val="center"/>
        <w:rPr>
          <w:rFonts w:ascii="Arial" w:eastAsia="Times New Roman" w:hAnsi="Arial" w:cs="Arial"/>
          <w:bCs/>
          <w:color w:val="7F7F7F" w:themeColor="text1" w:themeTint="80"/>
          <w:kern w:val="36"/>
          <w:sz w:val="24"/>
          <w:szCs w:val="24"/>
          <w:lang w:val="fr-FR"/>
        </w:rPr>
      </w:pPr>
    </w:p>
    <w:p w14:paraId="66AAB2D6" w14:textId="77777777" w:rsidR="001A5EA7" w:rsidRPr="00F331F8" w:rsidRDefault="001A5EA7" w:rsidP="00971933">
      <w:pPr>
        <w:spacing w:line="240" w:lineRule="auto"/>
        <w:jc w:val="center"/>
        <w:rPr>
          <w:rFonts w:ascii="Arial" w:eastAsia="Times New Roman" w:hAnsi="Arial" w:cs="Arial"/>
          <w:bCs/>
          <w:color w:val="7F7F7F" w:themeColor="text1" w:themeTint="80"/>
          <w:kern w:val="36"/>
          <w:sz w:val="24"/>
          <w:szCs w:val="24"/>
          <w:lang w:val="fr-FR"/>
        </w:rPr>
      </w:pPr>
    </w:p>
    <w:p w14:paraId="4A118738" w14:textId="77777777" w:rsidR="00F331F8" w:rsidRPr="00F331F8" w:rsidRDefault="00F331F8" w:rsidP="00971933">
      <w:pPr>
        <w:spacing w:line="240" w:lineRule="auto"/>
        <w:jc w:val="center"/>
        <w:rPr>
          <w:rFonts w:ascii="Arial" w:hAnsi="Arial" w:cs="Arial"/>
          <w:bCs/>
          <w:kern w:val="36"/>
          <w:sz w:val="28"/>
          <w:szCs w:val="28"/>
          <w:lang w:val="fr-FR"/>
        </w:rPr>
      </w:pPr>
      <w:r w:rsidRPr="00F331F8">
        <w:rPr>
          <w:rFonts w:ascii="Arial" w:hAnsi="Arial" w:cs="Arial"/>
          <w:bCs/>
          <w:kern w:val="36"/>
          <w:sz w:val="28"/>
          <w:szCs w:val="28"/>
          <w:lang w:val="fr-FR"/>
        </w:rPr>
        <w:t>COMITÉ DIRECTEUR POUR LES DROITS DE L’HOMME</w:t>
      </w:r>
    </w:p>
    <w:p w14:paraId="1D7D5AF1" w14:textId="77777777" w:rsidR="00F331F8" w:rsidRPr="00F331F8" w:rsidRDefault="00F331F8" w:rsidP="00971933">
      <w:pPr>
        <w:spacing w:line="240" w:lineRule="auto"/>
        <w:jc w:val="center"/>
        <w:rPr>
          <w:rFonts w:ascii="Arial" w:hAnsi="Arial" w:cs="Arial"/>
          <w:bCs/>
          <w:kern w:val="36"/>
          <w:sz w:val="28"/>
          <w:szCs w:val="28"/>
          <w:lang w:val="fr-FR"/>
        </w:rPr>
      </w:pPr>
      <w:r w:rsidRPr="00F331F8">
        <w:rPr>
          <w:rFonts w:ascii="Arial" w:hAnsi="Arial" w:cs="Arial"/>
          <w:bCs/>
          <w:kern w:val="36"/>
          <w:sz w:val="28"/>
          <w:szCs w:val="28"/>
          <w:lang w:val="fr-FR"/>
        </w:rPr>
        <w:br/>
        <w:t>(CDDH)</w:t>
      </w:r>
    </w:p>
    <w:p w14:paraId="6D16A318" w14:textId="77777777" w:rsidR="00F331F8" w:rsidRPr="00F331F8" w:rsidRDefault="00F331F8" w:rsidP="00971933">
      <w:pPr>
        <w:spacing w:line="240" w:lineRule="auto"/>
        <w:jc w:val="center"/>
        <w:rPr>
          <w:rFonts w:ascii="Arial" w:hAnsi="Arial" w:cs="Arial"/>
          <w:bCs/>
          <w:kern w:val="36"/>
          <w:sz w:val="24"/>
          <w:szCs w:val="24"/>
          <w:lang w:val="fr-FR"/>
        </w:rPr>
      </w:pPr>
      <w:r w:rsidRPr="00F331F8">
        <w:rPr>
          <w:rFonts w:ascii="Arial" w:hAnsi="Arial" w:cs="Arial"/>
          <w:bCs/>
          <w:kern w:val="36"/>
          <w:sz w:val="24"/>
          <w:szCs w:val="24"/>
          <w:lang w:val="fr-FR"/>
        </w:rPr>
        <w:t>________</w:t>
      </w:r>
    </w:p>
    <w:p w14:paraId="187BBDDE" w14:textId="77777777" w:rsidR="00F331F8" w:rsidRPr="00F331F8" w:rsidRDefault="00F331F8" w:rsidP="00971933">
      <w:pPr>
        <w:pStyle w:val="APP"/>
        <w:spacing w:line="240" w:lineRule="auto"/>
        <w:jc w:val="center"/>
        <w:rPr>
          <w:rFonts w:cs="Arial"/>
          <w:sz w:val="28"/>
          <w:szCs w:val="24"/>
        </w:rPr>
      </w:pPr>
      <w:r w:rsidRPr="00F331F8">
        <w:rPr>
          <w:rFonts w:cs="Arial"/>
          <w:sz w:val="28"/>
          <w:szCs w:val="24"/>
        </w:rPr>
        <w:t>COMITÉ D’EXPERTS SUR LE SYSTÈME DE LA CONVENTION EUROPÉENNE DES DROITS DE L’HOMME</w:t>
      </w:r>
    </w:p>
    <w:p w14:paraId="5E2FA1B9" w14:textId="77777777" w:rsidR="00F331F8" w:rsidRPr="00F331F8" w:rsidRDefault="00F331F8" w:rsidP="00971933">
      <w:pPr>
        <w:pStyle w:val="APP"/>
        <w:spacing w:line="240" w:lineRule="auto"/>
        <w:jc w:val="center"/>
        <w:rPr>
          <w:rFonts w:cs="Arial"/>
          <w:sz w:val="28"/>
          <w:szCs w:val="24"/>
        </w:rPr>
      </w:pPr>
      <w:r w:rsidRPr="00F331F8">
        <w:rPr>
          <w:rFonts w:cs="Arial"/>
          <w:sz w:val="28"/>
          <w:szCs w:val="24"/>
        </w:rPr>
        <w:br/>
        <w:t xml:space="preserve"> (DH-SYSC)</w:t>
      </w:r>
    </w:p>
    <w:p w14:paraId="645C1943" w14:textId="77777777" w:rsidR="00F331F8" w:rsidRPr="00F331F8" w:rsidRDefault="00F331F8" w:rsidP="00971933">
      <w:pPr>
        <w:spacing w:line="240" w:lineRule="auto"/>
        <w:jc w:val="center"/>
        <w:rPr>
          <w:rFonts w:ascii="Arial" w:hAnsi="Arial" w:cs="Arial"/>
          <w:bCs/>
          <w:kern w:val="36"/>
          <w:lang w:val="fr-FR"/>
        </w:rPr>
      </w:pPr>
      <w:r w:rsidRPr="00F331F8">
        <w:rPr>
          <w:rFonts w:ascii="Arial" w:hAnsi="Arial" w:cs="Arial"/>
          <w:bCs/>
          <w:kern w:val="36"/>
          <w:lang w:val="fr-FR"/>
        </w:rPr>
        <w:t>_________</w:t>
      </w:r>
    </w:p>
    <w:p w14:paraId="3C41FE20" w14:textId="77777777" w:rsidR="00F331F8" w:rsidRPr="00F331F8" w:rsidRDefault="00F331F8" w:rsidP="00971933">
      <w:pPr>
        <w:spacing w:line="240" w:lineRule="auto"/>
        <w:jc w:val="center"/>
        <w:rPr>
          <w:rFonts w:ascii="Arial" w:eastAsia="Times New Roman" w:hAnsi="Arial" w:cs="Arial"/>
          <w:bCs/>
          <w:kern w:val="36"/>
          <w:sz w:val="28"/>
          <w:szCs w:val="28"/>
          <w:lang w:val="fr-FR"/>
        </w:rPr>
      </w:pPr>
    </w:p>
    <w:p w14:paraId="5DD4DF54" w14:textId="4C60FC65" w:rsidR="00F331F8" w:rsidRDefault="00F331F8" w:rsidP="00D67D36">
      <w:pPr>
        <w:spacing w:line="240" w:lineRule="auto"/>
        <w:jc w:val="center"/>
        <w:rPr>
          <w:rFonts w:ascii="Arial" w:hAnsi="Arial" w:cs="Arial"/>
          <w:b/>
          <w:bCs/>
          <w:sz w:val="24"/>
          <w:szCs w:val="24"/>
          <w:lang w:val="fr-FR"/>
        </w:rPr>
      </w:pPr>
      <w:r w:rsidRPr="00F331F8">
        <w:rPr>
          <w:rFonts w:ascii="Arial" w:hAnsi="Arial" w:cs="Arial"/>
          <w:b/>
          <w:bCs/>
          <w:sz w:val="24"/>
          <w:szCs w:val="24"/>
          <w:lang w:val="fr-FR"/>
        </w:rPr>
        <w:t xml:space="preserve">Rapport </w:t>
      </w:r>
      <w:r w:rsidR="00946EDC">
        <w:rPr>
          <w:rFonts w:ascii="Arial" w:hAnsi="Arial" w:cs="Arial"/>
          <w:b/>
          <w:bCs/>
          <w:sz w:val="24"/>
          <w:szCs w:val="24"/>
          <w:lang w:val="fr-FR"/>
        </w:rPr>
        <w:t>sur l’état d</w:t>
      </w:r>
      <w:r w:rsidR="001A5EA7">
        <w:rPr>
          <w:rFonts w:ascii="Arial" w:hAnsi="Arial" w:cs="Arial"/>
          <w:b/>
          <w:bCs/>
          <w:sz w:val="24"/>
          <w:szCs w:val="24"/>
          <w:lang w:val="fr-FR"/>
        </w:rPr>
        <w:t xml:space="preserve">’avancement </w:t>
      </w:r>
      <w:r w:rsidRPr="00F331F8">
        <w:rPr>
          <w:rFonts w:ascii="Arial" w:hAnsi="Arial" w:cs="Arial"/>
          <w:b/>
          <w:bCs/>
          <w:sz w:val="24"/>
          <w:szCs w:val="24"/>
          <w:lang w:val="fr-FR"/>
        </w:rPr>
        <w:t xml:space="preserve">2020-2021 </w:t>
      </w:r>
      <w:r w:rsidR="001A5EA7">
        <w:rPr>
          <w:rFonts w:ascii="Arial" w:hAnsi="Arial" w:cs="Arial"/>
          <w:b/>
          <w:bCs/>
          <w:sz w:val="24"/>
          <w:szCs w:val="24"/>
          <w:lang w:val="fr-FR"/>
        </w:rPr>
        <w:br/>
      </w:r>
      <w:r w:rsidRPr="00F331F8">
        <w:rPr>
          <w:rFonts w:ascii="Arial" w:hAnsi="Arial" w:cs="Arial"/>
          <w:b/>
          <w:bCs/>
          <w:sz w:val="24"/>
          <w:szCs w:val="24"/>
          <w:lang w:val="fr-FR"/>
        </w:rPr>
        <w:t>sur le traitement et la résolution efficace d’affaires concernant des conflits interétatiques</w:t>
      </w:r>
      <w:r>
        <w:rPr>
          <w:rFonts w:ascii="Arial" w:hAnsi="Arial" w:cs="Arial"/>
          <w:b/>
          <w:bCs/>
          <w:sz w:val="24"/>
          <w:szCs w:val="24"/>
          <w:lang w:val="fr-FR"/>
        </w:rPr>
        <w:t xml:space="preserve"> </w:t>
      </w:r>
    </w:p>
    <w:p w14:paraId="78D521E0" w14:textId="63DC2DAD" w:rsidR="00F331F8" w:rsidRDefault="00F331F8" w:rsidP="00971933">
      <w:pPr>
        <w:spacing w:line="240" w:lineRule="auto"/>
        <w:jc w:val="center"/>
        <w:rPr>
          <w:rFonts w:ascii="Arial" w:hAnsi="Arial" w:cs="Arial"/>
          <w:b/>
          <w:bCs/>
          <w:sz w:val="24"/>
          <w:szCs w:val="24"/>
          <w:lang w:val="fr-FR"/>
        </w:rPr>
      </w:pPr>
    </w:p>
    <w:p w14:paraId="10D11EF1" w14:textId="36D3C105" w:rsidR="004F1B91" w:rsidRDefault="004F1B91" w:rsidP="00971933">
      <w:pPr>
        <w:spacing w:line="240" w:lineRule="auto"/>
        <w:jc w:val="center"/>
        <w:rPr>
          <w:rFonts w:ascii="Arial" w:hAnsi="Arial" w:cs="Arial"/>
          <w:b/>
          <w:bCs/>
          <w:sz w:val="24"/>
          <w:szCs w:val="24"/>
          <w:lang w:val="fr-FR"/>
        </w:rPr>
      </w:pPr>
      <w:r w:rsidRPr="00017DFA">
        <w:rPr>
          <w:rFonts w:ascii="Arial" w:hAnsi="Arial" w:cs="Arial"/>
          <w:i/>
          <w:sz w:val="24"/>
          <w:szCs w:val="24"/>
          <w:lang w:val="fr-FR"/>
        </w:rPr>
        <w:t xml:space="preserve">tel qu’adopté par le DH-SYSC lors de sa </w:t>
      </w:r>
      <w:r>
        <w:rPr>
          <w:rFonts w:ascii="Arial" w:hAnsi="Arial" w:cs="Arial"/>
          <w:i/>
          <w:sz w:val="24"/>
          <w:szCs w:val="24"/>
          <w:lang w:val="fr-FR"/>
        </w:rPr>
        <w:t>6</w:t>
      </w:r>
      <w:r w:rsidRPr="00017DFA">
        <w:rPr>
          <w:rFonts w:ascii="Arial" w:hAnsi="Arial" w:cs="Arial"/>
          <w:i/>
          <w:sz w:val="24"/>
          <w:szCs w:val="24"/>
          <w:vertAlign w:val="superscript"/>
          <w:lang w:val="fr-FR"/>
        </w:rPr>
        <w:t>e</w:t>
      </w:r>
      <w:r w:rsidRPr="00017DFA">
        <w:rPr>
          <w:rFonts w:ascii="Arial" w:hAnsi="Arial" w:cs="Arial"/>
          <w:i/>
          <w:sz w:val="24"/>
          <w:szCs w:val="24"/>
          <w:lang w:val="fr-FR"/>
        </w:rPr>
        <w:t xml:space="preserve"> réunion </w:t>
      </w:r>
      <w:r w:rsidRPr="00017DFA">
        <w:rPr>
          <w:rFonts w:ascii="Arial" w:hAnsi="Arial" w:cs="Arial"/>
          <w:bCs/>
          <w:i/>
          <w:sz w:val="24"/>
          <w:szCs w:val="24"/>
          <w:lang w:val="fr-FR"/>
        </w:rPr>
        <w:t>(</w:t>
      </w:r>
      <w:r>
        <w:rPr>
          <w:rFonts w:ascii="Arial" w:hAnsi="Arial" w:cs="Arial"/>
          <w:bCs/>
          <w:i/>
          <w:sz w:val="24"/>
          <w:szCs w:val="24"/>
          <w:lang w:val="fr-FR"/>
        </w:rPr>
        <w:t>24</w:t>
      </w:r>
      <w:r w:rsidRPr="00017DFA">
        <w:rPr>
          <w:rFonts w:ascii="Arial" w:hAnsi="Arial" w:cs="Arial"/>
          <w:bCs/>
          <w:i/>
          <w:sz w:val="24"/>
          <w:szCs w:val="24"/>
          <w:lang w:val="fr-FR"/>
        </w:rPr>
        <w:t>–</w:t>
      </w:r>
      <w:r>
        <w:rPr>
          <w:rFonts w:ascii="Arial" w:hAnsi="Arial" w:cs="Arial"/>
          <w:bCs/>
          <w:i/>
          <w:sz w:val="24"/>
          <w:szCs w:val="24"/>
          <w:lang w:val="fr-FR"/>
        </w:rPr>
        <w:t>26</w:t>
      </w:r>
      <w:r w:rsidRPr="00017DFA">
        <w:rPr>
          <w:rFonts w:ascii="Arial" w:hAnsi="Arial" w:cs="Arial"/>
          <w:bCs/>
          <w:i/>
          <w:sz w:val="24"/>
          <w:szCs w:val="24"/>
          <w:lang w:val="fr-FR"/>
        </w:rPr>
        <w:t xml:space="preserve"> octobre 20</w:t>
      </w:r>
      <w:r>
        <w:rPr>
          <w:rFonts w:ascii="Arial" w:hAnsi="Arial" w:cs="Arial"/>
          <w:bCs/>
          <w:i/>
          <w:sz w:val="24"/>
          <w:szCs w:val="24"/>
          <w:lang w:val="fr-FR"/>
        </w:rPr>
        <w:t>2</w:t>
      </w:r>
      <w:r w:rsidR="00B41728">
        <w:rPr>
          <w:rFonts w:ascii="Arial" w:hAnsi="Arial" w:cs="Arial"/>
          <w:bCs/>
          <w:i/>
          <w:sz w:val="24"/>
          <w:szCs w:val="24"/>
          <w:lang w:val="fr-FR"/>
        </w:rPr>
        <w:t>1</w:t>
      </w:r>
      <w:r w:rsidRPr="00017DFA">
        <w:rPr>
          <w:rFonts w:ascii="Arial" w:hAnsi="Arial" w:cs="Arial"/>
          <w:bCs/>
          <w:i/>
          <w:sz w:val="24"/>
          <w:szCs w:val="24"/>
          <w:lang w:val="fr-FR"/>
        </w:rPr>
        <w:t>)</w:t>
      </w:r>
    </w:p>
    <w:p w14:paraId="17F71CE5" w14:textId="77777777" w:rsidR="00F331F8" w:rsidRPr="00F331F8" w:rsidRDefault="00F331F8" w:rsidP="00971933">
      <w:pPr>
        <w:spacing w:line="240" w:lineRule="auto"/>
        <w:jc w:val="center"/>
        <w:rPr>
          <w:rFonts w:ascii="Arial" w:hAnsi="Arial" w:cs="Arial"/>
          <w:b/>
          <w:bCs/>
          <w:sz w:val="24"/>
          <w:szCs w:val="24"/>
          <w:lang w:val="fr-FR"/>
        </w:rPr>
      </w:pPr>
    </w:p>
    <w:p w14:paraId="4B09922A" w14:textId="4A887D8B" w:rsidR="00F331F8" w:rsidRDefault="00F331F8" w:rsidP="00971933">
      <w:pPr>
        <w:spacing w:line="240" w:lineRule="auto"/>
        <w:rPr>
          <w:lang w:val="fr-FR"/>
        </w:rPr>
      </w:pPr>
      <w:r>
        <w:rPr>
          <w:lang w:val="fr-FR"/>
        </w:rPr>
        <w:t xml:space="preserve">  </w:t>
      </w:r>
      <w:r>
        <w:rPr>
          <w:lang w:val="fr-FR"/>
        </w:rPr>
        <w:br w:type="page"/>
      </w:r>
    </w:p>
    <w:sdt>
      <w:sdtPr>
        <w:rPr>
          <w:rFonts w:asciiTheme="minorHAnsi" w:eastAsiaTheme="minorHAnsi" w:hAnsiTheme="minorHAnsi" w:cstheme="minorBidi"/>
          <w:b w:val="0"/>
          <w:bCs w:val="0"/>
          <w:noProof/>
          <w:color w:val="auto"/>
          <w:sz w:val="22"/>
          <w:szCs w:val="22"/>
          <w:lang w:eastAsia="en-US"/>
        </w:rPr>
        <w:id w:val="1380977597"/>
        <w:docPartObj>
          <w:docPartGallery w:val="Table of Contents"/>
          <w:docPartUnique/>
        </w:docPartObj>
      </w:sdtPr>
      <w:sdtEndPr>
        <w:rPr>
          <w:rFonts w:ascii="Arial" w:eastAsiaTheme="minorEastAsia" w:hAnsi="Arial" w:cs="Arial"/>
          <w:b/>
          <w:color w:val="FF0000"/>
          <w:lang w:eastAsia="en-GB"/>
        </w:rPr>
      </w:sdtEndPr>
      <w:sdtContent>
        <w:p w14:paraId="20AC40DD" w14:textId="21A9AB5F" w:rsidR="00F331F8" w:rsidRPr="00D44B9E" w:rsidRDefault="00971933" w:rsidP="00D44B9E">
          <w:pPr>
            <w:pStyle w:val="TOCHeading"/>
            <w:tabs>
              <w:tab w:val="left" w:pos="7230"/>
            </w:tabs>
            <w:spacing w:after="240" w:line="240" w:lineRule="auto"/>
            <w:ind w:firstLine="720"/>
            <w:rPr>
              <w:rFonts w:ascii="Arial" w:hAnsi="Arial" w:cs="Arial"/>
            </w:rPr>
          </w:pPr>
          <w:r w:rsidRPr="00971933">
            <w:rPr>
              <w:rFonts w:ascii="Arial" w:hAnsi="Arial" w:cs="Arial"/>
            </w:rPr>
            <w:t>TABLE DES MATIÈRES</w:t>
          </w:r>
          <w:r w:rsidR="00F331F8" w:rsidRPr="00C11584">
            <w:rPr>
              <w:rFonts w:ascii="Arial" w:hAnsi="Arial" w:cs="Arial"/>
              <w:b w:val="0"/>
              <w:bCs w:val="0"/>
              <w:color w:val="auto"/>
            </w:rPr>
            <w:tab/>
          </w:r>
        </w:p>
        <w:p w14:paraId="6BD8A6CA" w14:textId="712BD9A2" w:rsidR="003E1363" w:rsidRDefault="00F331F8">
          <w:pPr>
            <w:pStyle w:val="TOC1"/>
            <w:tabs>
              <w:tab w:val="left" w:pos="567"/>
            </w:tabs>
            <w:rPr>
              <w:rFonts w:asciiTheme="minorHAnsi" w:hAnsiTheme="minorHAnsi" w:cstheme="minorBidi"/>
              <w:b w:val="0"/>
              <w:lang w:val="fr-FR" w:eastAsia="fr-FR"/>
            </w:rPr>
          </w:pPr>
          <w:r w:rsidRPr="00C11584">
            <w:fldChar w:fldCharType="begin"/>
          </w:r>
          <w:r w:rsidRPr="00C11584">
            <w:instrText xml:space="preserve"> TOC \o "1-3" \h \z \u </w:instrText>
          </w:r>
          <w:r w:rsidRPr="00C11584">
            <w:fldChar w:fldCharType="separate"/>
          </w:r>
          <w:hyperlink w:anchor="_Toc86329774" w:history="1">
            <w:r w:rsidR="003E1363" w:rsidRPr="0046603D">
              <w:rPr>
                <w:rStyle w:val="Hyperlink"/>
              </w:rPr>
              <w:t>I.</w:t>
            </w:r>
            <w:r w:rsidR="003E1363">
              <w:rPr>
                <w:rFonts w:asciiTheme="minorHAnsi" w:hAnsiTheme="minorHAnsi" w:cstheme="minorBidi"/>
                <w:b w:val="0"/>
                <w:lang w:val="fr-FR" w:eastAsia="fr-FR"/>
              </w:rPr>
              <w:tab/>
            </w:r>
            <w:r w:rsidR="003E1363" w:rsidRPr="0046603D">
              <w:rPr>
                <w:rStyle w:val="Hyperlink"/>
              </w:rPr>
              <w:t>RÉSUMÉ EXÉCUTIF</w:t>
            </w:r>
            <w:r w:rsidR="003E1363">
              <w:rPr>
                <w:webHidden/>
              </w:rPr>
              <w:tab/>
            </w:r>
            <w:r w:rsidR="003E1363">
              <w:rPr>
                <w:webHidden/>
              </w:rPr>
              <w:fldChar w:fldCharType="begin"/>
            </w:r>
            <w:r w:rsidR="003E1363">
              <w:rPr>
                <w:webHidden/>
              </w:rPr>
              <w:instrText xml:space="preserve"> PAGEREF _Toc86329774 \h </w:instrText>
            </w:r>
            <w:r w:rsidR="003E1363">
              <w:rPr>
                <w:webHidden/>
              </w:rPr>
            </w:r>
            <w:r w:rsidR="003E1363">
              <w:rPr>
                <w:webHidden/>
              </w:rPr>
              <w:fldChar w:fldCharType="separate"/>
            </w:r>
            <w:r w:rsidR="003E1363">
              <w:rPr>
                <w:webHidden/>
              </w:rPr>
              <w:t>3</w:t>
            </w:r>
            <w:r w:rsidR="003E1363">
              <w:rPr>
                <w:webHidden/>
              </w:rPr>
              <w:fldChar w:fldCharType="end"/>
            </w:r>
          </w:hyperlink>
        </w:p>
        <w:p w14:paraId="7183868B" w14:textId="415A21E0" w:rsidR="003E1363" w:rsidRDefault="00962267">
          <w:pPr>
            <w:pStyle w:val="TOC1"/>
            <w:tabs>
              <w:tab w:val="left" w:pos="567"/>
            </w:tabs>
            <w:rPr>
              <w:rFonts w:asciiTheme="minorHAnsi" w:hAnsiTheme="minorHAnsi" w:cstheme="minorBidi"/>
              <w:b w:val="0"/>
              <w:lang w:val="fr-FR" w:eastAsia="fr-FR"/>
            </w:rPr>
          </w:pPr>
          <w:hyperlink w:anchor="_Toc86329775" w:history="1">
            <w:r w:rsidR="003E1363" w:rsidRPr="0046603D">
              <w:rPr>
                <w:rStyle w:val="Hyperlink"/>
                <w:lang w:val="fr-FR"/>
              </w:rPr>
              <w:t>II.</w:t>
            </w:r>
            <w:r w:rsidR="003E1363">
              <w:rPr>
                <w:rFonts w:asciiTheme="minorHAnsi" w:hAnsiTheme="minorHAnsi" w:cstheme="minorBidi"/>
                <w:b w:val="0"/>
                <w:lang w:val="fr-FR" w:eastAsia="fr-FR"/>
              </w:rPr>
              <w:tab/>
            </w:r>
            <w:r w:rsidR="003E1363" w:rsidRPr="0046603D">
              <w:rPr>
                <w:rStyle w:val="Hyperlink"/>
                <w:lang w:val="fr-FR"/>
              </w:rPr>
              <w:t>LE MANDAT DU DH-SYSC-IV</w:t>
            </w:r>
            <w:r w:rsidR="003E1363">
              <w:rPr>
                <w:webHidden/>
              </w:rPr>
              <w:tab/>
            </w:r>
            <w:r w:rsidR="003E1363">
              <w:rPr>
                <w:webHidden/>
              </w:rPr>
              <w:fldChar w:fldCharType="begin"/>
            </w:r>
            <w:r w:rsidR="003E1363">
              <w:rPr>
                <w:webHidden/>
              </w:rPr>
              <w:instrText xml:space="preserve"> PAGEREF _Toc86329775 \h </w:instrText>
            </w:r>
            <w:r w:rsidR="003E1363">
              <w:rPr>
                <w:webHidden/>
              </w:rPr>
            </w:r>
            <w:r w:rsidR="003E1363">
              <w:rPr>
                <w:webHidden/>
              </w:rPr>
              <w:fldChar w:fldCharType="separate"/>
            </w:r>
            <w:r w:rsidR="003E1363">
              <w:rPr>
                <w:webHidden/>
              </w:rPr>
              <w:t>5</w:t>
            </w:r>
            <w:r w:rsidR="003E1363">
              <w:rPr>
                <w:webHidden/>
              </w:rPr>
              <w:fldChar w:fldCharType="end"/>
            </w:r>
          </w:hyperlink>
        </w:p>
        <w:p w14:paraId="5DCD89BD" w14:textId="612F404A" w:rsidR="003E1363" w:rsidRDefault="00962267">
          <w:pPr>
            <w:pStyle w:val="TOC1"/>
            <w:rPr>
              <w:rFonts w:asciiTheme="minorHAnsi" w:hAnsiTheme="minorHAnsi" w:cstheme="minorBidi"/>
              <w:b w:val="0"/>
              <w:lang w:val="fr-FR" w:eastAsia="fr-FR"/>
            </w:rPr>
          </w:pPr>
          <w:hyperlink w:anchor="_Toc86329776" w:history="1">
            <w:r w:rsidR="003E1363" w:rsidRPr="0046603D">
              <w:rPr>
                <w:rStyle w:val="Hyperlink"/>
                <w:lang w:val="fr-FR"/>
              </w:rPr>
              <w:t>III. INTRODUCTION</w:t>
            </w:r>
            <w:r w:rsidR="003E1363">
              <w:rPr>
                <w:webHidden/>
              </w:rPr>
              <w:tab/>
            </w:r>
            <w:r w:rsidR="003E1363">
              <w:rPr>
                <w:webHidden/>
              </w:rPr>
              <w:fldChar w:fldCharType="begin"/>
            </w:r>
            <w:r w:rsidR="003E1363">
              <w:rPr>
                <w:webHidden/>
              </w:rPr>
              <w:instrText xml:space="preserve"> PAGEREF _Toc86329776 \h </w:instrText>
            </w:r>
            <w:r w:rsidR="003E1363">
              <w:rPr>
                <w:webHidden/>
              </w:rPr>
            </w:r>
            <w:r w:rsidR="003E1363">
              <w:rPr>
                <w:webHidden/>
              </w:rPr>
              <w:fldChar w:fldCharType="separate"/>
            </w:r>
            <w:r w:rsidR="003E1363">
              <w:rPr>
                <w:webHidden/>
              </w:rPr>
              <w:t>6</w:t>
            </w:r>
            <w:r w:rsidR="003E1363">
              <w:rPr>
                <w:webHidden/>
              </w:rPr>
              <w:fldChar w:fldCharType="end"/>
            </w:r>
          </w:hyperlink>
        </w:p>
        <w:p w14:paraId="312A129E" w14:textId="2F0CECD7" w:rsidR="003E1363" w:rsidRDefault="00962267">
          <w:pPr>
            <w:pStyle w:val="TOC1"/>
            <w:rPr>
              <w:rFonts w:asciiTheme="minorHAnsi" w:hAnsiTheme="minorHAnsi" w:cstheme="minorBidi"/>
              <w:b w:val="0"/>
              <w:lang w:val="fr-FR" w:eastAsia="fr-FR"/>
            </w:rPr>
          </w:pPr>
          <w:hyperlink w:anchor="_Toc86329777" w:history="1">
            <w:r w:rsidR="003E1363" w:rsidRPr="0046603D">
              <w:rPr>
                <w:rStyle w:val="Hyperlink"/>
                <w:lang w:val="fr-FR"/>
              </w:rPr>
              <w:t>IV. QUESTIONS SOULEVÉES PAR LE TRAITEMENT PARALLÈLE DES REQUÊTES INTERÉTATIQUES ET INDIVIDUELLES LIÉES</w:t>
            </w:r>
            <w:r w:rsidR="003E1363">
              <w:rPr>
                <w:webHidden/>
              </w:rPr>
              <w:tab/>
            </w:r>
            <w:r w:rsidR="003E1363">
              <w:rPr>
                <w:webHidden/>
              </w:rPr>
              <w:fldChar w:fldCharType="begin"/>
            </w:r>
            <w:r w:rsidR="003E1363">
              <w:rPr>
                <w:webHidden/>
              </w:rPr>
              <w:instrText xml:space="preserve"> PAGEREF _Toc86329777 \h </w:instrText>
            </w:r>
            <w:r w:rsidR="003E1363">
              <w:rPr>
                <w:webHidden/>
              </w:rPr>
            </w:r>
            <w:r w:rsidR="003E1363">
              <w:rPr>
                <w:webHidden/>
              </w:rPr>
              <w:fldChar w:fldCharType="separate"/>
            </w:r>
            <w:r w:rsidR="003E1363">
              <w:rPr>
                <w:webHidden/>
              </w:rPr>
              <w:t>9</w:t>
            </w:r>
            <w:r w:rsidR="003E1363">
              <w:rPr>
                <w:webHidden/>
              </w:rPr>
              <w:fldChar w:fldCharType="end"/>
            </w:r>
          </w:hyperlink>
        </w:p>
        <w:p w14:paraId="36191403" w14:textId="6C116951" w:rsidR="003E1363" w:rsidRDefault="00962267">
          <w:pPr>
            <w:pStyle w:val="TOC2"/>
            <w:rPr>
              <w:rFonts w:asciiTheme="minorHAnsi" w:hAnsiTheme="minorHAnsi" w:cstheme="minorBidi"/>
              <w:b w:val="0"/>
              <w:bCs w:val="0"/>
              <w:i w:val="0"/>
              <w:iCs w:val="0"/>
              <w:lang w:eastAsia="fr-FR"/>
            </w:rPr>
          </w:pPr>
          <w:hyperlink w:anchor="_Toc86329778" w:history="1">
            <w:r w:rsidR="003E1363" w:rsidRPr="0046603D">
              <w:rPr>
                <w:rStyle w:val="Hyperlink"/>
              </w:rPr>
              <w:t>1. Caractéristiques et catégories des requêtes interétatiques</w:t>
            </w:r>
            <w:r w:rsidR="003E1363">
              <w:rPr>
                <w:webHidden/>
              </w:rPr>
              <w:tab/>
            </w:r>
            <w:r w:rsidR="003E1363">
              <w:rPr>
                <w:webHidden/>
              </w:rPr>
              <w:fldChar w:fldCharType="begin"/>
            </w:r>
            <w:r w:rsidR="003E1363">
              <w:rPr>
                <w:webHidden/>
              </w:rPr>
              <w:instrText xml:space="preserve"> PAGEREF _Toc86329778 \h </w:instrText>
            </w:r>
            <w:r w:rsidR="003E1363">
              <w:rPr>
                <w:webHidden/>
              </w:rPr>
            </w:r>
            <w:r w:rsidR="003E1363">
              <w:rPr>
                <w:webHidden/>
              </w:rPr>
              <w:fldChar w:fldCharType="separate"/>
            </w:r>
            <w:r w:rsidR="003E1363">
              <w:rPr>
                <w:webHidden/>
              </w:rPr>
              <w:t>9</w:t>
            </w:r>
            <w:r w:rsidR="003E1363">
              <w:rPr>
                <w:webHidden/>
              </w:rPr>
              <w:fldChar w:fldCharType="end"/>
            </w:r>
          </w:hyperlink>
        </w:p>
        <w:p w14:paraId="7B217E0B" w14:textId="14E02267" w:rsidR="003E1363" w:rsidRDefault="00962267">
          <w:pPr>
            <w:pStyle w:val="TOC2"/>
            <w:rPr>
              <w:rFonts w:asciiTheme="minorHAnsi" w:hAnsiTheme="minorHAnsi" w:cstheme="minorBidi"/>
              <w:b w:val="0"/>
              <w:bCs w:val="0"/>
              <w:i w:val="0"/>
              <w:iCs w:val="0"/>
              <w:lang w:eastAsia="fr-FR"/>
            </w:rPr>
          </w:pPr>
          <w:hyperlink w:anchor="_Toc86329779" w:history="1">
            <w:r w:rsidR="003E1363" w:rsidRPr="0046603D">
              <w:rPr>
                <w:rStyle w:val="Hyperlink"/>
              </w:rPr>
              <w:t>2. La pratique de la Cour en matière de recevabilité des requêtes interétatiques et des requêtes individuelles</w:t>
            </w:r>
            <w:r w:rsidR="003E1363">
              <w:rPr>
                <w:webHidden/>
              </w:rPr>
              <w:tab/>
            </w:r>
            <w:r w:rsidR="003E1363">
              <w:rPr>
                <w:webHidden/>
              </w:rPr>
              <w:fldChar w:fldCharType="begin"/>
            </w:r>
            <w:r w:rsidR="003E1363">
              <w:rPr>
                <w:webHidden/>
              </w:rPr>
              <w:instrText xml:space="preserve"> PAGEREF _Toc86329779 \h </w:instrText>
            </w:r>
            <w:r w:rsidR="003E1363">
              <w:rPr>
                <w:webHidden/>
              </w:rPr>
            </w:r>
            <w:r w:rsidR="003E1363">
              <w:rPr>
                <w:webHidden/>
              </w:rPr>
              <w:fldChar w:fldCharType="separate"/>
            </w:r>
            <w:r w:rsidR="003E1363">
              <w:rPr>
                <w:webHidden/>
              </w:rPr>
              <w:t>12</w:t>
            </w:r>
            <w:r w:rsidR="003E1363">
              <w:rPr>
                <w:webHidden/>
              </w:rPr>
              <w:fldChar w:fldCharType="end"/>
            </w:r>
          </w:hyperlink>
        </w:p>
        <w:p w14:paraId="4EED6CB9" w14:textId="6C9F4403" w:rsidR="003E1363" w:rsidRDefault="00962267">
          <w:pPr>
            <w:pStyle w:val="TOC2"/>
            <w:rPr>
              <w:rFonts w:asciiTheme="minorHAnsi" w:hAnsiTheme="minorHAnsi" w:cstheme="minorBidi"/>
              <w:b w:val="0"/>
              <w:bCs w:val="0"/>
              <w:i w:val="0"/>
              <w:iCs w:val="0"/>
              <w:lang w:eastAsia="fr-FR"/>
            </w:rPr>
          </w:pPr>
          <w:hyperlink w:anchor="_Toc86329780" w:history="1">
            <w:r w:rsidR="003E1363" w:rsidRPr="0046603D">
              <w:rPr>
                <w:rStyle w:val="Hyperlink"/>
              </w:rPr>
              <w:t>3. Questions procédurales</w:t>
            </w:r>
            <w:r w:rsidR="003E1363">
              <w:rPr>
                <w:webHidden/>
              </w:rPr>
              <w:tab/>
            </w:r>
            <w:r w:rsidR="003E1363">
              <w:rPr>
                <w:webHidden/>
              </w:rPr>
              <w:fldChar w:fldCharType="begin"/>
            </w:r>
            <w:r w:rsidR="003E1363">
              <w:rPr>
                <w:webHidden/>
              </w:rPr>
              <w:instrText xml:space="preserve"> PAGEREF _Toc86329780 \h </w:instrText>
            </w:r>
            <w:r w:rsidR="003E1363">
              <w:rPr>
                <w:webHidden/>
              </w:rPr>
            </w:r>
            <w:r w:rsidR="003E1363">
              <w:rPr>
                <w:webHidden/>
              </w:rPr>
              <w:fldChar w:fldCharType="separate"/>
            </w:r>
            <w:r w:rsidR="003E1363">
              <w:rPr>
                <w:webHidden/>
              </w:rPr>
              <w:t>16</w:t>
            </w:r>
            <w:r w:rsidR="003E1363">
              <w:rPr>
                <w:webHidden/>
              </w:rPr>
              <w:fldChar w:fldCharType="end"/>
            </w:r>
          </w:hyperlink>
        </w:p>
        <w:p w14:paraId="0570D173" w14:textId="42E9E7EF" w:rsidR="003E1363" w:rsidRDefault="00962267">
          <w:pPr>
            <w:pStyle w:val="TOC1"/>
            <w:rPr>
              <w:rFonts w:asciiTheme="minorHAnsi" w:hAnsiTheme="minorHAnsi" w:cstheme="minorBidi"/>
              <w:b w:val="0"/>
              <w:lang w:val="fr-FR" w:eastAsia="fr-FR"/>
            </w:rPr>
          </w:pPr>
          <w:hyperlink w:anchor="_Toc86329781" w:history="1">
            <w:r w:rsidR="003E1363" w:rsidRPr="0046603D">
              <w:rPr>
                <w:rStyle w:val="Hyperlink"/>
                <w:lang w:val="fr-FR"/>
              </w:rPr>
              <w:t>V. QUESTIONS RELATIVES À LA PLURALITÉ DES PROCÉDURES INTERNATIONALES</w:t>
            </w:r>
            <w:r w:rsidR="003E1363">
              <w:rPr>
                <w:webHidden/>
              </w:rPr>
              <w:tab/>
            </w:r>
            <w:r w:rsidR="003E1363">
              <w:rPr>
                <w:webHidden/>
              </w:rPr>
              <w:fldChar w:fldCharType="begin"/>
            </w:r>
            <w:r w:rsidR="003E1363">
              <w:rPr>
                <w:webHidden/>
              </w:rPr>
              <w:instrText xml:space="preserve"> PAGEREF _Toc86329781 \h </w:instrText>
            </w:r>
            <w:r w:rsidR="003E1363">
              <w:rPr>
                <w:webHidden/>
              </w:rPr>
            </w:r>
            <w:r w:rsidR="003E1363">
              <w:rPr>
                <w:webHidden/>
              </w:rPr>
              <w:fldChar w:fldCharType="separate"/>
            </w:r>
            <w:r w:rsidR="003E1363">
              <w:rPr>
                <w:webHidden/>
              </w:rPr>
              <w:t>18</w:t>
            </w:r>
            <w:r w:rsidR="003E1363">
              <w:rPr>
                <w:webHidden/>
              </w:rPr>
              <w:fldChar w:fldCharType="end"/>
            </w:r>
          </w:hyperlink>
        </w:p>
        <w:p w14:paraId="541FCCE4" w14:textId="60AF7F86" w:rsidR="003E1363" w:rsidRDefault="00962267">
          <w:pPr>
            <w:pStyle w:val="TOC2"/>
            <w:rPr>
              <w:rFonts w:asciiTheme="minorHAnsi" w:hAnsiTheme="minorHAnsi" w:cstheme="minorBidi"/>
              <w:b w:val="0"/>
              <w:bCs w:val="0"/>
              <w:i w:val="0"/>
              <w:iCs w:val="0"/>
              <w:lang w:eastAsia="fr-FR"/>
            </w:rPr>
          </w:pPr>
          <w:hyperlink w:anchor="_Toc86329782" w:history="1">
            <w:r w:rsidR="003E1363" w:rsidRPr="0046603D">
              <w:rPr>
                <w:rStyle w:val="Hyperlink"/>
              </w:rPr>
              <w:t>1.</w:t>
            </w:r>
            <w:r w:rsidR="003E1363">
              <w:rPr>
                <w:rFonts w:asciiTheme="minorHAnsi" w:hAnsiTheme="minorHAnsi" w:cstheme="minorBidi"/>
                <w:b w:val="0"/>
                <w:bCs w:val="0"/>
                <w:i w:val="0"/>
                <w:iCs w:val="0"/>
                <w:lang w:eastAsia="fr-FR"/>
              </w:rPr>
              <w:tab/>
            </w:r>
            <w:r w:rsidR="003E1363" w:rsidRPr="0046603D">
              <w:rPr>
                <w:rStyle w:val="Hyperlink"/>
              </w:rPr>
              <w:t>Requêtes individuelles liées aux conflits interétatiques soumises à la Cour et à une autre procédure internationale</w:t>
            </w:r>
            <w:r w:rsidR="003E1363">
              <w:rPr>
                <w:webHidden/>
              </w:rPr>
              <w:tab/>
            </w:r>
            <w:r w:rsidR="003E1363">
              <w:rPr>
                <w:webHidden/>
              </w:rPr>
              <w:fldChar w:fldCharType="begin"/>
            </w:r>
            <w:r w:rsidR="003E1363">
              <w:rPr>
                <w:webHidden/>
              </w:rPr>
              <w:instrText xml:space="preserve"> PAGEREF _Toc86329782 \h </w:instrText>
            </w:r>
            <w:r w:rsidR="003E1363">
              <w:rPr>
                <w:webHidden/>
              </w:rPr>
            </w:r>
            <w:r w:rsidR="003E1363">
              <w:rPr>
                <w:webHidden/>
              </w:rPr>
              <w:fldChar w:fldCharType="separate"/>
            </w:r>
            <w:r w:rsidR="003E1363">
              <w:rPr>
                <w:webHidden/>
              </w:rPr>
              <w:t>19</w:t>
            </w:r>
            <w:r w:rsidR="003E1363">
              <w:rPr>
                <w:webHidden/>
              </w:rPr>
              <w:fldChar w:fldCharType="end"/>
            </w:r>
          </w:hyperlink>
        </w:p>
        <w:p w14:paraId="630435CC" w14:textId="129924C1" w:rsidR="003E1363" w:rsidRDefault="00962267">
          <w:pPr>
            <w:pStyle w:val="TOC2"/>
            <w:rPr>
              <w:rFonts w:asciiTheme="minorHAnsi" w:hAnsiTheme="minorHAnsi" w:cstheme="minorBidi"/>
              <w:b w:val="0"/>
              <w:bCs w:val="0"/>
              <w:i w:val="0"/>
              <w:iCs w:val="0"/>
              <w:lang w:eastAsia="fr-FR"/>
            </w:rPr>
          </w:pPr>
          <w:hyperlink w:anchor="_Toc86329783" w:history="1">
            <w:r w:rsidR="003E1363" w:rsidRPr="0046603D">
              <w:rPr>
                <w:rStyle w:val="Hyperlink"/>
              </w:rPr>
              <w:t>2.</w:t>
            </w:r>
            <w:r w:rsidR="003E1363">
              <w:rPr>
                <w:rFonts w:asciiTheme="minorHAnsi" w:hAnsiTheme="minorHAnsi" w:cstheme="minorBidi"/>
                <w:b w:val="0"/>
                <w:bCs w:val="0"/>
                <w:i w:val="0"/>
                <w:iCs w:val="0"/>
                <w:lang w:eastAsia="fr-FR"/>
              </w:rPr>
              <w:tab/>
            </w:r>
            <w:r w:rsidR="003E1363" w:rsidRPr="0046603D">
              <w:rPr>
                <w:rStyle w:val="Hyperlink"/>
              </w:rPr>
              <w:t>Requêtes interétatiques soumises à la Cour et autres moyens de règlement des différends</w:t>
            </w:r>
            <w:r w:rsidR="003E1363">
              <w:rPr>
                <w:webHidden/>
              </w:rPr>
              <w:tab/>
            </w:r>
            <w:r w:rsidR="003E1363">
              <w:rPr>
                <w:webHidden/>
              </w:rPr>
              <w:fldChar w:fldCharType="begin"/>
            </w:r>
            <w:r w:rsidR="003E1363">
              <w:rPr>
                <w:webHidden/>
              </w:rPr>
              <w:instrText xml:space="preserve"> PAGEREF _Toc86329783 \h </w:instrText>
            </w:r>
            <w:r w:rsidR="003E1363">
              <w:rPr>
                <w:webHidden/>
              </w:rPr>
            </w:r>
            <w:r w:rsidR="003E1363">
              <w:rPr>
                <w:webHidden/>
              </w:rPr>
              <w:fldChar w:fldCharType="separate"/>
            </w:r>
            <w:r w:rsidR="003E1363">
              <w:rPr>
                <w:webHidden/>
              </w:rPr>
              <w:t>21</w:t>
            </w:r>
            <w:r w:rsidR="003E1363">
              <w:rPr>
                <w:webHidden/>
              </w:rPr>
              <w:fldChar w:fldCharType="end"/>
            </w:r>
          </w:hyperlink>
        </w:p>
        <w:p w14:paraId="3390AD53" w14:textId="374E4807" w:rsidR="003E1363" w:rsidRDefault="00962267">
          <w:pPr>
            <w:pStyle w:val="TOC1"/>
            <w:rPr>
              <w:rFonts w:asciiTheme="minorHAnsi" w:hAnsiTheme="minorHAnsi" w:cstheme="minorBidi"/>
              <w:b w:val="0"/>
              <w:lang w:val="fr-FR" w:eastAsia="fr-FR"/>
            </w:rPr>
          </w:pPr>
          <w:hyperlink w:anchor="_Toc86329784" w:history="1">
            <w:r w:rsidR="003E1363" w:rsidRPr="0046603D">
              <w:rPr>
                <w:rStyle w:val="Hyperlink"/>
                <w:lang w:val="fr-FR"/>
              </w:rPr>
              <w:t>VI. L'ÉTABLISSEMENT DES FAITS</w:t>
            </w:r>
            <w:r w:rsidR="003E1363">
              <w:rPr>
                <w:webHidden/>
              </w:rPr>
              <w:tab/>
            </w:r>
            <w:r w:rsidR="003E1363">
              <w:rPr>
                <w:webHidden/>
              </w:rPr>
              <w:fldChar w:fldCharType="begin"/>
            </w:r>
            <w:r w:rsidR="003E1363">
              <w:rPr>
                <w:webHidden/>
              </w:rPr>
              <w:instrText xml:space="preserve"> PAGEREF _Toc86329784 \h </w:instrText>
            </w:r>
            <w:r w:rsidR="003E1363">
              <w:rPr>
                <w:webHidden/>
              </w:rPr>
            </w:r>
            <w:r w:rsidR="003E1363">
              <w:rPr>
                <w:webHidden/>
              </w:rPr>
              <w:fldChar w:fldCharType="separate"/>
            </w:r>
            <w:r w:rsidR="003E1363">
              <w:rPr>
                <w:webHidden/>
              </w:rPr>
              <w:t>23</w:t>
            </w:r>
            <w:r w:rsidR="003E1363">
              <w:rPr>
                <w:webHidden/>
              </w:rPr>
              <w:fldChar w:fldCharType="end"/>
            </w:r>
          </w:hyperlink>
        </w:p>
        <w:p w14:paraId="5056174D" w14:textId="4EEE31AB" w:rsidR="003E1363" w:rsidRDefault="00962267">
          <w:pPr>
            <w:pStyle w:val="TOC2"/>
            <w:rPr>
              <w:rFonts w:asciiTheme="minorHAnsi" w:hAnsiTheme="minorHAnsi" w:cstheme="minorBidi"/>
              <w:b w:val="0"/>
              <w:bCs w:val="0"/>
              <w:i w:val="0"/>
              <w:iCs w:val="0"/>
              <w:lang w:eastAsia="fr-FR"/>
            </w:rPr>
          </w:pPr>
          <w:hyperlink w:anchor="_Toc86329785" w:history="1">
            <w:r w:rsidR="003E1363" w:rsidRPr="0046603D">
              <w:rPr>
                <w:rStyle w:val="Hyperlink"/>
              </w:rPr>
              <w:t>1. Principes de recevabilité et appréciation des éléments de preuve</w:t>
            </w:r>
            <w:r w:rsidR="003E1363">
              <w:rPr>
                <w:webHidden/>
              </w:rPr>
              <w:tab/>
            </w:r>
            <w:r w:rsidR="003E1363">
              <w:rPr>
                <w:webHidden/>
              </w:rPr>
              <w:fldChar w:fldCharType="begin"/>
            </w:r>
            <w:r w:rsidR="003E1363">
              <w:rPr>
                <w:webHidden/>
              </w:rPr>
              <w:instrText xml:space="preserve"> PAGEREF _Toc86329785 \h </w:instrText>
            </w:r>
            <w:r w:rsidR="003E1363">
              <w:rPr>
                <w:webHidden/>
              </w:rPr>
            </w:r>
            <w:r w:rsidR="003E1363">
              <w:rPr>
                <w:webHidden/>
              </w:rPr>
              <w:fldChar w:fldCharType="separate"/>
            </w:r>
            <w:r w:rsidR="003E1363">
              <w:rPr>
                <w:webHidden/>
              </w:rPr>
              <w:t>23</w:t>
            </w:r>
            <w:r w:rsidR="003E1363">
              <w:rPr>
                <w:webHidden/>
              </w:rPr>
              <w:fldChar w:fldCharType="end"/>
            </w:r>
          </w:hyperlink>
        </w:p>
        <w:p w14:paraId="11C8D020" w14:textId="2C0A1B5D" w:rsidR="003E1363" w:rsidRDefault="00962267">
          <w:pPr>
            <w:pStyle w:val="TOC2"/>
            <w:rPr>
              <w:rFonts w:asciiTheme="minorHAnsi" w:hAnsiTheme="minorHAnsi" w:cstheme="minorBidi"/>
              <w:b w:val="0"/>
              <w:bCs w:val="0"/>
              <w:i w:val="0"/>
              <w:iCs w:val="0"/>
              <w:lang w:eastAsia="fr-FR"/>
            </w:rPr>
          </w:pPr>
          <w:hyperlink w:anchor="_Toc86329786" w:history="1">
            <w:r w:rsidR="003E1363" w:rsidRPr="0046603D">
              <w:rPr>
                <w:rStyle w:val="Hyperlink"/>
              </w:rPr>
              <w:t>2. Le niveau de preuve</w:t>
            </w:r>
            <w:r w:rsidR="003E1363">
              <w:rPr>
                <w:webHidden/>
              </w:rPr>
              <w:tab/>
            </w:r>
            <w:r w:rsidR="003E1363">
              <w:rPr>
                <w:webHidden/>
              </w:rPr>
              <w:fldChar w:fldCharType="begin"/>
            </w:r>
            <w:r w:rsidR="003E1363">
              <w:rPr>
                <w:webHidden/>
              </w:rPr>
              <w:instrText xml:space="preserve"> PAGEREF _Toc86329786 \h </w:instrText>
            </w:r>
            <w:r w:rsidR="003E1363">
              <w:rPr>
                <w:webHidden/>
              </w:rPr>
            </w:r>
            <w:r w:rsidR="003E1363">
              <w:rPr>
                <w:webHidden/>
              </w:rPr>
              <w:fldChar w:fldCharType="separate"/>
            </w:r>
            <w:r w:rsidR="003E1363">
              <w:rPr>
                <w:webHidden/>
              </w:rPr>
              <w:t>27</w:t>
            </w:r>
            <w:r w:rsidR="003E1363">
              <w:rPr>
                <w:webHidden/>
              </w:rPr>
              <w:fldChar w:fldCharType="end"/>
            </w:r>
          </w:hyperlink>
        </w:p>
        <w:p w14:paraId="5FE5055C" w14:textId="22B2F413" w:rsidR="003E1363" w:rsidRDefault="00962267">
          <w:pPr>
            <w:pStyle w:val="TOC2"/>
            <w:rPr>
              <w:rFonts w:asciiTheme="minorHAnsi" w:hAnsiTheme="minorHAnsi" w:cstheme="minorBidi"/>
              <w:b w:val="0"/>
              <w:bCs w:val="0"/>
              <w:i w:val="0"/>
              <w:iCs w:val="0"/>
              <w:lang w:eastAsia="fr-FR"/>
            </w:rPr>
          </w:pPr>
          <w:hyperlink w:anchor="_Toc86329787" w:history="1">
            <w:r w:rsidR="003E1363" w:rsidRPr="0046603D">
              <w:rPr>
                <w:rStyle w:val="Hyperlink"/>
              </w:rPr>
              <w:t>3.</w:t>
            </w:r>
            <w:r w:rsidR="003E1363">
              <w:rPr>
                <w:rFonts w:asciiTheme="minorHAnsi" w:hAnsiTheme="minorHAnsi" w:cstheme="minorBidi"/>
                <w:b w:val="0"/>
                <w:bCs w:val="0"/>
                <w:i w:val="0"/>
                <w:iCs w:val="0"/>
                <w:lang w:eastAsia="fr-FR"/>
              </w:rPr>
              <w:tab/>
            </w:r>
            <w:r w:rsidR="003E1363" w:rsidRPr="0046603D">
              <w:rPr>
                <w:rStyle w:val="Hyperlink"/>
                <w:rFonts w:eastAsiaTheme="minorHAnsi"/>
                <w:lang w:eastAsia="en-US"/>
              </w:rPr>
              <w:t>Charge de la preuve</w:t>
            </w:r>
            <w:r w:rsidR="003E1363">
              <w:rPr>
                <w:webHidden/>
              </w:rPr>
              <w:tab/>
            </w:r>
            <w:r w:rsidR="003E1363">
              <w:rPr>
                <w:webHidden/>
              </w:rPr>
              <w:fldChar w:fldCharType="begin"/>
            </w:r>
            <w:r w:rsidR="003E1363">
              <w:rPr>
                <w:webHidden/>
              </w:rPr>
              <w:instrText xml:space="preserve"> PAGEREF _Toc86329787 \h </w:instrText>
            </w:r>
            <w:r w:rsidR="003E1363">
              <w:rPr>
                <w:webHidden/>
              </w:rPr>
            </w:r>
            <w:r w:rsidR="003E1363">
              <w:rPr>
                <w:webHidden/>
              </w:rPr>
              <w:fldChar w:fldCharType="separate"/>
            </w:r>
            <w:r w:rsidR="003E1363">
              <w:rPr>
                <w:webHidden/>
              </w:rPr>
              <w:t>28</w:t>
            </w:r>
            <w:r w:rsidR="003E1363">
              <w:rPr>
                <w:webHidden/>
              </w:rPr>
              <w:fldChar w:fldCharType="end"/>
            </w:r>
          </w:hyperlink>
        </w:p>
        <w:p w14:paraId="700B7AED" w14:textId="36E58EFB" w:rsidR="003E1363" w:rsidRDefault="00962267">
          <w:pPr>
            <w:pStyle w:val="TOC2"/>
            <w:rPr>
              <w:rFonts w:asciiTheme="minorHAnsi" w:hAnsiTheme="minorHAnsi" w:cstheme="minorBidi"/>
              <w:b w:val="0"/>
              <w:bCs w:val="0"/>
              <w:i w:val="0"/>
              <w:iCs w:val="0"/>
              <w:lang w:eastAsia="fr-FR"/>
            </w:rPr>
          </w:pPr>
          <w:hyperlink w:anchor="_Toc86329788" w:history="1">
            <w:r w:rsidR="003E1363" w:rsidRPr="0046603D">
              <w:rPr>
                <w:rStyle w:val="Hyperlink"/>
              </w:rPr>
              <w:t>4.</w:t>
            </w:r>
            <w:r w:rsidR="003E1363">
              <w:rPr>
                <w:rFonts w:asciiTheme="minorHAnsi" w:hAnsiTheme="minorHAnsi" w:cstheme="minorBidi"/>
                <w:b w:val="0"/>
                <w:bCs w:val="0"/>
                <w:i w:val="0"/>
                <w:iCs w:val="0"/>
                <w:lang w:eastAsia="fr-FR"/>
              </w:rPr>
              <w:tab/>
            </w:r>
            <w:r w:rsidR="003E1363" w:rsidRPr="0046603D">
              <w:rPr>
                <w:rStyle w:val="Hyperlink"/>
              </w:rPr>
              <w:t>La fonction d'établissement des faits de la Cour</w:t>
            </w:r>
            <w:r w:rsidR="003E1363">
              <w:rPr>
                <w:webHidden/>
              </w:rPr>
              <w:tab/>
            </w:r>
            <w:r w:rsidR="003E1363">
              <w:rPr>
                <w:webHidden/>
              </w:rPr>
              <w:fldChar w:fldCharType="begin"/>
            </w:r>
            <w:r w:rsidR="003E1363">
              <w:rPr>
                <w:webHidden/>
              </w:rPr>
              <w:instrText xml:space="preserve"> PAGEREF _Toc86329788 \h </w:instrText>
            </w:r>
            <w:r w:rsidR="003E1363">
              <w:rPr>
                <w:webHidden/>
              </w:rPr>
            </w:r>
            <w:r w:rsidR="003E1363">
              <w:rPr>
                <w:webHidden/>
              </w:rPr>
              <w:fldChar w:fldCharType="separate"/>
            </w:r>
            <w:r w:rsidR="003E1363">
              <w:rPr>
                <w:webHidden/>
              </w:rPr>
              <w:t>30</w:t>
            </w:r>
            <w:r w:rsidR="003E1363">
              <w:rPr>
                <w:webHidden/>
              </w:rPr>
              <w:fldChar w:fldCharType="end"/>
            </w:r>
          </w:hyperlink>
        </w:p>
        <w:p w14:paraId="0377D481" w14:textId="23BDA7E7" w:rsidR="003E1363" w:rsidRDefault="00962267">
          <w:pPr>
            <w:pStyle w:val="TOC3"/>
            <w:rPr>
              <w:noProof/>
              <w:lang w:val="fr-FR" w:eastAsia="fr-FR"/>
            </w:rPr>
          </w:pPr>
          <w:hyperlink w:anchor="_Toc86329789" w:history="1">
            <w:r w:rsidR="003E1363" w:rsidRPr="0046603D">
              <w:rPr>
                <w:rStyle w:val="Hyperlink"/>
                <w:rFonts w:ascii="Arial" w:hAnsi="Arial" w:cs="Arial"/>
                <w:i/>
                <w:noProof/>
                <w:lang w:val="fr-FR"/>
              </w:rPr>
              <w:t>4.1. Pouvoirs d'enquête</w:t>
            </w:r>
            <w:r w:rsidR="003E1363">
              <w:rPr>
                <w:noProof/>
                <w:webHidden/>
              </w:rPr>
              <w:tab/>
            </w:r>
            <w:r w:rsidR="003E1363">
              <w:rPr>
                <w:noProof/>
                <w:webHidden/>
              </w:rPr>
              <w:fldChar w:fldCharType="begin"/>
            </w:r>
            <w:r w:rsidR="003E1363">
              <w:rPr>
                <w:noProof/>
                <w:webHidden/>
              </w:rPr>
              <w:instrText xml:space="preserve"> PAGEREF _Toc86329789 \h </w:instrText>
            </w:r>
            <w:r w:rsidR="003E1363">
              <w:rPr>
                <w:noProof/>
                <w:webHidden/>
              </w:rPr>
            </w:r>
            <w:r w:rsidR="003E1363">
              <w:rPr>
                <w:noProof/>
                <w:webHidden/>
              </w:rPr>
              <w:fldChar w:fldCharType="separate"/>
            </w:r>
            <w:r w:rsidR="003E1363">
              <w:rPr>
                <w:noProof/>
                <w:webHidden/>
              </w:rPr>
              <w:t>30</w:t>
            </w:r>
            <w:r w:rsidR="003E1363">
              <w:rPr>
                <w:noProof/>
                <w:webHidden/>
              </w:rPr>
              <w:fldChar w:fldCharType="end"/>
            </w:r>
          </w:hyperlink>
        </w:p>
        <w:p w14:paraId="27201CD3" w14:textId="43647E88" w:rsidR="003E1363" w:rsidRDefault="00962267">
          <w:pPr>
            <w:pStyle w:val="TOC3"/>
            <w:rPr>
              <w:noProof/>
              <w:lang w:val="fr-FR" w:eastAsia="fr-FR"/>
            </w:rPr>
          </w:pPr>
          <w:hyperlink w:anchor="_Toc86329790" w:history="1">
            <w:r w:rsidR="003E1363" w:rsidRPr="0046603D">
              <w:rPr>
                <w:rStyle w:val="Hyperlink"/>
                <w:rFonts w:ascii="Arial" w:hAnsi="Arial" w:cs="Arial"/>
                <w:i/>
                <w:noProof/>
                <w:lang w:val="fr-FR"/>
              </w:rPr>
              <w:t>4.2. Auditions de témoins</w:t>
            </w:r>
            <w:r w:rsidR="003E1363">
              <w:rPr>
                <w:noProof/>
                <w:webHidden/>
              </w:rPr>
              <w:tab/>
            </w:r>
            <w:r w:rsidR="003E1363">
              <w:rPr>
                <w:noProof/>
                <w:webHidden/>
              </w:rPr>
              <w:fldChar w:fldCharType="begin"/>
            </w:r>
            <w:r w:rsidR="003E1363">
              <w:rPr>
                <w:noProof/>
                <w:webHidden/>
              </w:rPr>
              <w:instrText xml:space="preserve"> PAGEREF _Toc86329790 \h </w:instrText>
            </w:r>
            <w:r w:rsidR="003E1363">
              <w:rPr>
                <w:noProof/>
                <w:webHidden/>
              </w:rPr>
            </w:r>
            <w:r w:rsidR="003E1363">
              <w:rPr>
                <w:noProof/>
                <w:webHidden/>
              </w:rPr>
              <w:fldChar w:fldCharType="separate"/>
            </w:r>
            <w:r w:rsidR="003E1363">
              <w:rPr>
                <w:noProof/>
                <w:webHidden/>
              </w:rPr>
              <w:t>31</w:t>
            </w:r>
            <w:r w:rsidR="003E1363">
              <w:rPr>
                <w:noProof/>
                <w:webHidden/>
              </w:rPr>
              <w:fldChar w:fldCharType="end"/>
            </w:r>
          </w:hyperlink>
        </w:p>
        <w:p w14:paraId="15FE9AD4" w14:textId="7DF6C094" w:rsidR="003E1363" w:rsidRDefault="00962267">
          <w:pPr>
            <w:pStyle w:val="TOC3"/>
            <w:rPr>
              <w:noProof/>
              <w:lang w:val="fr-FR" w:eastAsia="fr-FR"/>
            </w:rPr>
          </w:pPr>
          <w:hyperlink w:anchor="_Toc86329791" w:history="1">
            <w:r w:rsidR="003E1363" w:rsidRPr="0046603D">
              <w:rPr>
                <w:rStyle w:val="Hyperlink"/>
                <w:rFonts w:ascii="Arial" w:hAnsi="Arial" w:cs="Arial"/>
                <w:i/>
                <w:noProof/>
                <w:lang w:val="fr-FR"/>
              </w:rPr>
              <w:t>4.3. Enquêtes sur place</w:t>
            </w:r>
            <w:r w:rsidR="003E1363">
              <w:rPr>
                <w:noProof/>
                <w:webHidden/>
              </w:rPr>
              <w:tab/>
            </w:r>
            <w:r w:rsidR="003E1363">
              <w:rPr>
                <w:noProof/>
                <w:webHidden/>
              </w:rPr>
              <w:fldChar w:fldCharType="begin"/>
            </w:r>
            <w:r w:rsidR="003E1363">
              <w:rPr>
                <w:noProof/>
                <w:webHidden/>
              </w:rPr>
              <w:instrText xml:space="preserve"> PAGEREF _Toc86329791 \h </w:instrText>
            </w:r>
            <w:r w:rsidR="003E1363">
              <w:rPr>
                <w:noProof/>
                <w:webHidden/>
              </w:rPr>
            </w:r>
            <w:r w:rsidR="003E1363">
              <w:rPr>
                <w:noProof/>
                <w:webHidden/>
              </w:rPr>
              <w:fldChar w:fldCharType="separate"/>
            </w:r>
            <w:r w:rsidR="003E1363">
              <w:rPr>
                <w:noProof/>
                <w:webHidden/>
              </w:rPr>
              <w:t>33</w:t>
            </w:r>
            <w:r w:rsidR="003E1363">
              <w:rPr>
                <w:noProof/>
                <w:webHidden/>
              </w:rPr>
              <w:fldChar w:fldCharType="end"/>
            </w:r>
          </w:hyperlink>
        </w:p>
        <w:p w14:paraId="63867820" w14:textId="1A2FC799" w:rsidR="003E1363" w:rsidRDefault="00962267">
          <w:pPr>
            <w:pStyle w:val="TOC1"/>
            <w:rPr>
              <w:rFonts w:asciiTheme="minorHAnsi" w:hAnsiTheme="minorHAnsi" w:cstheme="minorBidi"/>
              <w:b w:val="0"/>
              <w:lang w:val="fr-FR" w:eastAsia="fr-FR"/>
            </w:rPr>
          </w:pPr>
          <w:hyperlink w:anchor="_Toc86329792" w:history="1">
            <w:r w:rsidR="003E1363" w:rsidRPr="0046603D">
              <w:rPr>
                <w:rStyle w:val="Hyperlink"/>
                <w:lang w:val="fr-FR"/>
              </w:rPr>
              <w:t>VII. LA SATISFACTION ÉQUITABLE DANS LES AFFAIRES INTERÉTATIQUES</w:t>
            </w:r>
            <w:r w:rsidR="003E1363">
              <w:rPr>
                <w:webHidden/>
              </w:rPr>
              <w:tab/>
            </w:r>
            <w:r w:rsidR="003E1363">
              <w:rPr>
                <w:webHidden/>
              </w:rPr>
              <w:fldChar w:fldCharType="begin"/>
            </w:r>
            <w:r w:rsidR="003E1363">
              <w:rPr>
                <w:webHidden/>
              </w:rPr>
              <w:instrText xml:space="preserve"> PAGEREF _Toc86329792 \h </w:instrText>
            </w:r>
            <w:r w:rsidR="003E1363">
              <w:rPr>
                <w:webHidden/>
              </w:rPr>
            </w:r>
            <w:r w:rsidR="003E1363">
              <w:rPr>
                <w:webHidden/>
              </w:rPr>
              <w:fldChar w:fldCharType="separate"/>
            </w:r>
            <w:r w:rsidR="003E1363">
              <w:rPr>
                <w:webHidden/>
              </w:rPr>
              <w:t>34</w:t>
            </w:r>
            <w:r w:rsidR="003E1363">
              <w:rPr>
                <w:webHidden/>
              </w:rPr>
              <w:fldChar w:fldCharType="end"/>
            </w:r>
          </w:hyperlink>
        </w:p>
        <w:p w14:paraId="38BB5DE9" w14:textId="083F79A3" w:rsidR="003E1363" w:rsidRDefault="00962267">
          <w:pPr>
            <w:pStyle w:val="TOC1"/>
            <w:rPr>
              <w:rFonts w:asciiTheme="minorHAnsi" w:hAnsiTheme="minorHAnsi" w:cstheme="minorBidi"/>
              <w:b w:val="0"/>
              <w:lang w:val="fr-FR" w:eastAsia="fr-FR"/>
            </w:rPr>
          </w:pPr>
          <w:hyperlink w:anchor="_Toc86329793" w:history="1">
            <w:r w:rsidR="003E1363" w:rsidRPr="0046603D">
              <w:rPr>
                <w:rStyle w:val="Hyperlink"/>
                <w:lang w:val="fr-FR"/>
              </w:rPr>
              <w:t>VIII. RÈGLEMENT AMIABLE</w:t>
            </w:r>
            <w:r w:rsidR="003E1363">
              <w:rPr>
                <w:webHidden/>
              </w:rPr>
              <w:tab/>
            </w:r>
            <w:r w:rsidR="003E1363">
              <w:rPr>
                <w:webHidden/>
              </w:rPr>
              <w:fldChar w:fldCharType="begin"/>
            </w:r>
            <w:r w:rsidR="003E1363">
              <w:rPr>
                <w:webHidden/>
              </w:rPr>
              <w:instrText xml:space="preserve"> PAGEREF _Toc86329793 \h </w:instrText>
            </w:r>
            <w:r w:rsidR="003E1363">
              <w:rPr>
                <w:webHidden/>
              </w:rPr>
            </w:r>
            <w:r w:rsidR="003E1363">
              <w:rPr>
                <w:webHidden/>
              </w:rPr>
              <w:fldChar w:fldCharType="separate"/>
            </w:r>
            <w:r w:rsidR="003E1363">
              <w:rPr>
                <w:webHidden/>
              </w:rPr>
              <w:t>38</w:t>
            </w:r>
            <w:r w:rsidR="003E1363">
              <w:rPr>
                <w:webHidden/>
              </w:rPr>
              <w:fldChar w:fldCharType="end"/>
            </w:r>
          </w:hyperlink>
        </w:p>
        <w:p w14:paraId="070E77E8" w14:textId="4A1D7CC1" w:rsidR="003E1363" w:rsidRDefault="00962267">
          <w:pPr>
            <w:pStyle w:val="TOC2"/>
            <w:rPr>
              <w:rFonts w:asciiTheme="minorHAnsi" w:hAnsiTheme="minorHAnsi" w:cstheme="minorBidi"/>
              <w:b w:val="0"/>
              <w:bCs w:val="0"/>
              <w:i w:val="0"/>
              <w:iCs w:val="0"/>
              <w:lang w:eastAsia="fr-FR"/>
            </w:rPr>
          </w:pPr>
          <w:hyperlink w:anchor="_Toc86329794" w:history="1">
            <w:r w:rsidR="003E1363" w:rsidRPr="0046603D">
              <w:rPr>
                <w:rStyle w:val="Hyperlink"/>
              </w:rPr>
              <w:t>1. La pratique de la Cour et possibilités de développement ultérieur</w:t>
            </w:r>
            <w:r w:rsidR="003E1363">
              <w:rPr>
                <w:webHidden/>
              </w:rPr>
              <w:tab/>
            </w:r>
            <w:r w:rsidR="003E1363">
              <w:rPr>
                <w:webHidden/>
              </w:rPr>
              <w:fldChar w:fldCharType="begin"/>
            </w:r>
            <w:r w:rsidR="003E1363">
              <w:rPr>
                <w:webHidden/>
              </w:rPr>
              <w:instrText xml:space="preserve"> PAGEREF _Toc86329794 \h </w:instrText>
            </w:r>
            <w:r w:rsidR="003E1363">
              <w:rPr>
                <w:webHidden/>
              </w:rPr>
            </w:r>
            <w:r w:rsidR="003E1363">
              <w:rPr>
                <w:webHidden/>
              </w:rPr>
              <w:fldChar w:fldCharType="separate"/>
            </w:r>
            <w:r w:rsidR="003E1363">
              <w:rPr>
                <w:webHidden/>
              </w:rPr>
              <w:t>38</w:t>
            </w:r>
            <w:r w:rsidR="003E1363">
              <w:rPr>
                <w:webHidden/>
              </w:rPr>
              <w:fldChar w:fldCharType="end"/>
            </w:r>
          </w:hyperlink>
        </w:p>
        <w:p w14:paraId="511AC4F7" w14:textId="7A87713B" w:rsidR="003E1363" w:rsidRDefault="00962267">
          <w:pPr>
            <w:pStyle w:val="TOC2"/>
            <w:rPr>
              <w:rFonts w:asciiTheme="minorHAnsi" w:hAnsiTheme="minorHAnsi" w:cstheme="minorBidi"/>
              <w:b w:val="0"/>
              <w:bCs w:val="0"/>
              <w:i w:val="0"/>
              <w:iCs w:val="0"/>
              <w:lang w:eastAsia="fr-FR"/>
            </w:rPr>
          </w:pPr>
          <w:hyperlink w:anchor="_Toc86329795" w:history="1">
            <w:r w:rsidR="003E1363" w:rsidRPr="0046603D">
              <w:rPr>
                <w:rStyle w:val="Hyperlink"/>
              </w:rPr>
              <w:t>2.  Autres aspects</w:t>
            </w:r>
            <w:r w:rsidR="003E1363">
              <w:rPr>
                <w:webHidden/>
              </w:rPr>
              <w:tab/>
            </w:r>
            <w:r w:rsidR="003E1363">
              <w:rPr>
                <w:webHidden/>
              </w:rPr>
              <w:fldChar w:fldCharType="begin"/>
            </w:r>
            <w:r w:rsidR="003E1363">
              <w:rPr>
                <w:webHidden/>
              </w:rPr>
              <w:instrText xml:space="preserve"> PAGEREF _Toc86329795 \h </w:instrText>
            </w:r>
            <w:r w:rsidR="003E1363">
              <w:rPr>
                <w:webHidden/>
              </w:rPr>
            </w:r>
            <w:r w:rsidR="003E1363">
              <w:rPr>
                <w:webHidden/>
              </w:rPr>
              <w:fldChar w:fldCharType="separate"/>
            </w:r>
            <w:r w:rsidR="003E1363">
              <w:rPr>
                <w:webHidden/>
              </w:rPr>
              <w:t>41</w:t>
            </w:r>
            <w:r w:rsidR="003E1363">
              <w:rPr>
                <w:webHidden/>
              </w:rPr>
              <w:fldChar w:fldCharType="end"/>
            </w:r>
          </w:hyperlink>
        </w:p>
        <w:p w14:paraId="0B030EBA" w14:textId="00F7B68A" w:rsidR="003E1363" w:rsidRDefault="00962267">
          <w:pPr>
            <w:pStyle w:val="TOC1"/>
            <w:rPr>
              <w:rFonts w:asciiTheme="minorHAnsi" w:hAnsiTheme="minorHAnsi" w:cstheme="minorBidi"/>
              <w:b w:val="0"/>
              <w:lang w:val="fr-FR" w:eastAsia="fr-FR"/>
            </w:rPr>
          </w:pPr>
          <w:hyperlink w:anchor="_Toc86329796" w:history="1">
            <w:r w:rsidR="003E1363" w:rsidRPr="0046603D">
              <w:rPr>
                <w:rStyle w:val="Hyperlink"/>
                <w:lang w:val="fr-FR"/>
              </w:rPr>
              <w:t>IX. CONCLUSIONS</w:t>
            </w:r>
            <w:r w:rsidR="003E1363">
              <w:rPr>
                <w:webHidden/>
              </w:rPr>
              <w:tab/>
            </w:r>
            <w:r w:rsidR="003E1363">
              <w:rPr>
                <w:webHidden/>
              </w:rPr>
              <w:fldChar w:fldCharType="begin"/>
            </w:r>
            <w:r w:rsidR="003E1363">
              <w:rPr>
                <w:webHidden/>
              </w:rPr>
              <w:instrText xml:space="preserve"> PAGEREF _Toc86329796 \h </w:instrText>
            </w:r>
            <w:r w:rsidR="003E1363">
              <w:rPr>
                <w:webHidden/>
              </w:rPr>
            </w:r>
            <w:r w:rsidR="003E1363">
              <w:rPr>
                <w:webHidden/>
              </w:rPr>
              <w:fldChar w:fldCharType="separate"/>
            </w:r>
            <w:r w:rsidR="003E1363">
              <w:rPr>
                <w:webHidden/>
              </w:rPr>
              <w:t>43</w:t>
            </w:r>
            <w:r w:rsidR="003E1363">
              <w:rPr>
                <w:webHidden/>
              </w:rPr>
              <w:fldChar w:fldCharType="end"/>
            </w:r>
          </w:hyperlink>
        </w:p>
        <w:p w14:paraId="169374C0" w14:textId="0F58A4A1" w:rsidR="00F331F8" w:rsidRPr="00FE6712" w:rsidRDefault="00F331F8" w:rsidP="00D44B9E">
          <w:pPr>
            <w:pStyle w:val="TOC1"/>
            <w:rPr>
              <w:rFonts w:asciiTheme="minorHAnsi" w:hAnsiTheme="minorHAnsi" w:cstheme="minorBidi"/>
            </w:rPr>
          </w:pPr>
          <w:r w:rsidRPr="00C11584">
            <w:fldChar w:fldCharType="end"/>
          </w:r>
          <w:r w:rsidRPr="00C11584">
            <w:rPr>
              <w:color w:val="FF0000"/>
            </w:rPr>
            <w:t xml:space="preserve"> </w:t>
          </w:r>
        </w:p>
      </w:sdtContent>
    </w:sdt>
    <w:bookmarkStart w:id="0" w:name="_Toc29464724" w:displacedByCustomXml="prev"/>
    <w:bookmarkEnd w:id="0" w:displacedByCustomXml="prev"/>
    <w:bookmarkStart w:id="1" w:name="_Toc29464696" w:displacedByCustomXml="prev"/>
    <w:bookmarkEnd w:id="1" w:displacedByCustomXml="prev"/>
    <w:bookmarkStart w:id="2" w:name="_Toc29396123" w:displacedByCustomXml="prev"/>
    <w:bookmarkEnd w:id="2" w:displacedByCustomXml="prev"/>
    <w:bookmarkStart w:id="3" w:name="_Toc29388239" w:displacedByCustomXml="prev"/>
    <w:bookmarkEnd w:id="3" w:displacedByCustomXml="prev"/>
    <w:bookmarkStart w:id="4" w:name="_Toc29388158" w:displacedByCustomXml="prev"/>
    <w:bookmarkEnd w:id="4" w:displacedByCustomXml="prev"/>
    <w:bookmarkStart w:id="5" w:name="_Toc29388080" w:displacedByCustomXml="prev"/>
    <w:bookmarkEnd w:id="5" w:displacedByCustomXml="prev"/>
    <w:p w14:paraId="7F8936ED" w14:textId="01F63722" w:rsidR="00F331F8" w:rsidRPr="00F331F8" w:rsidRDefault="00F331F8" w:rsidP="00971933">
      <w:pPr>
        <w:spacing w:line="240" w:lineRule="auto"/>
        <w:rPr>
          <w:rFonts w:ascii="Arial" w:eastAsiaTheme="majorEastAsia" w:hAnsi="Arial" w:cs="Arial"/>
          <w:b/>
          <w:bCs/>
          <w:color w:val="365F91" w:themeColor="accent1" w:themeShade="BF"/>
        </w:rPr>
      </w:pPr>
      <w:r w:rsidRPr="00F331F8">
        <w:rPr>
          <w:rFonts w:ascii="Arial" w:hAnsi="Arial" w:cs="Arial"/>
          <w:b/>
          <w:bCs/>
          <w:lang w:val="fr-FR"/>
        </w:rPr>
        <w:br w:type="page"/>
      </w:r>
    </w:p>
    <w:p w14:paraId="33158387" w14:textId="77777777" w:rsidR="00F331F8" w:rsidRPr="00F240BE" w:rsidRDefault="00F331F8" w:rsidP="00971933">
      <w:pPr>
        <w:pStyle w:val="Heading1"/>
        <w:numPr>
          <w:ilvl w:val="0"/>
          <w:numId w:val="2"/>
        </w:numPr>
        <w:spacing w:line="240" w:lineRule="auto"/>
        <w:ind w:left="501" w:hanging="360"/>
        <w:rPr>
          <w:rFonts w:ascii="Arial" w:hAnsi="Arial" w:cs="Arial"/>
        </w:rPr>
      </w:pPr>
      <w:bookmarkStart w:id="6" w:name="_Toc86329774"/>
      <w:r w:rsidRPr="00F240BE">
        <w:rPr>
          <w:rFonts w:ascii="Arial" w:hAnsi="Arial" w:cs="Arial"/>
        </w:rPr>
        <w:lastRenderedPageBreak/>
        <w:t>RÉSUMÉ EXÉCUTIF</w:t>
      </w:r>
      <w:bookmarkEnd w:id="6"/>
      <w:r w:rsidRPr="00F240BE">
        <w:rPr>
          <w:rFonts w:ascii="Arial" w:hAnsi="Arial" w:cs="Arial"/>
        </w:rPr>
        <w:t xml:space="preserve"> </w:t>
      </w:r>
    </w:p>
    <w:p w14:paraId="5B63A151" w14:textId="4C67D92C" w:rsidR="00F331F8" w:rsidRPr="00720D91" w:rsidRDefault="00971933" w:rsidP="00971933">
      <w:pPr>
        <w:tabs>
          <w:tab w:val="left" w:pos="2493"/>
        </w:tabs>
        <w:spacing w:line="240" w:lineRule="auto"/>
      </w:pPr>
      <w:r>
        <w:tab/>
      </w:r>
    </w:p>
    <w:p w14:paraId="0B33B889" w14:textId="53455188" w:rsidR="00971933" w:rsidRDefault="00F331F8" w:rsidP="00971933">
      <w:pPr>
        <w:pStyle w:val="NoSpacing"/>
        <w:ind w:firstLine="360"/>
        <w:jc w:val="both"/>
        <w:rPr>
          <w:rFonts w:ascii="Arial" w:hAnsi="Arial" w:cs="Arial"/>
          <w:sz w:val="22"/>
          <w:szCs w:val="22"/>
        </w:rPr>
      </w:pPr>
      <w:bookmarkStart w:id="7" w:name="_Hlk54189322"/>
      <w:r w:rsidRPr="00720D91">
        <w:rPr>
          <w:rFonts w:ascii="Arial" w:hAnsi="Arial" w:cs="Arial"/>
          <w:sz w:val="22"/>
          <w:szCs w:val="22"/>
        </w:rPr>
        <w:t xml:space="preserve">1. Ce rapport reflète les travaux menés par le DH-SYSC-IV conformément à son mandat au cours du biennium 2020-2021. Il contient l'analyse par le Groupe de rédaction des questions soulevées par diverses délégations concernant le traitement et la résolution d’affaires concernant des conflits interétatiques et identifie les questions qui devront être davantage examinées. Le principe fondamental de ce rapport est qu'un grand nombre de requêtes interétatiques et de requêtes individuelles liées à des conflits interétatiques sont pendantes devant la Cour européenne des droits de l'homme (la Cour). Leur traitement soulève des défis exceptionnels pour la Cour et les États parties dans ces affaires. </w:t>
      </w:r>
      <w:bookmarkEnd w:id="7"/>
    </w:p>
    <w:p w14:paraId="2555C1F3" w14:textId="77777777" w:rsidR="00971933" w:rsidRDefault="00971933" w:rsidP="00971933">
      <w:pPr>
        <w:pStyle w:val="NoSpacing"/>
        <w:ind w:firstLine="360"/>
        <w:jc w:val="both"/>
        <w:rPr>
          <w:rFonts w:ascii="Arial" w:hAnsi="Arial" w:cs="Arial"/>
          <w:sz w:val="22"/>
          <w:szCs w:val="22"/>
        </w:rPr>
      </w:pPr>
    </w:p>
    <w:p w14:paraId="6FA5FA6C" w14:textId="38FCBF57" w:rsidR="00F331F8" w:rsidRPr="00720D91" w:rsidRDefault="00971933" w:rsidP="00971933">
      <w:pPr>
        <w:pStyle w:val="NoSpacing"/>
        <w:ind w:firstLine="360"/>
        <w:jc w:val="both"/>
        <w:rPr>
          <w:rFonts w:ascii="Arial" w:hAnsi="Arial" w:cs="Arial"/>
          <w:sz w:val="22"/>
          <w:szCs w:val="22"/>
        </w:rPr>
      </w:pPr>
      <w:r w:rsidRPr="00971933">
        <w:rPr>
          <w:rFonts w:ascii="Arial" w:hAnsi="Arial" w:cs="Arial"/>
          <w:sz w:val="22"/>
          <w:szCs w:val="22"/>
        </w:rPr>
        <w:t xml:space="preserve">2. </w:t>
      </w:r>
      <w:r w:rsidR="00F331F8" w:rsidRPr="00720D91">
        <w:rPr>
          <w:rFonts w:ascii="Arial" w:hAnsi="Arial" w:cs="Arial"/>
          <w:sz w:val="22"/>
          <w:szCs w:val="22"/>
        </w:rPr>
        <w:t>Il est largement reconnu que le droit de requête individuelle est la pierre angulaire du système de protection des droits et libertés énoncés dans la Convention européenne des droits de l'homme (la Convention). La requête interétatique repose sur la légitimité de l'action des États parties à saisir la Cour de toute violation alléguée de la Convention, non seulement pour protéger les droits et libertés des individus mais aussi pour défendre l'ordre public européen. L'objet des requêtes interétatiques concerne généralement, mais pas exclusivement, des situations particulièrement graves, souvent des violations à grande échelle de la Convention. Par sa jurisprudence interétatique, la Cour a joué un rôle de premier plan dans la garantie d'un ordre public pacifique en Europe et dans le traitement de la responsabilité des États, du point de vue de la Convention, pour les dommages causés par leurs actes internationalement illicites. La jurisprudence de la Cour dans les affaires interétatiques a la particularité d'être plus étendue que dans le cadre d'autres instruments relatifs aux droits de l'homme. Par conséquent, préserver le bon fonctionnement de la requête interétatique en tant que mode distinct de procédure de la Convention constitue une partie intrinsèque de la responsabilité partagée des États et de la Cour d'assurer la mise en œuvre effective de la Convention ainsi que la viabilité du système de la Convention.</w:t>
      </w:r>
    </w:p>
    <w:p w14:paraId="4D84F12D" w14:textId="77777777" w:rsidR="00F331F8" w:rsidRPr="00720D91" w:rsidRDefault="00F331F8" w:rsidP="00971933">
      <w:pPr>
        <w:pStyle w:val="NoSpacing"/>
        <w:ind w:firstLine="360"/>
        <w:jc w:val="both"/>
        <w:rPr>
          <w:rFonts w:ascii="Arial" w:hAnsi="Arial" w:cs="Arial"/>
          <w:sz w:val="22"/>
          <w:szCs w:val="22"/>
        </w:rPr>
      </w:pPr>
    </w:p>
    <w:p w14:paraId="00253394" w14:textId="224C6194" w:rsidR="00F331F8" w:rsidRPr="00720D91" w:rsidRDefault="00F331F8" w:rsidP="00971933">
      <w:pPr>
        <w:pStyle w:val="NoSpacing"/>
        <w:ind w:firstLine="360"/>
        <w:jc w:val="both"/>
        <w:rPr>
          <w:rFonts w:ascii="Arial" w:hAnsi="Arial" w:cs="Arial"/>
          <w:sz w:val="22"/>
          <w:szCs w:val="22"/>
        </w:rPr>
      </w:pPr>
      <w:r w:rsidRPr="00720D91">
        <w:rPr>
          <w:rFonts w:ascii="Arial" w:hAnsi="Arial" w:cs="Arial"/>
          <w:sz w:val="22"/>
          <w:szCs w:val="22"/>
        </w:rPr>
        <w:t>3. En analysant les questions soulevées par le traitement en parallèle de requêtes interétatiques et de requêtes individuelles liées à des affaires ou des conflits interétatiques, le présent rapport examine en détails les différences entre les exigences procédurales applicables à ces deux types de requêtes. Tout en notant que la Convention ne traite pas spécifiquement de la question de la corrélation entre les requêtes interétatiques et les requêtes individuelles, le</w:t>
      </w:r>
      <w:r>
        <w:rPr>
          <w:rFonts w:ascii="Arial" w:hAnsi="Arial" w:cs="Arial"/>
          <w:sz w:val="22"/>
          <w:szCs w:val="22"/>
        </w:rPr>
        <w:t xml:space="preserve"> r</w:t>
      </w:r>
      <w:r w:rsidRPr="00720D91">
        <w:rPr>
          <w:rFonts w:ascii="Arial" w:hAnsi="Arial" w:cs="Arial"/>
          <w:sz w:val="22"/>
          <w:szCs w:val="22"/>
        </w:rPr>
        <w:t xml:space="preserve">apport souligne que les conditions de recevabilité moins strictes applicables à la requête interétatique reflètent les caractéristiques distinctes de cette requête qui sont consacrées par la Convention et reconnues par la Cour dans sa </w:t>
      </w:r>
      <w:r w:rsidR="00BA7098">
        <w:rPr>
          <w:rFonts w:ascii="Arial" w:hAnsi="Arial" w:cs="Arial"/>
          <w:sz w:val="22"/>
          <w:szCs w:val="22"/>
        </w:rPr>
        <w:t>jurisprudence. Cette partie du</w:t>
      </w:r>
      <w:r w:rsidRPr="00720D91">
        <w:rPr>
          <w:rFonts w:ascii="Arial" w:hAnsi="Arial" w:cs="Arial"/>
          <w:sz w:val="22"/>
          <w:szCs w:val="22"/>
        </w:rPr>
        <w:t xml:space="preserve"> rapport met également en évidence les pratiques de la Cour consistant à donner la priorité aux requêtes interétatiques sans mettre de côté l'examen des requêtes individuelles. Elle donne également un aperçu de la manière dont la Cour aborde la relation entre les affaires interétatiques et les affaires individuelles sur le fond, notamment en ce qui concerne l'établissement de l'existence d'une pratique administrative contraire à la Convention.</w:t>
      </w:r>
    </w:p>
    <w:p w14:paraId="2E385B48" w14:textId="77777777" w:rsidR="00F331F8" w:rsidRPr="00720D91" w:rsidRDefault="00F331F8" w:rsidP="00971933">
      <w:pPr>
        <w:pStyle w:val="NoSpacing"/>
        <w:ind w:firstLine="360"/>
        <w:jc w:val="both"/>
        <w:rPr>
          <w:rFonts w:ascii="Arial" w:hAnsi="Arial" w:cs="Arial"/>
          <w:sz w:val="22"/>
          <w:szCs w:val="22"/>
        </w:rPr>
      </w:pPr>
    </w:p>
    <w:p w14:paraId="43129A92" w14:textId="6415BDFA" w:rsidR="00F331F8" w:rsidRPr="00720D91" w:rsidRDefault="00F331F8" w:rsidP="00971933">
      <w:pPr>
        <w:pStyle w:val="NoSpacing"/>
        <w:ind w:firstLine="360"/>
        <w:jc w:val="both"/>
        <w:rPr>
          <w:rFonts w:ascii="Arial" w:hAnsi="Arial" w:cs="Arial"/>
          <w:sz w:val="22"/>
          <w:szCs w:val="22"/>
        </w:rPr>
      </w:pPr>
      <w:r w:rsidRPr="00720D91">
        <w:rPr>
          <w:rFonts w:ascii="Arial" w:hAnsi="Arial" w:cs="Arial"/>
          <w:sz w:val="22"/>
          <w:szCs w:val="22"/>
        </w:rPr>
        <w:t xml:space="preserve">4. L'examen de requêtes interétatiques ou requêtes individuelles relatives à des affaires interétatiques ou des conflits en parallèle par la Cour et d'autres organes internationaux peut potentiellement mener à des résultats contradictoires concernant les obligations en matière de droits de l'homme énoncées dans la Convention et obligations provenant d'autres instruments internationaux de droit de l’homme. En définitive, cela pourrait créer une incertitude pour les États quant à la manière dont ils peuvent respecter leurs obligations internationales en matière de droits de l'homme et pour les individus quant à la portée exacte de leurs droits. Cela pourrait aussi potentiellement menacer la cohérence des droits de l'homme et la crédibilité des </w:t>
      </w:r>
      <w:r w:rsidRPr="00720D91">
        <w:rPr>
          <w:rFonts w:ascii="Arial" w:hAnsi="Arial" w:cs="Arial"/>
          <w:sz w:val="22"/>
          <w:szCs w:val="22"/>
        </w:rPr>
        <w:lastRenderedPageBreak/>
        <w:t xml:space="preserve">institutions des droits de l'homme. Si l'analyse de la jurisprudence pertinente de la Cour révèle que peu d'affaires relatives à des différends interétatiques et concernant les mêmes événements ou le même objet ont </w:t>
      </w:r>
      <w:r w:rsidRPr="00946EDC">
        <w:rPr>
          <w:rFonts w:ascii="Arial" w:hAnsi="Arial" w:cs="Arial"/>
          <w:sz w:val="22"/>
          <w:szCs w:val="22"/>
        </w:rPr>
        <w:t>été portées parallèlement devant la Cour et d'autres organes internationaux ou ont en fait donné lieu à des décisions divergentes ou contradictoires, le risque de telles décisions n'est pas à exclure.</w:t>
      </w:r>
      <w:r w:rsidR="001A5EA7" w:rsidRPr="00946EDC">
        <w:rPr>
          <w:rFonts w:ascii="Arial" w:hAnsi="Arial" w:cs="Arial"/>
          <w:sz w:val="22"/>
          <w:szCs w:val="22"/>
        </w:rPr>
        <w:t xml:space="preserve"> Le rapport du CDDH sur la place de la Convention européenne des droits de l’homme dans l’ordre juridique européen et international</w:t>
      </w:r>
      <w:r w:rsidR="00946EDC" w:rsidRPr="00946EDC">
        <w:rPr>
          <w:rFonts w:ascii="Arial" w:hAnsi="Arial" w:cs="Arial"/>
          <w:sz w:val="22"/>
          <w:szCs w:val="22"/>
        </w:rPr>
        <w:t xml:space="preserve"> constitue, dans son ensemble, la base de l'examen des questions soulevées concernant l'interprétation et l'application de la Convention par la Cour d'une manière qui soit conforme au droit international.</w:t>
      </w:r>
    </w:p>
    <w:p w14:paraId="3BC0AADB" w14:textId="77777777" w:rsidR="00F331F8" w:rsidRPr="00720D91" w:rsidRDefault="00F331F8" w:rsidP="00971933">
      <w:pPr>
        <w:pStyle w:val="NoSpacing"/>
        <w:ind w:firstLine="360"/>
        <w:jc w:val="both"/>
        <w:rPr>
          <w:rFonts w:ascii="Arial" w:hAnsi="Arial" w:cs="Arial"/>
          <w:sz w:val="22"/>
          <w:szCs w:val="22"/>
        </w:rPr>
      </w:pPr>
    </w:p>
    <w:p w14:paraId="696768E6" w14:textId="77777777" w:rsidR="00F331F8" w:rsidRPr="00720D91" w:rsidRDefault="00F331F8" w:rsidP="00971933">
      <w:pPr>
        <w:pStyle w:val="NoSpacing"/>
        <w:ind w:firstLine="360"/>
        <w:jc w:val="both"/>
        <w:rPr>
          <w:rFonts w:ascii="Arial" w:hAnsi="Arial" w:cs="Arial"/>
          <w:sz w:val="22"/>
          <w:szCs w:val="22"/>
        </w:rPr>
      </w:pPr>
      <w:r w:rsidRPr="00720D91">
        <w:rPr>
          <w:rFonts w:ascii="Arial" w:hAnsi="Arial" w:cs="Arial"/>
          <w:sz w:val="22"/>
          <w:szCs w:val="22"/>
        </w:rPr>
        <w:t xml:space="preserve">5.  Le rapport se concentre en particulier sur un certain nombre de défis liés à l'établissement des faits qui sont spécifiques au traitement et à la résolution d'affaires interétatiques et de requêtes individuelles liées. Ces défis ont trait à l'obtention des preuves nécessaires, notamment par des missions d'enquête, des auditions de témoins et diverses sources d'information, ainsi qu'à l'évaluation des preuves devant la Cour. L'analyse de la jurisprudence de la Cour en ce qui concerne la norme de preuve et ses fonctions d'établissement des faits souligne le principe selon lequel les questions d'admissibilité des preuves et d'établissement des faits relèvent exclusivement de la compétence de la Cour. D'autre part, les États devraient réfléchir à la manière d'améliorer les moyens de s'acquitter de leur obligation de coopérer avec la Cour, notamment en facilitant les enquêtes sur place de la Cour et en assurant la présence des témoins aux audiences de la Cour. </w:t>
      </w:r>
    </w:p>
    <w:p w14:paraId="3F303B7D" w14:textId="77777777" w:rsidR="00F331F8" w:rsidRPr="00720D91" w:rsidRDefault="00F331F8" w:rsidP="00971933">
      <w:pPr>
        <w:pStyle w:val="NoSpacing"/>
        <w:ind w:firstLine="360"/>
        <w:jc w:val="both"/>
        <w:rPr>
          <w:rFonts w:ascii="Arial" w:hAnsi="Arial" w:cs="Arial"/>
          <w:sz w:val="22"/>
          <w:szCs w:val="22"/>
        </w:rPr>
      </w:pPr>
    </w:p>
    <w:p w14:paraId="3866EE85" w14:textId="59C7D673" w:rsidR="00F331F8" w:rsidRPr="00720D91" w:rsidRDefault="00F331F8" w:rsidP="00971933">
      <w:pPr>
        <w:pStyle w:val="NoSpacing"/>
        <w:ind w:firstLine="360"/>
        <w:jc w:val="both"/>
        <w:rPr>
          <w:rFonts w:ascii="Arial" w:hAnsi="Arial" w:cs="Arial"/>
          <w:sz w:val="22"/>
          <w:szCs w:val="22"/>
        </w:rPr>
      </w:pPr>
      <w:r w:rsidRPr="00720D91">
        <w:rPr>
          <w:rFonts w:ascii="Arial" w:hAnsi="Arial" w:cs="Arial"/>
          <w:sz w:val="22"/>
          <w:szCs w:val="22"/>
        </w:rPr>
        <w:t xml:space="preserve">6. L'article 41 de la Convention prévoit que la satisfaction équitable est accordée à la partie lésée. Selon la jurisprudence de la Cour dans les affaires interétatiques, c'est l'individu, et non l'État, qui est directement ou indirectement lésé et principalement atteint par une violation d'un ou plusieurs droits de la Convention. Les difficultés pratiques rencontrées par la Cour dans le cadre de l'octroi d'une satisfaction équitable concernent l'identification des victimes lorsqu'un grand nombre d'individus est impliqué, ce qui augmente le risque d'accorder une satisfaction équitable à des individus qui pourraient ne pas être éligibles à une telle indemnité. Des questions sont également soulevées concernant le double recouvrement potentiel lorsque les requêtes interétatiques et les requêtes individuelles liées sont traitées en parallèle. En outre, il y a souvent un délai entre le jugement sur le fond et celui sur la satisfaction équitable. Le rapport aborde ces questions du point de vue de la jurisprudence pertinente de la Cour et de ses pratiques.    </w:t>
      </w:r>
    </w:p>
    <w:p w14:paraId="5FD9426D" w14:textId="77777777" w:rsidR="00F331F8" w:rsidRPr="00720D91" w:rsidRDefault="00F331F8" w:rsidP="00971933">
      <w:pPr>
        <w:pStyle w:val="NoSpacing"/>
        <w:ind w:firstLine="360"/>
        <w:jc w:val="both"/>
        <w:rPr>
          <w:sz w:val="22"/>
          <w:szCs w:val="22"/>
        </w:rPr>
      </w:pPr>
    </w:p>
    <w:p w14:paraId="2CD62ED5" w14:textId="2EE3FC4A" w:rsidR="00F331F8" w:rsidRDefault="00F331F8" w:rsidP="00971933">
      <w:pPr>
        <w:pStyle w:val="NoSpacing"/>
        <w:ind w:firstLine="360"/>
        <w:jc w:val="both"/>
        <w:rPr>
          <w:rFonts w:ascii="Arial" w:hAnsi="Arial" w:cs="Arial"/>
          <w:sz w:val="22"/>
          <w:szCs w:val="22"/>
        </w:rPr>
      </w:pPr>
      <w:r w:rsidRPr="00720D91">
        <w:rPr>
          <w:rFonts w:ascii="Arial" w:hAnsi="Arial" w:cs="Arial"/>
          <w:sz w:val="22"/>
          <w:szCs w:val="22"/>
        </w:rPr>
        <w:t xml:space="preserve">7. </w:t>
      </w:r>
      <w:r w:rsidR="00B41728">
        <w:rPr>
          <w:rFonts w:ascii="Arial" w:hAnsi="Arial" w:cs="Arial"/>
          <w:sz w:val="22"/>
          <w:szCs w:val="22"/>
        </w:rPr>
        <w:t>L</w:t>
      </w:r>
      <w:r w:rsidRPr="00720D91">
        <w:rPr>
          <w:rFonts w:ascii="Arial" w:hAnsi="Arial" w:cs="Arial"/>
          <w:sz w:val="22"/>
          <w:szCs w:val="22"/>
        </w:rPr>
        <w:t xml:space="preserve">e rapport envisage également le règlement amiable comme un mécanisme possible de résolution des affaires interétatiques. Bien que la pratique de la Cour à cet égard soit rare, le règlement amiable des requêtes individuelles s'est développé et a donné quelques résultats positifs au cours des dernières années. Cette expérience révèle des caractéristiques distinctes du mécanisme telles que son approche consensuelle et la nature confidentielle des négociations qui peuvent offrir des opportunités non seulement pour adopter une grande variété de mesures pour remédier aux violations alléguées de la Convention et fournir une réparation aux victimes mais aussi pour prendre des mesures qui peuvent avoir un large impact sur la société en termes de changement en termes de protection et de promotion du respect de la Convention. </w:t>
      </w:r>
    </w:p>
    <w:p w14:paraId="1C88104C" w14:textId="2AE5F240" w:rsidR="00946EDC" w:rsidRDefault="00946EDC" w:rsidP="00971933">
      <w:pPr>
        <w:pStyle w:val="NoSpacing"/>
        <w:ind w:firstLine="360"/>
        <w:jc w:val="both"/>
        <w:rPr>
          <w:rFonts w:ascii="Arial" w:hAnsi="Arial" w:cs="Arial"/>
          <w:sz w:val="22"/>
          <w:szCs w:val="22"/>
        </w:rPr>
      </w:pPr>
    </w:p>
    <w:p w14:paraId="528B5565" w14:textId="0064F955" w:rsidR="00946EDC" w:rsidRPr="00720D91" w:rsidRDefault="00B41728" w:rsidP="00971933">
      <w:pPr>
        <w:pStyle w:val="NoSpacing"/>
        <w:ind w:firstLine="360"/>
        <w:jc w:val="both"/>
        <w:rPr>
          <w:rFonts w:ascii="Arial" w:hAnsi="Arial" w:cs="Arial"/>
          <w:sz w:val="22"/>
          <w:szCs w:val="22"/>
        </w:rPr>
      </w:pPr>
      <w:r>
        <w:rPr>
          <w:rFonts w:ascii="Arial" w:hAnsi="Arial" w:cs="Arial"/>
          <w:sz w:val="22"/>
          <w:szCs w:val="22"/>
        </w:rPr>
        <w:t>8</w:t>
      </w:r>
      <w:r w:rsidR="00946EDC">
        <w:rPr>
          <w:rFonts w:ascii="Arial" w:hAnsi="Arial" w:cs="Arial"/>
          <w:sz w:val="22"/>
          <w:szCs w:val="22"/>
        </w:rPr>
        <w:t xml:space="preserve">. </w:t>
      </w:r>
      <w:r>
        <w:rPr>
          <w:rFonts w:ascii="Arial" w:hAnsi="Arial" w:cs="Arial"/>
          <w:sz w:val="22"/>
          <w:szCs w:val="22"/>
        </w:rPr>
        <w:t>Enfin, il</w:t>
      </w:r>
      <w:r w:rsidR="00754513">
        <w:rPr>
          <w:rFonts w:ascii="Arial" w:hAnsi="Arial" w:cs="Arial"/>
          <w:sz w:val="22"/>
          <w:szCs w:val="22"/>
        </w:rPr>
        <w:t xml:space="preserve"> convient de noter que l</w:t>
      </w:r>
      <w:r w:rsidR="00754513" w:rsidRPr="00754513">
        <w:rPr>
          <w:rFonts w:ascii="Arial" w:hAnsi="Arial" w:cs="Arial"/>
          <w:sz w:val="22"/>
          <w:szCs w:val="22"/>
        </w:rPr>
        <w:t>e présent rapport constitue une base pour un examen plus approfondi des questions relevant du mandat du DH-SYSC, sous réserve de l'adoption finale de son mandat pour le quadriennium 2022-2025 par le Comité des Ministres, et ne limite pas les discussions ultérieures au sein du DH-SYSC et/ou du DH-SYSC-IV.</w:t>
      </w:r>
    </w:p>
    <w:p w14:paraId="2FCF760D" w14:textId="77777777" w:rsidR="00F331F8" w:rsidRPr="00F240BE" w:rsidRDefault="00F331F8" w:rsidP="00971933">
      <w:pPr>
        <w:pStyle w:val="Heading1"/>
        <w:numPr>
          <w:ilvl w:val="0"/>
          <w:numId w:val="2"/>
        </w:numPr>
        <w:spacing w:line="240" w:lineRule="auto"/>
        <w:ind w:left="501" w:hanging="360"/>
        <w:rPr>
          <w:rFonts w:ascii="Arial" w:hAnsi="Arial" w:cs="Arial"/>
          <w:lang w:val="fr-FR"/>
        </w:rPr>
      </w:pPr>
      <w:bookmarkStart w:id="8" w:name="_Toc86329775"/>
      <w:r w:rsidRPr="00F240BE">
        <w:rPr>
          <w:rFonts w:ascii="Arial" w:hAnsi="Arial" w:cs="Arial"/>
          <w:lang w:val="fr-FR"/>
        </w:rPr>
        <w:lastRenderedPageBreak/>
        <w:t>LE MANDAT DU DH-SYSC-IV</w:t>
      </w:r>
      <w:bookmarkEnd w:id="8"/>
      <w:r w:rsidRPr="00F240BE">
        <w:rPr>
          <w:rFonts w:ascii="Arial" w:hAnsi="Arial" w:cs="Arial"/>
          <w:lang w:val="fr-FR"/>
        </w:rPr>
        <w:t xml:space="preserve"> </w:t>
      </w:r>
    </w:p>
    <w:p w14:paraId="44F08DF0" w14:textId="77777777" w:rsidR="00F331F8" w:rsidRPr="00720D91" w:rsidRDefault="00F331F8" w:rsidP="00971933">
      <w:pPr>
        <w:pStyle w:val="NoSpacing"/>
        <w:rPr>
          <w:sz w:val="22"/>
          <w:szCs w:val="22"/>
        </w:rPr>
      </w:pPr>
    </w:p>
    <w:p w14:paraId="5B821963" w14:textId="75D40149" w:rsidR="00F331F8" w:rsidRPr="00F331F8" w:rsidRDefault="00F240BE" w:rsidP="00971933">
      <w:pPr>
        <w:spacing w:line="240" w:lineRule="auto"/>
        <w:ind w:firstLine="360"/>
        <w:jc w:val="both"/>
        <w:rPr>
          <w:rFonts w:ascii="Arial" w:eastAsia="Calibri" w:hAnsi="Arial" w:cs="Arial"/>
          <w:bCs/>
          <w:lang w:val="fr-FR"/>
        </w:rPr>
      </w:pPr>
      <w:r>
        <w:rPr>
          <w:rFonts w:ascii="Arial" w:eastAsia="Calibri" w:hAnsi="Arial" w:cs="Arial"/>
          <w:bCs/>
          <w:lang w:val="fr-FR"/>
        </w:rPr>
        <w:t>9</w:t>
      </w:r>
      <w:r w:rsidR="00F331F8" w:rsidRPr="00F331F8">
        <w:rPr>
          <w:rFonts w:ascii="Arial" w:eastAsia="Calibri" w:hAnsi="Arial" w:cs="Arial"/>
          <w:bCs/>
          <w:lang w:val="fr-FR"/>
        </w:rPr>
        <w:t xml:space="preserve">. À la suite de la Déclaration adoptée lors de la Conférence de haut niveau à Copenhague (12 et 13 avril 2018, </w:t>
      </w:r>
      <w:hyperlink r:id="rId8" w:history="1">
        <w:r w:rsidR="00F331F8" w:rsidRPr="00F331F8">
          <w:rPr>
            <w:rStyle w:val="Hyperlink"/>
            <w:rFonts w:ascii="Arial" w:eastAsia="Calibri" w:hAnsi="Arial" w:cs="Arial"/>
            <w:lang w:val="fr-FR"/>
          </w:rPr>
          <w:t>Déclaration de Copenhague</w:t>
        </w:r>
      </w:hyperlink>
      <w:r w:rsidR="00F331F8" w:rsidRPr="00F331F8">
        <w:rPr>
          <w:rFonts w:ascii="Arial" w:eastAsia="Calibri" w:hAnsi="Arial" w:cs="Arial"/>
          <w:bCs/>
          <w:lang w:val="fr-FR"/>
        </w:rPr>
        <w:t>), les Délégués des Ministres, lors de leur 1317</w:t>
      </w:r>
      <w:r w:rsidR="00F331F8" w:rsidRPr="00F331F8">
        <w:rPr>
          <w:rFonts w:ascii="Arial" w:eastAsia="Calibri" w:hAnsi="Arial" w:cs="Arial"/>
          <w:bCs/>
          <w:vertAlign w:val="superscript"/>
          <w:lang w:val="fr-FR"/>
        </w:rPr>
        <w:t>e</w:t>
      </w:r>
      <w:r w:rsidR="00F331F8" w:rsidRPr="00F331F8">
        <w:rPr>
          <w:rFonts w:ascii="Arial" w:eastAsia="Calibri" w:hAnsi="Arial" w:cs="Arial"/>
          <w:bCs/>
          <w:lang w:val="fr-FR"/>
        </w:rPr>
        <w:t xml:space="preserve"> réunion (30 mai 2018), ont invité le CDDH à intégrer dans son rapport intitulé « Contribution à l’évaluation prévue par la Déclaration d’Interlaken »</w:t>
      </w:r>
      <w:r w:rsidR="00F331F8" w:rsidRPr="00720D91">
        <w:rPr>
          <w:rStyle w:val="FootnoteReference"/>
          <w:rFonts w:ascii="Arial" w:eastAsia="Calibri" w:hAnsi="Arial" w:cs="Arial"/>
          <w:bCs/>
        </w:rPr>
        <w:footnoteReference w:id="1"/>
      </w:r>
      <w:r w:rsidR="00F331F8" w:rsidRPr="00F331F8">
        <w:rPr>
          <w:rFonts w:ascii="Arial" w:eastAsia="Calibri" w:hAnsi="Arial" w:cs="Arial"/>
          <w:bCs/>
          <w:lang w:val="fr-FR"/>
        </w:rPr>
        <w:t>, parmi d’autres éléments, des « propositions sur la manière de traiter plus efficacement les affaires relatives aux différends interétatiques, ainsi que les requêtes individuelles découlant de situations de conflit entre États, sans pour autant limiter la juridiction de la Cour, en tenant compte des spécificités de ces catégories d’affaires, notamment en matière d’établissement des faits »</w:t>
      </w:r>
      <w:r w:rsidR="00F331F8" w:rsidRPr="00720D91">
        <w:rPr>
          <w:rStyle w:val="FootnoteReference"/>
          <w:rFonts w:ascii="Arial" w:eastAsia="Calibri" w:hAnsi="Arial" w:cs="Arial"/>
          <w:bCs/>
        </w:rPr>
        <w:footnoteReference w:id="2"/>
      </w:r>
      <w:r w:rsidR="00F331F8" w:rsidRPr="00F331F8">
        <w:rPr>
          <w:rFonts w:ascii="Arial" w:eastAsia="Calibri" w:hAnsi="Arial" w:cs="Arial"/>
          <w:bCs/>
          <w:lang w:val="fr-FR"/>
        </w:rPr>
        <w:t xml:space="preserve">.  </w:t>
      </w:r>
    </w:p>
    <w:p w14:paraId="1CF162F5" w14:textId="2EF2C936" w:rsidR="00F331F8" w:rsidRPr="00F331F8" w:rsidRDefault="00F240BE" w:rsidP="00971933">
      <w:pPr>
        <w:spacing w:line="240" w:lineRule="auto"/>
        <w:ind w:firstLine="360"/>
        <w:jc w:val="both"/>
        <w:rPr>
          <w:rFonts w:ascii="Arial" w:hAnsi="Arial" w:cs="Arial"/>
          <w:bCs/>
          <w:iCs/>
          <w:lang w:val="fr-FR"/>
        </w:rPr>
      </w:pPr>
      <w:r>
        <w:rPr>
          <w:rFonts w:ascii="Arial" w:eastAsia="Calibri" w:hAnsi="Arial" w:cs="Arial"/>
          <w:bCs/>
          <w:lang w:val="fr-FR"/>
        </w:rPr>
        <w:t>10</w:t>
      </w:r>
      <w:r w:rsidR="00F331F8" w:rsidRPr="00F331F8">
        <w:rPr>
          <w:rFonts w:ascii="Arial" w:eastAsia="Calibri" w:hAnsi="Arial" w:cs="Arial"/>
          <w:bCs/>
          <w:lang w:val="fr-FR"/>
        </w:rPr>
        <w:t xml:space="preserve">. </w:t>
      </w:r>
      <w:r w:rsidR="00F331F8" w:rsidRPr="00F331F8">
        <w:rPr>
          <w:rFonts w:ascii="Arial" w:hAnsi="Arial" w:cs="Arial"/>
          <w:bCs/>
          <w:lang w:val="fr-FR"/>
        </w:rPr>
        <w:t>Lors de sa 91</w:t>
      </w:r>
      <w:r w:rsidR="00F331F8" w:rsidRPr="00F331F8">
        <w:rPr>
          <w:rFonts w:ascii="Arial" w:hAnsi="Arial" w:cs="Arial"/>
          <w:bCs/>
          <w:vertAlign w:val="superscript"/>
          <w:lang w:val="fr-FR"/>
        </w:rPr>
        <w:t>e</w:t>
      </w:r>
      <w:r w:rsidR="00F331F8" w:rsidRPr="00F331F8">
        <w:rPr>
          <w:rFonts w:ascii="Arial" w:hAnsi="Arial" w:cs="Arial"/>
          <w:bCs/>
          <w:lang w:val="fr-FR"/>
        </w:rPr>
        <w:t xml:space="preserve"> réunion (18-21 juin 2019), le CDDH a tenu un échange de vues approfondi sur le </w:t>
      </w:r>
      <w:r w:rsidR="00F331F8" w:rsidRPr="00F331F8">
        <w:rPr>
          <w:rFonts w:ascii="Arial" w:hAnsi="Arial" w:cs="Arial"/>
          <w:lang w:val="fr-FR"/>
        </w:rPr>
        <w:t xml:space="preserve">projet d'éléments résultant de la Déclaration de Copenhague concernant les requêtes interétatiques qui ont été reflétés dans la </w:t>
      </w:r>
      <w:r w:rsidR="00F331F8" w:rsidRPr="00F331F8">
        <w:rPr>
          <w:rFonts w:ascii="Arial" w:hAnsi="Arial" w:cs="Arial"/>
          <w:i/>
          <w:iCs/>
          <w:lang w:val="fr-FR"/>
        </w:rPr>
        <w:t>Contribution du CDDH à l'évaluation prévue dans le</w:t>
      </w:r>
      <w:r w:rsidR="00F331F8" w:rsidRPr="00F331F8">
        <w:rPr>
          <w:rFonts w:ascii="Arial" w:hAnsi="Arial" w:cs="Arial"/>
          <w:lang w:val="fr-FR"/>
        </w:rPr>
        <w:t xml:space="preserve"> </w:t>
      </w:r>
      <w:r w:rsidR="00F331F8" w:rsidRPr="00F331F8">
        <w:rPr>
          <w:rFonts w:ascii="Arial" w:hAnsi="Arial" w:cs="Arial"/>
          <w:i/>
          <w:iCs/>
          <w:lang w:val="fr-FR"/>
        </w:rPr>
        <w:t>Déclaration d'Interlaken</w:t>
      </w:r>
      <w:r w:rsidR="00F331F8" w:rsidRPr="00720D91">
        <w:rPr>
          <w:rFonts w:ascii="Arial" w:hAnsi="Arial" w:cs="Arial"/>
          <w:bCs/>
          <w:vertAlign w:val="superscript"/>
        </w:rPr>
        <w:footnoteReference w:id="3"/>
      </w:r>
      <w:r w:rsidR="00F331F8" w:rsidRPr="00F331F8">
        <w:rPr>
          <w:rFonts w:ascii="Arial" w:hAnsi="Arial" w:cs="Arial"/>
          <w:i/>
          <w:iCs/>
          <w:lang w:val="fr-FR"/>
        </w:rPr>
        <w:t xml:space="preserve"> </w:t>
      </w:r>
      <w:r w:rsidR="00F331F8" w:rsidRPr="00F331F8">
        <w:rPr>
          <w:rFonts w:ascii="Arial" w:hAnsi="Arial" w:cs="Arial"/>
          <w:bCs/>
          <w:lang w:val="fr-FR"/>
        </w:rPr>
        <w:t>sur la base d'un (i) document préparé par son Bureau</w:t>
      </w:r>
      <w:r w:rsidR="00F331F8" w:rsidRPr="00720D91">
        <w:rPr>
          <w:rFonts w:ascii="Arial" w:hAnsi="Arial" w:cs="Arial"/>
          <w:bCs/>
          <w:vertAlign w:val="superscript"/>
        </w:rPr>
        <w:footnoteReference w:id="4"/>
      </w:r>
      <w:r w:rsidR="00F331F8" w:rsidRPr="00F331F8">
        <w:rPr>
          <w:rFonts w:ascii="Arial" w:hAnsi="Arial" w:cs="Arial"/>
          <w:bCs/>
          <w:lang w:val="fr-FR"/>
        </w:rPr>
        <w:t xml:space="preserve"> (ii) des contributions transmises par les États membres avant cette réunion,</w:t>
      </w:r>
      <w:r w:rsidR="00F331F8" w:rsidRPr="00720D91">
        <w:rPr>
          <w:rFonts w:ascii="Arial" w:hAnsi="Arial" w:cs="Arial"/>
          <w:bCs/>
          <w:vertAlign w:val="superscript"/>
        </w:rPr>
        <w:footnoteReference w:id="5"/>
      </w:r>
      <w:r w:rsidR="00F331F8" w:rsidRPr="00F331F8">
        <w:rPr>
          <w:rFonts w:ascii="Arial" w:hAnsi="Arial" w:cs="Arial"/>
          <w:bCs/>
          <w:lang w:val="fr-FR"/>
        </w:rPr>
        <w:t xml:space="preserve"> et (iii) d'un rapport de la Cour plénière </w:t>
      </w:r>
      <w:r w:rsidR="00F331F8" w:rsidRPr="00F331F8">
        <w:rPr>
          <w:rFonts w:ascii="Arial" w:hAnsi="Arial" w:cs="Arial"/>
          <w:bCs/>
          <w:iCs/>
          <w:lang w:val="fr-FR"/>
        </w:rPr>
        <w:t>sur les « Propositions pour un traitement plus efficace des affaires interétatiques</w:t>
      </w:r>
      <w:r w:rsidR="00F331F8" w:rsidRPr="00F331F8">
        <w:rPr>
          <w:rFonts w:ascii="Arial" w:hAnsi="Arial" w:cs="Arial"/>
          <w:bCs/>
          <w:i/>
          <w:lang w:val="fr-FR"/>
        </w:rPr>
        <w:t> »</w:t>
      </w:r>
      <w:r w:rsidR="00F331F8" w:rsidRPr="00F331F8">
        <w:rPr>
          <w:rFonts w:ascii="Arial" w:hAnsi="Arial" w:cs="Arial"/>
          <w:bCs/>
          <w:iCs/>
          <w:lang w:val="fr-FR"/>
        </w:rPr>
        <w:t xml:space="preserve"> présenté au CDDH.</w:t>
      </w:r>
      <w:r w:rsidR="00F331F8" w:rsidRPr="00720D91">
        <w:rPr>
          <w:rFonts w:ascii="Arial" w:hAnsi="Arial" w:cs="Arial"/>
          <w:bCs/>
          <w:iCs/>
          <w:vertAlign w:val="superscript"/>
        </w:rPr>
        <w:footnoteReference w:id="6"/>
      </w:r>
      <w:r w:rsidR="00F331F8" w:rsidRPr="00F331F8">
        <w:rPr>
          <w:rFonts w:ascii="Arial" w:hAnsi="Arial" w:cs="Arial"/>
          <w:bCs/>
          <w:iCs/>
          <w:lang w:val="fr-FR"/>
        </w:rPr>
        <w:t xml:space="preserve"> Le CDDH n'a pas, à ce stade, adopté de texte en la matière</w:t>
      </w:r>
      <w:r w:rsidR="00F331F8" w:rsidRPr="00720D91">
        <w:rPr>
          <w:rFonts w:ascii="Arial" w:hAnsi="Arial" w:cs="Arial"/>
          <w:bCs/>
          <w:iCs/>
          <w:vertAlign w:val="superscript"/>
        </w:rPr>
        <w:footnoteReference w:id="7"/>
      </w:r>
      <w:r w:rsidR="00F331F8" w:rsidRPr="00F331F8">
        <w:rPr>
          <w:rFonts w:ascii="Arial" w:hAnsi="Arial" w:cs="Arial"/>
          <w:lang w:val="fr-FR"/>
        </w:rPr>
        <w:t xml:space="preserve">. </w:t>
      </w:r>
      <w:r w:rsidR="00F331F8" w:rsidRPr="00F331F8">
        <w:rPr>
          <w:rFonts w:ascii="Arial" w:hAnsi="Arial" w:cs="Arial"/>
          <w:bCs/>
          <w:iCs/>
          <w:lang w:val="fr-FR"/>
        </w:rPr>
        <w:t>Il a décidé de reprendre ce point lors de sa prochaine réunion à la lumière des propositions du Comité d'experts sur le système de la Convention européenne des droits de l'homme (DH-SYSC).</w:t>
      </w:r>
      <w:r w:rsidR="00F331F8" w:rsidRPr="00720D91">
        <w:rPr>
          <w:rFonts w:ascii="Arial" w:hAnsi="Arial" w:cs="Arial"/>
          <w:bCs/>
          <w:vertAlign w:val="superscript"/>
        </w:rPr>
        <w:footnoteReference w:id="8"/>
      </w:r>
      <w:r w:rsidR="00F331F8" w:rsidRPr="00F331F8">
        <w:rPr>
          <w:rFonts w:ascii="Arial" w:hAnsi="Arial" w:cs="Arial"/>
          <w:bCs/>
          <w:iCs/>
          <w:lang w:val="fr-FR"/>
        </w:rPr>
        <w:t xml:space="preserve">  </w:t>
      </w:r>
    </w:p>
    <w:p w14:paraId="62B3C60E" w14:textId="1DC44C5A" w:rsidR="00F331F8" w:rsidRPr="00F331F8" w:rsidRDefault="00F331F8" w:rsidP="00971933">
      <w:pPr>
        <w:spacing w:line="240" w:lineRule="auto"/>
        <w:ind w:firstLine="360"/>
        <w:jc w:val="both"/>
        <w:rPr>
          <w:rFonts w:ascii="Arial" w:hAnsi="Arial" w:cs="Arial"/>
          <w:bCs/>
          <w:iCs/>
          <w:lang w:val="fr-FR"/>
        </w:rPr>
      </w:pPr>
      <w:r w:rsidRPr="00F331F8">
        <w:rPr>
          <w:rFonts w:ascii="Arial" w:hAnsi="Arial" w:cs="Arial"/>
          <w:bCs/>
          <w:iCs/>
          <w:lang w:val="fr-FR"/>
        </w:rPr>
        <w:t>1</w:t>
      </w:r>
      <w:r w:rsidR="00F240BE">
        <w:rPr>
          <w:rFonts w:ascii="Arial" w:hAnsi="Arial" w:cs="Arial"/>
          <w:bCs/>
          <w:iCs/>
          <w:lang w:val="fr-FR"/>
        </w:rPr>
        <w:t>1</w:t>
      </w:r>
      <w:r w:rsidRPr="00F331F8">
        <w:rPr>
          <w:rFonts w:ascii="Arial" w:hAnsi="Arial" w:cs="Arial"/>
          <w:bCs/>
          <w:iCs/>
          <w:lang w:val="fr-FR"/>
        </w:rPr>
        <w:t>. Le Comité des Ministres a adopté, lors de sa 1361</w:t>
      </w:r>
      <w:r w:rsidRPr="00F331F8">
        <w:rPr>
          <w:rFonts w:ascii="Arial" w:hAnsi="Arial" w:cs="Arial"/>
          <w:bCs/>
          <w:iCs/>
          <w:vertAlign w:val="superscript"/>
          <w:lang w:val="fr-FR"/>
        </w:rPr>
        <w:t>e</w:t>
      </w:r>
      <w:r w:rsidRPr="00F331F8">
        <w:rPr>
          <w:rFonts w:ascii="Arial" w:hAnsi="Arial" w:cs="Arial"/>
          <w:bCs/>
          <w:iCs/>
          <w:lang w:val="fr-FR"/>
        </w:rPr>
        <w:t xml:space="preserve"> réunion (19 au 21 novembre 2019), le mandat du Comité d'experts sur le système de la Convention européenne des droits de l'homme (DH-SYSC) placé sous l'autorité du CDDH. Le DH-SYSC s'est vu confier, </w:t>
      </w:r>
      <w:r w:rsidRPr="00F331F8">
        <w:rPr>
          <w:rFonts w:ascii="Arial" w:hAnsi="Arial" w:cs="Arial"/>
          <w:bCs/>
          <w:i/>
          <w:iCs/>
          <w:lang w:val="fr-FR"/>
        </w:rPr>
        <w:t xml:space="preserve">entre autres, </w:t>
      </w:r>
      <w:r w:rsidRPr="00F331F8">
        <w:rPr>
          <w:rFonts w:ascii="Arial" w:hAnsi="Arial" w:cs="Arial"/>
          <w:bCs/>
          <w:lang w:val="fr-FR"/>
        </w:rPr>
        <w:t>la</w:t>
      </w:r>
      <w:r w:rsidRPr="00F331F8">
        <w:rPr>
          <w:rFonts w:ascii="Arial" w:hAnsi="Arial" w:cs="Arial"/>
          <w:bCs/>
          <w:i/>
          <w:iCs/>
          <w:lang w:val="fr-FR"/>
        </w:rPr>
        <w:t xml:space="preserve"> </w:t>
      </w:r>
      <w:r w:rsidRPr="00F331F8">
        <w:rPr>
          <w:rFonts w:ascii="Arial" w:hAnsi="Arial" w:cs="Arial"/>
          <w:bCs/>
          <w:iCs/>
          <w:lang w:val="fr-FR"/>
        </w:rPr>
        <w:t>tâche spécifique de formuler des propositions pour améliorer le traitement et la résolution des affaires concernant des conflits interétatiques, à la lumière des décisions du Comité des Ministres sur les suites à donner à l'évaluation prévue par la Déclaration d'Interlaken.</w:t>
      </w:r>
      <w:r w:rsidRPr="00720D91">
        <w:rPr>
          <w:rStyle w:val="FootnoteReference"/>
          <w:rFonts w:ascii="Arial" w:eastAsia="Calibri" w:hAnsi="Arial" w:cs="Arial"/>
        </w:rPr>
        <w:footnoteReference w:id="9"/>
      </w:r>
    </w:p>
    <w:p w14:paraId="1CEC9298" w14:textId="5A3C9441" w:rsidR="00F331F8" w:rsidRPr="00F331F8" w:rsidRDefault="00F331F8" w:rsidP="00971933">
      <w:pPr>
        <w:spacing w:line="240" w:lineRule="auto"/>
        <w:ind w:firstLine="360"/>
        <w:jc w:val="both"/>
        <w:rPr>
          <w:rFonts w:ascii="Arial" w:eastAsia="Calibri" w:hAnsi="Arial" w:cs="Arial"/>
          <w:lang w:val="fr-FR"/>
        </w:rPr>
      </w:pPr>
      <w:r w:rsidRPr="00F331F8">
        <w:rPr>
          <w:rFonts w:ascii="Arial" w:hAnsi="Arial" w:cs="Arial"/>
          <w:bCs/>
          <w:iCs/>
          <w:lang w:val="fr-FR"/>
        </w:rPr>
        <w:t>1</w:t>
      </w:r>
      <w:r w:rsidR="00F240BE">
        <w:rPr>
          <w:rFonts w:ascii="Arial" w:hAnsi="Arial" w:cs="Arial"/>
          <w:bCs/>
          <w:iCs/>
          <w:lang w:val="fr-FR"/>
        </w:rPr>
        <w:t>2</w:t>
      </w:r>
      <w:r w:rsidRPr="00F331F8">
        <w:rPr>
          <w:rFonts w:ascii="Arial" w:hAnsi="Arial" w:cs="Arial"/>
          <w:bCs/>
          <w:iCs/>
          <w:lang w:val="fr-FR"/>
        </w:rPr>
        <w:t>. Lors de sa 92</w:t>
      </w:r>
      <w:r w:rsidRPr="00F331F8">
        <w:rPr>
          <w:rFonts w:ascii="Arial" w:hAnsi="Arial" w:cs="Arial"/>
          <w:bCs/>
          <w:iCs/>
          <w:vertAlign w:val="superscript"/>
          <w:lang w:val="fr-FR"/>
        </w:rPr>
        <w:t>e</w:t>
      </w:r>
      <w:r w:rsidRPr="00F331F8">
        <w:rPr>
          <w:rFonts w:ascii="Arial" w:hAnsi="Arial" w:cs="Arial"/>
          <w:bCs/>
          <w:iCs/>
          <w:lang w:val="fr-FR"/>
        </w:rPr>
        <w:t xml:space="preserve"> réunion (26 au 29 novembre 2019), dans le cadre de l'adoption de sa « </w:t>
      </w:r>
      <w:r w:rsidRPr="00F331F8">
        <w:rPr>
          <w:rFonts w:ascii="Arial" w:hAnsi="Arial" w:cs="Arial"/>
          <w:bCs/>
          <w:lang w:val="fr-FR"/>
        </w:rPr>
        <w:t>Contribution à l’évaluation prévue par la Déclaration d’Interlaken</w:t>
      </w:r>
      <w:r w:rsidRPr="00F331F8">
        <w:rPr>
          <w:rFonts w:ascii="Arial" w:eastAsia="Calibri" w:hAnsi="Arial" w:cs="Arial"/>
          <w:bCs/>
          <w:lang w:val="fr-FR"/>
        </w:rPr>
        <w:t> »,</w:t>
      </w:r>
      <w:r w:rsidRPr="00720D91">
        <w:rPr>
          <w:rStyle w:val="FootnoteReference"/>
          <w:rFonts w:ascii="Arial" w:eastAsia="Calibri" w:hAnsi="Arial" w:cs="Arial"/>
        </w:rPr>
        <w:footnoteReference w:id="10"/>
      </w:r>
      <w:r w:rsidRPr="00F331F8">
        <w:rPr>
          <w:rFonts w:ascii="Arial" w:eastAsia="Calibri" w:hAnsi="Arial" w:cs="Arial"/>
          <w:bCs/>
          <w:lang w:val="fr-FR"/>
        </w:rPr>
        <w:t xml:space="preserve"> </w:t>
      </w:r>
      <w:r w:rsidRPr="00F331F8">
        <w:rPr>
          <w:rFonts w:ascii="Arial" w:hAnsi="Arial" w:cs="Arial"/>
          <w:bCs/>
          <w:iCs/>
          <w:lang w:val="fr-FR"/>
        </w:rPr>
        <w:t xml:space="preserve">le CDDH a jugé que les questions relatives aux requêtes interétatiques appelaient un examen plus poussé. Par conséquent, </w:t>
      </w:r>
      <w:r w:rsidRPr="00F331F8">
        <w:rPr>
          <w:rFonts w:ascii="Arial" w:eastAsia="Calibri" w:hAnsi="Arial" w:cs="Arial"/>
          <w:lang w:val="fr-FR"/>
        </w:rPr>
        <w:t>le CDDH a décidé de mettre en place le Groupe de rédaction DH-SYSC-IV placé sous l'autorité du DH-SYSC auquel il a donné le mandat suivant : « À la lumière notamment des réflexions menées lors de l’élaboration (i) de la Contribution du CDDH à l’évaluation prévue par la Déclaration d’Interlaken [</w:t>
      </w:r>
      <w:r w:rsidRPr="00720D91">
        <w:rPr>
          <w:rStyle w:val="FootnoteReference"/>
          <w:rFonts w:ascii="Arial" w:eastAsia="Calibri" w:hAnsi="Arial" w:cs="Arial"/>
        </w:rPr>
        <w:footnoteReference w:id="11"/>
      </w:r>
      <w:r w:rsidRPr="00F331F8">
        <w:rPr>
          <w:rFonts w:ascii="Arial" w:eastAsia="Calibri" w:hAnsi="Arial" w:cs="Arial"/>
          <w:lang w:val="fr-FR"/>
        </w:rPr>
        <w:t>] ; (ii) des suites données par le CDDH aux paragraphes pertinents de la Déclaration de Copenhague et (iii) du Rapport du CDDH sur la place de la Convention européenne des droits de l’homme dans l’ordre juridique européen et international [</w:t>
      </w:r>
      <w:r w:rsidRPr="00720D91">
        <w:rPr>
          <w:rStyle w:val="FootnoteReference"/>
          <w:rFonts w:ascii="Arial" w:eastAsia="Calibri" w:hAnsi="Arial" w:cs="Arial"/>
        </w:rPr>
        <w:footnoteReference w:id="12"/>
      </w:r>
      <w:r w:rsidRPr="00F331F8">
        <w:rPr>
          <w:rFonts w:ascii="Arial" w:eastAsia="Calibri" w:hAnsi="Arial" w:cs="Arial"/>
          <w:lang w:val="fr-FR"/>
        </w:rPr>
        <w:t xml:space="preserve">], le </w:t>
      </w:r>
      <w:r w:rsidRPr="00F331F8">
        <w:rPr>
          <w:rFonts w:ascii="Arial" w:eastAsia="Calibri" w:hAnsi="Arial" w:cs="Arial"/>
          <w:lang w:val="fr-FR"/>
        </w:rPr>
        <w:lastRenderedPageBreak/>
        <w:t>Groupe de rédaction du DH-SYSC sur le traitement et la résolution efficace d’affaires concernant des conflits interétatiques (DH-SYSC-IV) est appelé à élaborer des propositions sur la manière de gérer plus efficacement des affaires liées à des conflits interétatiques, ainsi que les requêtes individuelles résultant de situations de conflits entre États, sans limiter pour autant la juridiction de la Cour, en prenant en considération les caractéristiques propres à ces catégories d’affaires, entre autres en ce qui concerne l’établissement des faits. Dans ce contexte et sous la supervision du Comité d’experts sur le système de la Convention européenne des droits de l’homme (DH-SYSC), le Groupe est chargé d’élaborer :</w:t>
      </w:r>
    </w:p>
    <w:p w14:paraId="0B1BFF63" w14:textId="77777777" w:rsidR="00F331F8" w:rsidRPr="00720D91" w:rsidRDefault="00F331F8" w:rsidP="00971933">
      <w:pPr>
        <w:pStyle w:val="ListParagraph"/>
        <w:numPr>
          <w:ilvl w:val="0"/>
          <w:numId w:val="6"/>
        </w:numPr>
        <w:spacing w:after="0" w:line="240" w:lineRule="auto"/>
        <w:ind w:right="1280"/>
        <w:jc w:val="both"/>
        <w:rPr>
          <w:rFonts w:ascii="Arial" w:eastAsia="Calibri" w:hAnsi="Arial" w:cs="Arial"/>
          <w:lang w:val="fr-FR"/>
        </w:rPr>
      </w:pPr>
      <w:r w:rsidRPr="00720D91">
        <w:rPr>
          <w:rFonts w:ascii="Arial" w:eastAsia="Calibri" w:hAnsi="Arial" w:cs="Arial"/>
          <w:lang w:val="fr-FR"/>
        </w:rPr>
        <w:t xml:space="preserve">un projet de rapport du CDDH à soumettre à la future Conférence d’experts de haut niveau sur les conflits interétatiques dans le cadre du système de la CEDH qui se tiendra au printemps 2021 sous les auspices de la Présidence allemande du Comité des Ministres (délai : 15 octobre 2020) ; </w:t>
      </w:r>
    </w:p>
    <w:p w14:paraId="4C211F8D" w14:textId="77777777" w:rsidR="00F331F8" w:rsidRPr="00720D91" w:rsidRDefault="00F331F8" w:rsidP="00971933">
      <w:pPr>
        <w:pStyle w:val="ListParagraph"/>
        <w:spacing w:line="240" w:lineRule="auto"/>
        <w:ind w:right="1280"/>
        <w:jc w:val="both"/>
        <w:rPr>
          <w:rFonts w:ascii="Arial" w:eastAsia="Calibri" w:hAnsi="Arial" w:cs="Arial"/>
          <w:lang w:val="fr-FR"/>
        </w:rPr>
      </w:pPr>
    </w:p>
    <w:p w14:paraId="2DC452F8" w14:textId="77777777" w:rsidR="00F331F8" w:rsidRPr="00720D91" w:rsidRDefault="00F331F8" w:rsidP="00971933">
      <w:pPr>
        <w:pStyle w:val="ListParagraph"/>
        <w:numPr>
          <w:ilvl w:val="0"/>
          <w:numId w:val="6"/>
        </w:numPr>
        <w:spacing w:after="240" w:line="240" w:lineRule="auto"/>
        <w:ind w:right="1280"/>
        <w:contextualSpacing w:val="0"/>
        <w:jc w:val="both"/>
        <w:rPr>
          <w:rFonts w:ascii="Arial" w:eastAsia="Calibri" w:hAnsi="Arial" w:cs="Arial"/>
          <w:lang w:val="fr-FR"/>
        </w:rPr>
      </w:pPr>
      <w:bookmarkStart w:id="9" w:name="_Hlk43383744"/>
      <w:r w:rsidRPr="00720D91">
        <w:rPr>
          <w:rFonts w:ascii="Arial" w:eastAsia="Calibri" w:hAnsi="Arial" w:cs="Arial"/>
          <w:lang w:val="fr-FR"/>
        </w:rPr>
        <w:t>un projet de rapport final d’activité du CDDH à l’intention du Comité des Ministres contenant les réflexions et les éventuelles propositions du Comité directeur dans ce domaine (délai : 15 octobre 2021) ».</w:t>
      </w:r>
    </w:p>
    <w:p w14:paraId="5FAFB967" w14:textId="4B4C45EA" w:rsidR="00F331F8" w:rsidRPr="00F331F8" w:rsidRDefault="00F331F8" w:rsidP="00971933">
      <w:pPr>
        <w:spacing w:line="240" w:lineRule="auto"/>
        <w:ind w:firstLine="360"/>
        <w:jc w:val="both"/>
        <w:rPr>
          <w:rFonts w:ascii="Arial" w:hAnsi="Arial" w:cs="Arial"/>
          <w:lang w:val="fr-FR"/>
        </w:rPr>
      </w:pPr>
      <w:r w:rsidRPr="00F331F8">
        <w:rPr>
          <w:rFonts w:ascii="Arial" w:eastAsia="Calibri" w:hAnsi="Arial" w:cs="Arial"/>
          <w:lang w:val="fr-FR" w:eastAsia="zh-CN"/>
        </w:rPr>
        <w:t>1</w:t>
      </w:r>
      <w:r w:rsidR="00F240BE">
        <w:rPr>
          <w:rFonts w:ascii="Arial" w:eastAsia="Calibri" w:hAnsi="Arial" w:cs="Arial"/>
          <w:lang w:val="fr-FR" w:eastAsia="zh-CN"/>
        </w:rPr>
        <w:t>3</w:t>
      </w:r>
      <w:r w:rsidRPr="00F331F8">
        <w:rPr>
          <w:rFonts w:ascii="Arial" w:eastAsia="Calibri" w:hAnsi="Arial" w:cs="Arial"/>
          <w:lang w:val="fr-FR" w:eastAsia="zh-CN"/>
        </w:rPr>
        <w:t xml:space="preserve">. Le 11 décembre 2019, les </w:t>
      </w:r>
      <w:r w:rsidRPr="00F331F8">
        <w:rPr>
          <w:rFonts w:ascii="Arial" w:hAnsi="Arial" w:cs="Arial"/>
          <w:lang w:val="fr-FR"/>
        </w:rPr>
        <w:t>Délégués ont pris note du rapport du CDDH « Contribution à l'évaluation prévue par la Déclaration d'Interlaken » et ont convenu de le transmettre à la Cour pour information et commentaires éventuels.</w:t>
      </w:r>
      <w:r w:rsidRPr="00720D91">
        <w:rPr>
          <w:rStyle w:val="FootnoteReference"/>
          <w:rFonts w:ascii="Arial" w:hAnsi="Arial" w:cs="Arial"/>
        </w:rPr>
        <w:footnoteReference w:id="13"/>
      </w:r>
      <w:r w:rsidRPr="00F331F8">
        <w:rPr>
          <w:rFonts w:ascii="Arial" w:hAnsi="Arial" w:cs="Arial"/>
          <w:lang w:val="fr-FR"/>
        </w:rPr>
        <w:t xml:space="preserve"> </w:t>
      </w:r>
    </w:p>
    <w:p w14:paraId="0ADA5A7D" w14:textId="04662001" w:rsidR="00F331F8" w:rsidRPr="00F331F8" w:rsidRDefault="00F331F8" w:rsidP="00971933">
      <w:pPr>
        <w:spacing w:line="240" w:lineRule="auto"/>
        <w:ind w:firstLine="360"/>
        <w:jc w:val="both"/>
        <w:rPr>
          <w:rFonts w:ascii="Arial" w:hAnsi="Arial" w:cs="Arial"/>
          <w:lang w:val="fr-FR"/>
        </w:rPr>
      </w:pPr>
      <w:r w:rsidRPr="00F331F8">
        <w:rPr>
          <w:rFonts w:ascii="Arial" w:hAnsi="Arial" w:cs="Arial"/>
          <w:lang w:val="fr-FR"/>
        </w:rPr>
        <w:t>1</w:t>
      </w:r>
      <w:r w:rsidR="00F240BE">
        <w:rPr>
          <w:rFonts w:ascii="Arial" w:hAnsi="Arial" w:cs="Arial"/>
          <w:lang w:val="fr-FR"/>
        </w:rPr>
        <w:t>4</w:t>
      </w:r>
      <w:r w:rsidRPr="00F331F8">
        <w:rPr>
          <w:rFonts w:ascii="Arial" w:hAnsi="Arial" w:cs="Arial"/>
          <w:lang w:val="fr-FR"/>
        </w:rPr>
        <w:t>. Le 11 février 2020, la Cour a soumis un « Commentaire sur la contribution du CDDH à l'évaluation du processus de réforme d'Interlaken », tel qu'il avait été adopté par la Cour plénière le 27 janvier 2020.</w:t>
      </w:r>
      <w:r w:rsidRPr="00720D91">
        <w:rPr>
          <w:rStyle w:val="FootnoteReference"/>
          <w:rFonts w:ascii="Arial" w:hAnsi="Arial" w:cs="Arial"/>
        </w:rPr>
        <w:footnoteReference w:id="14"/>
      </w:r>
    </w:p>
    <w:p w14:paraId="7FF2F495" w14:textId="0FEB89A5" w:rsidR="00F331F8" w:rsidRPr="00F331F8" w:rsidRDefault="00F331F8" w:rsidP="00971933">
      <w:pPr>
        <w:spacing w:line="240" w:lineRule="auto"/>
        <w:ind w:firstLine="360"/>
        <w:jc w:val="both"/>
        <w:rPr>
          <w:rFonts w:ascii="Arial" w:hAnsi="Arial" w:cs="Arial"/>
          <w:lang w:val="fr-FR"/>
        </w:rPr>
      </w:pPr>
      <w:r w:rsidRPr="00F331F8">
        <w:rPr>
          <w:rFonts w:ascii="Arial" w:hAnsi="Arial" w:cs="Arial"/>
          <w:lang w:val="fr-FR"/>
        </w:rPr>
        <w:t>1</w:t>
      </w:r>
      <w:r w:rsidR="00F240BE">
        <w:rPr>
          <w:rFonts w:ascii="Arial" w:hAnsi="Arial" w:cs="Arial"/>
          <w:lang w:val="fr-FR"/>
        </w:rPr>
        <w:t>5</w:t>
      </w:r>
      <w:r w:rsidRPr="00F331F8">
        <w:rPr>
          <w:rFonts w:ascii="Arial" w:hAnsi="Arial" w:cs="Arial"/>
          <w:lang w:val="fr-FR"/>
        </w:rPr>
        <w:t>. Le 4 novembre 2020, le Comité des Ministres a adopté ses décisions « Assurer l'efficacité à long terme du système de la Convention européenne des droits de l'homme »</w:t>
      </w:r>
      <w:r w:rsidRPr="00720D91">
        <w:rPr>
          <w:rStyle w:val="FootnoteReference"/>
          <w:rFonts w:ascii="Arial" w:eastAsiaTheme="majorEastAsia" w:hAnsi="Arial" w:cs="Arial"/>
          <w:b/>
          <w:bCs/>
          <w:shd w:val="clear" w:color="auto" w:fill="FFFFFF"/>
        </w:rPr>
        <w:footnoteReference w:id="15"/>
      </w:r>
      <w:r w:rsidRPr="00F331F8">
        <w:rPr>
          <w:rFonts w:ascii="Arial" w:hAnsi="Arial" w:cs="Arial"/>
          <w:lang w:val="fr-FR"/>
        </w:rPr>
        <w:t>.  Le Comité des Ministres a résolu d'assurer l'efficacité à long terme du système de la Convention. À cet égard, il « convient [entre autres] que, alors qu’aucune restructuration globale du mécanisme de la Convention ne s’avère nécessaire à l’heure actuelle, le Conseil de l’Europe dans son ensemble doit poursuivre ses efforts pour veiller à ce que le système de la Convention puisse continuer à faire face aux nombreux défis auxquels l’Europe est confrontée dans le domaine des droits de l’homme, y compris à travers une réponse efficace de la Cour aux requêtes pendantes »</w:t>
      </w:r>
      <w:r w:rsidRPr="00F331F8">
        <w:rPr>
          <w:rFonts w:ascii="Arial" w:eastAsiaTheme="majorEastAsia" w:hAnsi="Arial" w:cs="Arial"/>
          <w:shd w:val="clear" w:color="auto" w:fill="FFFFFF"/>
          <w:lang w:val="fr-FR"/>
        </w:rPr>
        <w:t xml:space="preserve"> </w:t>
      </w:r>
      <w:r w:rsidRPr="00720D91">
        <w:rPr>
          <w:rStyle w:val="FootnoteReference"/>
          <w:rFonts w:ascii="Arial" w:eastAsiaTheme="majorEastAsia" w:hAnsi="Arial" w:cs="Arial"/>
          <w:shd w:val="clear" w:color="auto" w:fill="FFFFFF"/>
        </w:rPr>
        <w:footnoteReference w:id="16"/>
      </w:r>
      <w:r w:rsidRPr="00F331F8">
        <w:rPr>
          <w:rFonts w:ascii="Arial" w:hAnsi="Arial" w:cs="Arial"/>
          <w:lang w:val="fr-FR"/>
        </w:rPr>
        <w:t xml:space="preserve">.  </w:t>
      </w:r>
    </w:p>
    <w:p w14:paraId="269DECF2" w14:textId="77777777" w:rsidR="00F331F8" w:rsidRPr="00F240BE" w:rsidRDefault="00F331F8" w:rsidP="00971933">
      <w:pPr>
        <w:pStyle w:val="Heading1"/>
        <w:spacing w:line="240" w:lineRule="auto"/>
        <w:rPr>
          <w:rFonts w:ascii="Arial" w:hAnsi="Arial" w:cs="Arial"/>
          <w:lang w:val="fr-FR"/>
        </w:rPr>
      </w:pPr>
      <w:bookmarkStart w:id="10" w:name="_Toc86329776"/>
      <w:bookmarkEnd w:id="9"/>
      <w:r w:rsidRPr="00F240BE">
        <w:rPr>
          <w:rFonts w:ascii="Arial" w:hAnsi="Arial" w:cs="Arial"/>
          <w:lang w:val="fr-FR"/>
        </w:rPr>
        <w:t>III. INTRODUCTION</w:t>
      </w:r>
      <w:bookmarkEnd w:id="10"/>
      <w:r w:rsidRPr="00F240BE">
        <w:rPr>
          <w:rFonts w:ascii="Arial" w:hAnsi="Arial" w:cs="Arial"/>
          <w:lang w:val="fr-FR"/>
        </w:rPr>
        <w:t xml:space="preserve"> </w:t>
      </w:r>
    </w:p>
    <w:p w14:paraId="1397BA49" w14:textId="77777777" w:rsidR="00F331F8" w:rsidRPr="00720D91" w:rsidRDefault="00F331F8" w:rsidP="00971933">
      <w:pPr>
        <w:pStyle w:val="NoSpacing"/>
        <w:rPr>
          <w:rFonts w:ascii="Arial" w:hAnsi="Arial" w:cs="Arial"/>
          <w:sz w:val="22"/>
          <w:szCs w:val="22"/>
        </w:rPr>
      </w:pPr>
    </w:p>
    <w:p w14:paraId="3ED2491A" w14:textId="210843C5" w:rsidR="00F331F8" w:rsidRPr="00F331F8" w:rsidRDefault="00F331F8" w:rsidP="00971933">
      <w:pPr>
        <w:spacing w:line="240" w:lineRule="auto"/>
        <w:ind w:firstLine="284"/>
        <w:jc w:val="both"/>
        <w:rPr>
          <w:rFonts w:ascii="Arial" w:hAnsi="Arial" w:cs="Arial"/>
          <w:lang w:val="fr-FR"/>
        </w:rPr>
      </w:pPr>
      <w:r w:rsidRPr="00F331F8">
        <w:rPr>
          <w:rFonts w:ascii="Arial" w:hAnsi="Arial" w:cs="Arial"/>
          <w:lang w:val="fr-FR"/>
        </w:rPr>
        <w:t>1</w:t>
      </w:r>
      <w:r w:rsidR="00F240BE">
        <w:rPr>
          <w:rFonts w:ascii="Arial" w:hAnsi="Arial" w:cs="Arial"/>
          <w:lang w:val="fr-FR"/>
        </w:rPr>
        <w:t>6</w:t>
      </w:r>
      <w:r w:rsidRPr="00F331F8">
        <w:rPr>
          <w:rFonts w:ascii="Arial" w:hAnsi="Arial" w:cs="Arial"/>
          <w:lang w:val="fr-FR"/>
        </w:rPr>
        <w:t>. À partir du 7 mai 1956, date à laquelle la première requête interétatique a été introduite, 18 affaires interétatiques ont été résolues par la Commission européenne des droits de l'homme et la Cour. Ces affaires, qui constituent une base d'interprétation de la pratique de la Cour dans ce domaine, sont les suivantes :</w:t>
      </w:r>
    </w:p>
    <w:p w14:paraId="244B4855" w14:textId="77777777" w:rsidR="00F331F8" w:rsidRPr="00720D91" w:rsidRDefault="00F331F8" w:rsidP="00971933">
      <w:pPr>
        <w:pStyle w:val="SingleTxtG"/>
        <w:numPr>
          <w:ilvl w:val="0"/>
          <w:numId w:val="28"/>
        </w:numPr>
        <w:spacing w:before="120" w:line="240" w:lineRule="auto"/>
        <w:rPr>
          <w:rFonts w:ascii="Arial" w:hAnsi="Arial" w:cs="Arial"/>
          <w:sz w:val="22"/>
          <w:szCs w:val="22"/>
          <w:lang w:val="fr-FR"/>
        </w:rPr>
      </w:pPr>
      <w:r w:rsidRPr="00720D91">
        <w:rPr>
          <w:rFonts w:ascii="Arial" w:hAnsi="Arial" w:cs="Arial"/>
          <w:sz w:val="22"/>
          <w:szCs w:val="22"/>
          <w:lang w:val="fr-FR"/>
        </w:rPr>
        <w:t>Grèce c. Royaume-Uni (I) (n° 176/56, rapports de la Commission 26.09.1958 (Vol I) 26.09.1958 (Vol II)) ;</w:t>
      </w:r>
    </w:p>
    <w:p w14:paraId="7722AF34" w14:textId="77777777" w:rsidR="00F331F8" w:rsidRPr="00720D91" w:rsidRDefault="00F331F8" w:rsidP="00971933">
      <w:pPr>
        <w:pStyle w:val="SingleTxtG"/>
        <w:numPr>
          <w:ilvl w:val="0"/>
          <w:numId w:val="28"/>
        </w:numPr>
        <w:spacing w:before="120" w:line="240" w:lineRule="auto"/>
        <w:rPr>
          <w:rFonts w:ascii="Arial" w:hAnsi="Arial" w:cs="Arial"/>
          <w:sz w:val="22"/>
          <w:szCs w:val="22"/>
          <w:lang w:val="fr-FR"/>
        </w:rPr>
      </w:pPr>
      <w:r w:rsidRPr="00720D91">
        <w:rPr>
          <w:rFonts w:ascii="Arial" w:hAnsi="Arial" w:cs="Arial"/>
          <w:sz w:val="22"/>
          <w:szCs w:val="22"/>
          <w:lang w:val="fr-FR"/>
        </w:rPr>
        <w:lastRenderedPageBreak/>
        <w:t>Grèce c. Royaume-Uni (II) (n° 299/57, rapport de la Commission 26.09.1959) ;</w:t>
      </w:r>
    </w:p>
    <w:p w14:paraId="08A8654A" w14:textId="77777777" w:rsidR="00F331F8" w:rsidRPr="00720D91" w:rsidRDefault="00F331F8" w:rsidP="00971933">
      <w:pPr>
        <w:pStyle w:val="SingleTxtG"/>
        <w:numPr>
          <w:ilvl w:val="0"/>
          <w:numId w:val="28"/>
        </w:numPr>
        <w:spacing w:before="120" w:line="240" w:lineRule="auto"/>
        <w:rPr>
          <w:rFonts w:ascii="Arial" w:hAnsi="Arial" w:cs="Arial"/>
          <w:sz w:val="22"/>
          <w:szCs w:val="22"/>
          <w:lang w:val="fr-FR"/>
        </w:rPr>
      </w:pPr>
      <w:r w:rsidRPr="00720D91">
        <w:rPr>
          <w:rFonts w:ascii="Arial" w:hAnsi="Arial" w:cs="Arial"/>
          <w:sz w:val="22"/>
          <w:szCs w:val="22"/>
          <w:lang w:val="fr-FR"/>
        </w:rPr>
        <w:t>Autriche c. Italie (n° 788/60, rapport de la Commission 30.03.1963) ;</w:t>
      </w:r>
    </w:p>
    <w:p w14:paraId="3F42840D" w14:textId="77777777" w:rsidR="00F331F8" w:rsidRPr="00720D91" w:rsidRDefault="00F331F8" w:rsidP="00971933">
      <w:pPr>
        <w:pStyle w:val="SingleTxtG"/>
        <w:numPr>
          <w:ilvl w:val="0"/>
          <w:numId w:val="28"/>
        </w:numPr>
        <w:spacing w:before="120" w:line="240" w:lineRule="auto"/>
        <w:rPr>
          <w:rFonts w:ascii="Arial" w:hAnsi="Arial" w:cs="Arial"/>
          <w:sz w:val="22"/>
          <w:szCs w:val="22"/>
          <w:lang w:val="fr-FR"/>
        </w:rPr>
      </w:pPr>
      <w:r w:rsidRPr="00720D91">
        <w:rPr>
          <w:rFonts w:ascii="Arial" w:hAnsi="Arial" w:cs="Arial"/>
          <w:sz w:val="22"/>
          <w:szCs w:val="22"/>
          <w:lang w:val="fr-FR"/>
        </w:rPr>
        <w:t>Danemark, Norvège, Suède &amp; Pays-Bas c. Grèce (I) (n° 3321/67 à 3323/67 &amp; 3344/67, rapport de la Commission 05.11.1969) ;</w:t>
      </w:r>
    </w:p>
    <w:p w14:paraId="75D0BB17" w14:textId="77777777" w:rsidR="00F331F8" w:rsidRPr="00720D91" w:rsidRDefault="00F331F8" w:rsidP="00971933">
      <w:pPr>
        <w:pStyle w:val="SingleTxtG"/>
        <w:numPr>
          <w:ilvl w:val="0"/>
          <w:numId w:val="28"/>
        </w:numPr>
        <w:spacing w:before="120" w:line="240" w:lineRule="auto"/>
        <w:rPr>
          <w:rFonts w:ascii="Arial" w:hAnsi="Arial" w:cs="Arial"/>
          <w:sz w:val="22"/>
          <w:szCs w:val="22"/>
          <w:lang w:val="fr-FR"/>
        </w:rPr>
      </w:pPr>
      <w:r w:rsidRPr="00720D91">
        <w:rPr>
          <w:rFonts w:ascii="Arial" w:hAnsi="Arial" w:cs="Arial"/>
          <w:sz w:val="22"/>
          <w:szCs w:val="22"/>
          <w:lang w:val="fr-FR"/>
        </w:rPr>
        <w:t xml:space="preserve">Danemark, Norvège et Suède c. Grèce (II) (n° 4448/70, rapports de la Commission 05.10.1970 ; 04.10.1976) ; </w:t>
      </w:r>
    </w:p>
    <w:p w14:paraId="63A64F6C" w14:textId="77777777" w:rsidR="00F331F8" w:rsidRPr="00720D91" w:rsidRDefault="00F331F8" w:rsidP="00971933">
      <w:pPr>
        <w:pStyle w:val="SingleTxtG"/>
        <w:numPr>
          <w:ilvl w:val="0"/>
          <w:numId w:val="28"/>
        </w:numPr>
        <w:spacing w:before="120" w:line="240" w:lineRule="auto"/>
        <w:rPr>
          <w:rFonts w:ascii="Arial" w:hAnsi="Arial" w:cs="Arial"/>
          <w:sz w:val="22"/>
          <w:szCs w:val="22"/>
          <w:lang w:val="fr-FR"/>
        </w:rPr>
      </w:pPr>
      <w:r w:rsidRPr="00720D91">
        <w:rPr>
          <w:rFonts w:ascii="Arial" w:hAnsi="Arial" w:cs="Arial"/>
          <w:sz w:val="22"/>
          <w:szCs w:val="22"/>
          <w:lang w:val="fr-FR"/>
        </w:rPr>
        <w:t>Irlande c. Royaume-Uni (I) (n° 5310/71, 18.01.1978 Révision : 20.03.2018) ;</w:t>
      </w:r>
    </w:p>
    <w:p w14:paraId="7E41DBFD" w14:textId="77777777" w:rsidR="00F331F8" w:rsidRPr="00720D91" w:rsidRDefault="00F331F8" w:rsidP="00971933">
      <w:pPr>
        <w:pStyle w:val="SingleTxtG"/>
        <w:numPr>
          <w:ilvl w:val="0"/>
          <w:numId w:val="28"/>
        </w:numPr>
        <w:spacing w:before="120" w:line="240" w:lineRule="auto"/>
        <w:rPr>
          <w:rFonts w:ascii="Arial" w:hAnsi="Arial" w:cs="Arial"/>
          <w:sz w:val="22"/>
          <w:szCs w:val="22"/>
          <w:lang w:val="fr-FR"/>
        </w:rPr>
      </w:pPr>
      <w:r w:rsidRPr="00720D91">
        <w:rPr>
          <w:rFonts w:ascii="Arial" w:hAnsi="Arial" w:cs="Arial"/>
          <w:sz w:val="22"/>
          <w:szCs w:val="22"/>
          <w:lang w:val="fr-FR"/>
        </w:rPr>
        <w:t>Irlande c. Royaume-Uni (II) (n° 5451/72, rayé du rôle le 01/10.1972) ;</w:t>
      </w:r>
    </w:p>
    <w:p w14:paraId="3FA17F7B" w14:textId="77777777" w:rsidR="00F331F8" w:rsidRPr="00720D91" w:rsidRDefault="00F331F8" w:rsidP="00971933">
      <w:pPr>
        <w:pStyle w:val="SingleTxtG"/>
        <w:numPr>
          <w:ilvl w:val="0"/>
          <w:numId w:val="28"/>
        </w:numPr>
        <w:spacing w:before="120" w:line="240" w:lineRule="auto"/>
        <w:rPr>
          <w:rFonts w:ascii="Arial" w:hAnsi="Arial" w:cs="Arial"/>
          <w:sz w:val="22"/>
          <w:szCs w:val="22"/>
        </w:rPr>
      </w:pPr>
      <w:r w:rsidRPr="00720D91">
        <w:rPr>
          <w:rFonts w:ascii="Arial" w:hAnsi="Arial" w:cs="Arial"/>
          <w:sz w:val="22"/>
          <w:szCs w:val="22"/>
          <w:lang w:val="fr-FR"/>
        </w:rPr>
        <w:t xml:space="preserve">Chypre c. Turquie (I) et (II) (n° 6780/74 &amp; 6950/75, rapport de la Commission 10.07.1976 : Vol. </w:t>
      </w:r>
      <w:r w:rsidRPr="00720D91">
        <w:rPr>
          <w:rFonts w:ascii="Arial" w:hAnsi="Arial" w:cs="Arial"/>
          <w:sz w:val="22"/>
          <w:szCs w:val="22"/>
        </w:rPr>
        <w:t>I ; Vol. II) ;</w:t>
      </w:r>
    </w:p>
    <w:p w14:paraId="31A47437" w14:textId="77777777" w:rsidR="00F331F8" w:rsidRPr="00720D91" w:rsidRDefault="00F331F8" w:rsidP="00971933">
      <w:pPr>
        <w:pStyle w:val="SingleTxtG"/>
        <w:numPr>
          <w:ilvl w:val="0"/>
          <w:numId w:val="28"/>
        </w:numPr>
        <w:spacing w:before="120" w:line="240" w:lineRule="auto"/>
        <w:rPr>
          <w:rFonts w:ascii="Arial" w:hAnsi="Arial" w:cs="Arial"/>
          <w:sz w:val="22"/>
          <w:szCs w:val="22"/>
        </w:rPr>
      </w:pPr>
      <w:r w:rsidRPr="00720D91">
        <w:rPr>
          <w:rFonts w:ascii="Arial" w:hAnsi="Arial" w:cs="Arial"/>
          <w:sz w:val="22"/>
          <w:szCs w:val="22"/>
          <w:lang w:val="fr-FR"/>
        </w:rPr>
        <w:t xml:space="preserve">Chypre c. Turquie (III) (n° 8007/77, rapports de la Commission 12.07.1980 (Conf.) </w:t>
      </w:r>
      <w:r w:rsidRPr="00720D91">
        <w:rPr>
          <w:rFonts w:ascii="Arial" w:hAnsi="Arial" w:cs="Arial"/>
          <w:sz w:val="22"/>
          <w:szCs w:val="22"/>
        </w:rPr>
        <w:t>(Interim), 04.10.1983 (Art.31)) ;</w:t>
      </w:r>
    </w:p>
    <w:p w14:paraId="0D0B365A" w14:textId="77777777" w:rsidR="00F331F8" w:rsidRPr="00720D91" w:rsidRDefault="00F331F8" w:rsidP="00971933">
      <w:pPr>
        <w:pStyle w:val="SingleTxtG"/>
        <w:numPr>
          <w:ilvl w:val="0"/>
          <w:numId w:val="28"/>
        </w:numPr>
        <w:spacing w:before="120" w:line="240" w:lineRule="auto"/>
        <w:rPr>
          <w:rFonts w:ascii="Arial" w:hAnsi="Arial" w:cs="Arial"/>
          <w:sz w:val="22"/>
          <w:szCs w:val="22"/>
          <w:lang w:val="fr-FR"/>
        </w:rPr>
      </w:pPr>
      <w:r w:rsidRPr="00720D91">
        <w:rPr>
          <w:rFonts w:ascii="Arial" w:hAnsi="Arial" w:cs="Arial"/>
          <w:sz w:val="22"/>
          <w:szCs w:val="22"/>
          <w:lang w:val="fr-FR"/>
        </w:rPr>
        <w:t>Danemark, France, Norvège, Suède et Pays-Bas c. Turquie (n° 9940/82 à 9944/82, rapport de la Commission 07.12.1985) ;</w:t>
      </w:r>
    </w:p>
    <w:p w14:paraId="0230E268" w14:textId="77777777" w:rsidR="00F331F8" w:rsidRPr="00720D91" w:rsidRDefault="00F331F8" w:rsidP="00971933">
      <w:pPr>
        <w:pStyle w:val="SingleTxtG"/>
        <w:numPr>
          <w:ilvl w:val="0"/>
          <w:numId w:val="28"/>
        </w:numPr>
        <w:spacing w:before="120" w:line="240" w:lineRule="auto"/>
        <w:rPr>
          <w:rFonts w:ascii="Arial" w:hAnsi="Arial" w:cs="Arial"/>
          <w:sz w:val="22"/>
          <w:szCs w:val="22"/>
          <w:lang w:val="fr-FR"/>
        </w:rPr>
      </w:pPr>
      <w:r w:rsidRPr="00720D91">
        <w:rPr>
          <w:rFonts w:ascii="Arial" w:hAnsi="Arial" w:cs="Arial"/>
          <w:sz w:val="22"/>
          <w:szCs w:val="22"/>
          <w:lang w:val="fr-FR"/>
        </w:rPr>
        <w:t>Chypre c. Turquie (IV) (n° 25781/94, 10.05.2001 ; 12.05.2014 (satisfaction équitable)) ;</w:t>
      </w:r>
    </w:p>
    <w:p w14:paraId="286A5CBD" w14:textId="77777777" w:rsidR="00F331F8" w:rsidRPr="00720D91" w:rsidRDefault="00F331F8" w:rsidP="00971933">
      <w:pPr>
        <w:pStyle w:val="SingleTxtG"/>
        <w:numPr>
          <w:ilvl w:val="0"/>
          <w:numId w:val="28"/>
        </w:numPr>
        <w:spacing w:before="120" w:line="240" w:lineRule="auto"/>
        <w:rPr>
          <w:rFonts w:ascii="Arial" w:hAnsi="Arial" w:cs="Arial"/>
          <w:sz w:val="22"/>
          <w:szCs w:val="22"/>
        </w:rPr>
      </w:pPr>
      <w:r w:rsidRPr="00720D91">
        <w:rPr>
          <w:rFonts w:ascii="Arial" w:hAnsi="Arial" w:cs="Arial"/>
          <w:sz w:val="22"/>
          <w:szCs w:val="22"/>
        </w:rPr>
        <w:t>Danemark c. Turquie (n° 34382/97, 05.04.2000) ;</w:t>
      </w:r>
    </w:p>
    <w:p w14:paraId="137497E8" w14:textId="77777777" w:rsidR="00F331F8" w:rsidRPr="00720D91" w:rsidRDefault="00F331F8" w:rsidP="00971933">
      <w:pPr>
        <w:pStyle w:val="SingleTxtG"/>
        <w:numPr>
          <w:ilvl w:val="0"/>
          <w:numId w:val="28"/>
        </w:numPr>
        <w:spacing w:before="120" w:line="240" w:lineRule="auto"/>
        <w:rPr>
          <w:rFonts w:ascii="Arial" w:hAnsi="Arial" w:cs="Arial"/>
          <w:sz w:val="22"/>
          <w:szCs w:val="22"/>
          <w:lang w:val="fr-FR"/>
        </w:rPr>
      </w:pPr>
      <w:r w:rsidRPr="00720D91">
        <w:rPr>
          <w:rFonts w:ascii="Arial" w:hAnsi="Arial" w:cs="Arial"/>
          <w:sz w:val="22"/>
          <w:szCs w:val="22"/>
          <w:lang w:val="fr-FR"/>
        </w:rPr>
        <w:t xml:space="preserve">Géorgie c. Fédération de Russie (I) (n° 13255/07, 03.07.2014 ; 31.01.2019 (satisfaction équitable)) ; </w:t>
      </w:r>
    </w:p>
    <w:p w14:paraId="7AF45035" w14:textId="77777777" w:rsidR="00F331F8" w:rsidRPr="00720D91" w:rsidRDefault="00F331F8" w:rsidP="00971933">
      <w:pPr>
        <w:pStyle w:val="SingleTxtG"/>
        <w:numPr>
          <w:ilvl w:val="0"/>
          <w:numId w:val="28"/>
        </w:numPr>
        <w:spacing w:before="120" w:line="240" w:lineRule="auto"/>
        <w:rPr>
          <w:rFonts w:ascii="Arial" w:hAnsi="Arial" w:cs="Arial"/>
          <w:sz w:val="22"/>
          <w:szCs w:val="22"/>
          <w:lang w:val="fr-FR"/>
        </w:rPr>
      </w:pPr>
      <w:r w:rsidRPr="00720D91">
        <w:rPr>
          <w:rFonts w:ascii="Arial" w:hAnsi="Arial" w:cs="Arial"/>
          <w:sz w:val="22"/>
          <w:szCs w:val="22"/>
          <w:lang w:val="fr-FR"/>
        </w:rPr>
        <w:t>Géorgie c. Fédération de Russie (II) (n° 38263/08, 12.08.2008 (fond)) ;</w:t>
      </w:r>
    </w:p>
    <w:p w14:paraId="09B5F28D" w14:textId="77777777" w:rsidR="00F331F8" w:rsidRPr="00720D91" w:rsidRDefault="00F331F8" w:rsidP="00971933">
      <w:pPr>
        <w:pStyle w:val="SingleTxtG"/>
        <w:numPr>
          <w:ilvl w:val="0"/>
          <w:numId w:val="28"/>
        </w:numPr>
        <w:spacing w:before="120" w:line="240" w:lineRule="auto"/>
        <w:rPr>
          <w:rFonts w:ascii="Arial" w:hAnsi="Arial" w:cs="Arial"/>
          <w:sz w:val="22"/>
          <w:szCs w:val="22"/>
          <w:lang w:val="fr-FR"/>
        </w:rPr>
      </w:pPr>
      <w:r w:rsidRPr="00720D91">
        <w:rPr>
          <w:rFonts w:ascii="Arial" w:hAnsi="Arial" w:cs="Arial"/>
          <w:sz w:val="22"/>
          <w:szCs w:val="22"/>
          <w:lang w:val="fr-FR"/>
        </w:rPr>
        <w:t>Géorgie c. Fédération de Russie (III) (n° 61186/09, radiation du rôle le 16.03.2010) ;</w:t>
      </w:r>
    </w:p>
    <w:p w14:paraId="2426B0EA" w14:textId="77777777" w:rsidR="00F331F8" w:rsidRPr="00720D91" w:rsidRDefault="00F331F8" w:rsidP="00971933">
      <w:pPr>
        <w:pStyle w:val="SingleTxtG"/>
        <w:numPr>
          <w:ilvl w:val="0"/>
          <w:numId w:val="28"/>
        </w:numPr>
        <w:spacing w:before="120" w:line="240" w:lineRule="auto"/>
        <w:rPr>
          <w:rFonts w:ascii="Arial" w:hAnsi="Arial" w:cs="Arial"/>
          <w:sz w:val="22"/>
          <w:szCs w:val="22"/>
          <w:lang w:val="fr-FR"/>
        </w:rPr>
      </w:pPr>
      <w:r w:rsidRPr="00720D91">
        <w:rPr>
          <w:rFonts w:ascii="Arial" w:hAnsi="Arial" w:cs="Arial"/>
          <w:sz w:val="22"/>
          <w:szCs w:val="22"/>
          <w:lang w:val="fr-FR"/>
        </w:rPr>
        <w:t>Ukraine c. Fédération de Russie (III) (n° 49537/14, rayé de la liste le 01.09.2015) ;</w:t>
      </w:r>
    </w:p>
    <w:p w14:paraId="7B5DC27E" w14:textId="77777777" w:rsidR="00F331F8" w:rsidRPr="00720D91" w:rsidRDefault="00F331F8" w:rsidP="00971933">
      <w:pPr>
        <w:pStyle w:val="SingleTxtG"/>
        <w:numPr>
          <w:ilvl w:val="0"/>
          <w:numId w:val="28"/>
        </w:numPr>
        <w:spacing w:before="120" w:line="240" w:lineRule="auto"/>
        <w:rPr>
          <w:rFonts w:ascii="Arial" w:hAnsi="Arial" w:cs="Arial"/>
          <w:sz w:val="22"/>
          <w:szCs w:val="22"/>
        </w:rPr>
      </w:pPr>
      <w:r w:rsidRPr="00720D91">
        <w:rPr>
          <w:rFonts w:ascii="Arial" w:hAnsi="Arial" w:cs="Arial"/>
          <w:sz w:val="22"/>
          <w:szCs w:val="22"/>
        </w:rPr>
        <w:t>Slovénie c. Croatie (n° 54155/16, 18.11.2020)</w:t>
      </w:r>
    </w:p>
    <w:p w14:paraId="56FB5289" w14:textId="77777777" w:rsidR="00F331F8" w:rsidRPr="00720D91" w:rsidRDefault="00F331F8" w:rsidP="00971933">
      <w:pPr>
        <w:pStyle w:val="SingleTxtG"/>
        <w:numPr>
          <w:ilvl w:val="0"/>
          <w:numId w:val="28"/>
        </w:numPr>
        <w:spacing w:before="120" w:line="240" w:lineRule="auto"/>
        <w:rPr>
          <w:rFonts w:ascii="Arial" w:hAnsi="Arial" w:cs="Arial"/>
          <w:sz w:val="22"/>
          <w:szCs w:val="22"/>
          <w:lang w:val="fr-FR"/>
        </w:rPr>
      </w:pPr>
      <w:r w:rsidRPr="00720D91">
        <w:rPr>
          <w:rFonts w:ascii="Arial" w:hAnsi="Arial" w:cs="Arial"/>
          <w:sz w:val="22"/>
          <w:szCs w:val="22"/>
          <w:lang w:val="fr-FR"/>
        </w:rPr>
        <w:t xml:space="preserve">Lettonie c. Danemark (n° 9717/20, rayé de la liste le 16.06.2020). </w:t>
      </w:r>
    </w:p>
    <w:p w14:paraId="029A27DE" w14:textId="45C8B0E8" w:rsidR="00F331F8" w:rsidRPr="00F331F8" w:rsidRDefault="00F331F8" w:rsidP="00971933">
      <w:pPr>
        <w:shd w:val="clear" w:color="auto" w:fill="FFFFFF" w:themeFill="background1"/>
        <w:spacing w:line="240" w:lineRule="auto"/>
        <w:ind w:firstLine="284"/>
        <w:jc w:val="both"/>
        <w:rPr>
          <w:rFonts w:ascii="Arial" w:hAnsi="Arial" w:cs="Arial"/>
          <w:lang w:val="fr-FR"/>
        </w:rPr>
      </w:pPr>
      <w:r w:rsidRPr="00F331F8">
        <w:rPr>
          <w:rFonts w:ascii="Arial" w:hAnsi="Arial" w:cs="Arial"/>
          <w:lang w:val="fr-FR"/>
        </w:rPr>
        <w:t>1</w:t>
      </w:r>
      <w:r w:rsidR="00F240BE">
        <w:rPr>
          <w:rFonts w:ascii="Arial" w:hAnsi="Arial" w:cs="Arial"/>
          <w:lang w:val="fr-FR"/>
        </w:rPr>
        <w:t>7</w:t>
      </w:r>
      <w:r w:rsidRPr="00F331F8">
        <w:rPr>
          <w:rFonts w:ascii="Arial" w:hAnsi="Arial" w:cs="Arial"/>
          <w:lang w:val="fr-FR"/>
        </w:rPr>
        <w:t>. Il y a actuellement 12 affaires interétatiques pendantes devant la Cour, dont la grande majorité est liée à des situations de conflit entre États membres.</w:t>
      </w:r>
      <w:r w:rsidRPr="00F331F8">
        <w:rPr>
          <w:rFonts w:ascii="Arial" w:hAnsi="Arial" w:cs="Arial"/>
          <w:vertAlign w:val="superscript"/>
          <w:lang w:val="fr-FR"/>
        </w:rPr>
        <w:t xml:space="preserve"> </w:t>
      </w:r>
      <w:r w:rsidRPr="00720D91">
        <w:rPr>
          <w:rFonts w:ascii="Arial" w:hAnsi="Arial" w:cs="Arial"/>
          <w:vertAlign w:val="superscript"/>
        </w:rPr>
        <w:footnoteReference w:id="17"/>
      </w:r>
      <w:r w:rsidRPr="00F331F8">
        <w:rPr>
          <w:rFonts w:ascii="Arial" w:hAnsi="Arial" w:cs="Arial"/>
          <w:vertAlign w:val="superscript"/>
          <w:lang w:val="fr-FR"/>
        </w:rPr>
        <w:t xml:space="preserve"> </w:t>
      </w:r>
    </w:p>
    <w:p w14:paraId="3EB647D4" w14:textId="1CE51FCF" w:rsidR="00F331F8" w:rsidRPr="00F331F8" w:rsidRDefault="00F331F8" w:rsidP="00971933">
      <w:pPr>
        <w:shd w:val="clear" w:color="auto" w:fill="FFFFFF" w:themeFill="background1"/>
        <w:spacing w:line="240" w:lineRule="auto"/>
        <w:ind w:firstLine="284"/>
        <w:jc w:val="both"/>
        <w:rPr>
          <w:rFonts w:ascii="Arial" w:hAnsi="Arial" w:cs="Arial"/>
          <w:lang w:val="fr-FR"/>
        </w:rPr>
      </w:pPr>
      <w:r w:rsidRPr="00F331F8">
        <w:rPr>
          <w:rFonts w:ascii="Arial" w:hAnsi="Arial" w:cs="Arial"/>
          <w:lang w:val="fr-FR"/>
        </w:rPr>
        <w:t>1</w:t>
      </w:r>
      <w:r w:rsidR="00F240BE">
        <w:rPr>
          <w:rFonts w:ascii="Arial" w:hAnsi="Arial" w:cs="Arial"/>
          <w:lang w:val="fr-FR"/>
        </w:rPr>
        <w:t>8</w:t>
      </w:r>
      <w:r w:rsidRPr="00F331F8">
        <w:rPr>
          <w:rFonts w:ascii="Arial" w:hAnsi="Arial" w:cs="Arial"/>
          <w:lang w:val="fr-FR"/>
        </w:rPr>
        <w:t>. Des milliers de requêtes individuelles relatives à des conflits interétatiques ont également été jugées par la Cour et/ou la Commission européenne des droits de l’homme au fil des années.</w:t>
      </w:r>
      <w:r w:rsidR="00B22052" w:rsidRPr="00720D91">
        <w:rPr>
          <w:rStyle w:val="FootnoteReference"/>
          <w:rFonts w:ascii="Arial" w:hAnsi="Arial" w:cs="Arial"/>
        </w:rPr>
        <w:footnoteReference w:id="18"/>
      </w:r>
    </w:p>
    <w:p w14:paraId="614614E7" w14:textId="1D485998" w:rsidR="00F331F8" w:rsidRPr="00F331F8" w:rsidRDefault="00F331F8" w:rsidP="00971933">
      <w:pPr>
        <w:shd w:val="clear" w:color="auto" w:fill="FFFFFF" w:themeFill="background1"/>
        <w:spacing w:line="240" w:lineRule="auto"/>
        <w:ind w:firstLine="284"/>
        <w:jc w:val="both"/>
        <w:rPr>
          <w:rFonts w:ascii="Arial" w:hAnsi="Arial" w:cs="Arial"/>
          <w:lang w:val="fr-FR"/>
        </w:rPr>
      </w:pPr>
      <w:r w:rsidRPr="00F331F8">
        <w:rPr>
          <w:rFonts w:ascii="Arial" w:hAnsi="Arial" w:cs="Arial"/>
          <w:lang w:val="fr-FR"/>
        </w:rPr>
        <w:t>1</w:t>
      </w:r>
      <w:r w:rsidR="00F240BE">
        <w:rPr>
          <w:rFonts w:ascii="Arial" w:hAnsi="Arial" w:cs="Arial"/>
          <w:lang w:val="fr-FR"/>
        </w:rPr>
        <w:t>9</w:t>
      </w:r>
      <w:r w:rsidRPr="00F331F8">
        <w:rPr>
          <w:rFonts w:ascii="Arial" w:hAnsi="Arial" w:cs="Arial"/>
          <w:lang w:val="fr-FR"/>
        </w:rPr>
        <w:t>. Le traitement des affaires interétatiques et du nombre élevé de requêtes individuelles liées, pose des défis exceptionnels à la Cour</w:t>
      </w:r>
      <w:r w:rsidR="00D27AB6">
        <w:rPr>
          <w:rStyle w:val="FootnoteReference"/>
          <w:rFonts w:ascii="Arial" w:hAnsi="Arial" w:cs="Arial"/>
          <w:lang w:val="fr-FR"/>
        </w:rPr>
        <w:footnoteReference w:id="19"/>
      </w:r>
      <w:r w:rsidRPr="00F331F8">
        <w:rPr>
          <w:rFonts w:ascii="Arial" w:hAnsi="Arial" w:cs="Arial"/>
          <w:lang w:val="fr-FR"/>
        </w:rPr>
        <w:t xml:space="preserve">  et aux États parties aux affaires, car ces affaires </w:t>
      </w:r>
      <w:r w:rsidRPr="00F331F8">
        <w:rPr>
          <w:rFonts w:ascii="Arial" w:hAnsi="Arial" w:cs="Arial"/>
          <w:lang w:val="fr-FR"/>
        </w:rPr>
        <w:lastRenderedPageBreak/>
        <w:t>sont particulièrement chronophages et complexes en raison de leur nature et de leur dimension. Il convient de rappeler que la préoccupation relative au nombre élevé de requêtes introduites devant la Cour a été, dès le départ, le point central du processus de réforme du système de la Convention. Comme indiqué dans la Déclaration de Copenhague, l'amélioration de la capacité du système de la Convention à faire face au nombre croissant de requêtes a été dès le début un objectif principal du processus de réforme actuel. C'est en rapport avec la nécessité de prendre de nouvelles mesures pour relever les défis liés à la charge de travail que la Déclaration de Copenhague a déclaré que « [l]es défis posés au système de la Convention par les situations de conflit et de crise en Europe doivent également être reconnus ».</w:t>
      </w:r>
      <w:r w:rsidRPr="00720D91">
        <w:rPr>
          <w:rStyle w:val="FootnoteReference"/>
          <w:rFonts w:ascii="Arial" w:hAnsi="Arial" w:cs="Arial"/>
        </w:rPr>
        <w:footnoteReference w:id="20"/>
      </w:r>
      <w:r w:rsidRPr="00F331F8">
        <w:rPr>
          <w:rFonts w:ascii="Arial" w:hAnsi="Arial" w:cs="Arial"/>
          <w:lang w:val="fr-FR"/>
        </w:rPr>
        <w:t xml:space="preserve"> </w:t>
      </w:r>
    </w:p>
    <w:p w14:paraId="37DD6554" w14:textId="056CC5B9" w:rsidR="00F331F8" w:rsidRPr="00720D91" w:rsidRDefault="00F240BE" w:rsidP="00971933">
      <w:pPr>
        <w:pStyle w:val="NoSpacing"/>
        <w:ind w:firstLine="284"/>
        <w:jc w:val="both"/>
        <w:rPr>
          <w:rFonts w:ascii="Arial" w:hAnsi="Arial" w:cs="Arial"/>
          <w:sz w:val="22"/>
          <w:szCs w:val="22"/>
        </w:rPr>
      </w:pPr>
      <w:r>
        <w:rPr>
          <w:rFonts w:ascii="Arial" w:hAnsi="Arial" w:cs="Arial"/>
          <w:sz w:val="22"/>
          <w:szCs w:val="22"/>
        </w:rPr>
        <w:t>20</w:t>
      </w:r>
      <w:r w:rsidR="00F331F8" w:rsidRPr="00720D91">
        <w:rPr>
          <w:rFonts w:ascii="Arial" w:hAnsi="Arial" w:cs="Arial"/>
          <w:sz w:val="22"/>
          <w:szCs w:val="22"/>
        </w:rPr>
        <w:t xml:space="preserve">. L'un des plus grands défis dans les affaires interétatiques est l'établissement des faits, en particulier lorsque la Cour doit agir en tant que juridiction de première instance, faute d'un examen préalable des affaires par les tribunaux nationaux. </w:t>
      </w:r>
      <w:r w:rsidR="00F331F8" w:rsidRPr="00720D91">
        <w:rPr>
          <w:rStyle w:val="FootnoteReference"/>
          <w:rFonts w:ascii="Arial" w:hAnsi="Arial" w:cs="Arial"/>
          <w:sz w:val="22"/>
          <w:szCs w:val="22"/>
        </w:rPr>
        <w:footnoteReference w:id="21"/>
      </w:r>
      <w:r w:rsidR="00F331F8" w:rsidRPr="00720D91">
        <w:rPr>
          <w:rFonts w:ascii="Arial" w:hAnsi="Arial" w:cs="Arial"/>
          <w:sz w:val="22"/>
          <w:szCs w:val="22"/>
        </w:rPr>
        <w:t xml:space="preserve"> Ces défis concernent notamment l'obtention des preuves nécessaires, </w:t>
      </w:r>
      <w:r w:rsidR="00F331F8" w:rsidRPr="00720D91">
        <w:rPr>
          <w:rFonts w:ascii="Arial" w:hAnsi="Arial" w:cs="Arial"/>
          <w:iCs/>
          <w:sz w:val="22"/>
          <w:szCs w:val="22"/>
        </w:rPr>
        <w:t>entre autres</w:t>
      </w:r>
      <w:r w:rsidR="00F331F8" w:rsidRPr="00720D91">
        <w:rPr>
          <w:rFonts w:ascii="Arial" w:hAnsi="Arial" w:cs="Arial"/>
          <w:i/>
          <w:sz w:val="22"/>
          <w:szCs w:val="22"/>
        </w:rPr>
        <w:t xml:space="preserve"> </w:t>
      </w:r>
      <w:r w:rsidR="00F331F8" w:rsidRPr="00720D91">
        <w:rPr>
          <w:rFonts w:ascii="Arial" w:hAnsi="Arial" w:cs="Arial"/>
          <w:sz w:val="22"/>
          <w:szCs w:val="22"/>
        </w:rPr>
        <w:t xml:space="preserve">par des missions d'enquête, des auditions de témoins, les différentes sources d'information ainsi que l'évaluation des preuves devant la Cour. </w:t>
      </w:r>
      <w:r w:rsidR="00F331F8" w:rsidRPr="00720D91">
        <w:rPr>
          <w:rStyle w:val="FootnoteReference"/>
          <w:rFonts w:ascii="Arial" w:hAnsi="Arial" w:cs="Arial"/>
          <w:sz w:val="22"/>
          <w:szCs w:val="22"/>
        </w:rPr>
        <w:footnoteReference w:id="22"/>
      </w:r>
    </w:p>
    <w:p w14:paraId="43852BEB" w14:textId="0445ADC9" w:rsidR="00F331F8" w:rsidRPr="00720D91" w:rsidRDefault="00F331F8" w:rsidP="00971933">
      <w:pPr>
        <w:pStyle w:val="NoSpacing"/>
        <w:ind w:firstLine="284"/>
        <w:jc w:val="both"/>
        <w:rPr>
          <w:rFonts w:ascii="Arial" w:hAnsi="Arial" w:cs="Arial"/>
          <w:sz w:val="22"/>
          <w:szCs w:val="22"/>
        </w:rPr>
      </w:pPr>
      <w:r w:rsidRPr="00720D91">
        <w:rPr>
          <w:rFonts w:ascii="Arial" w:hAnsi="Arial" w:cs="Arial"/>
          <w:sz w:val="22"/>
          <w:szCs w:val="22"/>
        </w:rPr>
        <w:t>2</w:t>
      </w:r>
      <w:r w:rsidR="00F240BE">
        <w:rPr>
          <w:rFonts w:ascii="Arial" w:hAnsi="Arial" w:cs="Arial"/>
          <w:sz w:val="22"/>
          <w:szCs w:val="22"/>
        </w:rPr>
        <w:t>1</w:t>
      </w:r>
      <w:r w:rsidRPr="00720D91">
        <w:rPr>
          <w:rFonts w:ascii="Arial" w:hAnsi="Arial" w:cs="Arial"/>
          <w:sz w:val="22"/>
          <w:szCs w:val="22"/>
        </w:rPr>
        <w:t>. En outre, le traitement en parallèle, d'une part, d'affaires interétatiques et, d'autre part, d'un nombre élevé de requêtes individuelles relatives à des affaires ou conflits interétatiques soulève des questions par rapport à leur priorisation notamment pour éviter des incohérences et des duplications. À cela s’ajoute la possibilité de procédures parallèles devant d'autres organes internationaux concernant des plaintes interétatiques ou des requêtes individuelles liées aux affaires interétatiques ou aux requêtes individuelles liées pendantes devant la Cour.</w:t>
      </w:r>
    </w:p>
    <w:p w14:paraId="66F2BF7E" w14:textId="77777777" w:rsidR="00F331F8" w:rsidRPr="00720D91" w:rsidRDefault="00F331F8" w:rsidP="00971933">
      <w:pPr>
        <w:pStyle w:val="NoSpacing"/>
        <w:rPr>
          <w:sz w:val="22"/>
          <w:szCs w:val="22"/>
        </w:rPr>
      </w:pPr>
    </w:p>
    <w:p w14:paraId="09A93EE9" w14:textId="31149228" w:rsidR="00F331F8" w:rsidRPr="00720D91" w:rsidRDefault="00F331F8" w:rsidP="00971933">
      <w:pPr>
        <w:pStyle w:val="NoSpacing"/>
        <w:ind w:firstLine="284"/>
        <w:jc w:val="both"/>
        <w:rPr>
          <w:rFonts w:ascii="Arial" w:hAnsi="Arial" w:cs="Arial"/>
          <w:sz w:val="22"/>
          <w:szCs w:val="22"/>
        </w:rPr>
      </w:pPr>
      <w:r w:rsidRPr="00720D91">
        <w:rPr>
          <w:rFonts w:ascii="Arial" w:hAnsi="Arial" w:cs="Arial"/>
          <w:sz w:val="22"/>
          <w:szCs w:val="22"/>
        </w:rPr>
        <w:t>2</w:t>
      </w:r>
      <w:r w:rsidR="00F240BE">
        <w:rPr>
          <w:rFonts w:ascii="Arial" w:hAnsi="Arial" w:cs="Arial"/>
          <w:sz w:val="22"/>
          <w:szCs w:val="22"/>
        </w:rPr>
        <w:t>2</w:t>
      </w:r>
      <w:r w:rsidRPr="00720D91">
        <w:rPr>
          <w:rFonts w:ascii="Arial" w:hAnsi="Arial" w:cs="Arial"/>
          <w:sz w:val="22"/>
          <w:szCs w:val="22"/>
        </w:rPr>
        <w:t>. La nature sensible et politique des affaires interétatiques rend leur règlement amiable en vertu de l'article 39 complexe et difficile.</w:t>
      </w:r>
    </w:p>
    <w:p w14:paraId="3CDF26F8" w14:textId="77777777" w:rsidR="00F331F8" w:rsidRPr="00720D91" w:rsidRDefault="00F331F8" w:rsidP="00971933">
      <w:pPr>
        <w:pStyle w:val="NoSpacing"/>
        <w:jc w:val="both"/>
        <w:rPr>
          <w:rFonts w:ascii="Arial" w:hAnsi="Arial" w:cs="Arial"/>
          <w:sz w:val="22"/>
          <w:szCs w:val="22"/>
        </w:rPr>
      </w:pPr>
    </w:p>
    <w:p w14:paraId="57E6C605" w14:textId="643373B9" w:rsidR="00F331F8" w:rsidRPr="00720D91" w:rsidRDefault="00F331F8" w:rsidP="00971933">
      <w:pPr>
        <w:pStyle w:val="NoSpacing"/>
        <w:ind w:firstLine="284"/>
        <w:jc w:val="both"/>
        <w:rPr>
          <w:rFonts w:ascii="Arial" w:hAnsi="Arial" w:cs="Arial"/>
          <w:sz w:val="22"/>
          <w:szCs w:val="22"/>
        </w:rPr>
      </w:pPr>
      <w:r w:rsidRPr="00720D91">
        <w:rPr>
          <w:rFonts w:ascii="Arial" w:hAnsi="Arial" w:cs="Arial"/>
          <w:sz w:val="22"/>
          <w:szCs w:val="22"/>
        </w:rPr>
        <w:t>2</w:t>
      </w:r>
      <w:r w:rsidR="00F240BE">
        <w:rPr>
          <w:rFonts w:ascii="Arial" w:hAnsi="Arial" w:cs="Arial"/>
          <w:sz w:val="22"/>
          <w:szCs w:val="22"/>
        </w:rPr>
        <w:t>3</w:t>
      </w:r>
      <w:r w:rsidRPr="00720D91">
        <w:rPr>
          <w:rFonts w:ascii="Arial" w:hAnsi="Arial" w:cs="Arial"/>
          <w:sz w:val="22"/>
          <w:szCs w:val="22"/>
        </w:rPr>
        <w:t>. La Cour a observé que la procédure de l'article 41 est normalement très complexe. « Il est important de demander au gouvernement requérant de soumettre, dès le début, les listes d’individus clairement identifiables ».</w:t>
      </w:r>
      <w:r w:rsidRPr="00720D91">
        <w:rPr>
          <w:rStyle w:val="FootnoteReference"/>
          <w:rFonts w:ascii="Arial" w:hAnsi="Arial" w:cs="Arial"/>
          <w:sz w:val="22"/>
          <w:szCs w:val="22"/>
        </w:rPr>
        <w:footnoteReference w:id="23"/>
      </w:r>
      <w:r w:rsidRPr="00720D91">
        <w:rPr>
          <w:rFonts w:ascii="Arial" w:hAnsi="Arial" w:cs="Arial"/>
          <w:sz w:val="22"/>
          <w:szCs w:val="22"/>
        </w:rPr>
        <w:t xml:space="preserve"> Cela a soulevé des questions pratiques en termes d'attribution de la satisfaction équitable dans les affaires interétatiques au profit des victimes individuelles.</w:t>
      </w:r>
    </w:p>
    <w:p w14:paraId="4B47840F" w14:textId="77777777" w:rsidR="00F331F8" w:rsidRPr="00720D91" w:rsidRDefault="00F331F8" w:rsidP="00971933">
      <w:pPr>
        <w:pStyle w:val="NoSpacing"/>
        <w:jc w:val="both"/>
        <w:rPr>
          <w:rFonts w:ascii="Arial" w:hAnsi="Arial" w:cs="Arial"/>
          <w:sz w:val="22"/>
          <w:szCs w:val="22"/>
        </w:rPr>
      </w:pPr>
    </w:p>
    <w:p w14:paraId="11A20FEA" w14:textId="76CA2EEC" w:rsidR="00F331F8" w:rsidRPr="00720D91" w:rsidRDefault="00F331F8" w:rsidP="00971933">
      <w:pPr>
        <w:pStyle w:val="NoSpacing"/>
        <w:ind w:firstLine="284"/>
        <w:jc w:val="both"/>
        <w:rPr>
          <w:rFonts w:ascii="Arial" w:hAnsi="Arial" w:cs="Arial"/>
          <w:sz w:val="22"/>
          <w:szCs w:val="22"/>
        </w:rPr>
      </w:pPr>
      <w:r w:rsidRPr="00720D91">
        <w:rPr>
          <w:rFonts w:ascii="Arial" w:hAnsi="Arial" w:cs="Arial"/>
          <w:sz w:val="22"/>
          <w:szCs w:val="22"/>
        </w:rPr>
        <w:t>2</w:t>
      </w:r>
      <w:r w:rsidR="00F240BE">
        <w:rPr>
          <w:rFonts w:ascii="Arial" w:hAnsi="Arial" w:cs="Arial"/>
          <w:sz w:val="22"/>
          <w:szCs w:val="22"/>
        </w:rPr>
        <w:t>4</w:t>
      </w:r>
      <w:r w:rsidRPr="00720D91">
        <w:rPr>
          <w:rFonts w:ascii="Arial" w:hAnsi="Arial" w:cs="Arial"/>
          <w:sz w:val="22"/>
          <w:szCs w:val="22"/>
        </w:rPr>
        <w:t xml:space="preserve">. </w:t>
      </w:r>
      <w:bookmarkStart w:id="11" w:name="_Hlk52447997"/>
      <w:r w:rsidRPr="00720D91">
        <w:rPr>
          <w:rFonts w:ascii="Arial" w:hAnsi="Arial" w:cs="Arial"/>
          <w:sz w:val="22"/>
          <w:szCs w:val="22"/>
        </w:rPr>
        <w:t xml:space="preserve">Le présent </w:t>
      </w:r>
      <w:r w:rsidR="00971933">
        <w:rPr>
          <w:rFonts w:ascii="Arial" w:hAnsi="Arial" w:cs="Arial"/>
          <w:sz w:val="22"/>
          <w:szCs w:val="22"/>
        </w:rPr>
        <w:t>r</w:t>
      </w:r>
      <w:r w:rsidRPr="00720D91">
        <w:rPr>
          <w:rFonts w:ascii="Arial" w:hAnsi="Arial" w:cs="Arial"/>
          <w:sz w:val="22"/>
          <w:szCs w:val="22"/>
        </w:rPr>
        <w:t xml:space="preserve">apport aborde ces questions sous l'angle des exigences de la Convention, du Règlement de la Cour ainsi que des principes pertinents établis par la Cour dans sa jurisprudence, y compris en ce qui concerne l’application du droit international général. </w:t>
      </w:r>
      <w:bookmarkEnd w:id="11"/>
      <w:r w:rsidRPr="00720D91">
        <w:rPr>
          <w:rFonts w:ascii="Arial" w:hAnsi="Arial" w:cs="Arial"/>
          <w:sz w:val="22"/>
          <w:szCs w:val="22"/>
        </w:rPr>
        <w:t xml:space="preserve">Le devoir des États de coopérer avec la Cour dans l'examen des requêtes interétatiques et des requêtes individuelles liées est souligné là où cela doit s’appliquer et constitue un fil conducteur de cette analyse.  </w:t>
      </w:r>
    </w:p>
    <w:p w14:paraId="11493D08" w14:textId="77777777" w:rsidR="00F331F8" w:rsidRPr="00720D91" w:rsidRDefault="00F331F8" w:rsidP="00971933">
      <w:pPr>
        <w:pStyle w:val="NoSpacing"/>
        <w:ind w:firstLine="284"/>
        <w:jc w:val="both"/>
        <w:rPr>
          <w:rFonts w:ascii="Arial" w:hAnsi="Arial" w:cs="Arial"/>
          <w:sz w:val="22"/>
          <w:szCs w:val="22"/>
        </w:rPr>
      </w:pPr>
    </w:p>
    <w:p w14:paraId="41B71826" w14:textId="015391D2" w:rsidR="00F331F8" w:rsidRPr="00720D91" w:rsidRDefault="00F331F8" w:rsidP="00971933">
      <w:pPr>
        <w:pStyle w:val="NoSpacing"/>
        <w:ind w:firstLine="284"/>
        <w:jc w:val="both"/>
        <w:rPr>
          <w:rStyle w:val="Hyperlink"/>
          <w:rFonts w:ascii="Arial" w:eastAsiaTheme="majorEastAsia" w:hAnsi="Arial" w:cs="Arial"/>
          <w:bCs/>
          <w:color w:val="auto"/>
          <w:sz w:val="22"/>
          <w:szCs w:val="22"/>
        </w:rPr>
      </w:pPr>
      <w:r w:rsidRPr="00720D91">
        <w:rPr>
          <w:rFonts w:ascii="Arial" w:hAnsi="Arial" w:cs="Arial"/>
          <w:sz w:val="22"/>
          <w:szCs w:val="22"/>
        </w:rPr>
        <w:t>2</w:t>
      </w:r>
      <w:r w:rsidR="00F240BE">
        <w:rPr>
          <w:rFonts w:ascii="Arial" w:hAnsi="Arial" w:cs="Arial"/>
          <w:sz w:val="22"/>
          <w:szCs w:val="22"/>
        </w:rPr>
        <w:t>5</w:t>
      </w:r>
      <w:r w:rsidRPr="00720D91">
        <w:rPr>
          <w:rFonts w:ascii="Arial" w:hAnsi="Arial" w:cs="Arial"/>
          <w:sz w:val="22"/>
          <w:szCs w:val="22"/>
        </w:rPr>
        <w:t xml:space="preserve">. </w:t>
      </w:r>
      <w:r w:rsidRPr="00720D91">
        <w:rPr>
          <w:rFonts w:ascii="Arial" w:hAnsi="Arial" w:cs="Arial"/>
          <w:bCs/>
          <w:sz w:val="22"/>
          <w:szCs w:val="22"/>
        </w:rPr>
        <w:t xml:space="preserve">Une délégation estime que « l’existence de divergences entre la jurisprudence de la Cour et celle d'autres cours et tribunaux internationaux, comme la Cour internationale de justice, en ce qui concerne les règles d'établissement de la responsabilité d'un État pour violation de ses obligations internationales constitue un défi fondamental. » Selon cette opinion, « par exemple, dans certaines de ses décisions – mais pas dans d’autres – la  Cour a adopté des critères permettant d’établir la responsabilité de l’État moins stricts, tels que le degré de contrôle qui doit être exercé pour que le comportement d'un groupe de personnes soit imputable à l'État, que </w:t>
      </w:r>
      <w:r w:rsidRPr="00720D91">
        <w:rPr>
          <w:rFonts w:ascii="Arial" w:hAnsi="Arial" w:cs="Arial"/>
          <w:bCs/>
          <w:sz w:val="22"/>
          <w:szCs w:val="22"/>
        </w:rPr>
        <w:lastRenderedPageBreak/>
        <w:t xml:space="preserve">ceux utilisés dans la jurisprudence de la CIJ et d'autres cours (tribunaux) internationales, ainsi que ceux des articles sur la responsabilité de l'État pour fait internationalement illicite adoptés par la Commission du droit international. Cela crée une insécurité juridique tant </w:t>
      </w:r>
      <w:r w:rsidRPr="00720D91">
        <w:rPr>
          <w:rFonts w:ascii="Arial" w:hAnsi="Arial" w:cs="Arial"/>
          <w:bCs/>
          <w:iCs/>
          <w:sz w:val="22"/>
          <w:szCs w:val="22"/>
        </w:rPr>
        <w:t>vis-à-vis du</w:t>
      </w:r>
      <w:r w:rsidRPr="00720D91">
        <w:rPr>
          <w:rFonts w:ascii="Arial" w:hAnsi="Arial" w:cs="Arial"/>
          <w:bCs/>
          <w:i/>
          <w:sz w:val="22"/>
          <w:szCs w:val="22"/>
        </w:rPr>
        <w:t xml:space="preserve"> </w:t>
      </w:r>
      <w:r w:rsidRPr="00720D91">
        <w:rPr>
          <w:rFonts w:ascii="Arial" w:hAnsi="Arial" w:cs="Arial"/>
          <w:bCs/>
          <w:sz w:val="22"/>
          <w:szCs w:val="22"/>
        </w:rPr>
        <w:t>droit international général que de la propre pratique de la Cour. »</w:t>
      </w:r>
      <w:r w:rsidRPr="00720D91">
        <w:rPr>
          <w:rStyle w:val="FootnoteReference"/>
          <w:rFonts w:ascii="Arial" w:hAnsi="Arial" w:cs="Arial"/>
          <w:bCs/>
          <w:sz w:val="22"/>
          <w:szCs w:val="22"/>
        </w:rPr>
        <w:footnoteReference w:id="24"/>
      </w:r>
      <w:r w:rsidRPr="00720D91">
        <w:rPr>
          <w:rFonts w:ascii="Arial" w:hAnsi="Arial" w:cs="Arial"/>
          <w:bCs/>
          <w:sz w:val="22"/>
          <w:szCs w:val="22"/>
        </w:rPr>
        <w:t xml:space="preserve"> En outre selon cette opinion fait référence au Rapport du CDDH sur la place de la Convention européenne des droits de l'homme dans l'ordre juridique européen et </w:t>
      </w:r>
      <w:r w:rsidRPr="000C031E">
        <w:rPr>
          <w:rFonts w:ascii="Arial" w:hAnsi="Arial" w:cs="Arial"/>
          <w:bCs/>
          <w:sz w:val="22"/>
          <w:szCs w:val="22"/>
        </w:rPr>
        <w:t>international (</w:t>
      </w:r>
      <w:hyperlink r:id="rId9" w:history="1">
        <w:r w:rsidRPr="000C031E">
          <w:rPr>
            <w:rStyle w:val="Hyperlink"/>
            <w:rFonts w:ascii="Arial" w:eastAsiaTheme="majorEastAsia" w:hAnsi="Arial" w:cs="Arial"/>
            <w:color w:val="auto"/>
            <w:sz w:val="22"/>
            <w:szCs w:val="22"/>
            <w:u w:val="none"/>
          </w:rPr>
          <w:t>CDDH(2019)R92Addendum1</w:t>
        </w:r>
      </w:hyperlink>
      <w:r w:rsidRPr="000C031E">
        <w:rPr>
          <w:rStyle w:val="Hyperlink"/>
          <w:rFonts w:ascii="Arial" w:eastAsiaTheme="majorEastAsia" w:hAnsi="Arial" w:cs="Arial"/>
          <w:color w:val="auto"/>
          <w:sz w:val="22"/>
          <w:szCs w:val="22"/>
          <w:u w:val="none"/>
        </w:rPr>
        <w:t>), et en particulier ses paragraphes 164-167, 189, 193-199.</w:t>
      </w:r>
    </w:p>
    <w:p w14:paraId="28264525" w14:textId="77777777" w:rsidR="00F331F8" w:rsidRPr="00971933" w:rsidRDefault="00F331F8" w:rsidP="00971933">
      <w:pPr>
        <w:pStyle w:val="NoSpacing"/>
        <w:ind w:firstLine="284"/>
        <w:jc w:val="both"/>
        <w:rPr>
          <w:rStyle w:val="Hyperlink"/>
          <w:rFonts w:ascii="Arial" w:eastAsiaTheme="majorEastAsia" w:hAnsi="Arial" w:cs="Arial"/>
          <w:bCs/>
          <w:color w:val="auto"/>
          <w:sz w:val="22"/>
          <w:szCs w:val="22"/>
          <w:u w:val="none"/>
        </w:rPr>
      </w:pPr>
    </w:p>
    <w:p w14:paraId="5F376006" w14:textId="1BCF16DE" w:rsidR="00F331F8" w:rsidRPr="00971933" w:rsidRDefault="00F331F8" w:rsidP="00971933">
      <w:pPr>
        <w:pStyle w:val="NoSpacing"/>
        <w:ind w:firstLine="284"/>
        <w:jc w:val="both"/>
        <w:rPr>
          <w:rStyle w:val="Hyperlink"/>
          <w:rFonts w:ascii="Arial" w:eastAsiaTheme="majorEastAsia" w:hAnsi="Arial" w:cs="Arial"/>
          <w:bCs/>
          <w:color w:val="auto"/>
          <w:sz w:val="22"/>
          <w:szCs w:val="22"/>
          <w:u w:val="none"/>
        </w:rPr>
      </w:pPr>
      <w:r w:rsidRPr="00971933">
        <w:rPr>
          <w:rStyle w:val="Hyperlink"/>
          <w:rFonts w:ascii="Arial" w:eastAsiaTheme="majorEastAsia" w:hAnsi="Arial" w:cs="Arial"/>
          <w:color w:val="auto"/>
          <w:sz w:val="22"/>
          <w:szCs w:val="22"/>
          <w:u w:val="none"/>
        </w:rPr>
        <w:t>2</w:t>
      </w:r>
      <w:r w:rsidR="00F240BE">
        <w:rPr>
          <w:rStyle w:val="Hyperlink"/>
          <w:rFonts w:ascii="Arial" w:eastAsiaTheme="majorEastAsia" w:hAnsi="Arial" w:cs="Arial"/>
          <w:color w:val="auto"/>
          <w:sz w:val="22"/>
          <w:szCs w:val="22"/>
          <w:u w:val="none"/>
        </w:rPr>
        <w:t>6</w:t>
      </w:r>
      <w:r w:rsidRPr="00971933">
        <w:rPr>
          <w:rStyle w:val="Hyperlink"/>
          <w:rFonts w:ascii="Arial" w:eastAsiaTheme="majorEastAsia" w:hAnsi="Arial" w:cs="Arial"/>
          <w:color w:val="auto"/>
          <w:sz w:val="22"/>
          <w:szCs w:val="22"/>
          <w:u w:val="none"/>
        </w:rPr>
        <w:t>. Le DH-SYSC-IV pourrait envisager à l’avenir</w:t>
      </w:r>
      <w:r w:rsidR="00B41728">
        <w:rPr>
          <w:rStyle w:val="Hyperlink"/>
          <w:rFonts w:ascii="Arial" w:eastAsiaTheme="majorEastAsia" w:hAnsi="Arial" w:cs="Arial"/>
          <w:color w:val="auto"/>
          <w:sz w:val="22"/>
          <w:szCs w:val="22"/>
          <w:u w:val="none"/>
        </w:rPr>
        <w:t>,</w:t>
      </w:r>
      <w:r w:rsidR="00B41728" w:rsidRPr="00B41728">
        <w:rPr>
          <w:rStyle w:val="Hyperlink"/>
          <w:rFonts w:ascii="Arial" w:eastAsiaTheme="majorEastAsia" w:hAnsi="Arial" w:cs="Arial"/>
          <w:color w:val="auto"/>
          <w:sz w:val="22"/>
          <w:szCs w:val="22"/>
          <w:u w:val="none"/>
        </w:rPr>
        <w:t xml:space="preserve"> </w:t>
      </w:r>
      <w:r w:rsidR="00B41728">
        <w:rPr>
          <w:rStyle w:val="Hyperlink"/>
          <w:rFonts w:ascii="Arial" w:eastAsiaTheme="majorEastAsia" w:hAnsi="Arial" w:cs="Arial"/>
          <w:color w:val="auto"/>
          <w:sz w:val="22"/>
          <w:szCs w:val="22"/>
          <w:u w:val="none"/>
        </w:rPr>
        <w:t>sous l’autorité du DH-SYSC,</w:t>
      </w:r>
      <w:r w:rsidRPr="00971933">
        <w:rPr>
          <w:rStyle w:val="Hyperlink"/>
          <w:rFonts w:ascii="Arial" w:eastAsiaTheme="majorEastAsia" w:hAnsi="Arial" w:cs="Arial"/>
          <w:color w:val="auto"/>
          <w:sz w:val="22"/>
          <w:szCs w:val="22"/>
          <w:u w:val="none"/>
        </w:rPr>
        <w:t xml:space="preserve"> d’examiner la pertinence de ces questions au regard des affaires interétatiques compte tenu des conclusions et l’instruction données par le CDDH lors de sa 93</w:t>
      </w:r>
      <w:r w:rsidR="00CF18E3" w:rsidRPr="00CF18E3">
        <w:rPr>
          <w:rStyle w:val="Hyperlink"/>
          <w:rFonts w:ascii="Arial" w:eastAsiaTheme="majorEastAsia" w:hAnsi="Arial" w:cs="Arial"/>
          <w:color w:val="auto"/>
          <w:sz w:val="22"/>
          <w:szCs w:val="22"/>
          <w:u w:val="none"/>
          <w:vertAlign w:val="superscript"/>
        </w:rPr>
        <w:t>e</w:t>
      </w:r>
      <w:r w:rsidR="00CF18E3">
        <w:rPr>
          <w:rStyle w:val="Hyperlink"/>
          <w:rFonts w:ascii="Arial" w:eastAsiaTheme="majorEastAsia" w:hAnsi="Arial" w:cs="Arial"/>
          <w:color w:val="auto"/>
          <w:sz w:val="22"/>
          <w:szCs w:val="22"/>
          <w:u w:val="none"/>
        </w:rPr>
        <w:t xml:space="preserve"> </w:t>
      </w:r>
      <w:r w:rsidRPr="00971933">
        <w:rPr>
          <w:rStyle w:val="Hyperlink"/>
          <w:rFonts w:ascii="Arial" w:eastAsiaTheme="majorEastAsia" w:hAnsi="Arial" w:cs="Arial"/>
          <w:color w:val="auto"/>
          <w:sz w:val="22"/>
          <w:szCs w:val="22"/>
          <w:u w:val="none"/>
        </w:rPr>
        <w:t>réunion (14-16 décembre 2020).</w:t>
      </w:r>
      <w:r w:rsidRPr="00971933">
        <w:rPr>
          <w:rStyle w:val="FootnoteReference"/>
          <w:rFonts w:ascii="Arial" w:hAnsi="Arial" w:cs="Arial"/>
          <w:bCs/>
          <w:sz w:val="22"/>
          <w:szCs w:val="22"/>
        </w:rPr>
        <w:footnoteReference w:id="25"/>
      </w:r>
    </w:p>
    <w:p w14:paraId="6A6BC03C" w14:textId="77777777" w:rsidR="00F331F8" w:rsidRPr="00F240BE" w:rsidRDefault="00F331F8" w:rsidP="00971933">
      <w:pPr>
        <w:pStyle w:val="Heading1"/>
        <w:spacing w:line="240" w:lineRule="auto"/>
        <w:jc w:val="both"/>
        <w:rPr>
          <w:rFonts w:ascii="Arial" w:hAnsi="Arial" w:cs="Arial"/>
          <w:lang w:val="fr-FR"/>
        </w:rPr>
      </w:pPr>
      <w:bookmarkStart w:id="12" w:name="_Toc86329777"/>
      <w:r w:rsidRPr="00F240BE">
        <w:rPr>
          <w:rFonts w:ascii="Arial" w:hAnsi="Arial" w:cs="Arial"/>
          <w:lang w:val="fr-FR"/>
        </w:rPr>
        <w:t>IV. QUESTIONS SOULEVÉES PAR LE TRAITEMENT PARALLÈLE DES REQUÊTES INTERÉTATIQUES ET INDIVIDUELLES LIÉES</w:t>
      </w:r>
      <w:bookmarkEnd w:id="12"/>
      <w:r w:rsidRPr="00F240BE">
        <w:rPr>
          <w:rFonts w:ascii="Arial" w:hAnsi="Arial" w:cs="Arial"/>
          <w:lang w:val="fr-FR"/>
        </w:rPr>
        <w:t xml:space="preserve"> </w:t>
      </w:r>
    </w:p>
    <w:p w14:paraId="42BAB9E1" w14:textId="77777777" w:rsidR="00F331F8" w:rsidRPr="00F331F8" w:rsidRDefault="00F331F8" w:rsidP="00971933">
      <w:pPr>
        <w:autoSpaceDE w:val="0"/>
        <w:autoSpaceDN w:val="0"/>
        <w:adjustRightInd w:val="0"/>
        <w:spacing w:line="240" w:lineRule="auto"/>
        <w:jc w:val="both"/>
        <w:rPr>
          <w:rFonts w:ascii="Arial" w:hAnsi="Arial" w:cs="Arial"/>
          <w:b/>
          <w:lang w:val="fr-FR"/>
        </w:rPr>
      </w:pPr>
    </w:p>
    <w:p w14:paraId="2998FAE4" w14:textId="0C13941B" w:rsidR="00F331F8" w:rsidRPr="00720D91" w:rsidRDefault="00F331F8" w:rsidP="00971933">
      <w:pPr>
        <w:pStyle w:val="NoSpacing"/>
        <w:ind w:firstLine="426"/>
        <w:jc w:val="both"/>
        <w:rPr>
          <w:rFonts w:ascii="Arial" w:hAnsi="Arial" w:cs="Arial"/>
          <w:sz w:val="22"/>
          <w:szCs w:val="22"/>
        </w:rPr>
      </w:pPr>
      <w:r w:rsidRPr="00720D91">
        <w:rPr>
          <w:rFonts w:ascii="Arial" w:hAnsi="Arial" w:cs="Arial"/>
          <w:sz w:val="22"/>
          <w:szCs w:val="22"/>
        </w:rPr>
        <w:t>2</w:t>
      </w:r>
      <w:r w:rsidR="00F240BE">
        <w:rPr>
          <w:rFonts w:ascii="Arial" w:hAnsi="Arial" w:cs="Arial"/>
          <w:sz w:val="22"/>
          <w:szCs w:val="22"/>
        </w:rPr>
        <w:t>7</w:t>
      </w:r>
      <w:r w:rsidRPr="00720D91">
        <w:rPr>
          <w:rFonts w:ascii="Arial" w:hAnsi="Arial" w:cs="Arial"/>
          <w:sz w:val="22"/>
          <w:szCs w:val="22"/>
        </w:rPr>
        <w:t xml:space="preserve">. Un nombre considérable de requêtes individuelles sont liées à des différends interétatiques ou à des requêtes interétatiques pendantes devant la Cour. Le présent rapport considère que le lien entre ces requêtes aux fins de leur traitement est établi par la Cour. </w:t>
      </w:r>
    </w:p>
    <w:p w14:paraId="0ED26351" w14:textId="77C11742" w:rsidR="00971933" w:rsidRDefault="00F331F8" w:rsidP="00971933">
      <w:pPr>
        <w:pStyle w:val="Heading2"/>
        <w:spacing w:line="240" w:lineRule="auto"/>
        <w:ind w:left="720"/>
        <w:rPr>
          <w:rFonts w:cs="Arial"/>
          <w:bCs w:val="0"/>
          <w:iCs/>
          <w:sz w:val="22"/>
          <w:szCs w:val="22"/>
          <w:lang w:val="fr-FR"/>
        </w:rPr>
      </w:pPr>
      <w:bookmarkStart w:id="13" w:name="_Toc86329778"/>
      <w:r w:rsidRPr="00720D91">
        <w:rPr>
          <w:rFonts w:cs="Arial"/>
          <w:bCs w:val="0"/>
          <w:iCs/>
          <w:sz w:val="22"/>
          <w:szCs w:val="22"/>
          <w:lang w:val="fr-FR"/>
        </w:rPr>
        <w:t>1. Caractéristiques et catégories des requêtes interétatiques</w:t>
      </w:r>
      <w:bookmarkEnd w:id="13"/>
      <w:r w:rsidRPr="00720D91">
        <w:rPr>
          <w:rFonts w:cs="Arial"/>
          <w:bCs w:val="0"/>
          <w:iCs/>
          <w:sz w:val="22"/>
          <w:szCs w:val="22"/>
          <w:lang w:val="fr-FR"/>
        </w:rPr>
        <w:t xml:space="preserve"> </w:t>
      </w:r>
    </w:p>
    <w:p w14:paraId="321FF49B" w14:textId="77777777" w:rsidR="00971933" w:rsidRDefault="00971933" w:rsidP="00971933">
      <w:pPr>
        <w:autoSpaceDE w:val="0"/>
        <w:autoSpaceDN w:val="0"/>
        <w:adjustRightInd w:val="0"/>
        <w:spacing w:line="240" w:lineRule="auto"/>
        <w:ind w:firstLine="426"/>
        <w:jc w:val="both"/>
        <w:rPr>
          <w:rFonts w:ascii="Arial" w:hAnsi="Arial" w:cs="Arial"/>
          <w:lang w:val="fr-FR"/>
        </w:rPr>
      </w:pPr>
    </w:p>
    <w:p w14:paraId="5DCD7B26" w14:textId="4A637F96" w:rsidR="00F331F8" w:rsidRPr="00F331F8" w:rsidRDefault="00F331F8" w:rsidP="00971933">
      <w:pPr>
        <w:autoSpaceDE w:val="0"/>
        <w:autoSpaceDN w:val="0"/>
        <w:adjustRightInd w:val="0"/>
        <w:spacing w:line="240" w:lineRule="auto"/>
        <w:ind w:firstLine="426"/>
        <w:jc w:val="both"/>
        <w:rPr>
          <w:rFonts w:ascii="Arial" w:hAnsi="Arial" w:cs="Arial"/>
          <w:lang w:val="fr-FR"/>
        </w:rPr>
      </w:pPr>
      <w:r w:rsidRPr="00F331F8">
        <w:rPr>
          <w:rFonts w:ascii="Arial" w:hAnsi="Arial" w:cs="Arial"/>
          <w:lang w:val="fr-FR"/>
        </w:rPr>
        <w:t>2</w:t>
      </w:r>
      <w:r w:rsidR="00F240BE">
        <w:rPr>
          <w:rFonts w:ascii="Arial" w:hAnsi="Arial" w:cs="Arial"/>
          <w:lang w:val="fr-FR"/>
        </w:rPr>
        <w:t>8</w:t>
      </w:r>
      <w:r w:rsidRPr="00F331F8">
        <w:rPr>
          <w:rFonts w:ascii="Arial" w:hAnsi="Arial" w:cs="Arial"/>
          <w:lang w:val="fr-FR"/>
        </w:rPr>
        <w:t xml:space="preserve">. </w:t>
      </w:r>
      <w:r w:rsidRPr="00F331F8">
        <w:rPr>
          <w:rFonts w:ascii="Arial" w:hAnsi="Arial" w:cs="Arial"/>
          <w:shd w:val="clear" w:color="auto" w:fill="FFFFFF" w:themeFill="background1"/>
          <w:lang w:val="fr-FR"/>
        </w:rPr>
        <w:t xml:space="preserve">Cette section met en évidence les caractéristiques spécifiques de la </w:t>
      </w:r>
      <w:r w:rsidRPr="00F331F8">
        <w:rPr>
          <w:rFonts w:ascii="Arial" w:hAnsi="Arial" w:cs="Arial"/>
          <w:b/>
          <w:shd w:val="clear" w:color="auto" w:fill="FFFFFF" w:themeFill="background1"/>
          <w:lang w:val="fr-FR"/>
        </w:rPr>
        <w:t xml:space="preserve">portée et du contenu </w:t>
      </w:r>
      <w:r w:rsidRPr="00F331F8">
        <w:rPr>
          <w:rFonts w:ascii="Arial" w:hAnsi="Arial" w:cs="Arial"/>
          <w:shd w:val="clear" w:color="auto" w:fill="FFFFFF" w:themeFill="background1"/>
          <w:lang w:val="fr-FR"/>
        </w:rPr>
        <w:t>des requêtes interétatiques qui les distinguent des requêtes individuelles</w:t>
      </w:r>
      <w:r w:rsidRPr="00F331F8">
        <w:rPr>
          <w:rFonts w:ascii="Arial" w:hAnsi="Arial" w:cs="Arial"/>
          <w:lang w:val="fr-FR"/>
        </w:rPr>
        <w:t xml:space="preserve">. L'article 33 de la Convention énonce, sans réserve, le droit de toute Haute Partie contractante de saisir la Cour de toute violation alléguée de la Convention et de ses Protocoles par une autre Haute Partie contractante. </w:t>
      </w:r>
      <w:r w:rsidRPr="00720D91">
        <w:rPr>
          <w:rStyle w:val="FootnoteReference"/>
          <w:rFonts w:ascii="Arial" w:hAnsi="Arial" w:cs="Arial"/>
        </w:rPr>
        <w:footnoteReference w:id="26"/>
      </w:r>
      <w:r w:rsidRPr="00F331F8">
        <w:rPr>
          <w:rFonts w:ascii="Arial" w:hAnsi="Arial" w:cs="Arial"/>
          <w:lang w:val="fr-FR"/>
        </w:rPr>
        <w:t xml:space="preserve"> La Commission européenne des droits de l'homme a qualifié ce droit d'expression du système de garantie collective consacré par la Convention plutôt que de mécanisme de règlement des différends interétatiques ou de mise en œuvre des droits des États.</w:t>
      </w:r>
      <w:r w:rsidRPr="00720D91">
        <w:rPr>
          <w:rStyle w:val="FootnoteReference"/>
          <w:rFonts w:ascii="Arial" w:hAnsi="Arial" w:cs="Arial"/>
        </w:rPr>
        <w:footnoteReference w:id="27"/>
      </w:r>
      <w:r w:rsidRPr="00F331F8">
        <w:rPr>
          <w:rFonts w:ascii="Arial" w:hAnsi="Arial" w:cs="Arial"/>
          <w:lang w:val="fr-FR"/>
        </w:rPr>
        <w:t xml:space="preserve"> Selon ce point de vue, les obligations contractées par les Hautes Parties Contractantes dans la Convention sont destinées à protéger les droits fondamentaux des êtres humains individuels contre toute violation par l'une des Hautes Parties Contractantes plutôt qu'à créer des droits subjectifs et réciproques pour les Hautes Parties Contractantes elles-mêmes.</w:t>
      </w:r>
      <w:r w:rsidRPr="00720D91">
        <w:rPr>
          <w:rStyle w:val="FootnoteReference"/>
          <w:rFonts w:ascii="Arial" w:hAnsi="Arial" w:cs="Arial"/>
        </w:rPr>
        <w:footnoteReference w:id="28"/>
      </w:r>
      <w:r w:rsidRPr="00F331F8">
        <w:rPr>
          <w:rFonts w:ascii="Arial" w:hAnsi="Arial" w:cs="Arial"/>
          <w:lang w:val="fr-FR"/>
        </w:rPr>
        <w:t xml:space="preserve"> Ainsi, lorsqu'une Haute Partie contractante saisit la Cour d'une violation alléguée de la Convention, il ne faut pas considérer qu'elle exerce un droit d'action dans le but de faire valoir ses propres droits, mais plutôt qu'elle saisit la Cour d'une violation alléguée de l'ordre public européen.</w:t>
      </w:r>
      <w:r w:rsidRPr="00720D91">
        <w:rPr>
          <w:rStyle w:val="FootnoteReference"/>
          <w:rFonts w:ascii="Arial" w:hAnsi="Arial" w:cs="Arial"/>
        </w:rPr>
        <w:footnoteReference w:id="29"/>
      </w:r>
      <w:r w:rsidRPr="00F331F8">
        <w:rPr>
          <w:rFonts w:ascii="Arial" w:hAnsi="Arial" w:cs="Arial"/>
          <w:lang w:val="fr-FR"/>
        </w:rPr>
        <w:t xml:space="preserve"> Alors que le droit de recours individuel devant la Cour en vertu de l'article 34 de la Convention est considéré comme la pierre angulaire du système de protection des droits et libertés énoncés dans la Convention</w:t>
      </w:r>
      <w:r w:rsidRPr="00720D91">
        <w:rPr>
          <w:rStyle w:val="FootnoteReference"/>
          <w:rFonts w:ascii="Arial" w:hAnsi="Arial" w:cs="Arial"/>
        </w:rPr>
        <w:footnoteReference w:id="30"/>
      </w:r>
      <w:r w:rsidRPr="00F331F8">
        <w:rPr>
          <w:rFonts w:ascii="Arial" w:hAnsi="Arial" w:cs="Arial"/>
          <w:lang w:val="fr-FR"/>
        </w:rPr>
        <w:t>, la requête interétatique offre une voie supplémentaire pour assurer la protection des droits des individus.</w:t>
      </w:r>
    </w:p>
    <w:p w14:paraId="47D6E38B" w14:textId="51AADC2C" w:rsidR="00F331F8" w:rsidRPr="00F331F8" w:rsidRDefault="00F331F8" w:rsidP="00971933">
      <w:pPr>
        <w:autoSpaceDE w:val="0"/>
        <w:autoSpaceDN w:val="0"/>
        <w:adjustRightInd w:val="0"/>
        <w:spacing w:line="240" w:lineRule="auto"/>
        <w:ind w:firstLine="426"/>
        <w:jc w:val="both"/>
        <w:rPr>
          <w:rFonts w:ascii="Arial" w:hAnsi="Arial" w:cs="Arial"/>
          <w:lang w:val="fr-FR"/>
        </w:rPr>
      </w:pPr>
      <w:r w:rsidRPr="00F331F8">
        <w:rPr>
          <w:rFonts w:ascii="Arial" w:hAnsi="Arial" w:cs="Arial"/>
          <w:lang w:val="fr-FR"/>
        </w:rPr>
        <w:lastRenderedPageBreak/>
        <w:t>2</w:t>
      </w:r>
      <w:r w:rsidR="00F240BE">
        <w:rPr>
          <w:rFonts w:ascii="Arial" w:hAnsi="Arial" w:cs="Arial"/>
          <w:lang w:val="fr-FR"/>
        </w:rPr>
        <w:t>9</w:t>
      </w:r>
      <w:r w:rsidRPr="00F331F8">
        <w:rPr>
          <w:rFonts w:ascii="Arial" w:hAnsi="Arial" w:cs="Arial"/>
          <w:lang w:val="fr-FR"/>
        </w:rPr>
        <w:t>. La Cour distingue les requêtes interétatiques dont le but n'est pas de faire constater des violations individuelles et de demander une satisfaction équitable, mais plutôt d'invoquer la compétence de la Cour afin d’obtenir l’établissement de l’existence de l’ensemble de violations allégué par l’État requérant, de faire cesser ces actes et d’empêcher leur réitération.</w:t>
      </w:r>
      <w:r w:rsidRPr="00720D91">
        <w:rPr>
          <w:rFonts w:ascii="Arial" w:hAnsi="Arial" w:cs="Arial"/>
          <w:vertAlign w:val="superscript"/>
        </w:rPr>
        <w:footnoteReference w:id="31"/>
      </w:r>
      <w:r w:rsidRPr="00F331F8">
        <w:rPr>
          <w:rFonts w:ascii="Arial" w:hAnsi="Arial" w:cs="Arial"/>
          <w:lang w:val="fr-FR"/>
        </w:rPr>
        <w:t xml:space="preserve"> En demandant à la Cour de ne statuer sur aucun des cas individuels qu’il cite pour étayer l’allégation d’existence d’un « ensemble de violations », le gouvernement requérant restreint clairement la portée du grief dont il saisit la Cour à la seule </w:t>
      </w:r>
      <w:r w:rsidRPr="00F331F8">
        <w:rPr>
          <w:rFonts w:ascii="Arial" w:hAnsi="Arial" w:cs="Arial"/>
          <w:b/>
          <w:bCs/>
          <w:i/>
          <w:iCs/>
          <w:lang w:val="fr-FR"/>
        </w:rPr>
        <w:t>pratique administrative alléguée de violation des droits de l’homme</w:t>
      </w:r>
      <w:r w:rsidRPr="00F331F8">
        <w:rPr>
          <w:rFonts w:ascii="Arial" w:hAnsi="Arial" w:cs="Arial"/>
          <w:lang w:val="fr-FR"/>
        </w:rPr>
        <w:t>.</w:t>
      </w:r>
      <w:r w:rsidRPr="00720D91">
        <w:rPr>
          <w:vertAlign w:val="superscript"/>
        </w:rPr>
        <w:footnoteReference w:id="32"/>
      </w:r>
      <w:r w:rsidRPr="00F331F8">
        <w:rPr>
          <w:rFonts w:ascii="Arial" w:hAnsi="Arial" w:cs="Arial"/>
          <w:lang w:val="fr-FR"/>
        </w:rPr>
        <w:t xml:space="preserve"> Lorsque le gouvernement requérant demande à la Cour de déterminer la compatibilité des pratiques administratives alléguées avec les dispositions de la Convention mais n'invite pas la Cour à se prononcer sur chaque violation individuelle alléguée - qui sont avancées à titre d'illustration des pratiques administratives alléguées - la Cour considère que la requête a pour objet d’éviter que la répétition des pratiques et de faire cesser les violations qui continuent d’être commises. </w:t>
      </w:r>
      <w:r w:rsidRPr="00720D91">
        <w:rPr>
          <w:vertAlign w:val="superscript"/>
        </w:rPr>
        <w:footnoteReference w:id="33"/>
      </w:r>
      <w:r w:rsidRPr="00F331F8">
        <w:rPr>
          <w:rFonts w:ascii="Arial" w:hAnsi="Arial" w:cs="Arial"/>
          <w:lang w:val="fr-FR"/>
        </w:rPr>
        <w:t xml:space="preserve"> Par conséquent, la Cour est appelée à examiner s'il a existé ou non des pratiques administratives avec les articles de la Convention dont la violation est alléguée. </w:t>
      </w:r>
      <w:r w:rsidRPr="00720D91">
        <w:rPr>
          <w:rFonts w:ascii="Arial" w:hAnsi="Arial" w:cs="Arial"/>
          <w:vertAlign w:val="superscript"/>
        </w:rPr>
        <w:footnoteReference w:id="34"/>
      </w:r>
    </w:p>
    <w:p w14:paraId="19E42C88" w14:textId="3321C8F5" w:rsidR="00F331F8" w:rsidRPr="00F331F8" w:rsidRDefault="00F240BE" w:rsidP="00971933">
      <w:pPr>
        <w:autoSpaceDE w:val="0"/>
        <w:autoSpaceDN w:val="0"/>
        <w:adjustRightInd w:val="0"/>
        <w:spacing w:line="240" w:lineRule="auto"/>
        <w:ind w:firstLine="426"/>
        <w:jc w:val="both"/>
        <w:rPr>
          <w:rFonts w:ascii="Arial" w:hAnsi="Arial" w:cs="Arial"/>
          <w:lang w:val="fr-FR"/>
        </w:rPr>
      </w:pPr>
      <w:r>
        <w:rPr>
          <w:rFonts w:ascii="Arial" w:hAnsi="Arial" w:cs="Arial"/>
          <w:lang w:val="fr-FR"/>
        </w:rPr>
        <w:t>30</w:t>
      </w:r>
      <w:r w:rsidR="00F331F8" w:rsidRPr="00F331F8">
        <w:rPr>
          <w:rFonts w:ascii="Arial" w:hAnsi="Arial" w:cs="Arial"/>
          <w:lang w:val="fr-FR"/>
        </w:rPr>
        <w:t xml:space="preserve">. La Cour définit la pratique administrative comme comprenant deux éléments : la répétition d'actes et la tolérance officielle. Sur la répétition des actes, la Cour la décrit comme une accumulation de manquements de nature identique ou analogue, assez nombreux et liés entre eux pour ne pas se ramener à des incidents isolés, ou à des exceptions, et pour former un ensemble ou système. Par tolérance officielle, il faut entendre que des actes illégaux sont tolérés en ce sens que les supérieurs des personnes immédiatement responsables connaissent ces actes, mais ne font rien pour en punir les auteurs ou empêcher leur répétition ; ou que l’autorité supérieure, face à de nombreuses allégations, se montre indifférente en refusant toute enquête sérieuse sur leur vérité ou leur fausseté, ou que le juge refuse d’entendre équitablement ces plaintes. Toute mesure prise par l’autorité supérieure doit être d’ampleur suffisante pour mettre fin à la répétition des actes ou provoquer une rupture dans l’ensemble ou dans le système. On n’imagine pas que les autorités supérieures d’un État ignorent, ou du moins soient en droit d’ignorer, l’existence de pareille pratique. En outre, elles assument au regard de la Convention la responsabilité objective de la conduite de leurs subordonnés ; elles ont le devoir de leur imposer leur volonté et ne sauraient se retrancher derrière leur impuissance à la faire respecter. </w:t>
      </w:r>
      <w:r w:rsidR="00F331F8" w:rsidRPr="00720D91">
        <w:rPr>
          <w:vertAlign w:val="superscript"/>
        </w:rPr>
        <w:footnoteReference w:id="35"/>
      </w:r>
      <w:r w:rsidR="00F331F8" w:rsidRPr="00F331F8">
        <w:rPr>
          <w:rFonts w:ascii="Arial" w:hAnsi="Arial" w:cs="Arial"/>
          <w:vertAlign w:val="superscript"/>
          <w:lang w:val="fr-FR"/>
        </w:rPr>
        <w:t xml:space="preserve"> </w:t>
      </w:r>
      <w:r w:rsidR="00F331F8" w:rsidRPr="00F331F8">
        <w:rPr>
          <w:rFonts w:ascii="Arial" w:hAnsi="Arial" w:cs="Arial"/>
          <w:lang w:val="fr-FR"/>
        </w:rPr>
        <w:t xml:space="preserve">Si ces critères définissent certes un cadre général, ils n’indiquent pas le nombre d’incidents requis pour pouvoir conclure à l’existence d’une pratique administrative, c’est une question laissée à l’appréciation de la Cour au regard des circonstances particulières de chaque affaire. </w:t>
      </w:r>
      <w:r w:rsidR="00F331F8" w:rsidRPr="00720D91">
        <w:rPr>
          <w:vertAlign w:val="superscript"/>
        </w:rPr>
        <w:footnoteReference w:id="36"/>
      </w:r>
    </w:p>
    <w:p w14:paraId="7D1810E6" w14:textId="25A2A94E" w:rsidR="00F331F8" w:rsidRPr="00F331F8" w:rsidRDefault="00F331F8" w:rsidP="00971933">
      <w:pPr>
        <w:autoSpaceDE w:val="0"/>
        <w:autoSpaceDN w:val="0"/>
        <w:adjustRightInd w:val="0"/>
        <w:spacing w:line="240" w:lineRule="auto"/>
        <w:ind w:firstLine="426"/>
        <w:jc w:val="both"/>
        <w:rPr>
          <w:rFonts w:ascii="Arial" w:hAnsi="Arial" w:cs="Arial"/>
          <w:lang w:val="fr-FR"/>
        </w:rPr>
      </w:pPr>
      <w:r w:rsidRPr="00F331F8">
        <w:rPr>
          <w:rFonts w:ascii="Arial" w:hAnsi="Arial" w:cs="Arial"/>
          <w:lang w:val="fr-FR"/>
        </w:rPr>
        <w:t>3</w:t>
      </w:r>
      <w:r w:rsidR="00F240BE">
        <w:rPr>
          <w:rFonts w:ascii="Arial" w:hAnsi="Arial" w:cs="Arial"/>
          <w:lang w:val="fr-FR"/>
        </w:rPr>
        <w:t>1</w:t>
      </w:r>
      <w:r w:rsidRPr="00F331F8">
        <w:rPr>
          <w:rFonts w:ascii="Arial" w:hAnsi="Arial" w:cs="Arial"/>
          <w:lang w:val="fr-FR"/>
        </w:rPr>
        <w:t xml:space="preserve">. La reconnaissance par la Cour, au stade de la recevabilité, du fait que la portée d'une requête interétatique est limitée à des allégations spécifiques d'une pratique administrative constituant des violations de la Convention, est étroitement liée à l’appréciation par la Cour de l'exigence d'épuisement des voies de recours internes au titre de l'article 35 § 1 de la Convention (recevabilité procédurale, voir également les paragraphes 36-40 ci-dessous) ainsi </w:t>
      </w:r>
      <w:r w:rsidRPr="00F331F8">
        <w:rPr>
          <w:rFonts w:ascii="Arial" w:hAnsi="Arial" w:cs="Arial"/>
          <w:lang w:val="fr-FR"/>
        </w:rPr>
        <w:lastRenderedPageBreak/>
        <w:t>qu'aux implications pour la recevabilité matérielle de la violation alléguée des dispositions de la Convention au titre de l'article 33 de la Convention (voir également les paragraphes 42-44 ci-dessous).</w:t>
      </w:r>
      <w:r w:rsidRPr="00F331F8">
        <w:rPr>
          <w:rFonts w:ascii="Arial" w:hAnsi="Arial" w:cs="Arial"/>
          <w:b/>
          <w:bCs/>
          <w:lang w:val="fr-FR"/>
        </w:rPr>
        <w:t xml:space="preserve"> </w:t>
      </w:r>
      <w:r w:rsidRPr="00720D91">
        <w:rPr>
          <w:rStyle w:val="FootnoteReference"/>
          <w:rFonts w:ascii="Arial" w:hAnsi="Arial" w:cs="Arial"/>
          <w:bCs/>
        </w:rPr>
        <w:footnoteReference w:id="37"/>
      </w:r>
    </w:p>
    <w:p w14:paraId="70AD2754" w14:textId="51B345FE" w:rsidR="00F331F8" w:rsidRPr="00F331F8" w:rsidRDefault="00F331F8" w:rsidP="00971933">
      <w:pPr>
        <w:autoSpaceDE w:val="0"/>
        <w:autoSpaceDN w:val="0"/>
        <w:adjustRightInd w:val="0"/>
        <w:spacing w:line="240" w:lineRule="auto"/>
        <w:ind w:firstLine="426"/>
        <w:jc w:val="both"/>
        <w:rPr>
          <w:rFonts w:ascii="Arial" w:hAnsi="Arial" w:cs="Arial"/>
          <w:lang w:val="fr-FR"/>
        </w:rPr>
      </w:pPr>
      <w:r w:rsidRPr="00F331F8">
        <w:rPr>
          <w:rFonts w:ascii="Arial" w:hAnsi="Arial" w:cs="Arial"/>
          <w:lang w:val="fr-FR"/>
        </w:rPr>
        <w:t>3</w:t>
      </w:r>
      <w:r w:rsidR="00F240BE">
        <w:rPr>
          <w:rFonts w:ascii="Arial" w:hAnsi="Arial" w:cs="Arial"/>
          <w:lang w:val="fr-FR"/>
        </w:rPr>
        <w:t>2</w:t>
      </w:r>
      <w:r w:rsidRPr="00F331F8">
        <w:rPr>
          <w:rFonts w:ascii="Arial" w:hAnsi="Arial" w:cs="Arial"/>
          <w:lang w:val="fr-FR"/>
        </w:rPr>
        <w:t xml:space="preserve">. Dans le cadre de l'application de l'article 41 de la Convention aux affaires interétatiques, notamment lorsqu'elle examine la question de savoir si l'octroi d'une satisfaction équitable à un État requérant est justifié, la Cour </w:t>
      </w:r>
      <w:r w:rsidRPr="00F331F8">
        <w:rPr>
          <w:rStyle w:val="sb8d990e2"/>
          <w:rFonts w:ascii="Arial" w:eastAsiaTheme="majorEastAsia" w:hAnsi="Arial" w:cs="Arial"/>
          <w:lang w:val="fr-FR"/>
        </w:rPr>
        <w:t>reconnaît qu'une requête introduite devant elle en vertu de l'article 33 de la Convention peut contenir différents types de griefs poursuivant des buts différents.</w:t>
      </w:r>
      <w:r w:rsidRPr="00F331F8">
        <w:rPr>
          <w:rFonts w:ascii="Arial" w:hAnsi="Arial" w:cs="Arial"/>
          <w:lang w:val="fr-FR"/>
        </w:rPr>
        <w:t xml:space="preserve"> En conséquence, deux grandes catégories de griefs peuvent être distinguées. </w:t>
      </w:r>
    </w:p>
    <w:p w14:paraId="26E69CA0" w14:textId="08A4BAB1" w:rsidR="00F331F8" w:rsidRPr="00F331F8" w:rsidRDefault="00F331F8" w:rsidP="00971933">
      <w:pPr>
        <w:autoSpaceDE w:val="0"/>
        <w:autoSpaceDN w:val="0"/>
        <w:adjustRightInd w:val="0"/>
        <w:spacing w:line="240" w:lineRule="auto"/>
        <w:ind w:firstLine="426"/>
        <w:jc w:val="both"/>
        <w:rPr>
          <w:rFonts w:ascii="Arial" w:hAnsi="Arial" w:cs="Arial"/>
          <w:lang w:val="fr-FR"/>
        </w:rPr>
      </w:pPr>
      <w:r w:rsidRPr="00F331F8">
        <w:rPr>
          <w:rFonts w:ascii="Arial" w:hAnsi="Arial" w:cs="Arial"/>
          <w:lang w:val="fr-FR"/>
        </w:rPr>
        <w:t>3</w:t>
      </w:r>
      <w:r w:rsidR="00F240BE">
        <w:rPr>
          <w:rFonts w:ascii="Arial" w:hAnsi="Arial" w:cs="Arial"/>
          <w:lang w:val="fr-FR"/>
        </w:rPr>
        <w:t>3</w:t>
      </w:r>
      <w:r w:rsidRPr="00F331F8">
        <w:rPr>
          <w:rFonts w:ascii="Arial" w:hAnsi="Arial" w:cs="Arial"/>
          <w:lang w:val="fr-FR"/>
        </w:rPr>
        <w:t xml:space="preserve">. Premièrement, </w:t>
      </w:r>
      <w:r w:rsidRPr="00F331F8">
        <w:rPr>
          <w:rStyle w:val="sb8d990e2"/>
          <w:rFonts w:ascii="Arial" w:eastAsiaTheme="majorEastAsia" w:hAnsi="Arial" w:cs="Arial"/>
          <w:lang w:val="fr-FR"/>
        </w:rPr>
        <w:t xml:space="preserve">un État partie requérant peut se plaindre de questions générales (problèmes et lacunes systémiques, pratiques administratives, etc.) dans un autre État partie. </w:t>
      </w:r>
      <w:r w:rsidRPr="00F331F8">
        <w:rPr>
          <w:rFonts w:ascii="Arial" w:hAnsi="Arial" w:cs="Arial"/>
          <w:lang w:val="fr-FR"/>
        </w:rPr>
        <w:t>L'article 33 habilite les parties contractantes à saisir la Cour d'une requête interétatique, que les victimes de la violation alléguée soient ou non des ressortissants de l'État requérant.</w:t>
      </w:r>
      <w:bookmarkStart w:id="16" w:name="_Hlk54346016"/>
      <w:r w:rsidRPr="00720D91">
        <w:rPr>
          <w:rStyle w:val="FootnoteReference"/>
          <w:rFonts w:ascii="Arial" w:hAnsi="Arial" w:cs="Arial"/>
        </w:rPr>
        <w:footnoteReference w:id="38"/>
      </w:r>
      <w:bookmarkEnd w:id="16"/>
      <w:r w:rsidRPr="00F331F8">
        <w:rPr>
          <w:rFonts w:ascii="Arial" w:hAnsi="Arial" w:cs="Arial"/>
          <w:lang w:val="fr-FR"/>
        </w:rPr>
        <w:t xml:space="preserve"> </w:t>
      </w:r>
      <w:r w:rsidRPr="00F331F8">
        <w:rPr>
          <w:rStyle w:val="sb8d990e2"/>
          <w:rFonts w:ascii="Arial" w:eastAsiaTheme="majorEastAsia" w:hAnsi="Arial" w:cs="Arial"/>
          <w:lang w:val="fr-FR"/>
        </w:rPr>
        <w:t xml:space="preserve">Dans ce cas, le but premier du gouvernement requérant est la </w:t>
      </w:r>
      <w:r w:rsidRPr="00F331F8">
        <w:rPr>
          <w:rStyle w:val="sb8d990e2"/>
          <w:rFonts w:ascii="Arial" w:eastAsiaTheme="majorEastAsia" w:hAnsi="Arial" w:cs="Arial"/>
          <w:b/>
          <w:bCs/>
          <w:i/>
          <w:iCs/>
          <w:lang w:val="fr-FR"/>
        </w:rPr>
        <w:t>défense de l'ordre public européen</w:t>
      </w:r>
      <w:r w:rsidRPr="00F331F8">
        <w:rPr>
          <w:rStyle w:val="sb8d990e2"/>
          <w:rFonts w:ascii="Arial" w:eastAsiaTheme="majorEastAsia" w:hAnsi="Arial" w:cs="Arial"/>
          <w:lang w:val="fr-FR"/>
        </w:rPr>
        <w:t xml:space="preserve"> dans le cadre de la responsabilité collective en vertu de la Convention, même si les ressortissants de l'État ne sont pas concernés. </w:t>
      </w:r>
      <w:bookmarkStart w:id="17" w:name="_Hlk54346045"/>
      <w:r w:rsidRPr="00720D91">
        <w:rPr>
          <w:rStyle w:val="FootnoteReference"/>
          <w:rFonts w:ascii="Arial" w:hAnsi="Arial" w:cs="Arial"/>
        </w:rPr>
        <w:footnoteReference w:id="39"/>
      </w:r>
      <w:bookmarkStart w:id="18" w:name="_Hlk54346068"/>
      <w:bookmarkEnd w:id="17"/>
      <w:r w:rsidRPr="00F331F8">
        <w:rPr>
          <w:rStyle w:val="sb8d990e2"/>
          <w:rFonts w:ascii="Arial" w:eastAsiaTheme="majorEastAsia" w:hAnsi="Arial" w:cs="Arial"/>
          <w:lang w:val="fr-FR"/>
        </w:rPr>
        <w:t xml:space="preserve"> </w:t>
      </w:r>
      <w:r w:rsidRPr="00F331F8">
        <w:rPr>
          <w:rFonts w:ascii="Arial" w:hAnsi="Arial" w:cs="Arial"/>
          <w:lang w:val="fr-FR"/>
        </w:rPr>
        <w:t xml:space="preserve">Les arrêts de la Cour concernant de telles requêtes peuvent servir à </w:t>
      </w:r>
      <w:r w:rsidRPr="00F331F8">
        <w:rPr>
          <w:rStyle w:val="sb8d990e2"/>
          <w:rFonts w:ascii="Arial" w:eastAsiaTheme="majorEastAsia" w:hAnsi="Arial" w:cs="Arial"/>
          <w:lang w:val="fr-FR"/>
        </w:rPr>
        <w:t>élucider, sauvegarder et développer les règles instituées par la Convention, contribuant ainsi au respect par les États des engagements pris par eux en tant que Parties contractantes</w:t>
      </w:r>
      <w:r w:rsidRPr="00F331F8">
        <w:rPr>
          <w:rFonts w:ascii="Arial" w:hAnsi="Arial" w:cs="Arial"/>
          <w:lang w:val="fr-FR"/>
        </w:rPr>
        <w:t xml:space="preserve">. </w:t>
      </w:r>
      <w:r w:rsidRPr="00720D91">
        <w:rPr>
          <w:rStyle w:val="FootnoteReference"/>
          <w:rFonts w:ascii="Arial" w:hAnsi="Arial" w:cs="Arial"/>
        </w:rPr>
        <w:footnoteReference w:id="40"/>
      </w:r>
      <w:bookmarkEnd w:id="18"/>
    </w:p>
    <w:p w14:paraId="1A4FCFE3" w14:textId="7571BB04" w:rsidR="00F331F8" w:rsidRPr="00F331F8" w:rsidRDefault="00F331F8" w:rsidP="00971933">
      <w:pPr>
        <w:autoSpaceDE w:val="0"/>
        <w:autoSpaceDN w:val="0"/>
        <w:adjustRightInd w:val="0"/>
        <w:spacing w:line="240" w:lineRule="auto"/>
        <w:ind w:firstLine="426"/>
        <w:jc w:val="both"/>
        <w:rPr>
          <w:rStyle w:val="sb8d990e2"/>
          <w:rFonts w:ascii="Arial" w:eastAsiaTheme="majorEastAsia" w:hAnsi="Arial" w:cs="Arial"/>
          <w:lang w:val="fr-FR"/>
        </w:rPr>
      </w:pPr>
      <w:r w:rsidRPr="00F331F8">
        <w:rPr>
          <w:rFonts w:ascii="Arial" w:hAnsi="Arial" w:cs="Arial"/>
          <w:lang w:val="fr-FR"/>
        </w:rPr>
        <w:t>3</w:t>
      </w:r>
      <w:r w:rsidR="00F240BE">
        <w:rPr>
          <w:rFonts w:ascii="Arial" w:hAnsi="Arial" w:cs="Arial"/>
          <w:lang w:val="fr-FR"/>
        </w:rPr>
        <w:t>4</w:t>
      </w:r>
      <w:r w:rsidRPr="00F331F8">
        <w:rPr>
          <w:rFonts w:ascii="Arial" w:hAnsi="Arial" w:cs="Arial"/>
          <w:lang w:val="fr-FR"/>
        </w:rPr>
        <w:t xml:space="preserve">. La deuxième catégorie d'affaires interétatiques concerne les </w:t>
      </w:r>
      <w:r w:rsidRPr="00F331F8">
        <w:rPr>
          <w:rStyle w:val="sb8d990e2"/>
          <w:rFonts w:ascii="Arial" w:eastAsiaTheme="majorEastAsia" w:hAnsi="Arial" w:cs="Arial"/>
          <w:lang w:val="fr-FR"/>
        </w:rPr>
        <w:t xml:space="preserve">requêtes dans lesquelles l'État requérant dénonce des violations systématiques par un autre État partie des droits fondamentaux de ses ressortissants. « En fait, ces réclamations sont essentiellement similaires non seulement à celles présentées dans le cadre d'une requête individuelle au titre de l'article 34 de la Convention, mais aussi aux requêtes déposées dans le cadre de la </w:t>
      </w:r>
      <w:r w:rsidRPr="00F331F8">
        <w:rPr>
          <w:rStyle w:val="sb8d990e2"/>
          <w:rFonts w:ascii="Arial" w:eastAsiaTheme="majorEastAsia" w:hAnsi="Arial" w:cs="Arial"/>
          <w:b/>
          <w:lang w:val="fr-FR"/>
        </w:rPr>
        <w:t>protection diplomatique</w:t>
      </w:r>
      <w:r w:rsidRPr="00F331F8">
        <w:rPr>
          <w:rStyle w:val="sb8d990e2"/>
          <w:rFonts w:ascii="Arial" w:eastAsiaTheme="majorEastAsia" w:hAnsi="Arial" w:cs="Arial"/>
          <w:bCs/>
          <w:lang w:val="fr-FR"/>
        </w:rPr>
        <w:t>,</w:t>
      </w:r>
      <w:r w:rsidRPr="00F331F8">
        <w:rPr>
          <w:rStyle w:val="sb8d990e2"/>
          <w:rFonts w:ascii="Arial" w:eastAsiaTheme="majorEastAsia" w:hAnsi="Arial" w:cs="Arial"/>
          <w:b/>
          <w:lang w:val="fr-FR"/>
        </w:rPr>
        <w:t xml:space="preserve"> </w:t>
      </w:r>
      <w:r w:rsidRPr="00F331F8">
        <w:rPr>
          <w:rStyle w:val="sb8d990e2"/>
          <w:rFonts w:ascii="Arial" w:eastAsiaTheme="majorEastAsia" w:hAnsi="Arial" w:cs="Arial"/>
          <w:bCs/>
          <w:lang w:val="fr-FR"/>
        </w:rPr>
        <w:t>c'est-à-dire</w:t>
      </w:r>
      <w:r w:rsidRPr="00F331F8">
        <w:rPr>
          <w:rStyle w:val="sb8d990e2"/>
          <w:rFonts w:ascii="Arial" w:eastAsiaTheme="majorEastAsia" w:hAnsi="Arial" w:cs="Arial"/>
          <w:b/>
          <w:lang w:val="fr-FR"/>
        </w:rPr>
        <w:t xml:space="preserve"> </w:t>
      </w:r>
      <w:r w:rsidRPr="00F331F8">
        <w:rPr>
          <w:rStyle w:val="sb8d990e2"/>
          <w:rFonts w:ascii="Arial" w:eastAsiaTheme="majorEastAsia" w:hAnsi="Arial" w:cs="Arial"/>
          <w:lang w:val="fr-FR"/>
        </w:rPr>
        <w:t xml:space="preserve">l'invocation par un État, par le biais d'une action diplomatique ou d'autres moyens de règlement pacifique, de la responsabilité d'un autre État pour un préjudice causé par un fait internationalement illicite dudit État à une personne physique ou morale qui est un ressortissant du premier État, en vue de la mise en œuvre de cette responsabilité ». </w:t>
      </w:r>
      <w:r w:rsidRPr="00720D91">
        <w:rPr>
          <w:rStyle w:val="FootnoteReference"/>
          <w:rFonts w:ascii="Arial" w:hAnsi="Arial" w:cs="Arial"/>
        </w:rPr>
        <w:footnoteReference w:id="41"/>
      </w:r>
      <w:r w:rsidRPr="00F331F8">
        <w:rPr>
          <w:rStyle w:val="sb8d990e2"/>
          <w:rFonts w:ascii="Arial" w:eastAsiaTheme="majorEastAsia" w:hAnsi="Arial" w:cs="Arial"/>
          <w:lang w:val="fr-FR"/>
        </w:rPr>
        <w:t xml:space="preserve"> La Cour a récemment jugé qu'une requête interétatique visant à protéger les intérêts d'une entité juridique concrète dans des ensembles de procédures judiciaires précisément circonscrits, et à réclamer une satisfaction équitable en son nom conformément à l'article 41, appartient à cette deuxième catégorie d'affaires interétatiques.</w:t>
      </w:r>
      <w:r w:rsidRPr="00720D91">
        <w:rPr>
          <w:rStyle w:val="FootnoteReference"/>
          <w:rFonts w:ascii="Arial" w:hAnsi="Arial" w:cs="Arial"/>
        </w:rPr>
        <w:footnoteReference w:id="42"/>
      </w:r>
    </w:p>
    <w:p w14:paraId="703D2C4E" w14:textId="25F968D9" w:rsidR="00F331F8" w:rsidRPr="00F331F8" w:rsidRDefault="00F331F8" w:rsidP="00971933">
      <w:pPr>
        <w:autoSpaceDE w:val="0"/>
        <w:autoSpaceDN w:val="0"/>
        <w:adjustRightInd w:val="0"/>
        <w:spacing w:after="240" w:line="240" w:lineRule="auto"/>
        <w:ind w:firstLine="426"/>
        <w:jc w:val="both"/>
        <w:rPr>
          <w:rFonts w:ascii="Arial" w:hAnsi="Arial" w:cs="Arial"/>
          <w:lang w:val="fr-FR"/>
        </w:rPr>
      </w:pPr>
      <w:r w:rsidRPr="00F331F8">
        <w:rPr>
          <w:rFonts w:ascii="Arial" w:hAnsi="Arial" w:cs="Arial"/>
          <w:lang w:val="fr-FR"/>
        </w:rPr>
        <w:t>3</w:t>
      </w:r>
      <w:r w:rsidR="00F240BE">
        <w:rPr>
          <w:rFonts w:ascii="Arial" w:hAnsi="Arial" w:cs="Arial"/>
          <w:lang w:val="fr-FR"/>
        </w:rPr>
        <w:t>5</w:t>
      </w:r>
      <w:r w:rsidRPr="00F331F8">
        <w:rPr>
          <w:rFonts w:ascii="Arial" w:hAnsi="Arial" w:cs="Arial"/>
          <w:lang w:val="fr-FR"/>
        </w:rPr>
        <w:t xml:space="preserve">. En outre, les requêtes relatives à des situations de conflits interétatiques ont augmenté depuis 2007.  </w:t>
      </w:r>
    </w:p>
    <w:p w14:paraId="75D9A8F1" w14:textId="408C8D87" w:rsidR="00F331F8" w:rsidRPr="00F331F8" w:rsidRDefault="00F331F8" w:rsidP="00971933">
      <w:pPr>
        <w:autoSpaceDE w:val="0"/>
        <w:autoSpaceDN w:val="0"/>
        <w:adjustRightInd w:val="0"/>
        <w:spacing w:after="240" w:line="240" w:lineRule="auto"/>
        <w:ind w:firstLine="426"/>
        <w:jc w:val="both"/>
        <w:rPr>
          <w:rFonts w:ascii="Arial" w:hAnsi="Arial" w:cs="Arial"/>
          <w:lang w:val="fr-FR"/>
        </w:rPr>
      </w:pPr>
      <w:r w:rsidRPr="00F331F8">
        <w:rPr>
          <w:rFonts w:ascii="Arial" w:hAnsi="Arial" w:cs="Arial"/>
          <w:lang w:val="fr-FR"/>
        </w:rPr>
        <w:t>3</w:t>
      </w:r>
      <w:r w:rsidR="00F240BE">
        <w:rPr>
          <w:rFonts w:ascii="Arial" w:hAnsi="Arial" w:cs="Arial"/>
          <w:lang w:val="fr-FR"/>
        </w:rPr>
        <w:t>6</w:t>
      </w:r>
      <w:r w:rsidRPr="00F331F8">
        <w:rPr>
          <w:rFonts w:ascii="Arial" w:hAnsi="Arial" w:cs="Arial"/>
          <w:lang w:val="fr-FR"/>
        </w:rPr>
        <w:t xml:space="preserve">. Les exigences relatives au </w:t>
      </w:r>
      <w:r w:rsidRPr="00F331F8">
        <w:rPr>
          <w:rFonts w:ascii="Arial" w:hAnsi="Arial" w:cs="Arial"/>
          <w:b/>
          <w:lang w:val="fr-FR"/>
        </w:rPr>
        <w:t xml:space="preserve">contenu </w:t>
      </w:r>
      <w:r w:rsidRPr="00F331F8">
        <w:rPr>
          <w:rFonts w:ascii="Arial" w:hAnsi="Arial" w:cs="Arial"/>
          <w:lang w:val="fr-FR"/>
        </w:rPr>
        <w:t>d'une requête interétatique sont précisées à l'article 46 du règlement de la Cour. La traduction de copies de documents pertinents pour l'objet d'une requête interétatique en vertu de l'article 46 (g) du règlement dans l'une des langues officielles de la Cour soulève des défis importants pour la Cour ainsi que pour les États requérants et défendeurs.</w:t>
      </w:r>
    </w:p>
    <w:p w14:paraId="3A331904" w14:textId="05456147" w:rsidR="00F331F8" w:rsidRPr="00F331F8" w:rsidRDefault="00F331F8" w:rsidP="00971933">
      <w:pPr>
        <w:autoSpaceDE w:val="0"/>
        <w:autoSpaceDN w:val="0"/>
        <w:adjustRightInd w:val="0"/>
        <w:spacing w:after="240" w:line="240" w:lineRule="auto"/>
        <w:ind w:firstLine="426"/>
        <w:jc w:val="both"/>
        <w:rPr>
          <w:rFonts w:ascii="Arial" w:hAnsi="Arial" w:cs="Arial"/>
          <w:lang w:val="fr-FR"/>
        </w:rPr>
      </w:pPr>
      <w:r w:rsidRPr="00F331F8">
        <w:rPr>
          <w:rFonts w:ascii="Arial" w:hAnsi="Arial" w:cs="Arial"/>
          <w:lang w:val="fr-FR"/>
        </w:rPr>
        <w:lastRenderedPageBreak/>
        <w:t>3</w:t>
      </w:r>
      <w:r w:rsidR="00F240BE">
        <w:rPr>
          <w:rFonts w:ascii="Arial" w:hAnsi="Arial" w:cs="Arial"/>
          <w:lang w:val="fr-FR"/>
        </w:rPr>
        <w:t>7</w:t>
      </w:r>
      <w:r w:rsidRPr="00F331F8">
        <w:rPr>
          <w:rFonts w:ascii="Arial" w:hAnsi="Arial" w:cs="Arial"/>
          <w:lang w:val="fr-FR"/>
        </w:rPr>
        <w:t xml:space="preserve">. Dans le cadre de ses propositions pour un traitement plus efficace des affaires interétatiques, la Cour a observé qu'il convient de demander, dès le début de la procédure, que les traductions de tous les documents pertinents auxquels les parties se réfèrent dans leurs observations (en particulier l’article 46 (g) du règlement pour l’Etat requérant) </w:t>
      </w:r>
      <w:r w:rsidRPr="00F331F8">
        <w:rPr>
          <w:rFonts w:ascii="Arial" w:hAnsi="Arial" w:cs="Arial"/>
          <w:bCs/>
          <w:lang w:val="fr-FR"/>
        </w:rPr>
        <w:t>dans l'une des deux langues officielles de la Cour, permettrait de gagner du temps et d'économiser des ressources.</w:t>
      </w:r>
      <w:r w:rsidRPr="00F331F8">
        <w:rPr>
          <w:rStyle w:val="FootnoteReference"/>
          <w:rFonts w:ascii="Arial" w:hAnsi="Arial" w:cs="Arial"/>
          <w:lang w:val="fr-FR"/>
        </w:rPr>
        <w:t xml:space="preserve"> </w:t>
      </w:r>
      <w:r w:rsidRPr="00720D91">
        <w:rPr>
          <w:rStyle w:val="FootnoteReference"/>
          <w:rFonts w:ascii="Arial" w:hAnsi="Arial" w:cs="Arial"/>
        </w:rPr>
        <w:footnoteReference w:id="43"/>
      </w:r>
      <w:r w:rsidRPr="00F331F8">
        <w:rPr>
          <w:rFonts w:ascii="Arial" w:hAnsi="Arial" w:cs="Arial"/>
          <w:bCs/>
          <w:lang w:val="fr-FR"/>
        </w:rPr>
        <w:t xml:space="preserve"> Il est recommandé que l</w:t>
      </w:r>
      <w:r w:rsidRPr="00F331F8">
        <w:rPr>
          <w:rFonts w:ascii="Arial" w:hAnsi="Arial" w:cs="Arial"/>
          <w:lang w:val="fr-FR"/>
        </w:rPr>
        <w:t>'article 46 (g) du règlement pourrait donc être modifié en conséquence, en demandant à la Commission du règlement de formuler une proposition concrète qui permettrait de déterminer, notamment, quels documents devraient être traduits par les parties.</w:t>
      </w:r>
      <w:r w:rsidRPr="00720D91">
        <w:rPr>
          <w:rStyle w:val="FootnoteReference"/>
          <w:rFonts w:ascii="Arial" w:hAnsi="Arial" w:cs="Arial"/>
        </w:rPr>
        <w:footnoteReference w:id="44"/>
      </w:r>
      <w:r w:rsidRPr="00F331F8">
        <w:rPr>
          <w:rFonts w:ascii="Arial" w:hAnsi="Arial" w:cs="Arial"/>
          <w:lang w:val="fr-FR"/>
        </w:rPr>
        <w:t xml:space="preserve">  </w:t>
      </w:r>
    </w:p>
    <w:p w14:paraId="555384D8" w14:textId="232D7CC7" w:rsidR="00F331F8" w:rsidRPr="00F331F8" w:rsidRDefault="00F331F8" w:rsidP="00971933">
      <w:pPr>
        <w:autoSpaceDE w:val="0"/>
        <w:autoSpaceDN w:val="0"/>
        <w:adjustRightInd w:val="0"/>
        <w:spacing w:after="240" w:line="240" w:lineRule="auto"/>
        <w:ind w:firstLine="426"/>
        <w:jc w:val="both"/>
        <w:rPr>
          <w:rFonts w:ascii="Arial" w:hAnsi="Arial" w:cs="Arial"/>
          <w:lang w:val="fr-FR"/>
        </w:rPr>
      </w:pPr>
      <w:r w:rsidRPr="00F331F8">
        <w:rPr>
          <w:rFonts w:ascii="Arial" w:hAnsi="Arial" w:cs="Arial"/>
          <w:lang w:val="fr-FR"/>
        </w:rPr>
        <w:t>3</w:t>
      </w:r>
      <w:r w:rsidR="00F240BE">
        <w:rPr>
          <w:rFonts w:ascii="Arial" w:hAnsi="Arial" w:cs="Arial"/>
          <w:lang w:val="fr-FR"/>
        </w:rPr>
        <w:t>8</w:t>
      </w:r>
      <w:r w:rsidRPr="00F331F8">
        <w:rPr>
          <w:rFonts w:ascii="Arial" w:hAnsi="Arial" w:cs="Arial"/>
          <w:lang w:val="fr-FR"/>
        </w:rPr>
        <w:t>. Tout en notant que la Cour a commencé à mettre en œuvre une telle recommandation</w:t>
      </w:r>
      <w:r w:rsidRPr="00720D91">
        <w:rPr>
          <w:rStyle w:val="FootnoteReference"/>
          <w:rFonts w:ascii="Arial" w:hAnsi="Arial" w:cs="Arial"/>
        </w:rPr>
        <w:footnoteReference w:id="45"/>
      </w:r>
      <w:r w:rsidRPr="00F331F8">
        <w:rPr>
          <w:rFonts w:ascii="Arial" w:hAnsi="Arial" w:cs="Arial"/>
          <w:lang w:val="fr-FR"/>
        </w:rPr>
        <w:t xml:space="preserve">, la révision du Règlement de la Cour pourrait être encouragée en vue d'assurer la prévisibilité des documents mentionnés dans les observations des États parties qui doivent être fournis dans l'une des langues officielles de la Cour et de préciser à quelle phase de la procédure ces traductions doivent être soumises. En ce qui concerne les documents qui ne sont pas traduits intégralement les États parties peuvent fournir des résumés traduits des documents mentionnés dans leurs observations, à la demande de la Cour.  </w:t>
      </w:r>
    </w:p>
    <w:p w14:paraId="001C3CDF" w14:textId="02632FCF" w:rsidR="00F331F8" w:rsidRPr="00F331F8" w:rsidRDefault="00F331F8" w:rsidP="00971933">
      <w:pPr>
        <w:autoSpaceDE w:val="0"/>
        <w:autoSpaceDN w:val="0"/>
        <w:adjustRightInd w:val="0"/>
        <w:spacing w:after="240" w:line="240" w:lineRule="auto"/>
        <w:ind w:firstLine="426"/>
        <w:jc w:val="both"/>
        <w:rPr>
          <w:rFonts w:ascii="Arial" w:hAnsi="Arial" w:cs="Arial"/>
          <w:lang w:val="fr-FR"/>
        </w:rPr>
      </w:pPr>
      <w:r w:rsidRPr="00F331F8">
        <w:rPr>
          <w:rFonts w:ascii="Arial" w:hAnsi="Arial" w:cs="Arial"/>
          <w:lang w:val="fr-FR"/>
        </w:rPr>
        <w:t>3</w:t>
      </w:r>
      <w:r w:rsidR="00F240BE">
        <w:rPr>
          <w:rFonts w:ascii="Arial" w:hAnsi="Arial" w:cs="Arial"/>
          <w:lang w:val="fr-FR"/>
        </w:rPr>
        <w:t>9</w:t>
      </w:r>
      <w:r w:rsidRPr="00F331F8">
        <w:rPr>
          <w:rFonts w:ascii="Arial" w:hAnsi="Arial" w:cs="Arial"/>
          <w:lang w:val="fr-FR"/>
        </w:rPr>
        <w:t>. Enfin, lorsque nous considérons en parallèle les requetés interétatiques et les requêtes individuelles, nous pouvons mentionner le fait que la grande majorité des requêtes présentées en vertu de l’article 39 du Règlement de la Cour sont généralement soumises dans le cadre d’une requête individuelle. Néanmoins, la Cour a développé une pratique qui consiste à indiquer des mesures provisoires dans les affaires interétatiques également. Depuis l’adoption du Règlement de la Cour en 1959, la Cour a examiné et tranché des requêtes en vertu de l’article 39 dans le cadre de huit requêtes interétatiques concernant principalement des situations liées à des conflits armés.</w:t>
      </w:r>
      <w:r w:rsidRPr="00720D91">
        <w:rPr>
          <w:rStyle w:val="FootnoteReference"/>
          <w:rFonts w:ascii="Arial" w:hAnsi="Arial" w:cs="Arial"/>
        </w:rPr>
        <w:footnoteReference w:id="46"/>
      </w:r>
      <w:r w:rsidRPr="00F331F8">
        <w:rPr>
          <w:rFonts w:ascii="Arial" w:hAnsi="Arial" w:cs="Arial"/>
          <w:lang w:val="fr-FR"/>
        </w:rPr>
        <w:t xml:space="preserve"> </w:t>
      </w:r>
    </w:p>
    <w:p w14:paraId="5657E7CA" w14:textId="77777777" w:rsidR="00F331F8" w:rsidRPr="003E5184" w:rsidRDefault="00F331F8" w:rsidP="00971933">
      <w:pPr>
        <w:pStyle w:val="Heading2"/>
        <w:spacing w:line="240" w:lineRule="auto"/>
        <w:ind w:left="720"/>
        <w:jc w:val="both"/>
        <w:rPr>
          <w:rFonts w:cs="Arial"/>
          <w:sz w:val="24"/>
          <w:szCs w:val="22"/>
          <w:lang w:val="fr-FR"/>
        </w:rPr>
      </w:pPr>
      <w:bookmarkStart w:id="20" w:name="_Toc86329779"/>
      <w:r w:rsidRPr="003E5184">
        <w:rPr>
          <w:rFonts w:cs="Arial"/>
          <w:sz w:val="24"/>
          <w:szCs w:val="22"/>
          <w:lang w:val="fr-FR"/>
        </w:rPr>
        <w:t>2. La pratique de la Cour en matière de recevabilité des requêtes interétatiques et des requêtes individuelles</w:t>
      </w:r>
      <w:bookmarkEnd w:id="20"/>
      <w:r w:rsidRPr="003E5184">
        <w:rPr>
          <w:rFonts w:cs="Arial"/>
          <w:sz w:val="24"/>
          <w:szCs w:val="22"/>
          <w:lang w:val="fr-FR"/>
        </w:rPr>
        <w:t xml:space="preserve"> </w:t>
      </w:r>
    </w:p>
    <w:p w14:paraId="056413BE" w14:textId="77777777" w:rsidR="00F331F8" w:rsidRPr="00720D91" w:rsidRDefault="00F331F8" w:rsidP="00971933">
      <w:pPr>
        <w:pStyle w:val="NoSpacing"/>
        <w:rPr>
          <w:sz w:val="22"/>
          <w:szCs w:val="22"/>
        </w:rPr>
      </w:pPr>
    </w:p>
    <w:p w14:paraId="6B561C57" w14:textId="319D57E6" w:rsidR="00F331F8" w:rsidRPr="00F331F8" w:rsidRDefault="00F240BE" w:rsidP="00971933">
      <w:pPr>
        <w:autoSpaceDE w:val="0"/>
        <w:autoSpaceDN w:val="0"/>
        <w:adjustRightInd w:val="0"/>
        <w:spacing w:after="240" w:line="240" w:lineRule="auto"/>
        <w:ind w:firstLine="426"/>
        <w:jc w:val="both"/>
        <w:rPr>
          <w:rFonts w:ascii="Arial" w:hAnsi="Arial" w:cs="Arial"/>
          <w:lang w:val="fr-FR"/>
        </w:rPr>
      </w:pPr>
      <w:r>
        <w:rPr>
          <w:rFonts w:ascii="Arial" w:hAnsi="Arial" w:cs="Arial"/>
          <w:lang w:val="fr-FR"/>
        </w:rPr>
        <w:t>40</w:t>
      </w:r>
      <w:r w:rsidR="00F331F8" w:rsidRPr="00F331F8">
        <w:rPr>
          <w:rFonts w:ascii="Arial" w:hAnsi="Arial" w:cs="Arial"/>
          <w:lang w:val="fr-FR"/>
        </w:rPr>
        <w:t xml:space="preserve">. Les critères de recevabilité sont moins stricts pour les requêtes interétatiques que pour les requêtes individuelles. Si les critères établis à l'article 35 § 1 de la Convention s'appliquent tant aux requêtes individuelles qu'aux requêtes interétatiques, ceux énoncés aux paragraphes 2 et 3 de la même disposition ne s'appliquent qu'aux requêtes individuelles. </w:t>
      </w:r>
    </w:p>
    <w:p w14:paraId="618A17E9" w14:textId="07A0D5AB" w:rsidR="00F331F8" w:rsidRPr="00F331F8" w:rsidRDefault="00F331F8" w:rsidP="00971933">
      <w:pPr>
        <w:autoSpaceDE w:val="0"/>
        <w:autoSpaceDN w:val="0"/>
        <w:adjustRightInd w:val="0"/>
        <w:spacing w:after="240" w:line="240" w:lineRule="auto"/>
        <w:ind w:firstLine="426"/>
        <w:jc w:val="both"/>
        <w:rPr>
          <w:rFonts w:ascii="Arial" w:hAnsi="Arial" w:cs="Arial"/>
          <w:lang w:val="fr-FR"/>
        </w:rPr>
      </w:pPr>
      <w:r w:rsidRPr="00F331F8">
        <w:rPr>
          <w:rFonts w:ascii="Arial" w:hAnsi="Arial" w:cs="Arial"/>
          <w:lang w:val="fr-FR"/>
        </w:rPr>
        <w:t>4</w:t>
      </w:r>
      <w:r w:rsidR="00F240BE">
        <w:rPr>
          <w:rFonts w:ascii="Arial" w:hAnsi="Arial" w:cs="Arial"/>
          <w:lang w:val="fr-FR"/>
        </w:rPr>
        <w:t>1</w:t>
      </w:r>
      <w:r w:rsidRPr="00F331F8">
        <w:rPr>
          <w:rFonts w:ascii="Arial" w:hAnsi="Arial" w:cs="Arial"/>
          <w:lang w:val="fr-FR"/>
        </w:rPr>
        <w:t xml:space="preserve">. Le </w:t>
      </w:r>
      <w:r w:rsidRPr="00F331F8">
        <w:rPr>
          <w:rFonts w:ascii="Arial" w:hAnsi="Arial" w:cs="Arial"/>
          <w:b/>
          <w:bCs/>
          <w:i/>
          <w:iCs/>
          <w:lang w:val="fr-FR"/>
        </w:rPr>
        <w:t>délai</w:t>
      </w:r>
      <w:r w:rsidRPr="00F331F8">
        <w:rPr>
          <w:rFonts w:ascii="Arial" w:hAnsi="Arial" w:cs="Arial"/>
          <w:lang w:val="fr-FR"/>
        </w:rPr>
        <w:t xml:space="preserve"> </w:t>
      </w:r>
      <w:r w:rsidR="003E5184">
        <w:rPr>
          <w:rFonts w:ascii="Arial" w:hAnsi="Arial" w:cs="Arial"/>
          <w:b/>
          <w:i/>
          <w:lang w:val="fr-FR"/>
        </w:rPr>
        <w:t>de quatre mois</w:t>
      </w:r>
      <w:r w:rsidRPr="00F331F8">
        <w:rPr>
          <w:rFonts w:ascii="Arial" w:hAnsi="Arial" w:cs="Arial"/>
          <w:b/>
          <w:i/>
          <w:lang w:val="fr-FR"/>
        </w:rPr>
        <w:t xml:space="preserve"> </w:t>
      </w:r>
      <w:r w:rsidRPr="00F331F8">
        <w:rPr>
          <w:rFonts w:ascii="Arial" w:hAnsi="Arial" w:cs="Arial"/>
          <w:lang w:val="fr-FR"/>
        </w:rPr>
        <w:t>prévu à l'article 35 § 1 de la Convention</w:t>
      </w:r>
      <w:r w:rsidRPr="00720D91">
        <w:rPr>
          <w:rStyle w:val="FootnoteReference"/>
          <w:rFonts w:ascii="Arial" w:hAnsi="Arial" w:cs="Arial"/>
        </w:rPr>
        <w:footnoteReference w:id="47"/>
      </w:r>
      <w:r w:rsidRPr="00F331F8">
        <w:rPr>
          <w:rFonts w:ascii="Arial" w:hAnsi="Arial" w:cs="Arial"/>
          <w:lang w:val="fr-FR"/>
        </w:rPr>
        <w:t xml:space="preserve"> s'applique de la même manière aux deux types de requêtes. </w:t>
      </w:r>
    </w:p>
    <w:p w14:paraId="09C42B7A" w14:textId="502EC921" w:rsidR="00F331F8" w:rsidRPr="00F331F8" w:rsidRDefault="00F331F8" w:rsidP="00971933">
      <w:pPr>
        <w:autoSpaceDE w:val="0"/>
        <w:autoSpaceDN w:val="0"/>
        <w:adjustRightInd w:val="0"/>
        <w:spacing w:after="240" w:line="240" w:lineRule="auto"/>
        <w:ind w:firstLine="426"/>
        <w:jc w:val="both"/>
        <w:rPr>
          <w:rFonts w:ascii="Arial" w:hAnsi="Arial" w:cs="Arial"/>
          <w:lang w:val="fr-FR"/>
        </w:rPr>
      </w:pPr>
      <w:r w:rsidRPr="00F331F8">
        <w:rPr>
          <w:rFonts w:ascii="Arial" w:hAnsi="Arial" w:cs="Arial"/>
          <w:lang w:val="fr-FR"/>
        </w:rPr>
        <w:lastRenderedPageBreak/>
        <w:t>4</w:t>
      </w:r>
      <w:r w:rsidR="00F240BE">
        <w:rPr>
          <w:rFonts w:ascii="Arial" w:hAnsi="Arial" w:cs="Arial"/>
          <w:lang w:val="fr-FR"/>
        </w:rPr>
        <w:t>2</w:t>
      </w:r>
      <w:r w:rsidRPr="00F331F8">
        <w:rPr>
          <w:rFonts w:ascii="Arial" w:hAnsi="Arial" w:cs="Arial"/>
          <w:lang w:val="fr-FR"/>
        </w:rPr>
        <w:t xml:space="preserve">. L'exigence de </w:t>
      </w:r>
      <w:r w:rsidRPr="00F331F8">
        <w:rPr>
          <w:rFonts w:ascii="Arial" w:hAnsi="Arial" w:cs="Arial"/>
          <w:b/>
          <w:bCs/>
          <w:i/>
          <w:iCs/>
          <w:lang w:val="fr-FR"/>
        </w:rPr>
        <w:t>l'épuisement des voies de recours internes</w:t>
      </w:r>
      <w:r w:rsidRPr="00F331F8">
        <w:rPr>
          <w:rFonts w:ascii="Arial" w:hAnsi="Arial" w:cs="Arial"/>
          <w:lang w:val="fr-FR"/>
        </w:rPr>
        <w:t>, également établie à l'article 35 § 1 de la Convention, s'applique tant aux requêtes individuelles qu'aux requêtes interétatiques de la même manière qu'aux requêtes individuelles, lorsque l'État requérant ne fait que dénoncer une ou des violations prétendument subies par des individus dont l'État  se substitue en quelque sorte à eux</w:t>
      </w:r>
      <w:r w:rsidRPr="00F331F8">
        <w:rPr>
          <w:rFonts w:ascii="Arial" w:hAnsi="Arial" w:cs="Arial"/>
          <w:b/>
          <w:bCs/>
          <w:lang w:val="fr-FR"/>
        </w:rPr>
        <w:t>.</w:t>
      </w:r>
      <w:r w:rsidRPr="00720D91">
        <w:rPr>
          <w:rStyle w:val="FootnoteReference"/>
          <w:rFonts w:ascii="Arial" w:hAnsi="Arial" w:cs="Arial"/>
        </w:rPr>
        <w:footnoteReference w:id="48"/>
      </w:r>
      <w:r w:rsidRPr="00F331F8">
        <w:rPr>
          <w:rFonts w:ascii="Arial" w:hAnsi="Arial" w:cs="Arial"/>
          <w:lang w:val="fr-FR"/>
        </w:rPr>
        <w:t xml:space="preserve"> S'agissant</w:t>
      </w:r>
      <w:r w:rsidRPr="00F331F8">
        <w:rPr>
          <w:rFonts w:ascii="Arial" w:hAnsi="Arial" w:cs="Arial"/>
          <w:shd w:val="clear" w:color="auto" w:fill="FFFFFF"/>
          <w:lang w:val="fr-FR"/>
        </w:rPr>
        <w:t xml:space="preserve"> </w:t>
      </w:r>
      <w:r w:rsidRPr="00F331F8">
        <w:rPr>
          <w:rFonts w:ascii="Arial" w:hAnsi="Arial" w:cs="Arial"/>
          <w:color w:val="000000"/>
          <w:shd w:val="clear" w:color="auto" w:fill="FFFFFF"/>
          <w:lang w:val="fr-FR"/>
        </w:rPr>
        <w:t xml:space="preserve">de </w:t>
      </w:r>
      <w:r w:rsidRPr="00F331F8">
        <w:rPr>
          <w:rFonts w:ascii="Arial" w:hAnsi="Arial" w:cs="Arial"/>
          <w:lang w:val="fr-FR"/>
        </w:rPr>
        <w:t>la requête interétatique, la Cour vérifie si les intéressés auraient pu disposer de voies de recours effectives pour obtenir réparation, en se demandant notamment si l</w:t>
      </w:r>
      <w:r w:rsidRPr="00F331F8">
        <w:rPr>
          <w:rFonts w:ascii="Arial" w:hAnsi="Arial" w:cs="Arial"/>
          <w:color w:val="000000"/>
          <w:shd w:val="clear" w:color="auto" w:fill="FFFFFF"/>
          <w:lang w:val="fr-FR"/>
        </w:rPr>
        <w:t xml:space="preserve">'existence d'un recours est suffisamment certaine non seulement en théorie mais aussi en pratique et s'il existe des circonstances particulières qui dispensent les personnes concernées par la présente requête de l'obligation d'épuiser les voies de recours. </w:t>
      </w:r>
      <w:r w:rsidRPr="00720D91">
        <w:rPr>
          <w:rStyle w:val="FootnoteReference"/>
          <w:rFonts w:ascii="Arial" w:hAnsi="Arial" w:cs="Arial"/>
          <w:color w:val="000000"/>
          <w:shd w:val="clear" w:color="auto" w:fill="FFFFFF"/>
        </w:rPr>
        <w:footnoteReference w:id="49"/>
      </w:r>
      <w:r w:rsidRPr="00F331F8">
        <w:rPr>
          <w:rFonts w:ascii="Arial" w:hAnsi="Arial" w:cs="Arial"/>
          <w:color w:val="000000"/>
          <w:shd w:val="clear" w:color="auto" w:fill="FFFFFF"/>
          <w:lang w:val="fr-FR"/>
        </w:rPr>
        <w:t xml:space="preserve"> Il convient de noter que la Cour applique l'exigence de l'épuisement des voies de recours internes dans chaque affaire en tenant compte de ses circonstances particulières. </w:t>
      </w:r>
    </w:p>
    <w:p w14:paraId="45C49507" w14:textId="0C8F938D" w:rsidR="00F331F8" w:rsidRPr="00F331F8" w:rsidRDefault="00F331F8" w:rsidP="00971933">
      <w:pPr>
        <w:autoSpaceDE w:val="0"/>
        <w:autoSpaceDN w:val="0"/>
        <w:adjustRightInd w:val="0"/>
        <w:spacing w:after="240" w:line="240" w:lineRule="auto"/>
        <w:ind w:firstLine="426"/>
        <w:jc w:val="both"/>
        <w:rPr>
          <w:rFonts w:ascii="Arial" w:hAnsi="Arial" w:cs="Arial"/>
          <w:strike/>
          <w:lang w:val="fr-FR"/>
        </w:rPr>
      </w:pPr>
      <w:r w:rsidRPr="00F331F8">
        <w:rPr>
          <w:rFonts w:ascii="Arial" w:hAnsi="Arial" w:cs="Arial"/>
          <w:lang w:val="fr-FR"/>
        </w:rPr>
        <w:t>4</w:t>
      </w:r>
      <w:r w:rsidR="00F240BE">
        <w:rPr>
          <w:rFonts w:ascii="Arial" w:hAnsi="Arial" w:cs="Arial"/>
          <w:lang w:val="fr-FR"/>
        </w:rPr>
        <w:t>3</w:t>
      </w:r>
      <w:r w:rsidRPr="00F331F8">
        <w:rPr>
          <w:rFonts w:ascii="Arial" w:hAnsi="Arial" w:cs="Arial"/>
          <w:lang w:val="fr-FR"/>
        </w:rPr>
        <w:t>. En principe, la règle de l'épuisement des voies de recours internes ne s'applique pas lorsque l'État requérant se plaint de l'existence d'une pratique administrative, à savoir la répétition d'actes incompatibles avec la Convention, et d'une tolérance officielle de l'État  (voir paragraphe 28 ci-dessus), dans le but d'en empêcher la continuation ou la répétition, mais ne demande pas à la Cour de se prononcer sur chacun des cas avancés comme preuve ou illustration de cette pratique.</w:t>
      </w:r>
      <w:r w:rsidRPr="00720D91">
        <w:rPr>
          <w:rStyle w:val="FootnoteReference"/>
          <w:rFonts w:ascii="Arial" w:hAnsi="Arial" w:cs="Arial"/>
        </w:rPr>
        <w:footnoteReference w:id="50"/>
      </w:r>
      <w:r w:rsidRPr="00F331F8">
        <w:rPr>
          <w:rFonts w:ascii="Arial" w:hAnsi="Arial" w:cs="Arial"/>
          <w:lang w:val="fr-FR"/>
        </w:rPr>
        <w:t xml:space="preserve"> En tout état de cause, la règle de l'épuisement des voies de recours internes ne s'applique pas lorsque l'existence d'une pratique administrative a été démontrée et qu'elle est de nature à rendre le recours futile ou inefficace. </w:t>
      </w:r>
      <w:r w:rsidRPr="00720D91">
        <w:rPr>
          <w:rStyle w:val="FootnoteReference"/>
          <w:rFonts w:ascii="Arial" w:hAnsi="Arial" w:cs="Arial"/>
        </w:rPr>
        <w:footnoteReference w:id="51"/>
      </w:r>
      <w:r w:rsidRPr="00F331F8">
        <w:rPr>
          <w:rFonts w:ascii="Arial" w:hAnsi="Arial" w:cs="Arial"/>
          <w:strike/>
          <w:lang w:val="fr-FR"/>
        </w:rPr>
        <w:t xml:space="preserve"> </w:t>
      </w:r>
    </w:p>
    <w:p w14:paraId="2195FFBE" w14:textId="05AF4DC1" w:rsidR="00F331F8" w:rsidRPr="00F331F8" w:rsidRDefault="00F331F8" w:rsidP="00971933">
      <w:pPr>
        <w:autoSpaceDE w:val="0"/>
        <w:autoSpaceDN w:val="0"/>
        <w:adjustRightInd w:val="0"/>
        <w:spacing w:after="240" w:line="240" w:lineRule="auto"/>
        <w:ind w:firstLine="426"/>
        <w:jc w:val="both"/>
        <w:rPr>
          <w:rFonts w:ascii="Arial" w:hAnsi="Arial" w:cs="Arial"/>
          <w:lang w:val="fr-FR"/>
        </w:rPr>
      </w:pPr>
      <w:r w:rsidRPr="00F331F8">
        <w:rPr>
          <w:rFonts w:ascii="Arial" w:hAnsi="Arial" w:cs="Arial"/>
          <w:lang w:val="fr-FR"/>
        </w:rPr>
        <w:t>4</w:t>
      </w:r>
      <w:r w:rsidR="00F240BE">
        <w:rPr>
          <w:rFonts w:ascii="Arial" w:hAnsi="Arial" w:cs="Arial"/>
          <w:lang w:val="fr-FR"/>
        </w:rPr>
        <w:t>4</w:t>
      </w:r>
      <w:r w:rsidRPr="00F331F8">
        <w:rPr>
          <w:rFonts w:ascii="Arial" w:hAnsi="Arial" w:cs="Arial"/>
          <w:lang w:val="fr-FR"/>
        </w:rPr>
        <w:t>. La règle de l'épuisement des voies de recours internes peut également être jugée inapplicable en ce qui concerne les requêtes individuelles lorsqu'il peut être établi qu'une pratique administrative existait.</w:t>
      </w:r>
      <w:r w:rsidRPr="00720D91">
        <w:rPr>
          <w:rStyle w:val="FootnoteReference"/>
          <w:rFonts w:ascii="Arial" w:hAnsi="Arial" w:cs="Arial"/>
        </w:rPr>
        <w:footnoteReference w:id="52"/>
      </w:r>
      <w:r w:rsidRPr="00F331F8">
        <w:rPr>
          <w:rFonts w:ascii="Arial" w:hAnsi="Arial" w:cs="Arial"/>
          <w:lang w:val="fr-FR"/>
        </w:rPr>
        <w:t xml:space="preserve"> En ce qui concerne les requêtes individuelles, la Cour a pris en compte les nouvelles voies de recours introduites après la date d'introduction de la requête, à condition que les individus disposent d'un délai raisonnable pour prendre connaissance de la décision judiciaire. </w:t>
      </w:r>
      <w:r w:rsidRPr="00720D91">
        <w:rPr>
          <w:rStyle w:val="FootnoteReference"/>
          <w:rFonts w:ascii="Arial" w:hAnsi="Arial" w:cs="Arial"/>
        </w:rPr>
        <w:footnoteReference w:id="53"/>
      </w:r>
    </w:p>
    <w:p w14:paraId="1280D978" w14:textId="7C9DA76C" w:rsidR="00F331F8" w:rsidRPr="00F331F8" w:rsidRDefault="00F331F8" w:rsidP="00971933">
      <w:pPr>
        <w:autoSpaceDE w:val="0"/>
        <w:autoSpaceDN w:val="0"/>
        <w:adjustRightInd w:val="0"/>
        <w:spacing w:after="240" w:line="240" w:lineRule="auto"/>
        <w:ind w:firstLine="426"/>
        <w:jc w:val="both"/>
        <w:rPr>
          <w:rStyle w:val="sb8d990e2"/>
          <w:rFonts w:ascii="Arial" w:eastAsiaTheme="majorEastAsia" w:hAnsi="Arial" w:cs="Arial"/>
          <w:lang w:val="fr-FR"/>
        </w:rPr>
      </w:pPr>
      <w:r w:rsidRPr="00F331F8">
        <w:rPr>
          <w:rFonts w:ascii="Arial" w:hAnsi="Arial" w:cs="Arial"/>
          <w:lang w:val="fr-FR"/>
        </w:rPr>
        <w:t>4</w:t>
      </w:r>
      <w:r w:rsidR="00F240BE">
        <w:rPr>
          <w:rFonts w:ascii="Arial" w:hAnsi="Arial" w:cs="Arial"/>
          <w:lang w:val="fr-FR"/>
        </w:rPr>
        <w:t>5</w:t>
      </w:r>
      <w:r w:rsidRPr="00F331F8">
        <w:rPr>
          <w:rFonts w:ascii="Arial" w:hAnsi="Arial" w:cs="Arial"/>
          <w:lang w:val="fr-FR"/>
        </w:rPr>
        <w:t xml:space="preserve">. Les critères de recevabilité énoncés à l'article 35 § 3 a) et b) de la Convention ne s'appliquent pas aux requêtes interétatiques, qui ne peuvent donc être déclarées irrecevables car </w:t>
      </w:r>
      <w:r w:rsidRPr="00F331F8">
        <w:rPr>
          <w:rFonts w:ascii="Arial" w:hAnsi="Arial" w:cs="Arial"/>
          <w:b/>
          <w:i/>
          <w:lang w:val="fr-FR"/>
        </w:rPr>
        <w:t xml:space="preserve">manifestement mal fondées </w:t>
      </w:r>
      <w:r w:rsidRPr="00F331F8">
        <w:rPr>
          <w:rFonts w:ascii="Arial" w:hAnsi="Arial" w:cs="Arial"/>
          <w:lang w:val="fr-FR"/>
        </w:rPr>
        <w:t xml:space="preserve">ou comme constituant un </w:t>
      </w:r>
      <w:r w:rsidRPr="00F331F8">
        <w:rPr>
          <w:rFonts w:ascii="Arial" w:hAnsi="Arial" w:cs="Arial"/>
          <w:i/>
          <w:iCs/>
          <w:lang w:val="fr-FR"/>
        </w:rPr>
        <w:t>abus du droit de recours</w:t>
      </w:r>
      <w:r w:rsidRPr="00F331F8">
        <w:rPr>
          <w:rFonts w:ascii="Arial" w:hAnsi="Arial" w:cs="Arial"/>
          <w:lang w:val="fr-FR"/>
        </w:rPr>
        <w:t xml:space="preserve">. Toutefois, cela n'empêche pas la Cour d'examiner, au stade de la recevabilité, la recevabilité au fond de la </w:t>
      </w:r>
      <w:r w:rsidRPr="00F331F8">
        <w:rPr>
          <w:rFonts w:ascii="Arial" w:hAnsi="Arial" w:cs="Arial"/>
          <w:lang w:val="fr-FR"/>
        </w:rPr>
        <w:lastRenderedPageBreak/>
        <w:t>violation alléguée des dispositions de la Convention au titre de l'article 33.</w:t>
      </w:r>
      <w:r w:rsidRPr="00720D91">
        <w:rPr>
          <w:rStyle w:val="FootnoteReference"/>
          <w:rFonts w:ascii="Arial" w:hAnsi="Arial" w:cs="Arial"/>
        </w:rPr>
        <w:footnoteReference w:id="54"/>
      </w:r>
      <w:r w:rsidRPr="00F331F8">
        <w:rPr>
          <w:rStyle w:val="sb8d990e2"/>
          <w:rFonts w:ascii="Arial" w:eastAsiaTheme="majorEastAsia" w:hAnsi="Arial" w:cs="Arial"/>
          <w:b/>
          <w:bCs/>
          <w:color w:val="FF0000"/>
          <w:lang w:val="fr-FR"/>
        </w:rPr>
        <w:t xml:space="preserve"> </w:t>
      </w:r>
      <w:r w:rsidRPr="00F331F8">
        <w:rPr>
          <w:rFonts w:ascii="Arial" w:hAnsi="Arial" w:cs="Arial"/>
          <w:lang w:val="fr-FR"/>
        </w:rPr>
        <w:t>La Cour peut établir, au stade de la recevabilité, si elle est compétente pour connaître de l'affaire dont elle est saisie, en vertu des principes généraux régissant l'exercice de la compétence des tribunaux internationaux.</w:t>
      </w:r>
      <w:r w:rsidRPr="00720D91">
        <w:rPr>
          <w:rStyle w:val="FootnoteReference"/>
          <w:rFonts w:ascii="Arial" w:hAnsi="Arial" w:cs="Arial"/>
        </w:rPr>
        <w:footnoteReference w:id="55"/>
      </w:r>
      <w:r w:rsidRPr="00F331F8">
        <w:rPr>
          <w:rStyle w:val="sb8d990e2"/>
          <w:rFonts w:ascii="Arial" w:eastAsiaTheme="majorEastAsia" w:hAnsi="Arial" w:cs="Arial"/>
          <w:b/>
          <w:bCs/>
          <w:color w:val="FF0000"/>
          <w:lang w:val="fr-FR"/>
        </w:rPr>
        <w:t xml:space="preserve"> </w:t>
      </w:r>
      <w:r w:rsidRPr="00F331F8">
        <w:rPr>
          <w:rFonts w:ascii="Arial" w:hAnsi="Arial" w:cs="Arial"/>
          <w:lang w:val="fr-FR"/>
        </w:rPr>
        <w:t>La Cour, dans certaines affaires spécifiques, a jugé qu’elle n'interprète pas les dispositions procédurales de la Convention dans un sens qui exclut toute possibilité de procéder à une évaluation préliminaire du contenu de l'affaire en dehors du cadre de l'article 35 §1.</w:t>
      </w:r>
      <w:r w:rsidRPr="00720D91">
        <w:rPr>
          <w:rStyle w:val="FootnoteReference"/>
          <w:rFonts w:ascii="Arial" w:hAnsi="Arial" w:cs="Arial"/>
        </w:rPr>
        <w:footnoteReference w:id="56"/>
      </w:r>
      <w:r w:rsidRPr="00F331F8">
        <w:rPr>
          <w:rStyle w:val="sb8d990e2"/>
          <w:rFonts w:ascii="Arial" w:eastAsiaTheme="majorEastAsia" w:hAnsi="Arial" w:cs="Arial"/>
          <w:lang w:val="fr-FR"/>
        </w:rPr>
        <w:t xml:space="preserve"> Si le libellé de l'article 35 §§ 2 et 3 fait référence à l'article 34, il n'exclut pas l'application d'une règle générale prévoyant la possibilité de déclarer une requête interétatique irrecevable, s'il est clair, dès le départ, qu'elle n'est pas du tout étayée ou qu'elle ne remplit pas les conditions d'une allégation authentique au sens de l'article 33 de la Convention.</w:t>
      </w:r>
      <w:r w:rsidRPr="00720D91">
        <w:rPr>
          <w:rStyle w:val="sb8d990e2"/>
          <w:rFonts w:eastAsiaTheme="majorEastAsia"/>
          <w:vertAlign w:val="superscript"/>
        </w:rPr>
        <w:footnoteReference w:id="57"/>
      </w:r>
      <w:r w:rsidRPr="00F331F8">
        <w:rPr>
          <w:rStyle w:val="sb8d990e2"/>
          <w:rFonts w:ascii="Arial" w:eastAsiaTheme="majorEastAsia" w:hAnsi="Arial" w:cs="Arial"/>
          <w:lang w:val="fr-FR"/>
        </w:rPr>
        <w:t xml:space="preserve"> Une telle approche est conforme au principe d'économie procédurale. </w:t>
      </w:r>
      <w:r w:rsidRPr="00720D91">
        <w:rPr>
          <w:rStyle w:val="sb8d990e2"/>
          <w:rFonts w:eastAsiaTheme="majorEastAsia"/>
          <w:vertAlign w:val="superscript"/>
        </w:rPr>
        <w:footnoteReference w:id="58"/>
      </w:r>
    </w:p>
    <w:p w14:paraId="742381F8" w14:textId="1B60B37E" w:rsidR="00F331F8" w:rsidRPr="00F331F8" w:rsidRDefault="00F331F8" w:rsidP="00971933">
      <w:pPr>
        <w:autoSpaceDE w:val="0"/>
        <w:autoSpaceDN w:val="0"/>
        <w:adjustRightInd w:val="0"/>
        <w:spacing w:after="240" w:line="240" w:lineRule="auto"/>
        <w:ind w:firstLine="426"/>
        <w:jc w:val="both"/>
        <w:rPr>
          <w:rStyle w:val="sb8d990e2"/>
          <w:rFonts w:ascii="Arial" w:eastAsiaTheme="majorEastAsia" w:hAnsi="Arial" w:cs="Arial"/>
          <w:lang w:val="fr-FR"/>
        </w:rPr>
      </w:pPr>
      <w:r w:rsidRPr="00F331F8">
        <w:rPr>
          <w:rStyle w:val="sb8d990e2"/>
          <w:rFonts w:ascii="Arial" w:eastAsiaTheme="majorEastAsia" w:hAnsi="Arial" w:cs="Arial"/>
          <w:lang w:val="fr-FR"/>
        </w:rPr>
        <w:t>4</w:t>
      </w:r>
      <w:r w:rsidR="00F240BE">
        <w:rPr>
          <w:rStyle w:val="sb8d990e2"/>
          <w:rFonts w:ascii="Arial" w:eastAsiaTheme="majorEastAsia" w:hAnsi="Arial" w:cs="Arial"/>
          <w:lang w:val="fr-FR"/>
        </w:rPr>
        <w:t>6</w:t>
      </w:r>
      <w:r w:rsidRPr="00F331F8">
        <w:rPr>
          <w:rStyle w:val="sb8d990e2"/>
          <w:rFonts w:ascii="Arial" w:eastAsiaTheme="majorEastAsia" w:hAnsi="Arial" w:cs="Arial"/>
          <w:shd w:val="clear" w:color="auto" w:fill="FFFFFF" w:themeFill="background1"/>
          <w:lang w:val="fr-FR"/>
        </w:rPr>
        <w:t>. Sur la</w:t>
      </w:r>
      <w:r w:rsidRPr="00F331F8">
        <w:rPr>
          <w:rFonts w:ascii="Arial" w:hAnsi="Arial" w:cs="Arial"/>
          <w:i/>
          <w:iCs/>
          <w:shd w:val="clear" w:color="auto" w:fill="FFFFFF" w:themeFill="background1"/>
          <w:lang w:val="fr-FR"/>
        </w:rPr>
        <w:t xml:space="preserve"> </w:t>
      </w:r>
      <w:r w:rsidRPr="00F331F8">
        <w:rPr>
          <w:rStyle w:val="sb8d990e2"/>
          <w:rFonts w:ascii="Arial" w:eastAsiaTheme="majorEastAsia" w:hAnsi="Arial" w:cs="Arial"/>
          <w:shd w:val="clear" w:color="auto" w:fill="FFFFFF" w:themeFill="background1"/>
          <w:lang w:val="fr-FR"/>
        </w:rPr>
        <w:t xml:space="preserve">base de ces principes, la Cour s'est déjà prononcée au stade de la recevabilité sur des questions de fond telles que celle de </w:t>
      </w:r>
      <w:r w:rsidRPr="00F331F8">
        <w:rPr>
          <w:rFonts w:ascii="Arial" w:hAnsi="Arial" w:cs="Arial"/>
          <w:shd w:val="clear" w:color="auto" w:fill="FFFFFF" w:themeFill="background1"/>
          <w:lang w:val="fr-FR"/>
        </w:rPr>
        <w:t xml:space="preserve">savoir si les faits dénoncés par le gouvernement requérant sont susceptibles de relever de la compétence de l’Etat défendeur même lorsqu'ils se produisent en dehors de son territoire national </w:t>
      </w:r>
      <w:r w:rsidRPr="00720D91">
        <w:rPr>
          <w:rStyle w:val="FootnoteReference"/>
          <w:rFonts w:ascii="Arial" w:hAnsi="Arial" w:cs="Arial"/>
          <w:shd w:val="clear" w:color="auto" w:fill="FFFFFF" w:themeFill="background1"/>
        </w:rPr>
        <w:footnoteReference w:id="59"/>
      </w:r>
      <w:r w:rsidRPr="00F331F8">
        <w:rPr>
          <w:rFonts w:ascii="Arial" w:hAnsi="Arial" w:cs="Arial"/>
          <w:shd w:val="clear" w:color="auto" w:fill="FFFFFF" w:themeFill="background1"/>
          <w:lang w:val="fr-FR"/>
        </w:rPr>
        <w:t xml:space="preserve"> ou si ces faits relèvent de la compétence de l’Etat défendeur.</w:t>
      </w:r>
      <w:r w:rsidRPr="00720D91">
        <w:rPr>
          <w:rStyle w:val="FootnoteReference"/>
          <w:rFonts w:ascii="Arial" w:hAnsi="Arial" w:cs="Arial"/>
          <w:shd w:val="clear" w:color="auto" w:fill="FFFFFF" w:themeFill="background1"/>
        </w:rPr>
        <w:footnoteReference w:id="60"/>
      </w:r>
      <w:r w:rsidRPr="00F331F8">
        <w:rPr>
          <w:rFonts w:ascii="Arial" w:hAnsi="Arial" w:cs="Arial"/>
          <w:shd w:val="clear" w:color="auto" w:fill="FFFFFF" w:themeFill="background1"/>
          <w:lang w:val="fr-FR"/>
        </w:rPr>
        <w:t xml:space="preserve"> La décision de la Cour sur ces questions préliminaires à ce stade de la procédure est sans préjudice des questions d'attribution et de responsabilité de l'État défendeur au regard de la Convention pour les actes dénoncés, qui doivent être examinées au stade du fond de la procédure. </w:t>
      </w:r>
      <w:r w:rsidRPr="00720D91">
        <w:rPr>
          <w:rStyle w:val="FootnoteReference"/>
          <w:rFonts w:ascii="Arial" w:hAnsi="Arial" w:cs="Arial"/>
          <w:shd w:val="clear" w:color="auto" w:fill="FFFFFF" w:themeFill="background1"/>
        </w:rPr>
        <w:footnoteReference w:id="61"/>
      </w:r>
    </w:p>
    <w:p w14:paraId="113DFBD6" w14:textId="1944CC72" w:rsidR="00F331F8" w:rsidRPr="00F331F8" w:rsidRDefault="00F331F8" w:rsidP="00971933">
      <w:pPr>
        <w:shd w:val="clear" w:color="auto" w:fill="FFFFFF" w:themeFill="background1"/>
        <w:autoSpaceDE w:val="0"/>
        <w:autoSpaceDN w:val="0"/>
        <w:adjustRightInd w:val="0"/>
        <w:spacing w:after="240" w:line="240" w:lineRule="auto"/>
        <w:ind w:firstLine="426"/>
        <w:jc w:val="both"/>
        <w:rPr>
          <w:rStyle w:val="sb8d990e2"/>
          <w:rFonts w:ascii="Arial" w:eastAsiaTheme="majorEastAsia" w:hAnsi="Arial" w:cs="Arial"/>
          <w:shd w:val="clear" w:color="auto" w:fill="D9D9D9" w:themeFill="background1" w:themeFillShade="D9"/>
          <w:lang w:val="fr-FR"/>
        </w:rPr>
      </w:pPr>
      <w:r w:rsidRPr="00F331F8">
        <w:rPr>
          <w:rFonts w:ascii="Arial" w:hAnsi="Arial" w:cs="Arial"/>
          <w:shd w:val="clear" w:color="auto" w:fill="FFFFFF" w:themeFill="background1"/>
          <w:lang w:val="fr-FR"/>
        </w:rPr>
        <w:t>4</w:t>
      </w:r>
      <w:r w:rsidR="00F240BE">
        <w:rPr>
          <w:rFonts w:ascii="Arial" w:hAnsi="Arial" w:cs="Arial"/>
          <w:shd w:val="clear" w:color="auto" w:fill="FFFFFF" w:themeFill="background1"/>
          <w:lang w:val="fr-FR"/>
        </w:rPr>
        <w:t>7</w:t>
      </w:r>
      <w:r w:rsidRPr="00F331F8">
        <w:rPr>
          <w:rFonts w:ascii="Arial" w:hAnsi="Arial" w:cs="Arial"/>
          <w:shd w:val="clear" w:color="auto" w:fill="FFFFFF" w:themeFill="background1"/>
          <w:lang w:val="fr-FR"/>
        </w:rPr>
        <w:t>. Parmi les autres exemples dans lesquels les institutions de la Convention ont procédé à un examen préliminaire du fond au stade de la recevabilité, on peut citer l'existence d'un commencement de</w:t>
      </w:r>
      <w:r w:rsidRPr="00F331F8">
        <w:rPr>
          <w:rFonts w:ascii="Arial" w:hAnsi="Arial" w:cs="Arial"/>
          <w:i/>
          <w:iCs/>
          <w:shd w:val="clear" w:color="auto" w:fill="FFFFFF" w:themeFill="background1"/>
          <w:lang w:val="fr-FR"/>
        </w:rPr>
        <w:t xml:space="preserve"> </w:t>
      </w:r>
      <w:r w:rsidRPr="00F331F8">
        <w:rPr>
          <w:rFonts w:ascii="Arial" w:hAnsi="Arial" w:cs="Arial"/>
          <w:shd w:val="clear" w:color="auto" w:fill="FFFFFF" w:themeFill="background1"/>
          <w:lang w:val="fr-FR"/>
        </w:rPr>
        <w:t xml:space="preserve">preuve d'une violation de la Convention à la lumière des preuves apportées par les Parties. </w:t>
      </w:r>
      <w:r w:rsidRPr="00720D91">
        <w:rPr>
          <w:rStyle w:val="FootnoteReference"/>
          <w:rFonts w:ascii="Arial" w:hAnsi="Arial" w:cs="Arial"/>
          <w:shd w:val="clear" w:color="auto" w:fill="FFFFFF" w:themeFill="background1"/>
        </w:rPr>
        <w:footnoteReference w:id="62"/>
      </w:r>
      <w:r w:rsidRPr="00F331F8">
        <w:rPr>
          <w:rFonts w:ascii="Arial" w:hAnsi="Arial" w:cs="Arial"/>
          <w:shd w:val="clear" w:color="auto" w:fill="FFFFFF" w:themeFill="background1"/>
          <w:lang w:val="fr-FR"/>
        </w:rPr>
        <w:t xml:space="preserve"> Plus récemment, la Cour s'est prononcée au stade de la recevabilité sur l'existence d'un commencement de</w:t>
      </w:r>
      <w:r w:rsidRPr="00F331F8">
        <w:rPr>
          <w:rFonts w:ascii="Arial" w:hAnsi="Arial" w:cs="Arial"/>
          <w:i/>
          <w:iCs/>
          <w:shd w:val="clear" w:color="auto" w:fill="FFFFFF" w:themeFill="background1"/>
          <w:lang w:val="fr-FR"/>
        </w:rPr>
        <w:t xml:space="preserve"> </w:t>
      </w:r>
      <w:r w:rsidRPr="00F331F8">
        <w:rPr>
          <w:rFonts w:ascii="Arial" w:hAnsi="Arial" w:cs="Arial"/>
          <w:shd w:val="clear" w:color="auto" w:fill="FFFFFF" w:themeFill="background1"/>
          <w:lang w:val="fr-FR"/>
        </w:rPr>
        <w:t xml:space="preserve">preuve de l'existence d'une pratique administrative en relation avec chacune des plaintes déposées par le gouvernement requérant. </w:t>
      </w:r>
      <w:r w:rsidRPr="00720D91">
        <w:rPr>
          <w:rStyle w:val="FootnoteReference"/>
          <w:rFonts w:ascii="Arial" w:hAnsi="Arial" w:cs="Arial"/>
          <w:shd w:val="clear" w:color="auto" w:fill="FFFFFF" w:themeFill="background1"/>
        </w:rPr>
        <w:footnoteReference w:id="63"/>
      </w:r>
      <w:r w:rsidRPr="00F331F8">
        <w:rPr>
          <w:rFonts w:ascii="Arial" w:hAnsi="Arial" w:cs="Arial"/>
          <w:shd w:val="clear" w:color="auto" w:fill="FFFFFF" w:themeFill="background1"/>
          <w:lang w:val="fr-FR"/>
        </w:rPr>
        <w:t xml:space="preserve"> Dans une autre affaire récente, la Cour s'est prononcée, au stade de la recevabilité, sur la question de </w:t>
      </w:r>
      <w:r w:rsidRPr="00F331F8">
        <w:rPr>
          <w:rStyle w:val="sb8d990e2"/>
          <w:rFonts w:ascii="Arial" w:eastAsiaTheme="majorEastAsia" w:hAnsi="Arial" w:cs="Arial"/>
          <w:shd w:val="clear" w:color="auto" w:fill="FFFFFF" w:themeFill="background1"/>
          <w:lang w:val="fr-FR"/>
        </w:rPr>
        <w:t xml:space="preserve">savoir si la portée de l'article 33 </w:t>
      </w:r>
      <w:r w:rsidRPr="00F331F8">
        <w:rPr>
          <w:rFonts w:ascii="Arial" w:hAnsi="Arial" w:cs="Arial"/>
          <w:shd w:val="clear" w:color="auto" w:fill="FFFFFF" w:themeFill="background1"/>
          <w:lang w:val="fr-FR"/>
        </w:rPr>
        <w:t xml:space="preserve">de la Convention permet à un gouvernement requérant de faire valoir les droits d'une organisation qui n'est pas « non gouvernementale » au sens de l'article 34 </w:t>
      </w:r>
      <w:r w:rsidRPr="00F331F8">
        <w:rPr>
          <w:rStyle w:val="sb8d990e2"/>
          <w:rFonts w:ascii="Arial" w:eastAsiaTheme="majorEastAsia" w:hAnsi="Arial" w:cs="Arial"/>
          <w:shd w:val="clear" w:color="auto" w:fill="FFFFFF" w:themeFill="background1"/>
          <w:lang w:val="fr-FR"/>
        </w:rPr>
        <w:t>(cette question</w:t>
      </w:r>
      <w:r w:rsidRPr="00F331F8">
        <w:rPr>
          <w:rStyle w:val="sb8d990e2"/>
          <w:rFonts w:ascii="Arial" w:eastAsiaTheme="majorEastAsia" w:hAnsi="Arial" w:cs="Arial"/>
          <w:shd w:val="clear" w:color="auto" w:fill="D9D9D9" w:themeFill="background1" w:themeFillShade="D9"/>
          <w:lang w:val="fr-FR"/>
        </w:rPr>
        <w:t xml:space="preserve"> </w:t>
      </w:r>
      <w:r w:rsidRPr="00F331F8">
        <w:rPr>
          <w:rStyle w:val="sb8d990e2"/>
          <w:rFonts w:ascii="Arial" w:eastAsiaTheme="majorEastAsia" w:hAnsi="Arial" w:cs="Arial"/>
          <w:lang w:val="fr-FR"/>
        </w:rPr>
        <w:t xml:space="preserve">ne relève d'aucun </w:t>
      </w:r>
      <w:r w:rsidRPr="00F331F8">
        <w:rPr>
          <w:rStyle w:val="sb8d990e2"/>
          <w:rFonts w:ascii="Arial" w:eastAsiaTheme="majorEastAsia" w:hAnsi="Arial" w:cs="Arial"/>
          <w:shd w:val="clear" w:color="auto" w:fill="FFFFFF" w:themeFill="background1"/>
          <w:lang w:val="fr-FR"/>
        </w:rPr>
        <w:t xml:space="preserve">des critères de recevabilité énoncés à l'article 35 de la Convention et relève plutôt de la compétence de la Cour au sens de l'article 32 § 2 de la Convention). </w:t>
      </w:r>
      <w:r w:rsidRPr="00720D91">
        <w:rPr>
          <w:rStyle w:val="FootnoteReference"/>
          <w:rFonts w:ascii="Arial" w:hAnsi="Arial" w:cs="Arial"/>
          <w:shd w:val="clear" w:color="auto" w:fill="FFFFFF" w:themeFill="background1"/>
        </w:rPr>
        <w:footnoteReference w:id="64"/>
      </w:r>
    </w:p>
    <w:p w14:paraId="11F2F439" w14:textId="386A5851" w:rsidR="00F331F8" w:rsidRPr="00F331F8" w:rsidRDefault="00F331F8" w:rsidP="00971933">
      <w:pPr>
        <w:shd w:val="clear" w:color="auto" w:fill="FFFFFF" w:themeFill="background1"/>
        <w:autoSpaceDE w:val="0"/>
        <w:autoSpaceDN w:val="0"/>
        <w:adjustRightInd w:val="0"/>
        <w:spacing w:after="240" w:line="240" w:lineRule="auto"/>
        <w:ind w:firstLine="426"/>
        <w:jc w:val="both"/>
        <w:rPr>
          <w:rFonts w:ascii="Arial" w:hAnsi="Arial" w:cs="Arial"/>
          <w:shd w:val="clear" w:color="auto" w:fill="D9D9D9" w:themeFill="background1" w:themeFillShade="D9"/>
          <w:lang w:val="fr-FR"/>
        </w:rPr>
      </w:pPr>
      <w:r w:rsidRPr="00F331F8">
        <w:rPr>
          <w:rStyle w:val="sb8d990e2"/>
          <w:rFonts w:ascii="Arial" w:eastAsiaTheme="majorEastAsia" w:hAnsi="Arial" w:cs="Arial"/>
          <w:shd w:val="clear" w:color="auto" w:fill="FFFFFF" w:themeFill="background1"/>
          <w:lang w:val="fr-FR"/>
        </w:rPr>
        <w:t>4</w:t>
      </w:r>
      <w:r w:rsidR="00F240BE">
        <w:rPr>
          <w:rStyle w:val="sb8d990e2"/>
          <w:rFonts w:ascii="Arial" w:eastAsiaTheme="majorEastAsia" w:hAnsi="Arial" w:cs="Arial"/>
          <w:shd w:val="clear" w:color="auto" w:fill="FFFFFF" w:themeFill="background1"/>
          <w:lang w:val="fr-FR"/>
        </w:rPr>
        <w:t>8</w:t>
      </w:r>
      <w:r w:rsidRPr="00F331F8">
        <w:rPr>
          <w:rStyle w:val="sb8d990e2"/>
          <w:rFonts w:ascii="Arial" w:eastAsiaTheme="majorEastAsia" w:hAnsi="Arial" w:cs="Arial"/>
          <w:shd w:val="clear" w:color="auto" w:fill="FFFFFF" w:themeFill="background1"/>
          <w:lang w:val="fr-FR"/>
        </w:rPr>
        <w:t xml:space="preserve">. De plus, les institutions de la Convention ont examiné le contenu des requêtes interétatiques malgré le fait que la Convention ne permet pas de rejeter une requête interétatique au stade de la recevabilité comme constituant un abus du droit de pétition. La Commission l'a fait à la lumière d'un principe général selon lequel le droit de saisir une instance </w:t>
      </w:r>
      <w:r w:rsidRPr="00F331F8">
        <w:rPr>
          <w:rStyle w:val="sb8d990e2"/>
          <w:rFonts w:ascii="Arial" w:eastAsiaTheme="majorEastAsia" w:hAnsi="Arial" w:cs="Arial"/>
          <w:shd w:val="clear" w:color="auto" w:fill="FFFFFF" w:themeFill="background1"/>
          <w:lang w:val="fr-FR"/>
        </w:rPr>
        <w:lastRenderedPageBreak/>
        <w:t xml:space="preserve">internationale ne doit pas faire l'objet d'un abus manifeste, en partant du principe qu'un tel principe général existe. </w:t>
      </w:r>
      <w:r w:rsidRPr="00720D91">
        <w:rPr>
          <w:rStyle w:val="FootnoteReference"/>
          <w:rFonts w:ascii="Arial" w:hAnsi="Arial" w:cs="Arial"/>
          <w:shd w:val="clear" w:color="auto" w:fill="FFFFFF" w:themeFill="background1"/>
        </w:rPr>
        <w:footnoteReference w:id="65"/>
      </w:r>
      <w:r w:rsidRPr="00F331F8">
        <w:rPr>
          <w:rStyle w:val="sb8d990e2"/>
          <w:rFonts w:ascii="Arial" w:eastAsiaTheme="majorEastAsia" w:hAnsi="Arial" w:cs="Arial"/>
          <w:shd w:val="clear" w:color="auto" w:fill="FFFFFF" w:themeFill="background1"/>
          <w:lang w:val="fr-FR"/>
        </w:rPr>
        <w:t xml:space="preserve"> Dans ce contexte, la Commission s'est prononcée sur les allégations selon lesquelles la requête interétatique constitue un abus de la procédure prévue par la Convention en ce qu'elles contiennent des accusations de nature politique. </w:t>
      </w:r>
      <w:r w:rsidRPr="00720D91">
        <w:rPr>
          <w:rStyle w:val="FootnoteReference"/>
          <w:rFonts w:ascii="Arial" w:hAnsi="Arial" w:cs="Arial"/>
          <w:shd w:val="clear" w:color="auto" w:fill="FFFFFF" w:themeFill="background1"/>
        </w:rPr>
        <w:footnoteReference w:id="66"/>
      </w:r>
      <w:r w:rsidRPr="00F331F8">
        <w:rPr>
          <w:rStyle w:val="sb8d990e2"/>
          <w:rFonts w:ascii="Arial" w:eastAsiaTheme="majorEastAsia" w:hAnsi="Arial" w:cs="Arial"/>
          <w:shd w:val="clear" w:color="auto" w:fill="FFFFFF" w:themeFill="background1"/>
          <w:lang w:val="fr-FR"/>
        </w:rPr>
        <w:t xml:space="preserve"> Plus récemment, en examinant si une requête interétatique ne remplissait pas les conditions d'une requête authentique au motif qu'elle posait à la Cour des questions politiques, la Cour a tenu compte de la nature juridique des questions soulevées devant elle par le gouvernement requérant.</w:t>
      </w:r>
      <w:r w:rsidRPr="00720D91">
        <w:rPr>
          <w:rStyle w:val="FootnoteReference"/>
          <w:rFonts w:ascii="Arial" w:hAnsi="Arial" w:cs="Arial"/>
          <w:shd w:val="clear" w:color="auto" w:fill="FFFFFF" w:themeFill="background1"/>
        </w:rPr>
        <w:footnoteReference w:id="67"/>
      </w:r>
      <w:r w:rsidRPr="00F331F8">
        <w:rPr>
          <w:rStyle w:val="sb8d990e2"/>
          <w:rFonts w:ascii="Arial" w:eastAsiaTheme="majorEastAsia" w:hAnsi="Arial" w:cs="Arial"/>
          <w:shd w:val="clear" w:color="auto" w:fill="FFFFFF" w:themeFill="background1"/>
          <w:lang w:val="fr-FR"/>
        </w:rPr>
        <w:t xml:space="preserve"> Si ces questions comportent inévitablement une dimension politique, ce seul élément ne suffit pas pour autant à les priver de leur caractère juridique ; la Cour n'a jamais refusé d’examiner une affaire introduite devant elle au seul motif qu'elle aurait des implications politiques. </w:t>
      </w:r>
      <w:r w:rsidRPr="00720D91">
        <w:rPr>
          <w:rStyle w:val="FootnoteReference"/>
          <w:rFonts w:ascii="Arial" w:hAnsi="Arial" w:cs="Arial"/>
          <w:shd w:val="clear" w:color="auto" w:fill="FFFFFF" w:themeFill="background1"/>
        </w:rPr>
        <w:footnoteReference w:id="68"/>
      </w:r>
    </w:p>
    <w:p w14:paraId="308FDA04" w14:textId="1EA049D8" w:rsidR="00F331F8" w:rsidRPr="00F331F8" w:rsidRDefault="00F331F8" w:rsidP="00971933">
      <w:pPr>
        <w:shd w:val="clear" w:color="auto" w:fill="FFFFFF" w:themeFill="background1"/>
        <w:autoSpaceDE w:val="0"/>
        <w:autoSpaceDN w:val="0"/>
        <w:adjustRightInd w:val="0"/>
        <w:spacing w:after="240" w:line="240" w:lineRule="auto"/>
        <w:ind w:firstLine="426"/>
        <w:jc w:val="both"/>
        <w:rPr>
          <w:rFonts w:ascii="Arial" w:hAnsi="Arial" w:cs="Arial"/>
          <w:lang w:val="fr-FR"/>
        </w:rPr>
      </w:pPr>
      <w:r w:rsidRPr="00F331F8">
        <w:rPr>
          <w:rFonts w:ascii="Arial" w:hAnsi="Arial" w:cs="Arial"/>
          <w:lang w:val="fr-FR"/>
        </w:rPr>
        <w:t>4</w:t>
      </w:r>
      <w:r w:rsidR="00F240BE">
        <w:rPr>
          <w:rFonts w:ascii="Arial" w:hAnsi="Arial" w:cs="Arial"/>
          <w:lang w:val="fr-FR"/>
        </w:rPr>
        <w:t>9</w:t>
      </w:r>
      <w:r w:rsidRPr="00F331F8">
        <w:rPr>
          <w:rFonts w:ascii="Arial" w:hAnsi="Arial" w:cs="Arial"/>
          <w:lang w:val="fr-FR"/>
        </w:rPr>
        <w:t xml:space="preserve">. Le critère de recevabilité consistant à prouver la </w:t>
      </w:r>
      <w:r w:rsidRPr="00F331F8">
        <w:rPr>
          <w:rFonts w:ascii="Arial" w:hAnsi="Arial" w:cs="Arial"/>
          <w:b/>
          <w:i/>
          <w:lang w:val="fr-FR"/>
        </w:rPr>
        <w:t xml:space="preserve">qualité de victime </w:t>
      </w:r>
      <w:r w:rsidRPr="00F331F8">
        <w:rPr>
          <w:rFonts w:ascii="Arial" w:hAnsi="Arial" w:cs="Arial"/>
          <w:lang w:val="fr-FR"/>
        </w:rPr>
        <w:t xml:space="preserve">ne s'applique qu'aux requêtes individuelles et non aux requêtes interétatiques. </w:t>
      </w:r>
      <w:r w:rsidRPr="00F331F8">
        <w:rPr>
          <w:rFonts w:ascii="Arial" w:hAnsi="Arial" w:cs="Arial"/>
          <w:shd w:val="clear" w:color="auto" w:fill="FFFFFF" w:themeFill="background1"/>
          <w:lang w:val="fr-FR"/>
        </w:rPr>
        <w:t xml:space="preserve">La Cour a récemment examiné la question de savoir si la portée de l'article 33 de la Convention permet à un gouvernement requérant de défendre les droits d'une organisation qui n'est pas « non gouvernementale » au sens de l'article 34. </w:t>
      </w:r>
      <w:r w:rsidRPr="00720D91">
        <w:rPr>
          <w:rStyle w:val="FootnoteReference"/>
          <w:rFonts w:ascii="Arial" w:hAnsi="Arial" w:cs="Arial"/>
          <w:shd w:val="clear" w:color="auto" w:fill="FFFFFF" w:themeFill="background1"/>
        </w:rPr>
        <w:footnoteReference w:id="69"/>
      </w:r>
      <w:r w:rsidRPr="00F331F8">
        <w:rPr>
          <w:rFonts w:ascii="Arial" w:hAnsi="Arial" w:cs="Arial"/>
          <w:shd w:val="clear" w:color="auto" w:fill="FFFFFF" w:themeFill="background1"/>
          <w:lang w:val="fr-FR"/>
        </w:rPr>
        <w:t xml:space="preserve"> En examinant la question préliminaire de savoir si elle peut examiner une telle requête, la Cour a noté que le gouvernement requérant est en droit de présenter une requête interétatique en vertu de l'article 33 de la Convention sans avoir à être d'une quelconque manière, même indirectement, lésé par les violations alléguées. </w:t>
      </w:r>
      <w:r w:rsidRPr="00720D91">
        <w:rPr>
          <w:rStyle w:val="FootnoteReference"/>
          <w:rFonts w:ascii="Arial" w:hAnsi="Arial" w:cs="Arial"/>
          <w:shd w:val="clear" w:color="auto" w:fill="FFFFFF" w:themeFill="background1"/>
        </w:rPr>
        <w:footnoteReference w:id="70"/>
      </w:r>
    </w:p>
    <w:p w14:paraId="19ABA4D8" w14:textId="733681D3" w:rsidR="00F331F8" w:rsidRPr="00F331F8" w:rsidRDefault="00F240BE" w:rsidP="00971933">
      <w:pPr>
        <w:shd w:val="clear" w:color="auto" w:fill="FFFFFF" w:themeFill="background1"/>
        <w:autoSpaceDE w:val="0"/>
        <w:autoSpaceDN w:val="0"/>
        <w:adjustRightInd w:val="0"/>
        <w:spacing w:after="240" w:line="240" w:lineRule="auto"/>
        <w:ind w:firstLine="426"/>
        <w:jc w:val="both"/>
        <w:rPr>
          <w:rFonts w:ascii="Arial" w:hAnsi="Arial" w:cs="Arial"/>
          <w:shd w:val="clear" w:color="auto" w:fill="D9D9D9" w:themeFill="background1" w:themeFillShade="D9"/>
          <w:lang w:val="fr-FR"/>
        </w:rPr>
      </w:pPr>
      <w:r>
        <w:rPr>
          <w:rStyle w:val="sb8d990e2"/>
          <w:rFonts w:ascii="Arial" w:eastAsiaTheme="majorEastAsia" w:hAnsi="Arial" w:cs="Arial"/>
          <w:shd w:val="clear" w:color="auto" w:fill="FFFFFF" w:themeFill="background1"/>
          <w:lang w:val="fr-FR"/>
        </w:rPr>
        <w:t>50</w:t>
      </w:r>
      <w:r w:rsidR="00F331F8" w:rsidRPr="00F331F8">
        <w:rPr>
          <w:rStyle w:val="sb8d990e2"/>
          <w:rFonts w:ascii="Arial" w:eastAsiaTheme="majorEastAsia" w:hAnsi="Arial" w:cs="Arial"/>
          <w:shd w:val="clear" w:color="auto" w:fill="FFFFFF" w:themeFill="background1"/>
          <w:lang w:val="fr-FR"/>
        </w:rPr>
        <w:t xml:space="preserve">. </w:t>
      </w:r>
      <w:r w:rsidR="00F331F8" w:rsidRPr="00F331F8">
        <w:rPr>
          <w:rFonts w:ascii="Arial" w:hAnsi="Arial" w:cs="Arial"/>
          <w:shd w:val="clear" w:color="auto" w:fill="FFFFFF" w:themeFill="background1"/>
          <w:lang w:val="fr-FR"/>
        </w:rPr>
        <w:t xml:space="preserve">La </w:t>
      </w:r>
      <w:r w:rsidR="00F331F8" w:rsidRPr="00F331F8">
        <w:rPr>
          <w:rStyle w:val="sb8d990e2"/>
          <w:rFonts w:ascii="Arial" w:eastAsiaTheme="majorEastAsia" w:hAnsi="Arial" w:cs="Arial"/>
          <w:shd w:val="clear" w:color="auto" w:fill="FFFFFF" w:themeFill="background1"/>
          <w:lang w:val="fr-FR"/>
        </w:rPr>
        <w:t>Cour a déterminé qu'il existe toutefois une corrélation systémique directe entre les articles 33 et 34 de la Convention en ce qu'une organisation qui n'est pas « non gouvernementale » au sens de l'article 34 ne peut faire défendre ses droits par un État  au moyen du mécanisme prévu par l'article 33.</w:t>
      </w:r>
      <w:r w:rsidR="00F331F8" w:rsidRPr="00720D91">
        <w:rPr>
          <w:rStyle w:val="FootnoteReference"/>
          <w:rFonts w:ascii="Arial" w:hAnsi="Arial" w:cs="Arial"/>
          <w:shd w:val="clear" w:color="auto" w:fill="FFFFFF" w:themeFill="background1"/>
        </w:rPr>
        <w:footnoteReference w:id="71"/>
      </w:r>
      <w:r w:rsidR="00F331F8" w:rsidRPr="00F331F8">
        <w:rPr>
          <w:rStyle w:val="sb8d990e2"/>
          <w:rFonts w:ascii="Arial" w:eastAsiaTheme="majorEastAsia" w:hAnsi="Arial" w:cs="Arial"/>
          <w:shd w:val="clear" w:color="auto" w:fill="FFFFFF" w:themeFill="background1"/>
          <w:lang w:val="fr-FR"/>
        </w:rPr>
        <w:t xml:space="preserve"> En d'autres termes, l’article 33 de la Convention ne permet pas à un gouvernement requérant de défendre les droits d’une personne morale qui ne pourrait pas être qualifiée d’« organisation non gouvernementale » ni dès lors introduire une requête individuelle en vertu de l’article 34. </w:t>
      </w:r>
      <w:r w:rsidR="00F331F8" w:rsidRPr="00720D91">
        <w:rPr>
          <w:rStyle w:val="FootnoteReference"/>
          <w:rFonts w:ascii="Arial" w:hAnsi="Arial" w:cs="Arial"/>
          <w:shd w:val="clear" w:color="auto" w:fill="FFFFFF" w:themeFill="background1"/>
        </w:rPr>
        <w:footnoteReference w:id="72"/>
      </w:r>
      <w:r w:rsidR="00F331F8" w:rsidRPr="00F331F8">
        <w:rPr>
          <w:rStyle w:val="sb8d990e2"/>
          <w:rFonts w:ascii="Arial" w:eastAsiaTheme="majorEastAsia" w:hAnsi="Arial" w:cs="Arial"/>
          <w:shd w:val="clear" w:color="auto" w:fill="FFFFFF" w:themeFill="background1"/>
          <w:lang w:val="fr-FR"/>
        </w:rPr>
        <w:t xml:space="preserve"> </w:t>
      </w:r>
    </w:p>
    <w:p w14:paraId="68DFC0B1" w14:textId="0A7A4BD9" w:rsidR="00F331F8" w:rsidRPr="00720D91" w:rsidRDefault="00F331F8" w:rsidP="00971933">
      <w:pPr>
        <w:pStyle w:val="CommentText"/>
        <w:shd w:val="clear" w:color="auto" w:fill="FFFFFF" w:themeFill="background1"/>
        <w:ind w:firstLine="426"/>
        <w:jc w:val="both"/>
        <w:rPr>
          <w:rFonts w:ascii="Arial" w:hAnsi="Arial"/>
          <w:sz w:val="22"/>
          <w:szCs w:val="22"/>
          <w:lang w:val="fr-FR"/>
        </w:rPr>
      </w:pPr>
      <w:r w:rsidRPr="00720D91">
        <w:rPr>
          <w:rFonts w:ascii="Arial" w:hAnsi="Arial"/>
          <w:sz w:val="22"/>
          <w:szCs w:val="22"/>
          <w:lang w:val="fr-FR"/>
        </w:rPr>
        <w:t>5</w:t>
      </w:r>
      <w:r w:rsidR="00F240BE">
        <w:rPr>
          <w:rFonts w:ascii="Arial" w:hAnsi="Arial"/>
          <w:sz w:val="22"/>
          <w:szCs w:val="22"/>
          <w:lang w:val="fr-FR"/>
        </w:rPr>
        <w:t>1</w:t>
      </w:r>
      <w:r w:rsidRPr="00720D91">
        <w:rPr>
          <w:rFonts w:ascii="Arial" w:hAnsi="Arial"/>
          <w:sz w:val="22"/>
          <w:szCs w:val="22"/>
          <w:lang w:val="fr-FR"/>
        </w:rPr>
        <w:t>. Le DH-SYSC note qu'une question est soulevée concernant le statut de victime, à savoir si celui-ci est nécessaire et comment distinguer entre, d'une part, le droit procédural d'un État partie en vertu de l'article 33 d'introduire une requête interétatique pour les violations des droits substantiels de la Convention d'une ou plusieurs victimes particulières (qualité pour agir en vertu de l'article 33) et le statut de victime d'un requérant aux fins d'une requête individuelle en vertu de l'article 34 (qualité pour agir en vertu de l'article 34 de la Convention). Le Groupe de rédaction</w:t>
      </w:r>
      <w:r w:rsidR="00872A89">
        <w:rPr>
          <w:rFonts w:ascii="Arial" w:hAnsi="Arial"/>
          <w:sz w:val="22"/>
          <w:szCs w:val="22"/>
          <w:lang w:val="fr-FR"/>
        </w:rPr>
        <w:t xml:space="preserve"> </w:t>
      </w:r>
      <w:r w:rsidRPr="00720D91">
        <w:rPr>
          <w:rFonts w:ascii="Arial" w:hAnsi="Arial"/>
          <w:sz w:val="22"/>
          <w:szCs w:val="22"/>
          <w:lang w:val="fr-FR"/>
        </w:rPr>
        <w:t>continuera à se pencher</w:t>
      </w:r>
      <w:r w:rsidR="00872A89" w:rsidRPr="00872A89">
        <w:rPr>
          <w:rStyle w:val="Hyperlink"/>
          <w:rFonts w:ascii="Arial" w:eastAsiaTheme="majorEastAsia" w:hAnsi="Arial" w:cs="Arial"/>
          <w:color w:val="auto"/>
          <w:sz w:val="22"/>
          <w:szCs w:val="22"/>
          <w:u w:val="none"/>
          <w:lang w:val="fr-FR"/>
        </w:rPr>
        <w:t xml:space="preserve">, sous l’autorité du DH-SYSC, </w:t>
      </w:r>
      <w:r w:rsidRPr="00720D91">
        <w:rPr>
          <w:rFonts w:ascii="Arial" w:hAnsi="Arial"/>
          <w:sz w:val="22"/>
          <w:szCs w:val="22"/>
          <w:lang w:val="fr-FR"/>
        </w:rPr>
        <w:t xml:space="preserve">sur cette question. </w:t>
      </w:r>
    </w:p>
    <w:p w14:paraId="6AF0386A" w14:textId="77777777" w:rsidR="00F331F8" w:rsidRPr="0059073A" w:rsidRDefault="00F331F8" w:rsidP="00971933">
      <w:pPr>
        <w:pStyle w:val="Heading2"/>
        <w:shd w:val="clear" w:color="auto" w:fill="FFFFFF" w:themeFill="background1"/>
        <w:spacing w:line="240" w:lineRule="auto"/>
        <w:ind w:firstLine="426"/>
        <w:rPr>
          <w:rFonts w:cs="Arial"/>
          <w:iCs/>
          <w:sz w:val="24"/>
          <w:szCs w:val="22"/>
          <w:lang w:val="fr-FR"/>
        </w:rPr>
      </w:pPr>
      <w:bookmarkStart w:id="22" w:name="_Toc86329780"/>
      <w:r w:rsidRPr="0059073A">
        <w:rPr>
          <w:rFonts w:cs="Arial"/>
          <w:iCs/>
          <w:sz w:val="24"/>
          <w:szCs w:val="22"/>
          <w:lang w:val="fr-FR"/>
        </w:rPr>
        <w:t>3. Questions procédurales</w:t>
      </w:r>
      <w:bookmarkEnd w:id="22"/>
      <w:r w:rsidRPr="0059073A">
        <w:rPr>
          <w:rFonts w:cs="Arial"/>
          <w:iCs/>
          <w:sz w:val="24"/>
          <w:szCs w:val="22"/>
          <w:lang w:val="fr-FR"/>
        </w:rPr>
        <w:t xml:space="preserve"> </w:t>
      </w:r>
    </w:p>
    <w:p w14:paraId="1CB12CDA" w14:textId="77777777" w:rsidR="00F331F8" w:rsidRPr="00720D91" w:rsidRDefault="00F331F8" w:rsidP="00971933">
      <w:pPr>
        <w:pStyle w:val="NoSpacing"/>
        <w:rPr>
          <w:sz w:val="22"/>
          <w:szCs w:val="22"/>
        </w:rPr>
      </w:pPr>
    </w:p>
    <w:p w14:paraId="541261DD" w14:textId="13F81A36" w:rsidR="00F331F8" w:rsidRPr="00F331F8" w:rsidRDefault="00F331F8" w:rsidP="00971933">
      <w:pPr>
        <w:spacing w:after="240" w:line="240" w:lineRule="auto"/>
        <w:ind w:firstLine="426"/>
        <w:jc w:val="both"/>
        <w:rPr>
          <w:rFonts w:ascii="Arial" w:hAnsi="Arial" w:cs="Arial"/>
          <w:lang w:val="fr-FR"/>
        </w:rPr>
      </w:pPr>
      <w:r w:rsidRPr="00F331F8">
        <w:rPr>
          <w:rFonts w:ascii="Arial" w:hAnsi="Arial" w:cs="Arial"/>
          <w:lang w:val="fr-FR"/>
        </w:rPr>
        <w:t>5</w:t>
      </w:r>
      <w:r w:rsidR="00F240BE">
        <w:rPr>
          <w:rFonts w:ascii="Arial" w:hAnsi="Arial" w:cs="Arial"/>
          <w:lang w:val="fr-FR"/>
        </w:rPr>
        <w:t>2</w:t>
      </w:r>
      <w:r w:rsidRPr="00F331F8">
        <w:rPr>
          <w:rFonts w:ascii="Arial" w:hAnsi="Arial" w:cs="Arial"/>
          <w:lang w:val="fr-FR"/>
        </w:rPr>
        <w:t>. Le DH-SYSC note que la jurisprudence de la Cour ainsi que les observations de la Cour</w:t>
      </w:r>
      <w:r w:rsidRPr="00720D91">
        <w:rPr>
          <w:rStyle w:val="FootnoteReference"/>
          <w:rFonts w:ascii="Arial" w:hAnsi="Arial" w:cs="Arial"/>
        </w:rPr>
        <w:footnoteReference w:id="73"/>
      </w:r>
      <w:r w:rsidRPr="00F331F8">
        <w:rPr>
          <w:rFonts w:ascii="Arial" w:hAnsi="Arial" w:cs="Arial"/>
          <w:lang w:val="fr-FR"/>
        </w:rPr>
        <w:t xml:space="preserve"> n'ont pas reconnu ni identifié le fait d’avoir des critères de recevabilité différents comme </w:t>
      </w:r>
      <w:r w:rsidRPr="00F331F8">
        <w:rPr>
          <w:rFonts w:ascii="Arial" w:hAnsi="Arial" w:cs="Arial"/>
          <w:lang w:val="fr-FR"/>
        </w:rPr>
        <w:lastRenderedPageBreak/>
        <w:t xml:space="preserve">posant des défis en ce qui concerne le traitement parallèle des requêtes interétatiques et des requêtes individuelles liées. </w:t>
      </w:r>
    </w:p>
    <w:p w14:paraId="60413DBD" w14:textId="454BC413" w:rsidR="00F331F8" w:rsidRPr="00F331F8" w:rsidRDefault="00F331F8" w:rsidP="00971933">
      <w:pPr>
        <w:spacing w:after="240" w:line="240" w:lineRule="auto"/>
        <w:ind w:firstLine="426"/>
        <w:jc w:val="both"/>
        <w:rPr>
          <w:rFonts w:ascii="Arial" w:hAnsi="Arial" w:cs="Arial"/>
          <w:lang w:val="fr-FR"/>
        </w:rPr>
      </w:pPr>
      <w:r w:rsidRPr="00F331F8">
        <w:rPr>
          <w:rFonts w:ascii="Arial" w:hAnsi="Arial" w:cs="Arial"/>
          <w:lang w:val="fr-FR"/>
        </w:rPr>
        <w:t>5</w:t>
      </w:r>
      <w:r w:rsidR="00F240BE">
        <w:rPr>
          <w:rFonts w:ascii="Arial" w:hAnsi="Arial" w:cs="Arial"/>
          <w:lang w:val="fr-FR"/>
        </w:rPr>
        <w:t>3</w:t>
      </w:r>
      <w:r w:rsidRPr="00F331F8">
        <w:rPr>
          <w:rFonts w:ascii="Arial" w:hAnsi="Arial" w:cs="Arial"/>
          <w:lang w:val="fr-FR"/>
        </w:rPr>
        <w:t>. Les critères de recevabilité applicables aux requêtes introduites en vertu de l'article 33 de la Convention, telles qu'elles ont été énoncées à l'article 35 § 1, reflètent les caractéristiques inhérentes et la fonction spécifique des requêtes interétatiques dans le système de la Convention, qui permettent aux États parties de protéger l'ordre public européen dans le cadre de la responsabilité collective découlant de la Convention. Les requêtes interétatiques restent en définitive concernées par la protection des droits fondamentaux des individus. De ce point de vue, en introduisant une requête interétatique, un État n'exerce pas tant un droit d'action visant à faire valoir ses propres droits qu'il ne porte devant la Cour une violation alléguée de l'ordre public européen (voir section IV/1 ci-dessus).</w:t>
      </w:r>
    </w:p>
    <w:p w14:paraId="41EA6F6D" w14:textId="5796C2E9" w:rsidR="00F331F8" w:rsidRPr="00F331F8" w:rsidRDefault="00F331F8" w:rsidP="00971933">
      <w:pPr>
        <w:spacing w:after="240" w:line="240" w:lineRule="auto"/>
        <w:ind w:firstLine="426"/>
        <w:jc w:val="both"/>
        <w:rPr>
          <w:rFonts w:ascii="Arial" w:hAnsi="Arial" w:cs="Arial"/>
          <w:lang w:val="fr-FR"/>
        </w:rPr>
      </w:pPr>
      <w:r w:rsidRPr="00F331F8">
        <w:rPr>
          <w:rFonts w:ascii="Arial" w:hAnsi="Arial" w:cs="Arial"/>
          <w:lang w:val="fr-FR"/>
        </w:rPr>
        <w:t>5</w:t>
      </w:r>
      <w:r w:rsidR="00F240BE">
        <w:rPr>
          <w:rFonts w:ascii="Arial" w:hAnsi="Arial" w:cs="Arial"/>
          <w:lang w:val="fr-FR"/>
        </w:rPr>
        <w:t>4</w:t>
      </w:r>
      <w:r w:rsidRPr="00F331F8">
        <w:rPr>
          <w:rFonts w:ascii="Arial" w:hAnsi="Arial" w:cs="Arial"/>
          <w:lang w:val="fr-FR"/>
        </w:rPr>
        <w:t xml:space="preserve">. Par ailleurs, une série de questions de procédure est soulevée par une délégation sur divers aspects de l’examen parallèle des requêtes interétatiques et les requêtes individuelles liées. </w:t>
      </w:r>
      <w:r w:rsidRPr="00720D91">
        <w:rPr>
          <w:rStyle w:val="FootnoteReference"/>
          <w:rFonts w:ascii="Arial" w:hAnsi="Arial" w:cs="Arial"/>
        </w:rPr>
        <w:footnoteReference w:id="74"/>
      </w:r>
      <w:r w:rsidRPr="00F331F8">
        <w:rPr>
          <w:rFonts w:ascii="Arial" w:hAnsi="Arial" w:cs="Arial"/>
          <w:lang w:val="fr-FR"/>
        </w:rPr>
        <w:t xml:space="preserve"> </w:t>
      </w:r>
    </w:p>
    <w:p w14:paraId="59C1746D" w14:textId="65E46D4A" w:rsidR="00F331F8" w:rsidRPr="00720D91" w:rsidRDefault="00F331F8" w:rsidP="00971933">
      <w:pPr>
        <w:pStyle w:val="Default"/>
        <w:ind w:firstLine="426"/>
        <w:jc w:val="both"/>
        <w:rPr>
          <w:color w:val="auto"/>
          <w:sz w:val="22"/>
          <w:szCs w:val="22"/>
          <w:shd w:val="clear" w:color="auto" w:fill="FFFFFF" w:themeFill="background1"/>
          <w:lang w:bidi="en-US"/>
        </w:rPr>
      </w:pPr>
      <w:r w:rsidRPr="00720D91">
        <w:rPr>
          <w:sz w:val="22"/>
          <w:szCs w:val="22"/>
        </w:rPr>
        <w:t>5</w:t>
      </w:r>
      <w:r w:rsidR="00F240BE">
        <w:rPr>
          <w:sz w:val="22"/>
          <w:szCs w:val="22"/>
        </w:rPr>
        <w:t>5</w:t>
      </w:r>
      <w:r w:rsidRPr="00720D91">
        <w:rPr>
          <w:sz w:val="22"/>
          <w:szCs w:val="22"/>
        </w:rPr>
        <w:t>. Tout d'abord, cette délégation a soulevé la question de savoir si une requête interétatique peut être introduite si une requête individuelle relative aux mêmes événements est pendante devant la Cour</w:t>
      </w:r>
      <w:r w:rsidRPr="00720D91">
        <w:rPr>
          <w:color w:val="auto"/>
          <w:sz w:val="22"/>
          <w:szCs w:val="22"/>
        </w:rPr>
        <w:t>.</w:t>
      </w:r>
      <w:r w:rsidRPr="00720D91">
        <w:rPr>
          <w:rStyle w:val="FootnoteReference"/>
          <w:color w:val="auto"/>
          <w:sz w:val="22"/>
          <w:szCs w:val="22"/>
        </w:rPr>
        <w:footnoteReference w:id="75"/>
      </w:r>
      <w:r w:rsidRPr="00720D91">
        <w:rPr>
          <w:color w:val="auto"/>
          <w:sz w:val="22"/>
          <w:szCs w:val="22"/>
          <w:shd w:val="clear" w:color="auto" w:fill="FFFFFF" w:themeFill="background1"/>
          <w:lang w:bidi="en-US"/>
        </w:rPr>
        <w:t xml:space="preserve"> </w:t>
      </w:r>
    </w:p>
    <w:p w14:paraId="6D9C4C8A" w14:textId="77777777" w:rsidR="00F331F8" w:rsidRPr="00720D91" w:rsidRDefault="00F331F8" w:rsidP="00971933">
      <w:pPr>
        <w:pStyle w:val="Default"/>
        <w:ind w:firstLine="426"/>
        <w:jc w:val="both"/>
        <w:rPr>
          <w:color w:val="auto"/>
          <w:sz w:val="22"/>
          <w:szCs w:val="22"/>
          <w:shd w:val="clear" w:color="auto" w:fill="FFFFFF" w:themeFill="background1"/>
          <w:lang w:bidi="en-US"/>
        </w:rPr>
      </w:pPr>
    </w:p>
    <w:p w14:paraId="20314D42" w14:textId="7D63754A" w:rsidR="00F331F8" w:rsidRPr="00720D91" w:rsidRDefault="00F331F8" w:rsidP="00971933">
      <w:pPr>
        <w:pStyle w:val="Default"/>
        <w:ind w:firstLine="426"/>
        <w:jc w:val="both"/>
        <w:rPr>
          <w:sz w:val="22"/>
          <w:szCs w:val="22"/>
        </w:rPr>
      </w:pPr>
      <w:r w:rsidRPr="00720D91">
        <w:rPr>
          <w:color w:val="auto"/>
          <w:sz w:val="22"/>
          <w:szCs w:val="22"/>
          <w:shd w:val="clear" w:color="auto" w:fill="FFFFFF" w:themeFill="background1"/>
          <w:lang w:bidi="en-US"/>
        </w:rPr>
        <w:t>5</w:t>
      </w:r>
      <w:r w:rsidR="00F240BE">
        <w:rPr>
          <w:color w:val="auto"/>
          <w:sz w:val="22"/>
          <w:szCs w:val="22"/>
          <w:shd w:val="clear" w:color="auto" w:fill="FFFFFF" w:themeFill="background1"/>
          <w:lang w:bidi="en-US"/>
        </w:rPr>
        <w:t>6</w:t>
      </w:r>
      <w:r w:rsidRPr="00720D91">
        <w:rPr>
          <w:color w:val="auto"/>
          <w:sz w:val="22"/>
          <w:szCs w:val="22"/>
          <w:shd w:val="clear" w:color="auto" w:fill="FFFFFF" w:themeFill="background1"/>
          <w:lang w:bidi="en-US"/>
        </w:rPr>
        <w:t>. Le DH-SYSC note que la Cour a jugé qu'une requête interétatique ne prive pas les requérants individuels de la possibilité d'introduire ou de poursuivre leurs propres demandes.</w:t>
      </w:r>
      <w:r w:rsidRPr="00720D91">
        <w:rPr>
          <w:sz w:val="22"/>
          <w:szCs w:val="22"/>
        </w:rPr>
        <w:t xml:space="preserve"> </w:t>
      </w:r>
      <w:r w:rsidRPr="00720D91">
        <w:rPr>
          <w:rStyle w:val="FootnoteReference"/>
          <w:sz w:val="22"/>
          <w:szCs w:val="22"/>
        </w:rPr>
        <w:footnoteReference w:id="76"/>
      </w:r>
      <w:r w:rsidRPr="00720D91">
        <w:rPr>
          <w:color w:val="auto"/>
          <w:sz w:val="22"/>
          <w:szCs w:val="22"/>
          <w:shd w:val="clear" w:color="auto" w:fill="FFFFFF" w:themeFill="background1"/>
          <w:lang w:bidi="en-US"/>
        </w:rPr>
        <w:t xml:space="preserve">  Selon la pratique récente de la Cour en matière de priorisation, lorsqu'une affaire interétatique est pendante, les requêtes individuelles soulevant les mêmes questions ou découlant des mêmes circonstances sous-jacentes ne sont, en principe et dans la mesure du possible, pas tranchées avant que les questions primordiales découlant de la procédure interétatique aient été déterminées dans l'affaire interétatique.</w:t>
      </w:r>
      <w:r w:rsidRPr="00720D91">
        <w:rPr>
          <w:rStyle w:val="FootnoteReference"/>
          <w:sz w:val="22"/>
          <w:szCs w:val="22"/>
        </w:rPr>
        <w:footnoteReference w:id="77"/>
      </w:r>
      <w:r w:rsidRPr="00720D91">
        <w:rPr>
          <w:sz w:val="22"/>
          <w:szCs w:val="22"/>
        </w:rPr>
        <w:t xml:space="preserve"> </w:t>
      </w:r>
      <w:r w:rsidRPr="00720D91">
        <w:rPr>
          <w:color w:val="auto"/>
          <w:sz w:val="22"/>
          <w:szCs w:val="22"/>
          <w:shd w:val="clear" w:color="auto" w:fill="FFFFFF" w:themeFill="background1"/>
          <w:lang w:bidi="en-US"/>
        </w:rPr>
        <w:t>Cela ne signifie pas que la Cour met ces affaires de côté. Au contraire, la Cour identifie et examine de manière systématique les requêtes individuelles relatives aux affaires interétatiques en parallèle avec les requêtes interétatiques ainsi que les requêtes individuelles relatives aux affaires ou conflits interétatiques (en l'absence d'affaires interétatiques) et peut prendre les décisions qu'elle juge appropriées telles que déclarer irrecevables celles qui sont manifestement mal fondées.</w:t>
      </w:r>
      <w:r w:rsidRPr="00720D91">
        <w:rPr>
          <w:rStyle w:val="FootnoteReference"/>
          <w:sz w:val="22"/>
          <w:szCs w:val="22"/>
        </w:rPr>
        <w:footnoteReference w:id="78"/>
      </w:r>
      <w:r w:rsidRPr="00720D91">
        <w:rPr>
          <w:sz w:val="22"/>
          <w:szCs w:val="22"/>
        </w:rPr>
        <w:t xml:space="preserve"> </w:t>
      </w:r>
    </w:p>
    <w:p w14:paraId="1E6DB206" w14:textId="77777777" w:rsidR="00F331F8" w:rsidRPr="00720D91" w:rsidRDefault="00F331F8" w:rsidP="00971933">
      <w:pPr>
        <w:pStyle w:val="Default"/>
        <w:ind w:firstLine="426"/>
        <w:jc w:val="both"/>
        <w:rPr>
          <w:sz w:val="22"/>
          <w:szCs w:val="22"/>
        </w:rPr>
      </w:pPr>
    </w:p>
    <w:p w14:paraId="715349DF" w14:textId="33926038" w:rsidR="00F331F8" w:rsidRPr="00720D91" w:rsidRDefault="00F331F8" w:rsidP="00971933">
      <w:pPr>
        <w:pStyle w:val="Default"/>
        <w:shd w:val="clear" w:color="auto" w:fill="FFFFFF" w:themeFill="background1"/>
        <w:ind w:firstLine="426"/>
        <w:jc w:val="both"/>
        <w:rPr>
          <w:color w:val="auto"/>
          <w:sz w:val="22"/>
          <w:szCs w:val="22"/>
          <w:shd w:val="clear" w:color="auto" w:fill="FFFFFF" w:themeFill="background1"/>
          <w:lang w:bidi="en-US"/>
        </w:rPr>
      </w:pPr>
      <w:r w:rsidRPr="00720D91">
        <w:rPr>
          <w:sz w:val="22"/>
          <w:szCs w:val="22"/>
        </w:rPr>
        <w:t>5</w:t>
      </w:r>
      <w:r w:rsidR="00F240BE">
        <w:rPr>
          <w:sz w:val="22"/>
          <w:szCs w:val="22"/>
        </w:rPr>
        <w:t>7</w:t>
      </w:r>
      <w:r w:rsidRPr="00720D91">
        <w:rPr>
          <w:sz w:val="22"/>
          <w:szCs w:val="22"/>
        </w:rPr>
        <w:t xml:space="preserve">. Récemment, la Cour a également décidé que toutes les requêtes individuelles liées à des affaires interétatiques qui n'ont pas été déclarées irrecevables ou radiées dès le départ devaient être communiquées au(x) gouvernement(s) défendeur(s) approprié(s) pour observations, parallèlement à l'affaire interétatique. Après avoir reçu les observations en réponse des gouvernements et des requérants, la Cour a l'intention d'enregistrer un ajournement pour chaque affaire, dans l'attente d'un arrêt dans l'affaire interétatique, afin que </w:t>
      </w:r>
      <w:r w:rsidRPr="00720D91">
        <w:rPr>
          <w:sz w:val="22"/>
          <w:szCs w:val="22"/>
        </w:rPr>
        <w:lastRenderedPageBreak/>
        <w:t xml:space="preserve">les dossiers soient complets et prêts pour une décision ou un arrêt dès que possible par la suite. </w:t>
      </w:r>
      <w:r w:rsidRPr="00720D91">
        <w:rPr>
          <w:rStyle w:val="FootnoteReference"/>
          <w:sz w:val="22"/>
          <w:szCs w:val="22"/>
        </w:rPr>
        <w:footnoteReference w:id="79"/>
      </w:r>
      <w:r w:rsidRPr="00720D91">
        <w:rPr>
          <w:sz w:val="22"/>
          <w:szCs w:val="22"/>
        </w:rPr>
        <w:t xml:space="preserve"> </w:t>
      </w:r>
    </w:p>
    <w:p w14:paraId="2345EAF9" w14:textId="77777777" w:rsidR="00F331F8" w:rsidRPr="00720D91" w:rsidRDefault="00F331F8" w:rsidP="00971933">
      <w:pPr>
        <w:pStyle w:val="Default"/>
        <w:shd w:val="clear" w:color="auto" w:fill="FFFFFF" w:themeFill="background1"/>
        <w:jc w:val="both"/>
        <w:rPr>
          <w:b/>
          <w:color w:val="FF0000"/>
          <w:sz w:val="22"/>
          <w:szCs w:val="22"/>
          <w:lang w:bidi="en-US"/>
        </w:rPr>
      </w:pPr>
    </w:p>
    <w:p w14:paraId="4C5408C8" w14:textId="446E698B" w:rsidR="00F331F8" w:rsidRPr="00720D91" w:rsidRDefault="00F331F8" w:rsidP="00971933">
      <w:pPr>
        <w:pStyle w:val="Default"/>
        <w:shd w:val="clear" w:color="auto" w:fill="FFFFFF" w:themeFill="background1"/>
        <w:ind w:firstLine="426"/>
        <w:jc w:val="both"/>
        <w:rPr>
          <w:sz w:val="22"/>
          <w:szCs w:val="22"/>
        </w:rPr>
      </w:pPr>
      <w:r w:rsidRPr="00720D91">
        <w:rPr>
          <w:bCs/>
          <w:color w:val="auto"/>
          <w:sz w:val="22"/>
          <w:szCs w:val="22"/>
          <w:lang w:bidi="en-US"/>
        </w:rPr>
        <w:t>5</w:t>
      </w:r>
      <w:r w:rsidR="00F240BE">
        <w:rPr>
          <w:bCs/>
          <w:color w:val="auto"/>
          <w:sz w:val="22"/>
          <w:szCs w:val="22"/>
          <w:lang w:bidi="en-US"/>
        </w:rPr>
        <w:t>8</w:t>
      </w:r>
      <w:r w:rsidRPr="00720D91">
        <w:rPr>
          <w:bCs/>
          <w:color w:val="auto"/>
          <w:sz w:val="22"/>
          <w:szCs w:val="22"/>
          <w:lang w:bidi="en-US"/>
        </w:rPr>
        <w:t xml:space="preserve">. D'autres pratiques de la Cour qui cherche à accroître l'efficacité dans le traitement des requêtes interétatiques concernent l'ajustement de ce traitement en fonction de critères géographiques ou temporels ou des questions juridiques soulevées. </w:t>
      </w:r>
      <w:r w:rsidRPr="00720D91">
        <w:rPr>
          <w:rStyle w:val="FootnoteReference"/>
          <w:sz w:val="22"/>
          <w:szCs w:val="22"/>
        </w:rPr>
        <w:footnoteReference w:id="80"/>
      </w:r>
      <w:r w:rsidRPr="00720D91">
        <w:rPr>
          <w:bCs/>
          <w:color w:val="auto"/>
          <w:sz w:val="22"/>
          <w:szCs w:val="22"/>
          <w:lang w:bidi="en-US"/>
        </w:rPr>
        <w:t xml:space="preserve"> La Cour a décidé de joindre à la requête interétatique </w:t>
      </w:r>
      <w:r w:rsidRPr="00720D91">
        <w:rPr>
          <w:bCs/>
          <w:i/>
          <w:iCs/>
          <w:color w:val="auto"/>
          <w:sz w:val="22"/>
          <w:szCs w:val="22"/>
          <w:lang w:bidi="en-US"/>
        </w:rPr>
        <w:t>Ukraine c. Russie (Ukraine de l’Est),</w:t>
      </w:r>
      <w:r w:rsidRPr="00720D91">
        <w:rPr>
          <w:bCs/>
          <w:color w:val="auto"/>
          <w:sz w:val="22"/>
          <w:szCs w:val="22"/>
          <w:lang w:bidi="en-US"/>
        </w:rPr>
        <w:t xml:space="preserve"> n° 8019/16, deux requêtes interétatiques, </w:t>
      </w:r>
      <w:r w:rsidRPr="00720D91">
        <w:rPr>
          <w:bCs/>
          <w:i/>
          <w:iCs/>
          <w:color w:val="auto"/>
          <w:sz w:val="22"/>
          <w:szCs w:val="22"/>
          <w:lang w:bidi="en-US"/>
        </w:rPr>
        <w:t>Ukraine c. Russie (II),</w:t>
      </w:r>
      <w:r w:rsidRPr="00720D91">
        <w:rPr>
          <w:bCs/>
          <w:color w:val="auto"/>
          <w:sz w:val="22"/>
          <w:szCs w:val="22"/>
          <w:lang w:bidi="en-US"/>
        </w:rPr>
        <w:t xml:space="preserve"> n° 43800/14, et Pays-Bas c. Russie, n°281999/16. 43800/14, et Pays-Bas c. Russie, n° 28525/20, qui étaient pendantes devant une chambre. Cette décision a été prise conformément aux articles 42 § 1 et 71 § 1 du Règlement de la Cour dans l'intérêt d'une administration efficace de la justice.</w:t>
      </w:r>
      <w:r w:rsidRPr="00720D91">
        <w:rPr>
          <w:sz w:val="22"/>
          <w:szCs w:val="22"/>
        </w:rPr>
        <w:t xml:space="preserve"> </w:t>
      </w:r>
      <w:r w:rsidRPr="00720D91">
        <w:rPr>
          <w:rStyle w:val="FootnoteReference"/>
          <w:sz w:val="22"/>
          <w:szCs w:val="22"/>
        </w:rPr>
        <w:footnoteReference w:id="81"/>
      </w:r>
      <w:r w:rsidRPr="00720D91">
        <w:rPr>
          <w:sz w:val="22"/>
          <w:szCs w:val="22"/>
          <w:vertAlign w:val="superscript"/>
        </w:rPr>
        <w:t xml:space="preserve"> </w:t>
      </w:r>
      <w:r w:rsidRPr="00720D91">
        <w:rPr>
          <w:bCs/>
          <w:color w:val="auto"/>
          <w:sz w:val="22"/>
          <w:szCs w:val="22"/>
          <w:lang w:bidi="en-US"/>
        </w:rPr>
        <w:t xml:space="preserve"> Dans une autre affaire interétatique, la Cour a disséqué l'objet de la requête (à savoir l'allégation spécifique de l'existence d'un ensemble de violations des droits de l'homme) en le distinguant des questions relatives à des événements spécifiques qu'elle a considérés comme ne constituant pas un élément essentiel de la base factuelle et probante, n'ayant pas de rapport matériel direct avec la question à trancher par la Cour ou ne constituant pas l'objet du litige devant la Cour.</w:t>
      </w:r>
      <w:r w:rsidRPr="00720D91">
        <w:rPr>
          <w:sz w:val="22"/>
          <w:szCs w:val="22"/>
        </w:rPr>
        <w:t xml:space="preserve"> </w:t>
      </w:r>
      <w:r w:rsidRPr="00720D91">
        <w:rPr>
          <w:rStyle w:val="FootnoteReference"/>
          <w:sz w:val="22"/>
          <w:szCs w:val="22"/>
        </w:rPr>
        <w:footnoteReference w:id="82"/>
      </w:r>
      <w:r w:rsidRPr="00720D91">
        <w:rPr>
          <w:bCs/>
          <w:color w:val="auto"/>
          <w:sz w:val="22"/>
          <w:szCs w:val="22"/>
          <w:lang w:bidi="en-US"/>
        </w:rPr>
        <w:t xml:space="preserve">  En outre, la Cour a estimé que ces événements spécifiques faisaient l'objet d'un certain nombre de requêtes individuelles pendantes devant la Cour. </w:t>
      </w:r>
      <w:r w:rsidRPr="00720D91">
        <w:rPr>
          <w:rStyle w:val="FootnoteReference"/>
          <w:sz w:val="22"/>
          <w:szCs w:val="22"/>
        </w:rPr>
        <w:footnoteReference w:id="83"/>
      </w:r>
      <w:r w:rsidRPr="00720D91">
        <w:rPr>
          <w:sz w:val="22"/>
          <w:szCs w:val="22"/>
        </w:rPr>
        <w:t xml:space="preserve">   </w:t>
      </w:r>
    </w:p>
    <w:p w14:paraId="4EE1AE95" w14:textId="77777777" w:rsidR="00F331F8" w:rsidRPr="00720D91" w:rsidRDefault="00F331F8" w:rsidP="00971933">
      <w:pPr>
        <w:pStyle w:val="Default"/>
        <w:shd w:val="clear" w:color="auto" w:fill="FFFFFF" w:themeFill="background1"/>
        <w:ind w:firstLine="426"/>
        <w:jc w:val="both"/>
        <w:rPr>
          <w:sz w:val="22"/>
          <w:szCs w:val="22"/>
        </w:rPr>
      </w:pPr>
    </w:p>
    <w:p w14:paraId="42F3605F" w14:textId="0C9B8DB1" w:rsidR="00F331F8" w:rsidRPr="00720D91" w:rsidRDefault="00F331F8" w:rsidP="00971933">
      <w:pPr>
        <w:pStyle w:val="Default"/>
        <w:shd w:val="clear" w:color="auto" w:fill="FFFFFF" w:themeFill="background1"/>
        <w:ind w:firstLine="426"/>
        <w:jc w:val="both"/>
        <w:rPr>
          <w:bCs/>
          <w:color w:val="auto"/>
          <w:sz w:val="22"/>
          <w:szCs w:val="22"/>
        </w:rPr>
      </w:pPr>
      <w:r w:rsidRPr="00720D91">
        <w:rPr>
          <w:sz w:val="22"/>
          <w:szCs w:val="22"/>
        </w:rPr>
        <w:t>5</w:t>
      </w:r>
      <w:r w:rsidR="00F240BE">
        <w:rPr>
          <w:sz w:val="22"/>
          <w:szCs w:val="22"/>
        </w:rPr>
        <w:t>9</w:t>
      </w:r>
      <w:r w:rsidRPr="00720D91">
        <w:rPr>
          <w:sz w:val="22"/>
          <w:szCs w:val="22"/>
        </w:rPr>
        <w:t xml:space="preserve">. Le DH-SYSC prend note des pratiques de la Cour en matière de priorisation des affaires interétatiques et d'ajournement des requêtes individuelles parallèles ainsi que des pratiques évolutives d'ajustement du traitement des affaires interétatiques en fonction de critères géographiques ou temporels ou des questions juridiques soulevées. </w:t>
      </w:r>
      <w:r w:rsidR="00B41728">
        <w:rPr>
          <w:sz w:val="22"/>
          <w:szCs w:val="22"/>
        </w:rPr>
        <w:t>Le DH-SYSC-IV</w:t>
      </w:r>
      <w:r w:rsidRPr="00720D91">
        <w:rPr>
          <w:sz w:val="22"/>
          <w:szCs w:val="22"/>
        </w:rPr>
        <w:t xml:space="preserve"> continuera d'examiner</w:t>
      </w:r>
      <w:r w:rsidR="00B41728">
        <w:rPr>
          <w:sz w:val="22"/>
          <w:szCs w:val="22"/>
        </w:rPr>
        <w:t>, sous l’autorité du DH-SYSC,</w:t>
      </w:r>
      <w:r w:rsidRPr="00720D91">
        <w:rPr>
          <w:sz w:val="22"/>
          <w:szCs w:val="22"/>
        </w:rPr>
        <w:t xml:space="preserve"> l'opportunité de formaliser ces pratiques et d'étudier la question de l'échange de positions concernant les requêtes individuelles pendant la période précédant le prononcé d'une décision sur la recevabilité ou d'un arrêt sur le fond d'une affaire interétatique liée.</w:t>
      </w:r>
    </w:p>
    <w:p w14:paraId="0DC4F8FA" w14:textId="77777777" w:rsidR="00F331F8" w:rsidRPr="00720D91" w:rsidRDefault="00F331F8" w:rsidP="00971933">
      <w:pPr>
        <w:pStyle w:val="Default"/>
        <w:shd w:val="clear" w:color="auto" w:fill="FFFFFF" w:themeFill="background1"/>
        <w:jc w:val="both"/>
        <w:rPr>
          <w:b/>
          <w:color w:val="FF0000"/>
          <w:sz w:val="22"/>
          <w:szCs w:val="22"/>
          <w:shd w:val="clear" w:color="auto" w:fill="D9D9D9" w:themeFill="background1" w:themeFillShade="D9"/>
          <w:lang w:bidi="en-US"/>
        </w:rPr>
      </w:pPr>
      <w:r w:rsidRPr="00720D91">
        <w:rPr>
          <w:b/>
          <w:color w:val="FF0000"/>
          <w:sz w:val="22"/>
          <w:szCs w:val="22"/>
          <w:shd w:val="clear" w:color="auto" w:fill="D9D9D9" w:themeFill="background1" w:themeFillShade="D9"/>
          <w:lang w:bidi="en-US"/>
        </w:rPr>
        <w:t xml:space="preserve"> </w:t>
      </w:r>
    </w:p>
    <w:p w14:paraId="589047D7" w14:textId="190E8355" w:rsidR="00F331F8" w:rsidRPr="00720D91" w:rsidRDefault="00F240BE" w:rsidP="00971933">
      <w:pPr>
        <w:pStyle w:val="NoSpacing"/>
        <w:ind w:firstLine="426"/>
        <w:jc w:val="both"/>
        <w:rPr>
          <w:rFonts w:ascii="Arial" w:hAnsi="Arial" w:cs="Arial"/>
          <w:sz w:val="22"/>
          <w:szCs w:val="22"/>
        </w:rPr>
      </w:pPr>
      <w:r>
        <w:rPr>
          <w:rFonts w:ascii="Arial" w:hAnsi="Arial" w:cs="Arial"/>
          <w:sz w:val="22"/>
          <w:szCs w:val="22"/>
        </w:rPr>
        <w:t>60</w:t>
      </w:r>
      <w:r w:rsidR="00F331F8" w:rsidRPr="00720D91">
        <w:rPr>
          <w:rFonts w:ascii="Arial" w:hAnsi="Arial" w:cs="Arial"/>
          <w:sz w:val="22"/>
          <w:szCs w:val="22"/>
        </w:rPr>
        <w:t xml:space="preserve">. </w:t>
      </w:r>
      <w:r w:rsidR="00F331F8" w:rsidRPr="00720D91">
        <w:rPr>
          <w:rFonts w:ascii="Arial" w:hAnsi="Arial" w:cs="Arial"/>
          <w:b/>
          <w:bCs/>
          <w:i/>
          <w:iCs/>
          <w:sz w:val="22"/>
          <w:szCs w:val="22"/>
        </w:rPr>
        <w:t>Deuxièmement</w:t>
      </w:r>
      <w:r w:rsidR="00F331F8" w:rsidRPr="00720D91">
        <w:rPr>
          <w:rFonts w:ascii="Arial" w:hAnsi="Arial" w:cs="Arial"/>
          <w:sz w:val="22"/>
          <w:szCs w:val="22"/>
        </w:rPr>
        <w:t xml:space="preserve">, une question se pose quant aux </w:t>
      </w:r>
      <w:r w:rsidR="00F331F8" w:rsidRPr="00720D91">
        <w:rPr>
          <w:rFonts w:ascii="Arial" w:hAnsi="Arial" w:cs="Arial"/>
          <w:b/>
          <w:sz w:val="22"/>
          <w:szCs w:val="22"/>
        </w:rPr>
        <w:t xml:space="preserve">risques potentiels de duplication et d'incohérence </w:t>
      </w:r>
      <w:r w:rsidR="00F331F8" w:rsidRPr="00720D91">
        <w:rPr>
          <w:rFonts w:ascii="Arial" w:hAnsi="Arial" w:cs="Arial"/>
          <w:sz w:val="22"/>
          <w:szCs w:val="22"/>
        </w:rPr>
        <w:t>découlant du traitement en parallèle de requêtes interétatiques et individuelles introduites en rapport avec les mêmes événements.</w:t>
      </w:r>
      <w:r w:rsidR="00F331F8" w:rsidRPr="00720D91">
        <w:rPr>
          <w:rFonts w:ascii="Arial" w:hAnsi="Arial" w:cs="Arial"/>
          <w:sz w:val="22"/>
          <w:szCs w:val="22"/>
          <w:vertAlign w:val="superscript"/>
        </w:rPr>
        <w:footnoteReference w:id="84"/>
      </w:r>
      <w:r w:rsidR="00F331F8" w:rsidRPr="00720D91">
        <w:rPr>
          <w:rFonts w:ascii="Arial" w:hAnsi="Arial" w:cs="Arial"/>
          <w:sz w:val="22"/>
          <w:szCs w:val="22"/>
        </w:rPr>
        <w:t xml:space="preserve"> </w:t>
      </w:r>
    </w:p>
    <w:p w14:paraId="3220E5B6" w14:textId="77777777" w:rsidR="00F331F8" w:rsidRPr="00720D91" w:rsidRDefault="00F331F8" w:rsidP="00971933">
      <w:pPr>
        <w:pStyle w:val="NoSpacing"/>
        <w:ind w:firstLine="426"/>
        <w:jc w:val="both"/>
        <w:rPr>
          <w:rFonts w:ascii="Arial" w:hAnsi="Arial" w:cs="Arial"/>
          <w:sz w:val="22"/>
          <w:szCs w:val="22"/>
        </w:rPr>
      </w:pPr>
    </w:p>
    <w:p w14:paraId="33195275" w14:textId="5D44695E" w:rsidR="00F331F8" w:rsidRPr="00720D91" w:rsidRDefault="00F331F8" w:rsidP="00971933">
      <w:pPr>
        <w:pStyle w:val="NoSpacing"/>
        <w:ind w:firstLine="426"/>
        <w:jc w:val="both"/>
        <w:rPr>
          <w:rFonts w:ascii="Arial" w:hAnsi="Arial" w:cs="Arial"/>
          <w:sz w:val="22"/>
          <w:szCs w:val="22"/>
        </w:rPr>
      </w:pPr>
      <w:r w:rsidRPr="00720D91">
        <w:rPr>
          <w:rFonts w:ascii="Arial" w:hAnsi="Arial" w:cs="Arial"/>
          <w:sz w:val="22"/>
          <w:szCs w:val="22"/>
        </w:rPr>
        <w:t>6</w:t>
      </w:r>
      <w:r w:rsidR="00F240BE">
        <w:rPr>
          <w:rFonts w:ascii="Arial" w:hAnsi="Arial" w:cs="Arial"/>
          <w:sz w:val="22"/>
          <w:szCs w:val="22"/>
        </w:rPr>
        <w:t>1</w:t>
      </w:r>
      <w:r w:rsidRPr="00720D91">
        <w:rPr>
          <w:rFonts w:ascii="Arial" w:hAnsi="Arial" w:cs="Arial"/>
          <w:sz w:val="22"/>
          <w:szCs w:val="22"/>
        </w:rPr>
        <w:t>. La Convention n'implique une interdiction de la « double peine de l'État [défendeur] » que dans la mesure où, en vertu de l'article 35 § 2 b) de la Convention, la Cour ne peut connaître d'une requête individuelle qui « est essentiellement la même qu'une affaire déjà examinée par la Cour ou déjà soumise à une autre instance internationale d'enquête ou de règlement et qui ne contient aucun élément nouveau pertinent »</w:t>
      </w:r>
      <w:r w:rsidRPr="00720D91">
        <w:rPr>
          <w:rFonts w:ascii="Arial" w:hAnsi="Arial" w:cs="Arial"/>
          <w:sz w:val="22"/>
          <w:szCs w:val="22"/>
          <w:vertAlign w:val="superscript"/>
        </w:rPr>
        <w:footnoteReference w:id="85"/>
      </w:r>
      <w:r w:rsidRPr="00720D91">
        <w:rPr>
          <w:rFonts w:ascii="Arial" w:hAnsi="Arial" w:cs="Arial"/>
          <w:sz w:val="22"/>
          <w:szCs w:val="22"/>
        </w:rPr>
        <w:t xml:space="preserve">. Pour qu'une requête soit « substantiellement la même », la Cour examine si les deux requêtes dont elle est saisie par les requérants portent essentiellement sur les mêmes personnes, les mêmes faits et les mêmes </w:t>
      </w:r>
      <w:r w:rsidRPr="00720D91">
        <w:rPr>
          <w:rFonts w:ascii="Arial" w:hAnsi="Arial" w:cs="Arial"/>
          <w:sz w:val="22"/>
          <w:szCs w:val="22"/>
        </w:rPr>
        <w:lastRenderedPageBreak/>
        <w:t>griefs.</w:t>
      </w:r>
      <w:r w:rsidRPr="00720D91">
        <w:rPr>
          <w:rStyle w:val="FootnoteReference"/>
          <w:rFonts w:ascii="Arial" w:hAnsi="Arial" w:cs="Arial"/>
          <w:sz w:val="22"/>
          <w:szCs w:val="22"/>
        </w:rPr>
        <w:t xml:space="preserve"> </w:t>
      </w:r>
      <w:r w:rsidRPr="00720D91">
        <w:rPr>
          <w:rStyle w:val="FootnoteReference"/>
          <w:rFonts w:ascii="Arial" w:hAnsi="Arial" w:cs="Arial"/>
          <w:sz w:val="22"/>
          <w:szCs w:val="22"/>
        </w:rPr>
        <w:footnoteReference w:id="86"/>
      </w:r>
      <w:r w:rsidRPr="00720D91">
        <w:rPr>
          <w:rFonts w:ascii="Arial" w:hAnsi="Arial" w:cs="Arial"/>
          <w:sz w:val="22"/>
          <w:szCs w:val="22"/>
        </w:rPr>
        <w:t xml:space="preserve"> Pour l'examen de la deuxième branche de l'article 35 § 2 b), voir la section V/1 ci-dessous.</w:t>
      </w:r>
    </w:p>
    <w:p w14:paraId="6D7D1616" w14:textId="77777777" w:rsidR="00F331F8" w:rsidRPr="00720D91" w:rsidRDefault="00F331F8" w:rsidP="00971933">
      <w:pPr>
        <w:pStyle w:val="NoSpacing"/>
        <w:jc w:val="both"/>
        <w:rPr>
          <w:rFonts w:ascii="Arial" w:hAnsi="Arial" w:cs="Arial"/>
          <w:sz w:val="22"/>
          <w:szCs w:val="22"/>
        </w:rPr>
      </w:pPr>
      <w:r w:rsidRPr="00720D91">
        <w:rPr>
          <w:rFonts w:ascii="Arial" w:hAnsi="Arial" w:cs="Arial"/>
          <w:sz w:val="22"/>
          <w:szCs w:val="22"/>
        </w:rPr>
        <w:t xml:space="preserve"> </w:t>
      </w:r>
    </w:p>
    <w:p w14:paraId="72C5440C" w14:textId="09E9FA78" w:rsidR="00F331F8" w:rsidRPr="00F331F8" w:rsidRDefault="00F331F8" w:rsidP="00971933">
      <w:pPr>
        <w:spacing w:after="240" w:line="240" w:lineRule="auto"/>
        <w:ind w:firstLine="426"/>
        <w:jc w:val="both"/>
        <w:rPr>
          <w:rFonts w:ascii="Arial" w:hAnsi="Arial" w:cs="Arial"/>
          <w:lang w:val="fr-FR"/>
        </w:rPr>
      </w:pPr>
      <w:r w:rsidRPr="00F331F8">
        <w:rPr>
          <w:rFonts w:ascii="Arial" w:hAnsi="Arial" w:cs="Arial"/>
          <w:lang w:val="fr-FR"/>
        </w:rPr>
        <w:t>6</w:t>
      </w:r>
      <w:r w:rsidR="00F240BE">
        <w:rPr>
          <w:rFonts w:ascii="Arial" w:hAnsi="Arial" w:cs="Arial"/>
          <w:lang w:val="fr-FR"/>
        </w:rPr>
        <w:t>2</w:t>
      </w:r>
      <w:r w:rsidRPr="00F331F8">
        <w:rPr>
          <w:rFonts w:ascii="Arial" w:hAnsi="Arial" w:cs="Arial"/>
          <w:lang w:val="fr-FR"/>
        </w:rPr>
        <w:t>. Les pratiques de la Cour, expliquée au</w:t>
      </w:r>
      <w:r w:rsidR="000C031E">
        <w:rPr>
          <w:rFonts w:ascii="Arial" w:hAnsi="Arial" w:cs="Arial"/>
          <w:lang w:val="fr-FR"/>
        </w:rPr>
        <w:t>x</w:t>
      </w:r>
      <w:r w:rsidRPr="00F331F8">
        <w:rPr>
          <w:rFonts w:ascii="Arial" w:hAnsi="Arial" w:cs="Arial"/>
          <w:lang w:val="fr-FR"/>
        </w:rPr>
        <w:t xml:space="preserve"> paragraphes 53 et 55 ci-dessus, vise à éviter les risques de duplication et les incohérences potentiels et à gérer les ressources de manière plus efficace. </w:t>
      </w:r>
    </w:p>
    <w:p w14:paraId="14D07C85" w14:textId="105F36BD" w:rsidR="00F331F8" w:rsidRPr="00F331F8" w:rsidRDefault="00F331F8" w:rsidP="00971933">
      <w:pPr>
        <w:spacing w:after="240" w:line="240" w:lineRule="auto"/>
        <w:ind w:firstLine="426"/>
        <w:jc w:val="both"/>
        <w:rPr>
          <w:rFonts w:ascii="Arial" w:hAnsi="Arial" w:cs="Arial"/>
          <w:lang w:val="fr-FR"/>
        </w:rPr>
      </w:pPr>
      <w:r w:rsidRPr="00F331F8">
        <w:rPr>
          <w:rFonts w:ascii="Arial" w:hAnsi="Arial" w:cs="Arial"/>
          <w:lang w:val="fr-FR"/>
        </w:rPr>
        <w:t>6</w:t>
      </w:r>
      <w:r w:rsidR="00F240BE">
        <w:rPr>
          <w:rFonts w:ascii="Arial" w:hAnsi="Arial" w:cs="Arial"/>
          <w:lang w:val="fr-FR"/>
        </w:rPr>
        <w:t>3</w:t>
      </w:r>
      <w:r w:rsidRPr="00F331F8">
        <w:rPr>
          <w:rFonts w:ascii="Arial" w:hAnsi="Arial" w:cs="Arial"/>
          <w:lang w:val="fr-FR"/>
        </w:rPr>
        <w:t xml:space="preserve">. En outre, la méthode de la Cour consistant à prendre en compte les constatations ou conclusions formulées dans le cadre de procédures interétatiques dans des requêtes individuelles connexes permet également d'éviter toute incohérence et duplication potentiels. Par exemple, comme il a été expliqué ci-dessus, un constat antérieur de pratique administrative contraire à la Convention peut rendre la règle de l'épuisement des voies de recours internes inapplicable à la fois aux requêtes interétatiques et individuelles (voir paragraphe 41 ci-dessus). L'établissement de l'existence d'une pratique administrative dans une affaire interétatique peut également avoir une incidence sur l'examen ultérieur par la Cour de la charge de la preuve dans les requêtes individuelles portant sur le même objet. Il semble que la Cour, dans l'affaire </w:t>
      </w:r>
      <w:r w:rsidRPr="00F331F8">
        <w:rPr>
          <w:rFonts w:ascii="Arial" w:hAnsi="Arial" w:cs="Arial"/>
          <w:i/>
          <w:lang w:val="fr-FR"/>
        </w:rPr>
        <w:t>Berdzenishvili et autres c. Russie</w:t>
      </w:r>
      <w:r w:rsidRPr="00F331F8">
        <w:rPr>
          <w:rFonts w:ascii="Arial" w:hAnsi="Arial" w:cs="Arial"/>
          <w:lang w:val="fr-FR"/>
        </w:rPr>
        <w:t xml:space="preserve">, ayant précédemment conclu dans l'affaire interétatique </w:t>
      </w:r>
      <w:r w:rsidRPr="00F331F8">
        <w:rPr>
          <w:rStyle w:val="s6b621b36"/>
          <w:rFonts w:ascii="Arial" w:eastAsiaTheme="minorEastAsia" w:hAnsi="Arial" w:cs="Arial"/>
          <w:i/>
          <w:lang w:val="fr-FR"/>
        </w:rPr>
        <w:t xml:space="preserve">Géorgie c. </w:t>
      </w:r>
      <w:r w:rsidRPr="00F331F8">
        <w:rPr>
          <w:rStyle w:val="wordhighlighted"/>
          <w:rFonts w:ascii="Arial" w:hAnsi="Arial" w:cs="Arial"/>
          <w:i/>
          <w:lang w:val="fr-FR"/>
        </w:rPr>
        <w:t xml:space="preserve">Russie </w:t>
      </w:r>
      <w:r w:rsidRPr="00F331F8">
        <w:rPr>
          <w:rFonts w:ascii="Arial" w:hAnsi="Arial" w:cs="Arial"/>
          <w:lang w:val="fr-FR"/>
        </w:rPr>
        <w:t xml:space="preserve">à l'existence d'une pratique administrative, ait créé une présomption réfutable selon laquelle un requérant dans toute requête individuelle suivante portant sur le même sujet était concerné par la même pratique administrative. Par conséquent, dans ces situations, la Cour a renversé la charge de la preuve sur l'État défendeur. </w:t>
      </w:r>
      <w:r w:rsidRPr="00720D91">
        <w:rPr>
          <w:rStyle w:val="FootnoteReference"/>
          <w:rFonts w:ascii="Arial" w:hAnsi="Arial" w:cs="Arial"/>
        </w:rPr>
        <w:footnoteReference w:id="87"/>
      </w:r>
      <w:r w:rsidRPr="00F331F8">
        <w:rPr>
          <w:rFonts w:ascii="Arial" w:hAnsi="Arial" w:cs="Arial"/>
          <w:lang w:val="fr-FR"/>
        </w:rPr>
        <w:t xml:space="preserve"> </w:t>
      </w:r>
    </w:p>
    <w:p w14:paraId="1D45AD0C" w14:textId="01261140" w:rsidR="00F331F8" w:rsidRPr="00F331F8" w:rsidRDefault="00F331F8" w:rsidP="00971933">
      <w:pPr>
        <w:spacing w:after="240" w:line="240" w:lineRule="auto"/>
        <w:ind w:firstLine="426"/>
        <w:jc w:val="both"/>
        <w:rPr>
          <w:rFonts w:ascii="Arial" w:hAnsi="Arial" w:cs="Arial"/>
          <w:shd w:val="clear" w:color="auto" w:fill="FFFFFF" w:themeFill="background1"/>
          <w:lang w:val="fr-FR"/>
        </w:rPr>
      </w:pPr>
      <w:r w:rsidRPr="00F331F8">
        <w:rPr>
          <w:rFonts w:ascii="Arial" w:hAnsi="Arial" w:cs="Arial"/>
          <w:lang w:val="fr-FR"/>
        </w:rPr>
        <w:t>6</w:t>
      </w:r>
      <w:r w:rsidR="00F240BE">
        <w:rPr>
          <w:rFonts w:ascii="Arial" w:hAnsi="Arial" w:cs="Arial"/>
          <w:lang w:val="fr-FR"/>
        </w:rPr>
        <w:t>4</w:t>
      </w:r>
      <w:r w:rsidRPr="00F331F8">
        <w:rPr>
          <w:rFonts w:ascii="Arial" w:hAnsi="Arial" w:cs="Arial"/>
          <w:lang w:val="fr-FR"/>
        </w:rPr>
        <w:t>. Selon une opinion,</w:t>
      </w:r>
      <w:r w:rsidRPr="00720D91">
        <w:rPr>
          <w:rStyle w:val="FootnoteReference"/>
          <w:rFonts w:ascii="Arial" w:hAnsi="Arial" w:cs="Arial"/>
          <w:shd w:val="clear" w:color="auto" w:fill="FFFFFF" w:themeFill="background1"/>
        </w:rPr>
        <w:footnoteReference w:id="88"/>
      </w:r>
      <w:r w:rsidRPr="00F331F8">
        <w:rPr>
          <w:rFonts w:ascii="Arial" w:hAnsi="Arial" w:cs="Arial"/>
          <w:lang w:val="fr-FR"/>
        </w:rPr>
        <w:t xml:space="preserve"> une autre série de questions découlant des critères différents en matière de recevabilité dans les affaires interétatiques par rapport aux requêtes individuelles renvoie à des problèmes potentiels d'identification et de représentation des victimes présumées de violations de la Convention par </w:t>
      </w:r>
      <w:r w:rsidRPr="00F331F8">
        <w:rPr>
          <w:rFonts w:ascii="Arial" w:hAnsi="Arial" w:cs="Arial"/>
          <w:shd w:val="clear" w:color="auto" w:fill="FFFFFF" w:themeFill="background1"/>
          <w:lang w:val="fr-FR"/>
        </w:rPr>
        <w:t>l'État. Le DH-SYSC note toutefois que le critère de recevabilité consistant à prouver la qualité de victime n'est, en vertu de l'article 35 § 3 b), applicable qu'aux requêtes individuelles et non aux requêtes interétatiques (voir paragraphe 47 ci-dessus). En outre, la Cour a développé une pratique standard en ce qui concerne l'identification des victimes.</w:t>
      </w:r>
      <w:r w:rsidRPr="00720D91">
        <w:rPr>
          <w:rStyle w:val="FootnoteReference"/>
          <w:rFonts w:ascii="Arial" w:hAnsi="Arial" w:cs="Arial"/>
          <w:shd w:val="clear" w:color="auto" w:fill="FFFFFF" w:themeFill="background1"/>
        </w:rPr>
        <w:footnoteReference w:id="89"/>
      </w:r>
      <w:r w:rsidRPr="00F331F8">
        <w:rPr>
          <w:rFonts w:ascii="Arial" w:hAnsi="Arial" w:cs="Arial"/>
          <w:shd w:val="clear" w:color="auto" w:fill="FFFFFF" w:themeFill="background1"/>
          <w:lang w:val="fr-FR"/>
        </w:rPr>
        <w:t xml:space="preserve"> </w:t>
      </w:r>
    </w:p>
    <w:p w14:paraId="150C57B7" w14:textId="77777777" w:rsidR="00F331F8" w:rsidRPr="00F240BE" w:rsidRDefault="00F331F8" w:rsidP="00971933">
      <w:pPr>
        <w:pStyle w:val="Heading1"/>
        <w:spacing w:line="240" w:lineRule="auto"/>
        <w:jc w:val="both"/>
        <w:rPr>
          <w:rFonts w:ascii="Arial" w:hAnsi="Arial" w:cs="Arial"/>
          <w:lang w:val="fr-FR"/>
        </w:rPr>
      </w:pPr>
      <w:bookmarkStart w:id="26" w:name="_Toc86329781"/>
      <w:r w:rsidRPr="00F240BE">
        <w:rPr>
          <w:rFonts w:ascii="Arial" w:hAnsi="Arial" w:cs="Arial"/>
          <w:lang w:val="fr-FR"/>
        </w:rPr>
        <w:t>V. QUESTIONS RELATIVES À LA PLURALITÉ DES PROCÉDURES INTERNATIONALES</w:t>
      </w:r>
      <w:bookmarkEnd w:id="26"/>
    </w:p>
    <w:p w14:paraId="158DBD5B" w14:textId="77777777" w:rsidR="00F331F8" w:rsidRPr="00F331F8" w:rsidRDefault="00F331F8" w:rsidP="00971933">
      <w:pPr>
        <w:spacing w:line="240" w:lineRule="auto"/>
        <w:rPr>
          <w:lang w:val="fr-FR" w:eastAsia="en-GB"/>
        </w:rPr>
      </w:pPr>
    </w:p>
    <w:p w14:paraId="79A61689" w14:textId="6EA1484A" w:rsidR="00F331F8" w:rsidRPr="00F331F8" w:rsidRDefault="00F331F8" w:rsidP="00971933">
      <w:pPr>
        <w:spacing w:after="240" w:line="240" w:lineRule="auto"/>
        <w:ind w:firstLine="426"/>
        <w:jc w:val="both"/>
        <w:rPr>
          <w:rFonts w:ascii="Arial" w:hAnsi="Arial" w:cs="Arial"/>
          <w:lang w:val="fr-FR"/>
        </w:rPr>
      </w:pPr>
      <w:r w:rsidRPr="00F331F8">
        <w:rPr>
          <w:rFonts w:ascii="Arial" w:hAnsi="Arial" w:cs="Arial"/>
          <w:lang w:val="fr-FR"/>
        </w:rPr>
        <w:t>6</w:t>
      </w:r>
      <w:r w:rsidR="00F240BE">
        <w:rPr>
          <w:rFonts w:ascii="Arial" w:hAnsi="Arial" w:cs="Arial"/>
          <w:lang w:val="fr-FR"/>
        </w:rPr>
        <w:t>5</w:t>
      </w:r>
      <w:r w:rsidRPr="00F331F8">
        <w:rPr>
          <w:rFonts w:ascii="Arial" w:hAnsi="Arial" w:cs="Arial"/>
          <w:lang w:val="fr-FR"/>
        </w:rPr>
        <w:t xml:space="preserve">. D’un point de vue conceptuel, les duplications ou </w:t>
      </w:r>
      <w:r w:rsidR="0059214A">
        <w:rPr>
          <w:rFonts w:ascii="Arial" w:hAnsi="Arial" w:cs="Arial"/>
          <w:lang w:val="fr-FR"/>
        </w:rPr>
        <w:t>conclusions</w:t>
      </w:r>
      <w:r w:rsidRPr="00F331F8">
        <w:rPr>
          <w:rFonts w:ascii="Arial" w:hAnsi="Arial" w:cs="Arial"/>
          <w:lang w:val="fr-FR"/>
        </w:rPr>
        <w:t xml:space="preserve"> contradictoires concernant des affaires relatives à des différends interétatiques peuvent se matérialiser dans deux scénarios principaux. Le premier concerne l'existence d'une requête individuelle relative à un différend interétatique devant la Cour et l'existence d'une affaire individuelle entre les mêmes parties, les mêmes faits et des revendications identiques ou similaires devant un autre mécanisme international de règlement des différends. Le second scénario concerne l'existence d'une affaire interétatique devant la Cour et d'une affaire interétatique entre les mêmes parties, sur les mêmes faits et portant sur des revendications identiques ou similaires devant un autre </w:t>
      </w:r>
      <w:r w:rsidRPr="00F331F8">
        <w:rPr>
          <w:rFonts w:ascii="Arial" w:hAnsi="Arial" w:cs="Arial"/>
          <w:lang w:val="fr-FR"/>
        </w:rPr>
        <w:lastRenderedPageBreak/>
        <w:t>mécanisme international de règlement des différends.</w:t>
      </w:r>
      <w:r w:rsidRPr="00F331F8">
        <w:rPr>
          <w:rStyle w:val="FootnoteReference"/>
          <w:rFonts w:ascii="Arial" w:hAnsi="Arial" w:cs="Arial"/>
          <w:lang w:val="fr-FR"/>
        </w:rPr>
        <w:t xml:space="preserve"> </w:t>
      </w:r>
      <w:r w:rsidRPr="00720D91">
        <w:rPr>
          <w:rStyle w:val="FootnoteReference"/>
          <w:rFonts w:ascii="Arial" w:hAnsi="Arial" w:cs="Arial"/>
        </w:rPr>
        <w:footnoteReference w:id="90"/>
      </w:r>
      <w:r w:rsidRPr="00F331F8">
        <w:rPr>
          <w:rFonts w:ascii="Arial" w:hAnsi="Arial" w:cs="Arial"/>
          <w:lang w:val="fr-FR"/>
        </w:rPr>
        <w:t xml:space="preserve"> Ces deux scénarios sont abordés sous l'angle des exigences applicables de la Convention, respectivement l'article 35 § 2 b) et l'article 55, ainsi que de la pratique de la Cour en la matière, en mettant en évidence, le cas échéant, les cas dans lesquels des questions de procédures internationales multiples ou parallèles se sont posées en pratique.  </w:t>
      </w:r>
    </w:p>
    <w:p w14:paraId="73BB74BC" w14:textId="77777777" w:rsidR="00F331F8" w:rsidRPr="0059073A" w:rsidRDefault="00F331F8" w:rsidP="00971933">
      <w:pPr>
        <w:pStyle w:val="Heading2"/>
        <w:numPr>
          <w:ilvl w:val="0"/>
          <w:numId w:val="3"/>
        </w:numPr>
        <w:spacing w:line="240" w:lineRule="auto"/>
        <w:ind w:left="1080" w:hanging="720"/>
        <w:rPr>
          <w:rFonts w:cs="Arial"/>
          <w:sz w:val="24"/>
          <w:szCs w:val="22"/>
          <w:lang w:val="fr-FR"/>
        </w:rPr>
      </w:pPr>
      <w:bookmarkStart w:id="27" w:name="_Toc86329782"/>
      <w:r w:rsidRPr="0059073A">
        <w:rPr>
          <w:rFonts w:cs="Arial"/>
          <w:sz w:val="24"/>
          <w:szCs w:val="22"/>
          <w:lang w:val="fr-FR"/>
        </w:rPr>
        <w:t>Requêtes individuelles liées aux conflits interétatiques soumises à la Cour et à une autre procédure internationale</w:t>
      </w:r>
      <w:bookmarkEnd w:id="27"/>
      <w:r w:rsidRPr="0059073A">
        <w:rPr>
          <w:rFonts w:cs="Arial"/>
          <w:sz w:val="24"/>
          <w:szCs w:val="22"/>
          <w:lang w:val="fr-FR"/>
        </w:rPr>
        <w:t xml:space="preserve"> </w:t>
      </w:r>
    </w:p>
    <w:p w14:paraId="797A50F2" w14:textId="77777777" w:rsidR="00F331F8" w:rsidRPr="00F331F8" w:rsidRDefault="00F331F8" w:rsidP="00971933">
      <w:pPr>
        <w:spacing w:line="240" w:lineRule="auto"/>
        <w:rPr>
          <w:lang w:val="fr-FR"/>
        </w:rPr>
      </w:pPr>
    </w:p>
    <w:p w14:paraId="64804F78" w14:textId="2D1DDF80" w:rsidR="00F331F8" w:rsidRPr="00F331F8" w:rsidRDefault="00F331F8" w:rsidP="00971933">
      <w:pPr>
        <w:spacing w:after="240" w:line="240" w:lineRule="auto"/>
        <w:ind w:firstLine="426"/>
        <w:jc w:val="both"/>
        <w:rPr>
          <w:rFonts w:ascii="Arial" w:hAnsi="Arial" w:cs="Arial"/>
          <w:lang w:val="fr-FR"/>
        </w:rPr>
      </w:pPr>
      <w:r w:rsidRPr="00F331F8">
        <w:rPr>
          <w:rFonts w:ascii="Arial" w:hAnsi="Arial" w:cs="Arial"/>
          <w:lang w:val="fr-FR"/>
        </w:rPr>
        <w:t>6</w:t>
      </w:r>
      <w:r w:rsidR="00F240BE">
        <w:rPr>
          <w:rFonts w:ascii="Arial" w:hAnsi="Arial" w:cs="Arial"/>
          <w:lang w:val="fr-FR"/>
        </w:rPr>
        <w:t>6</w:t>
      </w:r>
      <w:r w:rsidRPr="00F331F8">
        <w:rPr>
          <w:rFonts w:ascii="Arial" w:hAnsi="Arial" w:cs="Arial"/>
          <w:lang w:val="fr-FR"/>
        </w:rPr>
        <w:t>. La deuxième branche de l'</w:t>
      </w:r>
      <w:bookmarkStart w:id="28" w:name="_Hlk40350199"/>
      <w:r w:rsidRPr="00F331F8">
        <w:rPr>
          <w:rFonts w:ascii="Arial" w:hAnsi="Arial" w:cs="Arial"/>
          <w:lang w:val="fr-FR"/>
        </w:rPr>
        <w:t xml:space="preserve">article 35 § 2 b) </w:t>
      </w:r>
      <w:bookmarkEnd w:id="28"/>
      <w:r w:rsidRPr="00F331F8">
        <w:rPr>
          <w:rFonts w:ascii="Arial" w:hAnsi="Arial" w:cs="Arial"/>
          <w:lang w:val="fr-FR"/>
        </w:rPr>
        <w:t xml:space="preserve">prévoit que la Cour ne se saisit pas d'une requête individuelle lorsque celle-ci </w:t>
      </w:r>
      <w:bookmarkStart w:id="29" w:name="_Hlk40350226"/>
      <w:r w:rsidRPr="00F331F8">
        <w:rPr>
          <w:rFonts w:ascii="Arial" w:hAnsi="Arial" w:cs="Arial"/>
          <w:lang w:val="fr-FR"/>
        </w:rPr>
        <w:t>« a déjà été soumise à une autre instance internationale d'enquête ou de règlement</w:t>
      </w:r>
      <w:bookmarkEnd w:id="29"/>
      <w:r w:rsidRPr="00F331F8">
        <w:rPr>
          <w:rFonts w:ascii="Arial" w:hAnsi="Arial" w:cs="Arial"/>
          <w:lang w:val="fr-FR"/>
        </w:rPr>
        <w:t> ». Cette disposition vise à éviter une situation dans laquelle plusieurs instances internationales traiteraient simultanément de requêtes substantiellement identiques. Cela serait incompatible avec l'esprit et la lettre de la Convention, qui vise à éviter une pluralité de procédures internationales portant sur les mêmes affaires.</w:t>
      </w:r>
      <w:r w:rsidRPr="00720D91">
        <w:rPr>
          <w:rStyle w:val="FootnoteReference"/>
          <w:rFonts w:ascii="Arial" w:hAnsi="Arial" w:cs="Arial"/>
        </w:rPr>
        <w:footnoteReference w:id="91"/>
      </w:r>
      <w:r w:rsidRPr="00F331F8">
        <w:rPr>
          <w:rFonts w:ascii="Arial" w:hAnsi="Arial" w:cs="Arial"/>
          <w:lang w:val="fr-FR"/>
        </w:rPr>
        <w:t xml:space="preserve"> La Cour examine cette question d'office.</w:t>
      </w:r>
      <w:r w:rsidRPr="00720D91">
        <w:rPr>
          <w:rStyle w:val="FootnoteReference"/>
          <w:rFonts w:ascii="Arial" w:hAnsi="Arial" w:cs="Arial"/>
        </w:rPr>
        <w:footnoteReference w:id="92"/>
      </w:r>
      <w:r w:rsidRPr="00F331F8">
        <w:rPr>
          <w:rFonts w:ascii="Arial" w:hAnsi="Arial" w:cs="Arial"/>
          <w:lang w:val="fr-FR"/>
        </w:rPr>
        <w:t xml:space="preserve"> </w:t>
      </w:r>
      <w:r w:rsidRPr="00F331F8">
        <w:rPr>
          <w:rFonts w:ascii="Arial" w:hAnsi="Arial" w:cs="Arial"/>
          <w:color w:val="000000"/>
          <w:lang w:val="fr-FR"/>
        </w:rPr>
        <w:t>Pour déterminer si sa compétence est exclue en vertu de l'</w:t>
      </w:r>
      <w:r w:rsidRPr="00F331F8">
        <w:rPr>
          <w:rFonts w:ascii="Arial" w:hAnsi="Arial" w:cs="Arial"/>
          <w:lang w:val="fr-FR"/>
        </w:rPr>
        <w:t>article 35 § 2 b)</w:t>
      </w:r>
      <w:r w:rsidRPr="00F331F8">
        <w:rPr>
          <w:rFonts w:ascii="Arial" w:hAnsi="Arial" w:cs="Arial"/>
          <w:color w:val="000000"/>
          <w:lang w:val="fr-FR"/>
        </w:rPr>
        <w:t>, la Cour examine si l'affaire dont elle est saisie est substantiellement la même qu'une affaire qui a déjà été soumise à une procédure parallèle et, si tel est le cas, si la procédure simultanée peut être considérée comme « une autre instance internationale d'enquête ou de règlement » au sens de l'</w:t>
      </w:r>
      <w:r w:rsidRPr="00F331F8">
        <w:rPr>
          <w:rFonts w:ascii="Arial" w:hAnsi="Arial" w:cs="Arial"/>
          <w:lang w:val="fr-FR"/>
        </w:rPr>
        <w:t xml:space="preserve">article 35 § 2 b). </w:t>
      </w:r>
      <w:r w:rsidRPr="00720D91">
        <w:rPr>
          <w:rStyle w:val="FootnoteReference"/>
          <w:rFonts w:ascii="Arial" w:hAnsi="Arial" w:cs="Arial"/>
        </w:rPr>
        <w:footnoteReference w:id="93"/>
      </w:r>
    </w:p>
    <w:p w14:paraId="29759CAA" w14:textId="122378DC" w:rsidR="00F331F8" w:rsidRPr="00F331F8" w:rsidRDefault="00F331F8" w:rsidP="00971933">
      <w:pPr>
        <w:spacing w:after="240" w:line="240" w:lineRule="auto"/>
        <w:ind w:firstLine="426"/>
        <w:jc w:val="both"/>
        <w:rPr>
          <w:rStyle w:val="sb8d990e2"/>
          <w:rFonts w:ascii="Arial" w:eastAsiaTheme="majorEastAsia" w:hAnsi="Arial" w:cs="Arial"/>
          <w:color w:val="000000"/>
          <w:lang w:val="fr-FR"/>
        </w:rPr>
      </w:pPr>
      <w:r w:rsidRPr="00F331F8">
        <w:rPr>
          <w:rFonts w:ascii="Arial" w:hAnsi="Arial" w:cs="Arial"/>
          <w:lang w:val="fr-FR"/>
        </w:rPr>
        <w:t>6</w:t>
      </w:r>
      <w:r w:rsidR="00F240BE">
        <w:rPr>
          <w:rFonts w:ascii="Arial" w:hAnsi="Arial" w:cs="Arial"/>
          <w:lang w:val="fr-FR"/>
        </w:rPr>
        <w:t>7</w:t>
      </w:r>
      <w:r w:rsidRPr="00F331F8">
        <w:rPr>
          <w:rFonts w:ascii="Arial" w:hAnsi="Arial" w:cs="Arial"/>
          <w:lang w:val="fr-FR"/>
        </w:rPr>
        <w:t xml:space="preserve">. La Cour vérifie </w:t>
      </w:r>
      <w:r w:rsidRPr="00F331F8">
        <w:rPr>
          <w:rFonts w:ascii="Arial" w:hAnsi="Arial" w:cs="Arial"/>
          <w:color w:val="000000"/>
          <w:lang w:val="fr-FR"/>
        </w:rPr>
        <w:t>si les requêtes individuelles auprès des différentes institutions internationales concernent en substance les mêmes personnes, faits et griefs.</w:t>
      </w:r>
      <w:r w:rsidRPr="00720D91">
        <w:rPr>
          <w:rStyle w:val="FootnoteReference"/>
          <w:rFonts w:ascii="Arial" w:hAnsi="Arial" w:cs="Arial"/>
          <w:color w:val="000000"/>
        </w:rPr>
        <w:footnoteReference w:id="94"/>
      </w:r>
      <w:r w:rsidRPr="00F331F8">
        <w:rPr>
          <w:rFonts w:ascii="Arial" w:hAnsi="Arial" w:cs="Arial"/>
          <w:lang w:val="fr-FR"/>
        </w:rPr>
        <w:t xml:space="preserve"> </w:t>
      </w:r>
      <w:r w:rsidRPr="00F331F8">
        <w:rPr>
          <w:rFonts w:ascii="Arial" w:hAnsi="Arial" w:cs="Arial"/>
          <w:color w:val="000000"/>
          <w:lang w:val="fr-FR"/>
        </w:rPr>
        <w:t>Si les requérants devant les deux institutions ne sont pas identiques, la requête à la Cour ne peut être considérée comme étant « essentiellement la même qu'une affaire soumise à une autre instance internationale d'enquête ou de règlement ».</w:t>
      </w:r>
      <w:r w:rsidRPr="00720D91">
        <w:rPr>
          <w:rStyle w:val="FootnoteReference"/>
          <w:rFonts w:ascii="Arial" w:hAnsi="Arial" w:cs="Arial"/>
          <w:color w:val="000000"/>
        </w:rPr>
        <w:footnoteReference w:id="95"/>
      </w:r>
      <w:r w:rsidRPr="00F331F8">
        <w:rPr>
          <w:rFonts w:ascii="Arial" w:hAnsi="Arial" w:cs="Arial"/>
          <w:lang w:val="fr-FR"/>
        </w:rPr>
        <w:t xml:space="preserve"> </w:t>
      </w:r>
      <w:r w:rsidRPr="00F331F8">
        <w:rPr>
          <w:rFonts w:ascii="Arial" w:hAnsi="Arial" w:cs="Arial"/>
          <w:color w:val="000000"/>
          <w:lang w:val="fr-FR"/>
        </w:rPr>
        <w:t xml:space="preserve">Toutefois, la Cour a </w:t>
      </w:r>
      <w:r w:rsidRPr="00F331F8">
        <w:rPr>
          <w:rFonts w:ascii="Arial" w:hAnsi="Arial" w:cs="Arial"/>
          <w:lang w:val="fr-FR"/>
        </w:rPr>
        <w:t xml:space="preserve">récemment jugé qu'une plainte déposée par un syndicat dans le cadre de la procédure de l'Organisation internationale du travail était en substance la même qu'une requête individuelle introduite en vertu de la Convention par des dirigeants du syndicat en leur nom propre. La Cour a fondé ses </w:t>
      </w:r>
      <w:r w:rsidRPr="00F331F8">
        <w:rPr>
          <w:rFonts w:ascii="Arial" w:hAnsi="Arial" w:cs="Arial"/>
          <w:lang w:val="fr-FR"/>
        </w:rPr>
        <w:lastRenderedPageBreak/>
        <w:t xml:space="preserve">conclusions sur l'étroite association entre le fond de la procédure et le statut des individus en tant que dirigeants du syndicat. Leur permettre de maintenir leur action devant la Cour serait donc revenu à contourner l'article 35 § 2 b) de la Convention. </w:t>
      </w:r>
      <w:r w:rsidRPr="00720D91">
        <w:rPr>
          <w:rStyle w:val="FootnoteReference"/>
          <w:rFonts w:ascii="Arial" w:hAnsi="Arial" w:cs="Arial"/>
        </w:rPr>
        <w:footnoteReference w:id="96"/>
      </w:r>
      <w:r w:rsidRPr="00F331F8">
        <w:rPr>
          <w:rFonts w:ascii="Arial" w:hAnsi="Arial" w:cs="Arial"/>
          <w:color w:val="000000"/>
          <w:lang w:val="fr-FR"/>
        </w:rPr>
        <w:t xml:space="preserve"> </w:t>
      </w:r>
      <w:r w:rsidRPr="00F331F8">
        <w:rPr>
          <w:rFonts w:ascii="Arial" w:hAnsi="Arial" w:cs="Arial"/>
          <w:lang w:val="fr-FR"/>
        </w:rPr>
        <w:t xml:space="preserve">La </w:t>
      </w:r>
      <w:r w:rsidRPr="00F331F8">
        <w:rPr>
          <w:rFonts w:ascii="Arial" w:hAnsi="Arial" w:cs="Arial"/>
          <w:color w:val="000000"/>
          <w:lang w:val="fr-FR"/>
        </w:rPr>
        <w:t xml:space="preserve">Cour a </w:t>
      </w:r>
      <w:r w:rsidRPr="00F331F8">
        <w:rPr>
          <w:rStyle w:val="sb8d990e2"/>
          <w:rFonts w:ascii="Arial" w:eastAsiaTheme="majorEastAsia" w:hAnsi="Arial" w:cs="Arial"/>
          <w:color w:val="000000"/>
          <w:lang w:val="fr-FR"/>
        </w:rPr>
        <w:t>jugé qu'une procédure devant le groupe de travail des Nations Unies sur la détention arbitraire était bien une « procédure d'enquête ou de règlement international ».</w:t>
      </w:r>
      <w:r w:rsidRPr="00720D91">
        <w:rPr>
          <w:rStyle w:val="FootnoteReference"/>
          <w:rFonts w:ascii="Arial" w:hAnsi="Arial" w:cs="Arial"/>
          <w:color w:val="000000"/>
        </w:rPr>
        <w:footnoteReference w:id="97"/>
      </w:r>
      <w:r w:rsidRPr="00F331F8">
        <w:rPr>
          <w:rFonts w:ascii="Arial" w:hAnsi="Arial" w:cs="Arial"/>
          <w:lang w:val="fr-FR"/>
        </w:rPr>
        <w:t xml:space="preserve"> Alors qu'une procédure devant la Commission européenne en vertu de l'article 258 du Traité sur le fonctionnement de l'Union européenne (TFUE) ne pouvait être comprise comme constituant une procédure d'enquête ou de règlement au sens de l'article 35 § 2 b) de la Convention.</w:t>
      </w:r>
      <w:r w:rsidRPr="00720D91">
        <w:rPr>
          <w:rStyle w:val="FootnoteReference"/>
          <w:rFonts w:ascii="Arial" w:hAnsi="Arial" w:cs="Arial"/>
        </w:rPr>
        <w:footnoteReference w:id="98"/>
      </w:r>
      <w:r w:rsidRPr="00F331F8">
        <w:rPr>
          <w:rFonts w:ascii="Arial" w:hAnsi="Arial" w:cs="Arial"/>
          <w:lang w:val="fr-FR"/>
        </w:rPr>
        <w:t xml:space="preserve"> La Cour a estimé que l'Union interparlementaire est une organisation non gouvernementale </w:t>
      </w:r>
      <w:r w:rsidRPr="00F331F8">
        <w:rPr>
          <w:rStyle w:val="sb8d990e2"/>
          <w:rFonts w:ascii="Arial" w:eastAsiaTheme="majorEastAsia" w:hAnsi="Arial" w:cs="Arial"/>
          <w:color w:val="000000"/>
          <w:lang w:val="fr-FR"/>
        </w:rPr>
        <w:t xml:space="preserve">qui ne peut être qualifiée d'« autre procédure » ; l'expression « autre procédure » désignait des procédures judiciaires ou quasi-judiciaires similaires à celles mises en place par la Convention, et l'expression « enquête ou règlement international » désignait des institutions et procédures mises en place par les États, excluant ainsi les organismes non gouvernementaux. </w:t>
      </w:r>
      <w:r w:rsidRPr="00720D91">
        <w:rPr>
          <w:rStyle w:val="FootnoteReference"/>
          <w:rFonts w:ascii="Arial" w:hAnsi="Arial" w:cs="Arial"/>
          <w:color w:val="000000"/>
        </w:rPr>
        <w:footnoteReference w:id="99"/>
      </w:r>
    </w:p>
    <w:p w14:paraId="2007F915" w14:textId="366CBE67" w:rsidR="00F331F8" w:rsidRPr="00F331F8" w:rsidRDefault="00F331F8" w:rsidP="00971933">
      <w:pPr>
        <w:spacing w:after="240" w:line="240" w:lineRule="auto"/>
        <w:ind w:firstLine="426"/>
        <w:jc w:val="both"/>
        <w:rPr>
          <w:rStyle w:val="sb8d990e2"/>
          <w:rFonts w:ascii="Arial" w:eastAsiaTheme="majorEastAsia" w:hAnsi="Arial" w:cs="Arial"/>
          <w:color w:val="000000"/>
          <w:lang w:val="fr-FR"/>
        </w:rPr>
      </w:pPr>
      <w:r w:rsidRPr="00F331F8">
        <w:rPr>
          <w:rStyle w:val="sb8d990e2"/>
          <w:rFonts w:ascii="Arial" w:eastAsiaTheme="majorEastAsia" w:hAnsi="Arial" w:cs="Arial"/>
          <w:color w:val="000000"/>
          <w:lang w:val="fr-FR"/>
        </w:rPr>
        <w:t>6</w:t>
      </w:r>
      <w:r w:rsidR="00F240BE">
        <w:rPr>
          <w:rStyle w:val="sb8d990e2"/>
          <w:rFonts w:ascii="Arial" w:eastAsiaTheme="majorEastAsia" w:hAnsi="Arial" w:cs="Arial"/>
          <w:color w:val="000000"/>
          <w:lang w:val="fr-FR"/>
        </w:rPr>
        <w:t>8</w:t>
      </w:r>
      <w:r w:rsidRPr="00F331F8">
        <w:rPr>
          <w:rStyle w:val="sb8d990e2"/>
          <w:rFonts w:ascii="Arial" w:eastAsiaTheme="majorEastAsia" w:hAnsi="Arial" w:cs="Arial"/>
          <w:color w:val="000000"/>
          <w:lang w:val="fr-FR"/>
        </w:rPr>
        <w:t>. Malgré les dispositions pertinentes de l’article 35 § 2 b) et la jurisprudence pertinente de la Cour, un risque potentiel de décisions contradictoires ou qui se superposent peut survenir lorsqu'un autre mécanisme international de droits de l'homme examine des communications sur des affaires substantiellement identiques à celles sur lesquelles la Cour a statué. Par exemple, le Comité des droits de l’homme (CDH) peut examiner des communications soulevant des griefs qui ont déjà été examinés par la Cour ou d'autres organes internationaux.</w:t>
      </w:r>
      <w:r w:rsidRPr="00F331F8">
        <w:rPr>
          <w:rStyle w:val="FootnoteReference"/>
          <w:rFonts w:ascii="Arial" w:hAnsi="Arial" w:cs="Arial"/>
          <w:lang w:val="fr-FR"/>
        </w:rPr>
        <w:t xml:space="preserve"> </w:t>
      </w:r>
      <w:r w:rsidRPr="00720D91">
        <w:rPr>
          <w:rStyle w:val="FootnoteReference"/>
          <w:rFonts w:ascii="Arial" w:hAnsi="Arial" w:cs="Arial"/>
        </w:rPr>
        <w:footnoteReference w:id="100"/>
      </w:r>
      <w:r w:rsidRPr="00F331F8">
        <w:rPr>
          <w:rStyle w:val="sb8d990e2"/>
          <w:rFonts w:ascii="Arial" w:eastAsiaTheme="majorEastAsia" w:hAnsi="Arial" w:cs="Arial"/>
          <w:color w:val="000000"/>
          <w:lang w:val="fr-FR"/>
        </w:rPr>
        <w:t xml:space="preserve"> Afin de prévenir la possibilité de requêtes successives, 18 États membres du Conseil de l'Europe ont émis des réserves à l'encontre de la compétence du CDH pour réexaminer des communications déjà examinées dans le cadre d'une procédure internationale alternative. </w:t>
      </w:r>
      <w:r w:rsidRPr="00720D91">
        <w:rPr>
          <w:rStyle w:val="FootnoteReference"/>
          <w:rFonts w:ascii="Arial" w:hAnsi="Arial" w:cs="Arial"/>
        </w:rPr>
        <w:footnoteReference w:id="101"/>
      </w:r>
      <w:r w:rsidRPr="00F331F8">
        <w:rPr>
          <w:rStyle w:val="sb8d990e2"/>
          <w:rFonts w:ascii="Arial" w:eastAsiaTheme="majorEastAsia" w:hAnsi="Arial" w:cs="Arial"/>
          <w:color w:val="000000"/>
          <w:lang w:val="fr-FR"/>
        </w:rPr>
        <w:t xml:space="preserve"> </w:t>
      </w:r>
    </w:p>
    <w:p w14:paraId="6CEB4D81" w14:textId="6A1188B8" w:rsidR="00F331F8" w:rsidRPr="00720D91" w:rsidRDefault="00F331F8" w:rsidP="00971933">
      <w:pPr>
        <w:pStyle w:val="ECHRParaSpaced"/>
        <w:ind w:firstLine="340"/>
        <w:rPr>
          <w:rFonts w:ascii="Arial" w:hAnsi="Arial" w:cs="Arial"/>
          <w:lang w:val="fr-FR"/>
        </w:rPr>
      </w:pPr>
      <w:r w:rsidRPr="00720D91">
        <w:rPr>
          <w:rStyle w:val="sb8d990e2"/>
          <w:rFonts w:ascii="Arial" w:hAnsi="Arial" w:cs="Arial"/>
          <w:color w:val="000000"/>
          <w:lang w:val="fr-FR"/>
        </w:rPr>
        <w:t>6</w:t>
      </w:r>
      <w:r w:rsidR="00F240BE">
        <w:rPr>
          <w:rStyle w:val="sb8d990e2"/>
          <w:rFonts w:ascii="Arial" w:hAnsi="Arial" w:cs="Arial"/>
          <w:color w:val="000000"/>
          <w:lang w:val="fr-FR"/>
        </w:rPr>
        <w:t>9</w:t>
      </w:r>
      <w:r w:rsidRPr="00720D91">
        <w:rPr>
          <w:rStyle w:val="sb8d990e2"/>
          <w:rFonts w:ascii="Arial" w:hAnsi="Arial" w:cs="Arial"/>
          <w:color w:val="000000"/>
          <w:lang w:val="fr-FR"/>
        </w:rPr>
        <w:t xml:space="preserve">. La jurisprudence de longue date du CDH concernant les cas où le plaignant a déposé une communication concernant les mêmes événements qu'une requête déposée auprès de la Cour est que le CDH ne considère pas qu'il s'agisse d'une question qui a été examinée par un autre organe international au sens des réserves respectives à l'article 5 (2) (a) du Protocole facultatif si l'affaire a été précédemment déclarée irrecevable par la Cour uniquement pour des raisons de procédure. Lorsque la Cour a fondé sa décision d'irrecevabilité non seulement sur des motifs de procédure mais aussi sur des raisons qui incluent un certain examen du fond de l'affaire, la question devrait être considérée comme ayant été examinée au sens des réserves respectives à l'article 5 (2) (a) du Protocole facultatif. </w:t>
      </w:r>
      <w:r w:rsidRPr="00720D91">
        <w:rPr>
          <w:rStyle w:val="FootnoteReference"/>
          <w:rFonts w:ascii="Arial" w:hAnsi="Arial" w:cs="Arial"/>
        </w:rPr>
        <w:footnoteReference w:id="102"/>
      </w:r>
      <w:r w:rsidRPr="00720D91">
        <w:rPr>
          <w:rFonts w:ascii="Arial" w:hAnsi="Arial" w:cs="Arial"/>
          <w:lang w:val="fr-FR"/>
        </w:rPr>
        <w:t xml:space="preserve"> </w:t>
      </w:r>
    </w:p>
    <w:p w14:paraId="1A093485" w14:textId="0721FC50" w:rsidR="00F331F8" w:rsidRPr="00720D91" w:rsidRDefault="00F240BE" w:rsidP="00971933">
      <w:pPr>
        <w:pStyle w:val="ECHRParaSpaced"/>
        <w:ind w:firstLine="340"/>
        <w:rPr>
          <w:rFonts w:ascii="Arial" w:hAnsi="Arial" w:cs="Arial"/>
          <w:lang w:val="fr-FR"/>
        </w:rPr>
      </w:pPr>
      <w:r>
        <w:rPr>
          <w:rFonts w:ascii="Arial" w:hAnsi="Arial" w:cs="Arial"/>
          <w:lang w:val="fr-FR"/>
        </w:rPr>
        <w:lastRenderedPageBreak/>
        <w:t>70</w:t>
      </w:r>
      <w:r w:rsidR="00F331F8" w:rsidRPr="00720D91">
        <w:rPr>
          <w:rFonts w:ascii="Arial" w:hAnsi="Arial" w:cs="Arial"/>
          <w:lang w:val="fr-FR"/>
        </w:rPr>
        <w:t>. Sur la base de cette interprétation de l'article 5 (2) (a) du Protocole facultatif, le CDH a effectivement procédé à l'examen au fond de plaintes concernant les mêmes faits, requérants et droits qui avaient été précédemment déclarés irrecevables par la Cour.</w:t>
      </w:r>
      <w:r w:rsidR="00F331F8" w:rsidRPr="00720D91">
        <w:rPr>
          <w:rStyle w:val="FootnoteReference"/>
          <w:rFonts w:ascii="Arial" w:hAnsi="Arial" w:cs="Arial"/>
          <w:lang w:val="fr-FR"/>
        </w:rPr>
        <w:t xml:space="preserve"> </w:t>
      </w:r>
      <w:r w:rsidR="00F331F8" w:rsidRPr="00720D91">
        <w:rPr>
          <w:rStyle w:val="FootnoteReference"/>
          <w:rFonts w:ascii="Arial" w:hAnsi="Arial" w:cs="Arial"/>
        </w:rPr>
        <w:footnoteReference w:id="103"/>
      </w:r>
      <w:r w:rsidR="00F331F8" w:rsidRPr="00720D91">
        <w:rPr>
          <w:rFonts w:ascii="Arial" w:hAnsi="Arial" w:cs="Arial"/>
          <w:lang w:val="fr-FR"/>
        </w:rPr>
        <w:t xml:space="preserve">  Dans le cadre d’une requête interétatique – qui n’est pas liée à une affaire ou conflit interétatique – concernant une violation de l'article 6 § 3 (c) de la Convention, la Cour est parvenue à des conclusions différentes de celles du CDH, qui avait précédemment conclu à une violation de l'article 14 § 3 (d) du PIDCP pour les mêmes faits et le même requérant. </w:t>
      </w:r>
      <w:r w:rsidR="00F331F8" w:rsidRPr="00720D91">
        <w:rPr>
          <w:rStyle w:val="FootnoteReference"/>
          <w:rFonts w:ascii="Arial" w:hAnsi="Arial" w:cs="Arial"/>
        </w:rPr>
        <w:footnoteReference w:id="104"/>
      </w:r>
      <w:r w:rsidR="00F331F8" w:rsidRPr="00720D91">
        <w:rPr>
          <w:rFonts w:ascii="Arial" w:hAnsi="Arial" w:cs="Arial"/>
          <w:lang w:val="fr-FR"/>
        </w:rPr>
        <w:t xml:space="preserve">    </w:t>
      </w:r>
    </w:p>
    <w:p w14:paraId="6E308018" w14:textId="526186E4" w:rsidR="00F331F8" w:rsidRPr="00720D91" w:rsidRDefault="00F331F8" w:rsidP="00971933">
      <w:pPr>
        <w:pStyle w:val="ECHRParaSpaced"/>
        <w:ind w:firstLine="340"/>
        <w:rPr>
          <w:rFonts w:ascii="Arial" w:hAnsi="Arial" w:cs="Arial"/>
          <w:lang w:val="fr-FR"/>
        </w:rPr>
      </w:pPr>
      <w:r w:rsidRPr="00720D91">
        <w:rPr>
          <w:rFonts w:ascii="Arial" w:hAnsi="Arial" w:cs="Arial"/>
          <w:lang w:val="fr-FR"/>
        </w:rPr>
        <w:t>7</w:t>
      </w:r>
      <w:r w:rsidR="00F240BE">
        <w:rPr>
          <w:rFonts w:ascii="Arial" w:hAnsi="Arial" w:cs="Arial"/>
          <w:lang w:val="fr-FR"/>
        </w:rPr>
        <w:t>1</w:t>
      </w:r>
      <w:r w:rsidRPr="00720D91">
        <w:rPr>
          <w:rFonts w:ascii="Arial" w:hAnsi="Arial" w:cs="Arial"/>
          <w:lang w:val="fr-FR"/>
        </w:rPr>
        <w:t xml:space="preserve">. Le CDDH a déjà analysé en profondeur les questions liées au chevauchement des compétences de la Cour et des organes conventionnels de l'ONU, d'un ou éventuellement de plusieurs d'entre eux, car une affaire peut facilement relever à la fois des traités généraux (la Convention et le PIDCP), mais aussi des conventions de l'ONU spécifiques à un sujet. </w:t>
      </w:r>
      <w:r w:rsidRPr="00720D91">
        <w:rPr>
          <w:rStyle w:val="FootnoteReference"/>
          <w:rFonts w:ascii="Arial" w:hAnsi="Arial" w:cs="Arial"/>
        </w:rPr>
        <w:footnoteReference w:id="105"/>
      </w:r>
      <w:r w:rsidRPr="00720D91">
        <w:rPr>
          <w:rFonts w:ascii="Arial" w:hAnsi="Arial" w:cs="Arial"/>
          <w:lang w:val="fr-FR"/>
        </w:rPr>
        <w:t xml:space="preserve"> Si elle a noté que l'existence de mécanismes parallèles de protection des droits de l'homme était souvent une source d'enrichissement et de renforcement de la protection universelle des droits de l'homme, elle pouvait également entraîner certains problèmes en ce qui concerne les demandes individuelles. Il s'agit notamment du potentiel de duplication et/ou de conclusions contradictoires, du forum shopping, ainsi que de l'incertitude juridique pour les États parties sur la meilleure façon de remplir leurs engagements en matière de droits de l'homme en vertu de la Convention et d'autres instruments internationaux. Le CDDH a conclu qu'il est important que la Cour continue à s'efforcer d'interpréter la Convention en harmonie avec les autres règles internationales de protection des droits de l'homme, en particulier celles qui lient les Etats membres du Conseil de l'Europe, comme la (majorité des) conventions des Nations Unies, et qu'elle cherche à éviter la fragmentation du droit international. Une référence plus cohérente des organes de traités de l'ONU aux tribunaux régionaux et une discussion approfondie de la jurisprudence de ces derniers faciliteraient le développement de principes internationaux cohérents en matière de droits de l'homme. L'intensification des rencontres entre les membres de la Cour et les organes de traités des Nations unies est également soulignée comme un moyen d'accroître l'interaction entre les systèmes de la Cour et le système de protection des droits de l'homme des Nations unies. </w:t>
      </w:r>
      <w:r w:rsidRPr="00720D91">
        <w:rPr>
          <w:rStyle w:val="FootnoteReference"/>
          <w:rFonts w:ascii="Arial" w:hAnsi="Arial" w:cs="Arial"/>
          <w:bCs/>
        </w:rPr>
        <w:footnoteReference w:id="106"/>
      </w:r>
      <w:r w:rsidRPr="00720D91">
        <w:rPr>
          <w:rFonts w:ascii="Arial" w:hAnsi="Arial" w:cs="Arial"/>
          <w:lang w:val="fr-FR"/>
        </w:rPr>
        <w:t xml:space="preserve"> </w:t>
      </w:r>
    </w:p>
    <w:p w14:paraId="55AF183F" w14:textId="1DC92201" w:rsidR="00F331F8" w:rsidRPr="00720D91" w:rsidRDefault="00F331F8" w:rsidP="00971933">
      <w:pPr>
        <w:pStyle w:val="ECHRParaSpaced"/>
        <w:ind w:firstLine="340"/>
        <w:rPr>
          <w:rFonts w:ascii="Arial" w:hAnsi="Arial" w:cs="Arial"/>
          <w:lang w:val="fr-FR"/>
        </w:rPr>
      </w:pPr>
      <w:r w:rsidRPr="00720D91">
        <w:rPr>
          <w:rFonts w:ascii="Arial" w:hAnsi="Arial" w:cs="Arial"/>
          <w:lang w:val="fr-FR"/>
        </w:rPr>
        <w:t>7</w:t>
      </w:r>
      <w:r w:rsidR="00F240BE">
        <w:rPr>
          <w:rFonts w:ascii="Arial" w:hAnsi="Arial" w:cs="Arial"/>
          <w:lang w:val="fr-FR"/>
        </w:rPr>
        <w:t>2</w:t>
      </w:r>
      <w:r w:rsidRPr="00720D91">
        <w:rPr>
          <w:rFonts w:ascii="Arial" w:hAnsi="Arial" w:cs="Arial"/>
          <w:lang w:val="fr-FR"/>
        </w:rPr>
        <w:t xml:space="preserve">. Le DH-SYSC note que le rapport du CDDH sur la place de la Convention européenne des droits de l'homme dans l'ordre juridique européen et international dans son ensemble servira de base à tout examen futur éventuel des questions soulevées concernant l'interprétation et l'application de la Convention par la Cour d'une manière qui soit cohérente avec le cadre du droit international.  </w:t>
      </w:r>
    </w:p>
    <w:p w14:paraId="394208B9" w14:textId="77777777" w:rsidR="00F331F8" w:rsidRPr="0059073A" w:rsidRDefault="00F331F8" w:rsidP="00971933">
      <w:pPr>
        <w:pStyle w:val="Heading2"/>
        <w:numPr>
          <w:ilvl w:val="0"/>
          <w:numId w:val="3"/>
        </w:numPr>
        <w:spacing w:line="240" w:lineRule="auto"/>
        <w:ind w:left="1080" w:hanging="720"/>
        <w:jc w:val="both"/>
        <w:rPr>
          <w:rFonts w:cs="Arial"/>
          <w:bCs w:val="0"/>
          <w:iCs/>
          <w:sz w:val="24"/>
          <w:szCs w:val="22"/>
          <w:lang w:val="fr-FR"/>
        </w:rPr>
      </w:pPr>
      <w:bookmarkStart w:id="31" w:name="_Toc29388085"/>
      <w:bookmarkStart w:id="32" w:name="_Toc29388164"/>
      <w:bookmarkStart w:id="33" w:name="_Toc29388245"/>
      <w:bookmarkStart w:id="34" w:name="_Toc29396129"/>
      <w:bookmarkStart w:id="35" w:name="_Toc29464705"/>
      <w:bookmarkStart w:id="36" w:name="_Toc29464733"/>
      <w:bookmarkStart w:id="37" w:name="_Toc86329783"/>
      <w:bookmarkEnd w:id="31"/>
      <w:bookmarkEnd w:id="32"/>
      <w:bookmarkEnd w:id="33"/>
      <w:bookmarkEnd w:id="34"/>
      <w:bookmarkEnd w:id="35"/>
      <w:bookmarkEnd w:id="36"/>
      <w:r w:rsidRPr="0059073A">
        <w:rPr>
          <w:rFonts w:cs="Arial"/>
          <w:bCs w:val="0"/>
          <w:iCs/>
          <w:sz w:val="24"/>
          <w:szCs w:val="22"/>
          <w:lang w:val="fr-FR"/>
        </w:rPr>
        <w:t>Requêtes interétatiques soumises à la Cour et autres moyens de règlement des différends</w:t>
      </w:r>
      <w:bookmarkEnd w:id="37"/>
      <w:r w:rsidRPr="0059073A">
        <w:rPr>
          <w:rFonts w:cs="Arial"/>
          <w:bCs w:val="0"/>
          <w:iCs/>
          <w:sz w:val="24"/>
          <w:szCs w:val="22"/>
          <w:lang w:val="fr-FR"/>
        </w:rPr>
        <w:t xml:space="preserve"> </w:t>
      </w:r>
    </w:p>
    <w:p w14:paraId="355560E6" w14:textId="77777777" w:rsidR="00F331F8" w:rsidRPr="00720D91" w:rsidRDefault="00F331F8" w:rsidP="00971933">
      <w:pPr>
        <w:pStyle w:val="NoSpacing"/>
        <w:rPr>
          <w:sz w:val="22"/>
          <w:szCs w:val="22"/>
        </w:rPr>
      </w:pPr>
    </w:p>
    <w:p w14:paraId="27731A2B" w14:textId="16E85E37" w:rsidR="00F331F8" w:rsidRPr="00720D91" w:rsidRDefault="00F331F8" w:rsidP="00971933">
      <w:pPr>
        <w:pStyle w:val="NoSpacing"/>
        <w:ind w:firstLine="426"/>
        <w:jc w:val="both"/>
        <w:rPr>
          <w:rFonts w:ascii="Arial" w:hAnsi="Arial" w:cs="Arial"/>
          <w:sz w:val="22"/>
          <w:szCs w:val="22"/>
        </w:rPr>
      </w:pPr>
      <w:r w:rsidRPr="00720D91">
        <w:rPr>
          <w:rFonts w:ascii="Arial" w:hAnsi="Arial" w:cs="Arial"/>
          <w:sz w:val="22"/>
          <w:szCs w:val="22"/>
        </w:rPr>
        <w:t>7</w:t>
      </w:r>
      <w:r w:rsidR="00F240BE">
        <w:rPr>
          <w:rFonts w:ascii="Arial" w:hAnsi="Arial" w:cs="Arial"/>
          <w:sz w:val="22"/>
          <w:szCs w:val="22"/>
        </w:rPr>
        <w:t>3</w:t>
      </w:r>
      <w:r w:rsidRPr="00720D91">
        <w:rPr>
          <w:rFonts w:ascii="Arial" w:hAnsi="Arial" w:cs="Arial"/>
          <w:sz w:val="22"/>
          <w:szCs w:val="22"/>
        </w:rPr>
        <w:t>. L'article 35 § 2 b) de la Convention ne s'applique pas aux affaires interétatiques.</w:t>
      </w:r>
      <w:r w:rsidRPr="00720D91">
        <w:rPr>
          <w:rStyle w:val="FootnoteReference"/>
          <w:rFonts w:ascii="Arial" w:hAnsi="Arial" w:cs="Arial"/>
          <w:sz w:val="22"/>
          <w:szCs w:val="22"/>
        </w:rPr>
        <w:footnoteReference w:id="107"/>
      </w:r>
      <w:r w:rsidRPr="00720D91">
        <w:rPr>
          <w:rFonts w:ascii="Arial" w:hAnsi="Arial" w:cs="Arial"/>
          <w:sz w:val="22"/>
          <w:szCs w:val="22"/>
        </w:rPr>
        <w:t xml:space="preserve"> Toutefois, des objections quant à la recevabilité d'une requête interétatique par la Cour en raison du règlement d'un différend découlant de l'interprétation ou de l'application de la Convention au moyen d'autres procédures internationales peuvent être soulevées en vertu de </w:t>
      </w:r>
      <w:r w:rsidRPr="00720D91">
        <w:rPr>
          <w:rFonts w:ascii="Arial" w:hAnsi="Arial" w:cs="Arial"/>
          <w:sz w:val="22"/>
          <w:szCs w:val="22"/>
        </w:rPr>
        <w:lastRenderedPageBreak/>
        <w:t xml:space="preserve">l'article 55 de la Convention. </w:t>
      </w:r>
      <w:r w:rsidRPr="00720D91">
        <w:rPr>
          <w:rStyle w:val="FootnoteReference"/>
          <w:rFonts w:ascii="Arial" w:hAnsi="Arial" w:cs="Arial"/>
          <w:sz w:val="22"/>
          <w:szCs w:val="22"/>
        </w:rPr>
        <w:footnoteReference w:id="108"/>
      </w:r>
      <w:r w:rsidRPr="00720D91">
        <w:rPr>
          <w:rFonts w:ascii="Arial" w:hAnsi="Arial" w:cs="Arial"/>
          <w:sz w:val="22"/>
          <w:szCs w:val="22"/>
        </w:rPr>
        <w:t xml:space="preserve"> Selon cette disposition de la Convention, les États parties ne peuvent soumettre un différend découlant de l'interprétation ou de l'application de la Convention à un mode de règlement autre que ceux prévus par la Convention, sauf accord spécial. Dans la pratique, ces différends portent essentiellement sur la procédure de demande interétatique.</w:t>
      </w:r>
      <w:r w:rsidRPr="00720D91">
        <w:rPr>
          <w:rStyle w:val="FootnoteReference"/>
          <w:rFonts w:ascii="Arial" w:hAnsi="Arial" w:cs="Arial"/>
          <w:sz w:val="22"/>
          <w:szCs w:val="22"/>
        </w:rPr>
        <w:footnoteReference w:id="109"/>
      </w:r>
      <w:r w:rsidRPr="00720D91">
        <w:rPr>
          <w:rFonts w:ascii="Arial" w:hAnsi="Arial" w:cs="Arial"/>
          <w:sz w:val="22"/>
          <w:szCs w:val="22"/>
        </w:rPr>
        <w:t xml:space="preserve"> Selon l'article 55, les États parties à la Convention ne doivent utiliser que la procédure établie par la Convention pour les plaintes contre une autre partie contractante à la Convention relatives à une violation alléguée d'un droit qui, en substance, est couvert à la fois par la Convention (ou ses protocoles) et par d'autres traités internationaux, notamment le PIDCP.</w:t>
      </w:r>
      <w:r w:rsidRPr="00720D91">
        <w:rPr>
          <w:rStyle w:val="FootnoteReference"/>
          <w:rFonts w:ascii="Arial" w:hAnsi="Arial" w:cs="Arial"/>
          <w:sz w:val="22"/>
          <w:szCs w:val="22"/>
        </w:rPr>
        <w:footnoteReference w:id="110"/>
      </w:r>
      <w:r w:rsidRPr="00720D91">
        <w:rPr>
          <w:rFonts w:ascii="Arial" w:hAnsi="Arial" w:cs="Arial"/>
          <w:sz w:val="22"/>
          <w:szCs w:val="22"/>
        </w:rPr>
        <w:t xml:space="preserve"> Bien que la jurisprudence de la Cour sur l'article 55 ne soit pas très étendue, elle établit clairement le principe selon lequel la possibilité pour un État  partie de retirer une affaire de sa juridiction au motif qu'il a conclu un accord spécial avec l'autre État  partie concerné n'est donnée qu'avec le consentement des deux parties concernées et dans des circonstances exceptionnelles. </w:t>
      </w:r>
      <w:r w:rsidRPr="00720D91">
        <w:rPr>
          <w:rStyle w:val="FootnoteReference"/>
          <w:rFonts w:ascii="Arial" w:hAnsi="Arial" w:cs="Arial"/>
          <w:sz w:val="22"/>
          <w:szCs w:val="22"/>
        </w:rPr>
        <w:footnoteReference w:id="111"/>
      </w:r>
    </w:p>
    <w:p w14:paraId="05BFA975" w14:textId="77777777" w:rsidR="00F331F8" w:rsidRPr="00720D91" w:rsidRDefault="00F331F8" w:rsidP="00971933">
      <w:pPr>
        <w:pStyle w:val="NoSpacing"/>
        <w:rPr>
          <w:sz w:val="22"/>
          <w:szCs w:val="22"/>
        </w:rPr>
      </w:pPr>
    </w:p>
    <w:p w14:paraId="24D4AC12" w14:textId="3835623D" w:rsidR="00F331F8" w:rsidRPr="00F331F8" w:rsidRDefault="00F331F8" w:rsidP="00971933">
      <w:pPr>
        <w:spacing w:line="240" w:lineRule="auto"/>
        <w:ind w:firstLine="426"/>
        <w:jc w:val="both"/>
        <w:rPr>
          <w:rFonts w:ascii="Arial" w:hAnsi="Arial" w:cs="Arial"/>
          <w:lang w:val="fr-FR"/>
        </w:rPr>
      </w:pPr>
      <w:r w:rsidRPr="00F331F8">
        <w:rPr>
          <w:rFonts w:ascii="Arial" w:hAnsi="Arial" w:cs="Arial"/>
          <w:lang w:val="fr-FR"/>
        </w:rPr>
        <w:t>7</w:t>
      </w:r>
      <w:r w:rsidR="00F240BE">
        <w:rPr>
          <w:rFonts w:ascii="Arial" w:hAnsi="Arial" w:cs="Arial"/>
          <w:lang w:val="fr-FR"/>
        </w:rPr>
        <w:t>4</w:t>
      </w:r>
      <w:r w:rsidRPr="00F331F8">
        <w:rPr>
          <w:rFonts w:ascii="Arial" w:hAnsi="Arial" w:cs="Arial"/>
          <w:lang w:val="fr-FR"/>
        </w:rPr>
        <w:t xml:space="preserve">. Le principe établi à l'article 55 est que les institutions de la Convention ont le monopole pour trancher les différends découlant de l'interprétation et de l'application de la Convention. Les États parties renoncent à se prévaloir des traités, conventions et déclarations en vigueur entre eux pour soumettre ces différends à d'autres modes de règlement. Une dérogation à ce principe n'est autorisée qu'à titre exceptionnel, sous réserve de l'existence d'un compromis spécial entre les États parties concernés, permettant de soumettre, par voie de requête, le différend relatif à l'interprétation ou à l'application de la Convention à un autre mode de règlement. </w:t>
      </w:r>
      <w:r w:rsidRPr="00720D91">
        <w:rPr>
          <w:rStyle w:val="FootnoteReference"/>
          <w:rFonts w:ascii="Arial" w:hAnsi="Arial" w:cs="Arial"/>
        </w:rPr>
        <w:footnoteReference w:id="112"/>
      </w:r>
      <w:r w:rsidRPr="00F331F8">
        <w:rPr>
          <w:rFonts w:ascii="Arial" w:hAnsi="Arial" w:cs="Arial"/>
          <w:lang w:val="fr-FR"/>
        </w:rPr>
        <w:t xml:space="preserve"> L'article 55, s’il n’exclut pas totalement la possibilité que des différends interétatiques portant sur des questions de droits de l'homme soient portés devant d'autres organes internationaux, crée un obstacle pour les États parties qui ne sont pas satisfaits des arrêts de la Cour dans une affaire interétatique et qui ne peuvent pas « faire appel » de ces arrêts devant un autre organe international. </w:t>
      </w:r>
    </w:p>
    <w:p w14:paraId="7E9A78C3" w14:textId="759C82F8" w:rsidR="00F331F8" w:rsidRDefault="00F331F8" w:rsidP="00971933">
      <w:pPr>
        <w:spacing w:line="240" w:lineRule="auto"/>
        <w:ind w:firstLine="426"/>
        <w:jc w:val="both"/>
        <w:rPr>
          <w:rFonts w:ascii="Arial" w:hAnsi="Arial" w:cs="Arial"/>
          <w:lang w:val="fr-FR"/>
        </w:rPr>
      </w:pPr>
      <w:r w:rsidRPr="00F331F8">
        <w:rPr>
          <w:rFonts w:ascii="Arial" w:hAnsi="Arial" w:cs="Arial"/>
          <w:lang w:val="fr-FR"/>
        </w:rPr>
        <w:t>7</w:t>
      </w:r>
      <w:r w:rsidR="00F240BE">
        <w:rPr>
          <w:rFonts w:ascii="Arial" w:hAnsi="Arial" w:cs="Arial"/>
          <w:lang w:val="fr-FR"/>
        </w:rPr>
        <w:t>5</w:t>
      </w:r>
      <w:r w:rsidRPr="00F331F8">
        <w:rPr>
          <w:rFonts w:ascii="Arial" w:hAnsi="Arial" w:cs="Arial"/>
          <w:lang w:val="fr-FR"/>
        </w:rPr>
        <w:t>. Il convient également de souligner que la Cour tiendra compte des décisions ou des résultats d'enquête d'autres organes internationaux et s'efforcera de rester dans les limites de sa compétence lorsqu'elle traitera d'affaires interétatiques et d'éviter autant que possible d'empiéter sur la compétence d'autres organes internationaux.</w:t>
      </w:r>
      <w:r w:rsidRPr="00F331F8">
        <w:rPr>
          <w:rStyle w:val="FootnoteReference"/>
          <w:rFonts w:ascii="Arial" w:hAnsi="Arial" w:cs="Arial"/>
          <w:lang w:val="fr-FR"/>
        </w:rPr>
        <w:t xml:space="preserve"> </w:t>
      </w:r>
      <w:r w:rsidRPr="00720D91">
        <w:rPr>
          <w:rStyle w:val="FootnoteReference"/>
          <w:rFonts w:ascii="Arial" w:hAnsi="Arial" w:cs="Arial"/>
        </w:rPr>
        <w:footnoteReference w:id="113"/>
      </w:r>
      <w:r w:rsidRPr="00F331F8">
        <w:rPr>
          <w:rFonts w:ascii="Arial" w:hAnsi="Arial" w:cs="Arial"/>
          <w:lang w:val="fr-FR"/>
        </w:rPr>
        <w:t xml:space="preserve"> </w:t>
      </w:r>
    </w:p>
    <w:p w14:paraId="5E165446" w14:textId="77777777" w:rsidR="00F240BE" w:rsidRPr="00F331F8" w:rsidRDefault="00F240BE" w:rsidP="00971933">
      <w:pPr>
        <w:spacing w:line="240" w:lineRule="auto"/>
        <w:ind w:firstLine="426"/>
        <w:jc w:val="both"/>
        <w:rPr>
          <w:rFonts w:ascii="Arial" w:hAnsi="Arial" w:cs="Arial"/>
          <w:lang w:val="fr-FR"/>
        </w:rPr>
      </w:pPr>
    </w:p>
    <w:p w14:paraId="0717D684" w14:textId="77777777" w:rsidR="00F331F8" w:rsidRPr="00F240BE" w:rsidRDefault="00F331F8" w:rsidP="00971933">
      <w:pPr>
        <w:pStyle w:val="Heading1"/>
        <w:spacing w:line="240" w:lineRule="auto"/>
        <w:rPr>
          <w:rFonts w:ascii="Arial" w:hAnsi="Arial" w:cs="Arial"/>
          <w:lang w:val="fr-FR"/>
        </w:rPr>
      </w:pPr>
      <w:bookmarkStart w:id="38" w:name="_Toc86329784"/>
      <w:r w:rsidRPr="00F240BE">
        <w:rPr>
          <w:rFonts w:ascii="Arial" w:hAnsi="Arial" w:cs="Arial"/>
          <w:lang w:val="fr-FR"/>
        </w:rPr>
        <w:lastRenderedPageBreak/>
        <w:t>VI. L'ÉTABLISSEMENT DES FAITS</w:t>
      </w:r>
      <w:bookmarkEnd w:id="38"/>
      <w:r w:rsidRPr="00F240BE">
        <w:rPr>
          <w:rFonts w:ascii="Arial" w:hAnsi="Arial" w:cs="Arial"/>
          <w:lang w:val="fr-FR"/>
        </w:rPr>
        <w:t xml:space="preserve"> </w:t>
      </w:r>
    </w:p>
    <w:p w14:paraId="388D3B3A" w14:textId="77777777" w:rsidR="00F331F8" w:rsidRPr="00720D91" w:rsidRDefault="00F331F8" w:rsidP="00971933">
      <w:pPr>
        <w:pStyle w:val="NoSpacing"/>
        <w:rPr>
          <w:sz w:val="22"/>
          <w:szCs w:val="22"/>
        </w:rPr>
      </w:pPr>
    </w:p>
    <w:p w14:paraId="1D25FF88" w14:textId="51553EC0" w:rsidR="00F331F8" w:rsidRPr="00F331F8" w:rsidRDefault="00F331F8" w:rsidP="00971933">
      <w:pPr>
        <w:autoSpaceDE w:val="0"/>
        <w:autoSpaceDN w:val="0"/>
        <w:adjustRightInd w:val="0"/>
        <w:spacing w:after="240" w:line="240" w:lineRule="auto"/>
        <w:ind w:firstLine="426"/>
        <w:jc w:val="both"/>
        <w:rPr>
          <w:rFonts w:ascii="Arial" w:hAnsi="Arial" w:cs="Arial"/>
          <w:lang w:val="fr-FR"/>
        </w:rPr>
      </w:pPr>
      <w:r w:rsidRPr="00F331F8">
        <w:rPr>
          <w:rFonts w:ascii="Arial" w:hAnsi="Arial" w:cs="Arial"/>
          <w:lang w:val="fr-FR"/>
        </w:rPr>
        <w:t>7</w:t>
      </w:r>
      <w:r w:rsidR="00F240BE">
        <w:rPr>
          <w:rFonts w:ascii="Arial" w:hAnsi="Arial" w:cs="Arial"/>
          <w:lang w:val="fr-FR"/>
        </w:rPr>
        <w:t>6</w:t>
      </w:r>
      <w:r w:rsidRPr="00F331F8">
        <w:rPr>
          <w:rFonts w:ascii="Arial" w:hAnsi="Arial" w:cs="Arial"/>
          <w:lang w:val="fr-FR"/>
        </w:rPr>
        <w:t xml:space="preserve">. Un certain nombre de difficultés liés à l'établissement des faits sont spécifiques au traitement et au règlement des affaires interétatiques qui sont complexes en raison de leur nature et dimension, en particulier lorsqu’elles concernent des conflits armés. Il s'agit de l'obtention des éléments de preuves nécessaires, </w:t>
      </w:r>
      <w:r w:rsidRPr="00F331F8">
        <w:rPr>
          <w:rFonts w:ascii="Arial" w:hAnsi="Arial" w:cs="Arial"/>
          <w:iCs/>
          <w:lang w:val="fr-FR"/>
        </w:rPr>
        <w:t>notamment</w:t>
      </w:r>
      <w:r w:rsidRPr="00F331F8">
        <w:rPr>
          <w:rFonts w:ascii="Arial" w:hAnsi="Arial" w:cs="Arial"/>
          <w:i/>
          <w:lang w:val="fr-FR"/>
        </w:rPr>
        <w:t xml:space="preserve"> </w:t>
      </w:r>
      <w:r w:rsidRPr="00F331F8">
        <w:rPr>
          <w:rFonts w:ascii="Arial" w:hAnsi="Arial" w:cs="Arial"/>
          <w:lang w:val="fr-FR"/>
        </w:rPr>
        <w:t xml:space="preserve">par des missions d'enquête et des auditions de témoins, ainsi que des différentes sources d'information et de l'évaluation des preuves par la Cour. </w:t>
      </w:r>
    </w:p>
    <w:p w14:paraId="55C8C79E" w14:textId="35A3AB9A" w:rsidR="00F331F8" w:rsidRPr="00720D91" w:rsidRDefault="00F331F8" w:rsidP="00971933">
      <w:pPr>
        <w:pStyle w:val="JuPara"/>
        <w:ind w:firstLine="426"/>
        <w:rPr>
          <w:rFonts w:ascii="Arial" w:hAnsi="Arial" w:cs="Arial"/>
          <w:sz w:val="22"/>
          <w:szCs w:val="22"/>
          <w:lang w:val="fr-FR"/>
        </w:rPr>
      </w:pPr>
      <w:r w:rsidRPr="00720D91">
        <w:rPr>
          <w:rFonts w:ascii="Arial" w:hAnsi="Arial" w:cs="Arial"/>
          <w:sz w:val="22"/>
          <w:szCs w:val="22"/>
          <w:lang w:val="fr-FR"/>
        </w:rPr>
        <w:t>7</w:t>
      </w:r>
      <w:r w:rsidR="00F240BE">
        <w:rPr>
          <w:rFonts w:ascii="Arial" w:hAnsi="Arial" w:cs="Arial"/>
          <w:sz w:val="22"/>
          <w:szCs w:val="22"/>
          <w:lang w:val="fr-FR"/>
        </w:rPr>
        <w:t>7</w:t>
      </w:r>
      <w:r w:rsidRPr="00720D91">
        <w:rPr>
          <w:rFonts w:ascii="Arial" w:eastAsiaTheme="minorEastAsia" w:hAnsi="Arial" w:cs="Arial"/>
          <w:sz w:val="22"/>
          <w:szCs w:val="22"/>
          <w:lang w:val="fr-FR" w:eastAsia="en-GB"/>
        </w:rPr>
        <w:t>. Récemment, la Cour relevé des défis spécifiques dans les affaires concernant des allégations d'existence d'une pratique administrative au sens de la Convention, celle-ci peut être établie. La car la Cour est presque inévitablement confrontée aux mêmes difficultés en matière d'établissement et d’appréciation des preuves que celles auxquelles est confrontée toute juridiction de première instance.</w:t>
      </w:r>
      <w:r w:rsidRPr="00720D91">
        <w:rPr>
          <w:rFonts w:eastAsiaTheme="minorEastAsia"/>
          <w:sz w:val="22"/>
          <w:szCs w:val="22"/>
          <w:vertAlign w:val="superscript"/>
          <w:lang w:eastAsia="en-GB"/>
        </w:rPr>
        <w:footnoteReference w:id="114"/>
      </w:r>
      <w:r w:rsidRPr="00720D91">
        <w:rPr>
          <w:rFonts w:ascii="Arial" w:eastAsiaTheme="minorEastAsia" w:hAnsi="Arial" w:cs="Arial"/>
          <w:sz w:val="22"/>
          <w:szCs w:val="22"/>
          <w:vertAlign w:val="superscript"/>
          <w:lang w:val="fr-FR" w:eastAsia="en-GB"/>
        </w:rPr>
        <w:t xml:space="preserve"> </w:t>
      </w:r>
      <w:r w:rsidRPr="00720D91">
        <w:rPr>
          <w:rFonts w:ascii="Arial" w:eastAsiaTheme="minorEastAsia" w:hAnsi="Arial" w:cs="Arial"/>
          <w:sz w:val="22"/>
          <w:szCs w:val="22"/>
          <w:lang w:val="fr-FR" w:eastAsia="en-GB"/>
        </w:rPr>
        <w:t>La Cour a observé qu'il est particulièrement difficile d'établir les faits dans le contexte d'une affaire interétatique qui concerne un conflit armé et ses conséquences, impliquant des milliers de personnes et se déroulant sur une période significative dans une vaste zone géographique.</w:t>
      </w:r>
      <w:r w:rsidRPr="00720D91">
        <w:rPr>
          <w:rFonts w:eastAsiaTheme="minorEastAsia"/>
          <w:sz w:val="22"/>
          <w:szCs w:val="22"/>
          <w:vertAlign w:val="superscript"/>
          <w:lang w:eastAsia="en-GB"/>
        </w:rPr>
        <w:footnoteReference w:id="115"/>
      </w:r>
      <w:r w:rsidRPr="00720D91">
        <w:rPr>
          <w:rFonts w:ascii="Arial" w:eastAsiaTheme="minorEastAsia" w:hAnsi="Arial" w:cs="Arial"/>
          <w:sz w:val="22"/>
          <w:szCs w:val="22"/>
          <w:vertAlign w:val="superscript"/>
          <w:lang w:val="fr-FR" w:eastAsia="en-GB"/>
        </w:rPr>
        <w:t xml:space="preserve"> </w:t>
      </w:r>
      <w:r w:rsidRPr="00720D91">
        <w:rPr>
          <w:rFonts w:ascii="Arial" w:eastAsiaTheme="minorEastAsia" w:hAnsi="Arial" w:cs="Arial"/>
          <w:sz w:val="22"/>
          <w:szCs w:val="22"/>
          <w:lang w:val="fr-FR" w:eastAsia="en-GB"/>
        </w:rPr>
        <w:t>La</w:t>
      </w:r>
      <w:r w:rsidRPr="00720D91">
        <w:rPr>
          <w:rFonts w:ascii="Arial" w:hAnsi="Arial" w:cs="Arial"/>
          <w:sz w:val="22"/>
          <w:szCs w:val="22"/>
          <w:lang w:val="fr-FR"/>
        </w:rPr>
        <w:t xml:space="preserve"> Cour a </w:t>
      </w:r>
      <w:r w:rsidRPr="00720D91">
        <w:rPr>
          <w:rFonts w:ascii="Arial" w:hAnsi="Arial" w:cs="Arial"/>
          <w:sz w:val="22"/>
          <w:szCs w:val="22"/>
          <w:shd w:val="clear" w:color="auto" w:fill="FFFFFF" w:themeFill="background1"/>
          <w:lang w:val="fr-FR"/>
        </w:rPr>
        <w:t xml:space="preserve">également </w:t>
      </w:r>
      <w:r w:rsidRPr="00720D91">
        <w:rPr>
          <w:rFonts w:ascii="Arial" w:hAnsi="Arial" w:cs="Arial"/>
          <w:sz w:val="22"/>
          <w:szCs w:val="22"/>
          <w:lang w:val="fr-FR"/>
        </w:rPr>
        <w:t>souligné un certain nombre d'</w:t>
      </w:r>
      <w:r w:rsidRPr="00720D91">
        <w:rPr>
          <w:rFonts w:ascii="Arial" w:hAnsi="Arial" w:cs="Arial"/>
          <w:sz w:val="22"/>
          <w:szCs w:val="22"/>
          <w:shd w:val="clear" w:color="auto" w:fill="FFFFFF" w:themeFill="background1"/>
          <w:lang w:val="fr-FR"/>
        </w:rPr>
        <w:t xml:space="preserve">autres </w:t>
      </w:r>
      <w:r w:rsidRPr="00720D91">
        <w:rPr>
          <w:rFonts w:ascii="Arial" w:hAnsi="Arial" w:cs="Arial"/>
          <w:sz w:val="22"/>
          <w:szCs w:val="22"/>
          <w:lang w:val="fr-FR"/>
        </w:rPr>
        <w:t xml:space="preserve">difficultés </w:t>
      </w:r>
      <w:r w:rsidRPr="00720D91">
        <w:rPr>
          <w:rFonts w:ascii="Arial" w:hAnsi="Arial" w:cs="Arial"/>
          <w:sz w:val="22"/>
          <w:szCs w:val="22"/>
          <w:shd w:val="clear" w:color="auto" w:fill="FFFFFF" w:themeFill="background1"/>
          <w:lang w:val="fr-FR"/>
        </w:rPr>
        <w:t xml:space="preserve">liées aux cas où la Cour doit agir en tant que juridiction de première instance. Il s'agit notamment </w:t>
      </w:r>
      <w:r w:rsidRPr="00720D91">
        <w:rPr>
          <w:rFonts w:ascii="Arial" w:hAnsi="Arial" w:cs="Arial"/>
          <w:sz w:val="22"/>
          <w:szCs w:val="22"/>
          <w:lang w:val="fr-FR"/>
        </w:rPr>
        <w:t xml:space="preserve">de l'examen de l'efficacité et de l'accessibilité des recours internes en tant que preuve supplémentaire de l'existence d'une pratique administrative, de la longueur des observations et des annexes des parties et de l'incapacité des gouvernements défendeurs à fournir à la Cour tous les moyens nécessaires pour lui permettre d'établir les faits ainsi que les auditions de témoins et d'experts. </w:t>
      </w:r>
      <w:r w:rsidRPr="00720D91">
        <w:rPr>
          <w:rStyle w:val="FootnoteReference"/>
          <w:rFonts w:ascii="Arial" w:hAnsi="Arial" w:cs="Arial"/>
          <w:sz w:val="22"/>
          <w:szCs w:val="22"/>
        </w:rPr>
        <w:footnoteReference w:id="116"/>
      </w:r>
      <w:r w:rsidRPr="00720D91">
        <w:rPr>
          <w:rFonts w:ascii="Arial" w:hAnsi="Arial" w:cs="Arial"/>
          <w:sz w:val="22"/>
          <w:szCs w:val="22"/>
          <w:lang w:val="fr-FR"/>
        </w:rPr>
        <w:t xml:space="preserve"> Certaines des difficultés à établir les faits ont été mises en évidence dans le récent arrêt Géorgie c. Russie (II), dans lequel la Cour a répondu par la négative sur la question de savoir si les événements survenus pendant la phase active des hostilités dans le cadre d'un conflit armé international en dehors du territoire de l'État défendeur relevaient de la compétence de cet État.</w:t>
      </w:r>
      <w:r w:rsidRPr="00720D91">
        <w:rPr>
          <w:rFonts w:asciiTheme="minorBidi" w:hAnsiTheme="minorBidi"/>
          <w:sz w:val="22"/>
          <w:szCs w:val="22"/>
          <w:vertAlign w:val="superscript"/>
        </w:rPr>
        <w:footnoteReference w:id="117"/>
      </w:r>
    </w:p>
    <w:p w14:paraId="129ECF9E" w14:textId="77777777" w:rsidR="00F331F8" w:rsidRPr="00720D91" w:rsidRDefault="00F331F8" w:rsidP="00971933">
      <w:pPr>
        <w:pStyle w:val="JuPara"/>
        <w:ind w:firstLine="426"/>
        <w:rPr>
          <w:rFonts w:ascii="Arial" w:hAnsi="Arial" w:cs="Arial"/>
          <w:sz w:val="22"/>
          <w:szCs w:val="22"/>
          <w:lang w:val="fr-FR"/>
        </w:rPr>
      </w:pPr>
    </w:p>
    <w:p w14:paraId="718FA45B" w14:textId="54CFE50F" w:rsidR="00F331F8" w:rsidRPr="00720D91" w:rsidRDefault="00F331F8" w:rsidP="00971933">
      <w:pPr>
        <w:pStyle w:val="JuPara"/>
        <w:ind w:firstLine="426"/>
        <w:rPr>
          <w:rFonts w:ascii="Arial" w:hAnsi="Arial" w:cs="Arial"/>
          <w:b/>
          <w:bCs/>
          <w:color w:val="FF0000"/>
          <w:sz w:val="22"/>
          <w:szCs w:val="22"/>
          <w:shd w:val="clear" w:color="auto" w:fill="D9D9D9" w:themeFill="background1" w:themeFillShade="D9"/>
          <w:lang w:val="fr-FR"/>
        </w:rPr>
      </w:pPr>
      <w:r w:rsidRPr="00720D91">
        <w:rPr>
          <w:rFonts w:ascii="Arial" w:hAnsi="Arial" w:cs="Arial"/>
          <w:sz w:val="22"/>
          <w:szCs w:val="22"/>
          <w:lang w:val="fr-FR"/>
        </w:rPr>
        <w:t>7</w:t>
      </w:r>
      <w:r w:rsidR="00F240BE">
        <w:rPr>
          <w:rFonts w:ascii="Arial" w:hAnsi="Arial" w:cs="Arial"/>
          <w:sz w:val="22"/>
          <w:szCs w:val="22"/>
          <w:lang w:val="fr-FR"/>
        </w:rPr>
        <w:t>8</w:t>
      </w:r>
      <w:r w:rsidRPr="00720D91">
        <w:rPr>
          <w:rFonts w:ascii="Arial" w:hAnsi="Arial" w:cs="Arial"/>
          <w:sz w:val="22"/>
          <w:szCs w:val="22"/>
          <w:lang w:val="fr-FR"/>
        </w:rPr>
        <w:t xml:space="preserve">. Le présent chapitre aborde ces défis sous l'angle des principes généraux appliqués par la Cour en matière de recevabilité et d'appréciation de la preuve, du devoir de coopération des États parties avec la Cour en vertu de l'article 38 de la Convention (sections 1-3) ainsi que de la pratique actuelle de la Cour en matière d'établissement des faits (section 4). En ce qui concerne l'appréciation de la preuve et l'application de l'article 38, la Cour ne distingue pas les principes qui s'appliquent spécifiquement ou exclusivement aux requêtes interétatiques ou aux requêtes individuelles. Au contraire, les principes développés concernant les requêtes individuelles sont appliqués </w:t>
      </w:r>
      <w:r w:rsidRPr="00720D91">
        <w:rPr>
          <w:rFonts w:ascii="Arial" w:hAnsi="Arial" w:cs="Arial"/>
          <w:i/>
          <w:iCs/>
          <w:sz w:val="22"/>
          <w:szCs w:val="22"/>
          <w:lang w:val="fr-FR"/>
        </w:rPr>
        <w:t>mutatis mutandis</w:t>
      </w:r>
      <w:r w:rsidRPr="00720D91">
        <w:rPr>
          <w:rFonts w:ascii="Arial" w:hAnsi="Arial" w:cs="Arial"/>
          <w:sz w:val="22"/>
          <w:szCs w:val="22"/>
          <w:lang w:val="fr-FR"/>
        </w:rPr>
        <w:t xml:space="preserve"> aux requêtes interétatiques et vice-versa. </w:t>
      </w:r>
    </w:p>
    <w:p w14:paraId="2EA12D99" w14:textId="77777777" w:rsidR="00F331F8" w:rsidRPr="00720D91" w:rsidRDefault="00F331F8" w:rsidP="00971933">
      <w:pPr>
        <w:pStyle w:val="JuPara"/>
        <w:ind w:firstLine="426"/>
        <w:rPr>
          <w:rFonts w:ascii="Arial" w:hAnsi="Arial" w:cs="Arial"/>
          <w:sz w:val="22"/>
          <w:szCs w:val="22"/>
          <w:lang w:val="fr-FR"/>
        </w:rPr>
      </w:pPr>
    </w:p>
    <w:p w14:paraId="785F07D7" w14:textId="77777777" w:rsidR="00F331F8" w:rsidRPr="0059073A" w:rsidRDefault="00F331F8" w:rsidP="00971933">
      <w:pPr>
        <w:pStyle w:val="Heading2"/>
        <w:spacing w:line="240" w:lineRule="auto"/>
        <w:ind w:left="720"/>
        <w:jc w:val="both"/>
        <w:rPr>
          <w:rFonts w:cs="Arial"/>
          <w:bCs w:val="0"/>
          <w:iCs/>
          <w:sz w:val="24"/>
          <w:szCs w:val="22"/>
          <w:lang w:val="fr-FR"/>
        </w:rPr>
      </w:pPr>
      <w:bookmarkStart w:id="39" w:name="_Toc86329785"/>
      <w:bookmarkStart w:id="40" w:name="_Hlk27650650"/>
      <w:r w:rsidRPr="0059073A">
        <w:rPr>
          <w:rFonts w:cs="Arial"/>
          <w:bCs w:val="0"/>
          <w:iCs/>
          <w:sz w:val="24"/>
          <w:szCs w:val="22"/>
          <w:lang w:val="fr-FR"/>
        </w:rPr>
        <w:t>1. Principes de recevabilité et appréciation des éléments de preuve</w:t>
      </w:r>
      <w:bookmarkEnd w:id="39"/>
      <w:r w:rsidRPr="0059073A">
        <w:rPr>
          <w:rFonts w:cs="Arial"/>
          <w:bCs w:val="0"/>
          <w:iCs/>
          <w:sz w:val="24"/>
          <w:szCs w:val="22"/>
          <w:lang w:val="fr-FR"/>
        </w:rPr>
        <w:t xml:space="preserve"> </w:t>
      </w:r>
    </w:p>
    <w:bookmarkEnd w:id="40"/>
    <w:p w14:paraId="70BCCB53" w14:textId="77777777" w:rsidR="00F331F8" w:rsidRPr="00720D91" w:rsidRDefault="00F331F8" w:rsidP="00971933">
      <w:pPr>
        <w:pStyle w:val="NoSpacing"/>
        <w:rPr>
          <w:sz w:val="22"/>
          <w:szCs w:val="22"/>
        </w:rPr>
      </w:pPr>
    </w:p>
    <w:p w14:paraId="15D111B0" w14:textId="1F52FF7E" w:rsidR="00F331F8" w:rsidRPr="00F331F8" w:rsidRDefault="00F331F8" w:rsidP="00971933">
      <w:pPr>
        <w:spacing w:after="240" w:line="240" w:lineRule="auto"/>
        <w:ind w:firstLine="426"/>
        <w:jc w:val="both"/>
        <w:rPr>
          <w:lang w:val="fr-FR"/>
        </w:rPr>
      </w:pPr>
      <w:r w:rsidRPr="00F331F8">
        <w:rPr>
          <w:rFonts w:ascii="Arial" w:hAnsi="Arial" w:cs="Arial"/>
          <w:lang w:val="fr-FR"/>
        </w:rPr>
        <w:t>7</w:t>
      </w:r>
      <w:r w:rsidR="00F240BE">
        <w:rPr>
          <w:rFonts w:ascii="Arial" w:hAnsi="Arial" w:cs="Arial"/>
          <w:lang w:val="fr-FR"/>
        </w:rPr>
        <w:t>9</w:t>
      </w:r>
      <w:r w:rsidRPr="00F331F8">
        <w:rPr>
          <w:rFonts w:ascii="Arial" w:hAnsi="Arial" w:cs="Arial"/>
          <w:lang w:val="fr-FR"/>
        </w:rPr>
        <w:t>. Ni la Convention ni le Règlement de la Cour ne cherchent à réglementer la manière dont les preuves doivent être admises ou appréciées par la Cour</w:t>
      </w:r>
      <w:r w:rsidRPr="00F331F8">
        <w:rPr>
          <w:rFonts w:ascii="Arial" w:hAnsi="Arial" w:cs="Arial"/>
          <w:shd w:val="clear" w:color="auto" w:fill="FFFFFF" w:themeFill="background1"/>
          <w:lang w:val="fr-FR"/>
        </w:rPr>
        <w:t>.</w:t>
      </w:r>
      <w:r w:rsidRPr="00720D91">
        <w:rPr>
          <w:rStyle w:val="FootnoteReference"/>
          <w:rFonts w:ascii="Arial" w:hAnsi="Arial" w:cs="Arial"/>
          <w:shd w:val="clear" w:color="auto" w:fill="FFFFFF" w:themeFill="background1"/>
        </w:rPr>
        <w:footnoteReference w:id="118"/>
      </w:r>
      <w:r w:rsidRPr="00F331F8">
        <w:rPr>
          <w:rFonts w:ascii="Arial" w:hAnsi="Arial" w:cs="Arial"/>
          <w:b/>
          <w:color w:val="FF0000"/>
          <w:shd w:val="clear" w:color="auto" w:fill="FFFFFF" w:themeFill="background1"/>
          <w:lang w:val="fr-FR" w:bidi="en-US"/>
        </w:rPr>
        <w:t xml:space="preserve"> </w:t>
      </w:r>
      <w:r w:rsidRPr="00F331F8">
        <w:rPr>
          <w:rFonts w:ascii="Arial" w:hAnsi="Arial" w:cs="Arial"/>
          <w:shd w:val="clear" w:color="auto" w:fill="FFFFFF" w:themeFill="background1"/>
          <w:lang w:val="fr-FR"/>
        </w:rPr>
        <w:t xml:space="preserve">La Cour examine tous les éléments dont elle est saisie, qu'ils proviennent des parties ou d'autres sources, et, si </w:t>
      </w:r>
      <w:r w:rsidRPr="00F331F8">
        <w:rPr>
          <w:rFonts w:ascii="Arial" w:hAnsi="Arial" w:cs="Arial"/>
          <w:shd w:val="clear" w:color="auto" w:fill="FFFFFF" w:themeFill="background1"/>
          <w:lang w:val="fr-FR"/>
        </w:rPr>
        <w:lastRenderedPageBreak/>
        <w:t xml:space="preserve">nécessaire, se les procure de sa propre initiative. </w:t>
      </w:r>
      <w:r w:rsidRPr="00720D91">
        <w:rPr>
          <w:rFonts w:ascii="Arial" w:hAnsi="Arial" w:cs="Arial"/>
          <w:shd w:val="clear" w:color="auto" w:fill="FFFFFF" w:themeFill="background1"/>
          <w:vertAlign w:val="superscript"/>
        </w:rPr>
        <w:footnoteReference w:id="119"/>
      </w:r>
      <w:r w:rsidRPr="00F331F8">
        <w:rPr>
          <w:rFonts w:ascii="Arial" w:hAnsi="Arial" w:cs="Arial"/>
          <w:shd w:val="clear" w:color="auto" w:fill="FFFFFF" w:themeFill="background1"/>
          <w:lang w:val="fr-FR"/>
        </w:rPr>
        <w:t xml:space="preserve"> Il n'existe </w:t>
      </w:r>
      <w:r w:rsidRPr="00F331F8">
        <w:rPr>
          <w:rFonts w:ascii="Arial" w:hAnsi="Arial" w:cs="Arial"/>
          <w:b/>
          <w:bCs/>
          <w:i/>
          <w:iCs/>
          <w:shd w:val="clear" w:color="auto" w:fill="FFFFFF" w:themeFill="background1"/>
          <w:lang w:val="fr-FR"/>
        </w:rPr>
        <w:t>pas de barrières procédurales à la recevabilité des preuves ni de formules préétablies pour leur évaluation</w:t>
      </w:r>
      <w:r w:rsidRPr="00F331F8">
        <w:rPr>
          <w:rFonts w:ascii="Arial" w:hAnsi="Arial" w:cs="Arial"/>
          <w:shd w:val="clear" w:color="auto" w:fill="FFFFFF" w:themeFill="background1"/>
          <w:lang w:val="fr-FR"/>
        </w:rPr>
        <w:t xml:space="preserve"> ; la Cour adopte les conclusions qui, à son avis, sont étayées par la libre évaluation de tous les éléments de preuve, y compris les déductions qui peuvent découler des faits et des arguments des parties. </w:t>
      </w:r>
      <w:r w:rsidRPr="00720D91">
        <w:rPr>
          <w:rFonts w:ascii="Arial" w:hAnsi="Arial" w:cs="Arial"/>
          <w:shd w:val="clear" w:color="auto" w:fill="FFFFFF" w:themeFill="background1"/>
          <w:vertAlign w:val="superscript"/>
        </w:rPr>
        <w:footnoteReference w:id="120"/>
      </w:r>
    </w:p>
    <w:p w14:paraId="10A03B06" w14:textId="53971B5B" w:rsidR="00F331F8" w:rsidRPr="00F331F8" w:rsidRDefault="00F240BE" w:rsidP="00971933">
      <w:pPr>
        <w:spacing w:after="240" w:line="240" w:lineRule="auto"/>
        <w:ind w:firstLine="426"/>
        <w:jc w:val="both"/>
        <w:rPr>
          <w:rFonts w:ascii="Arial" w:hAnsi="Arial" w:cs="Arial"/>
          <w:color w:val="000000"/>
          <w:shd w:val="clear" w:color="auto" w:fill="FFFFFF"/>
          <w:lang w:val="fr-FR"/>
        </w:rPr>
      </w:pPr>
      <w:r>
        <w:rPr>
          <w:rFonts w:ascii="Arial" w:hAnsi="Arial" w:cs="Arial"/>
          <w:lang w:val="fr-FR"/>
        </w:rPr>
        <w:t>80</w:t>
      </w:r>
      <w:r w:rsidR="00F331F8" w:rsidRPr="00F331F8">
        <w:rPr>
          <w:rFonts w:ascii="Arial" w:hAnsi="Arial" w:cs="Arial"/>
          <w:lang w:val="fr-FR"/>
        </w:rPr>
        <w:t xml:space="preserve">. </w:t>
      </w:r>
      <w:r w:rsidR="00F331F8" w:rsidRPr="00F331F8">
        <w:rPr>
          <w:rStyle w:val="sb8d990e2"/>
          <w:rFonts w:ascii="Arial" w:eastAsiaTheme="majorEastAsia" w:hAnsi="Arial" w:cs="Arial"/>
          <w:color w:val="000000"/>
          <w:shd w:val="clear" w:color="auto" w:fill="FFFFFF"/>
          <w:lang w:val="fr-FR"/>
        </w:rPr>
        <w:t xml:space="preserve">La </w:t>
      </w:r>
      <w:r w:rsidR="00F331F8" w:rsidRPr="00F331F8">
        <w:rPr>
          <w:rStyle w:val="sb8d990e2"/>
          <w:rFonts w:ascii="Arial" w:eastAsiaTheme="majorEastAsia" w:hAnsi="Arial" w:cs="Arial"/>
          <w:b/>
          <w:bCs/>
          <w:i/>
          <w:iCs/>
          <w:color w:val="000000"/>
          <w:shd w:val="clear" w:color="auto" w:fill="FFFFFF"/>
          <w:lang w:val="fr-FR"/>
        </w:rPr>
        <w:t>preuve</w:t>
      </w:r>
      <w:r w:rsidR="00F331F8" w:rsidRPr="00F331F8">
        <w:rPr>
          <w:rStyle w:val="sb8d990e2"/>
          <w:rFonts w:ascii="Arial" w:eastAsiaTheme="majorEastAsia" w:hAnsi="Arial" w:cs="Arial"/>
          <w:color w:val="000000"/>
          <w:shd w:val="clear" w:color="auto" w:fill="FFFFFF"/>
          <w:lang w:val="fr-FR"/>
        </w:rPr>
        <w:t xml:space="preserve"> peut découler de la coexistence d'inférences suffisamment fortes, claires et concordantes ou de présomptions de fait similaires non réfutées. En outre, le degré de persuasion nécessaire pour parvenir à une conclusion particulière et, à cet égard, la répartition de la charge de la preuve sont intrinsèquement liés à la spécificité des faits, à la nature de l'allégation formulée et au droit de la Convention en jeu. La Cour est également attentive à la gravité qui s'attache à la constatation de la violation des droits fondamentaux par un État contractant. </w:t>
      </w:r>
      <w:r w:rsidR="00F331F8" w:rsidRPr="00720D91">
        <w:rPr>
          <w:rStyle w:val="FootnoteReference"/>
          <w:rFonts w:ascii="Arial" w:hAnsi="Arial" w:cs="Arial"/>
          <w:color w:val="000000"/>
          <w:shd w:val="clear" w:color="auto" w:fill="FFFFFF"/>
        </w:rPr>
        <w:footnoteReference w:id="121"/>
      </w:r>
    </w:p>
    <w:p w14:paraId="6E04FD7D" w14:textId="3A58EABE" w:rsidR="00F331F8" w:rsidRPr="00F331F8" w:rsidRDefault="00F331F8" w:rsidP="00971933">
      <w:pPr>
        <w:autoSpaceDE w:val="0"/>
        <w:autoSpaceDN w:val="0"/>
        <w:adjustRightInd w:val="0"/>
        <w:spacing w:after="240" w:line="240" w:lineRule="auto"/>
        <w:ind w:firstLine="426"/>
        <w:jc w:val="both"/>
        <w:rPr>
          <w:rFonts w:ascii="Arial" w:hAnsi="Arial" w:cs="Arial"/>
          <w:lang w:val="fr-FR"/>
        </w:rPr>
      </w:pPr>
      <w:r w:rsidRPr="00F331F8">
        <w:rPr>
          <w:rFonts w:ascii="Arial" w:hAnsi="Arial" w:cs="Arial"/>
          <w:lang w:val="fr-FR"/>
        </w:rPr>
        <w:t>8</w:t>
      </w:r>
      <w:r w:rsidR="00F240BE">
        <w:rPr>
          <w:rFonts w:ascii="Arial" w:hAnsi="Arial" w:cs="Arial"/>
          <w:lang w:val="fr-FR"/>
        </w:rPr>
        <w:t>1</w:t>
      </w:r>
      <w:r w:rsidRPr="00F331F8">
        <w:rPr>
          <w:rFonts w:ascii="Arial" w:hAnsi="Arial" w:cs="Arial"/>
          <w:lang w:val="fr-FR"/>
        </w:rPr>
        <w:t>. Maîtresse de sa procédure et de son règlement, la Cour a toute liberté pour évaluer non seulement la recevabilité et la pertinence mais aussi la valeur probante de chaque élément de preuve qui lui est soumis.</w:t>
      </w:r>
      <w:r w:rsidRPr="00720D91">
        <w:rPr>
          <w:rFonts w:ascii="Arial" w:hAnsi="Arial" w:cs="Arial"/>
          <w:vertAlign w:val="superscript"/>
        </w:rPr>
        <w:footnoteReference w:id="122"/>
      </w:r>
      <w:r w:rsidRPr="00F331F8">
        <w:rPr>
          <w:rFonts w:ascii="Arial" w:hAnsi="Arial" w:cs="Arial"/>
          <w:lang w:val="fr-FR"/>
        </w:rPr>
        <w:t xml:space="preserve"> Elle a souvent attaché de l'importance aux informations contenues dans des rapports récents émanant d'associations internationales indépendantes de protection des droits de l'homme ou de sources gouvernementales.</w:t>
      </w:r>
      <w:r w:rsidRPr="00720D91">
        <w:rPr>
          <w:rFonts w:ascii="Arial" w:hAnsi="Arial" w:cs="Arial"/>
          <w:vertAlign w:val="superscript"/>
        </w:rPr>
        <w:footnoteReference w:id="123"/>
      </w:r>
      <w:r w:rsidRPr="00F331F8">
        <w:rPr>
          <w:rFonts w:ascii="Arial" w:hAnsi="Arial" w:cs="Arial"/>
          <w:lang w:val="fr-FR"/>
        </w:rPr>
        <w:t xml:space="preserve"> Afin d'évaluer la fiabilité de ces rapports, les critères pertinents sont l'autorité et la réputation de leurs auteurs, le sérieux des enquêtes par lesquelles ils ont été compilés, la cohérence de leurs conclusions et le fait qu'elles soient corroborées par d'autres sources.</w:t>
      </w:r>
      <w:r w:rsidRPr="00720D91">
        <w:rPr>
          <w:rFonts w:ascii="Arial" w:hAnsi="Arial" w:cs="Arial"/>
          <w:vertAlign w:val="superscript"/>
        </w:rPr>
        <w:footnoteReference w:id="124"/>
      </w:r>
      <w:r w:rsidRPr="00F331F8">
        <w:rPr>
          <w:rFonts w:ascii="Arial" w:hAnsi="Arial" w:cs="Arial"/>
          <w:lang w:val="fr-FR"/>
        </w:rPr>
        <w:t xml:space="preserve"> La Cour peut organiser une audition de témoins pour vérifier la véracité des éléments de preuve exposés dans les rapports des organisations internationales concernant certains aspects de la requête.</w:t>
      </w:r>
      <w:r w:rsidRPr="00720D91">
        <w:rPr>
          <w:rStyle w:val="FootnoteReference"/>
          <w:rFonts w:ascii="Arial" w:hAnsi="Arial" w:cs="Arial"/>
        </w:rPr>
        <w:footnoteReference w:id="125"/>
      </w:r>
      <w:r w:rsidRPr="00F331F8">
        <w:rPr>
          <w:rFonts w:ascii="Arial" w:hAnsi="Arial" w:cs="Arial"/>
          <w:lang w:val="fr-FR"/>
        </w:rPr>
        <w:t xml:space="preserve"> Les rapports ou déclarations d'observateurs internationaux, d'organisations non gouvernementales ou des médias, ou encore les décisions d'autres juridictions nationales ou internationales, sont souvent pris en compte pour, notamment, éclairer les faits ou corroborer les constatations faites par la Cour.</w:t>
      </w:r>
      <w:r w:rsidRPr="00720D91">
        <w:rPr>
          <w:rFonts w:ascii="Arial" w:hAnsi="Arial" w:cs="Arial"/>
          <w:vertAlign w:val="superscript"/>
        </w:rPr>
        <w:footnoteReference w:id="126"/>
      </w:r>
      <w:r w:rsidRPr="00F331F8">
        <w:rPr>
          <w:rFonts w:ascii="Arial" w:hAnsi="Arial" w:cs="Arial"/>
          <w:vertAlign w:val="superscript"/>
          <w:lang w:val="fr-FR"/>
        </w:rPr>
        <w:t xml:space="preserve"> </w:t>
      </w:r>
    </w:p>
    <w:p w14:paraId="507D99F9" w14:textId="2308D553" w:rsidR="00F331F8" w:rsidRPr="00F331F8" w:rsidRDefault="00F331F8" w:rsidP="00971933">
      <w:pPr>
        <w:autoSpaceDE w:val="0"/>
        <w:autoSpaceDN w:val="0"/>
        <w:adjustRightInd w:val="0"/>
        <w:spacing w:after="240" w:line="240" w:lineRule="auto"/>
        <w:ind w:firstLine="426"/>
        <w:jc w:val="both"/>
        <w:rPr>
          <w:rFonts w:ascii="Arial" w:hAnsi="Arial" w:cs="Arial"/>
          <w:lang w:val="fr-FR"/>
        </w:rPr>
      </w:pPr>
      <w:r w:rsidRPr="00F331F8">
        <w:rPr>
          <w:rFonts w:ascii="Arial" w:hAnsi="Arial" w:cs="Arial"/>
          <w:lang w:val="fr-FR"/>
        </w:rPr>
        <w:t>8</w:t>
      </w:r>
      <w:r w:rsidR="00F240BE">
        <w:rPr>
          <w:rFonts w:ascii="Arial" w:hAnsi="Arial" w:cs="Arial"/>
          <w:lang w:val="fr-FR"/>
        </w:rPr>
        <w:t>2</w:t>
      </w:r>
      <w:r w:rsidRPr="00F331F8">
        <w:rPr>
          <w:rFonts w:ascii="Arial" w:hAnsi="Arial" w:cs="Arial"/>
          <w:lang w:val="fr-FR"/>
        </w:rPr>
        <w:t xml:space="preserve">. La Cour établit les faits principalement à partir des </w:t>
      </w:r>
      <w:r w:rsidRPr="00F331F8">
        <w:rPr>
          <w:rFonts w:ascii="Arial" w:hAnsi="Arial" w:cs="Arial"/>
          <w:b/>
          <w:bCs/>
          <w:i/>
          <w:iCs/>
          <w:lang w:val="fr-FR"/>
        </w:rPr>
        <w:t>preuves</w:t>
      </w:r>
      <w:r w:rsidRPr="00F331F8">
        <w:rPr>
          <w:rFonts w:ascii="Arial" w:hAnsi="Arial" w:cs="Arial"/>
          <w:lang w:val="fr-FR"/>
        </w:rPr>
        <w:t xml:space="preserve"> </w:t>
      </w:r>
      <w:r w:rsidRPr="00F331F8">
        <w:rPr>
          <w:rFonts w:ascii="Arial" w:hAnsi="Arial" w:cs="Arial"/>
          <w:b/>
          <w:bCs/>
          <w:i/>
          <w:iCs/>
          <w:lang w:val="fr-FR"/>
        </w:rPr>
        <w:t>documentaires</w:t>
      </w:r>
      <w:r w:rsidRPr="00F331F8">
        <w:rPr>
          <w:rFonts w:ascii="Arial" w:hAnsi="Arial" w:cs="Arial"/>
          <w:lang w:val="fr-FR"/>
        </w:rPr>
        <w:t xml:space="preserve"> qui comprennent non seulement les documents soumis par les parties mais aussi les rapports des organisations internationales gouvernementales et non gouvernementales.</w:t>
      </w:r>
      <w:r w:rsidRPr="00720D91">
        <w:rPr>
          <w:rStyle w:val="FootnoteReference"/>
          <w:rFonts w:ascii="Arial" w:hAnsi="Arial" w:cs="Arial"/>
        </w:rPr>
        <w:footnoteReference w:id="127"/>
      </w:r>
      <w:r w:rsidRPr="00F331F8">
        <w:rPr>
          <w:rFonts w:ascii="Arial" w:hAnsi="Arial" w:cs="Arial"/>
          <w:lang w:val="fr-FR"/>
        </w:rPr>
        <w:t xml:space="preserve"> Cela explique l'approche de la Cour qui reconnaît son rôle subsidiaire et s'en remet aux tribunaux nationaux qui ont eu l'occasion de voir et d'entendre les témoins pertinents et, par conséquent, la possibilité d'évaluer leur crédibilité. Si la Cour n'est pas liée par les constatations de faits des juridictions nationales, il lui faudra des « éléments convaincants » pour s'écarter de ces constatations. </w:t>
      </w:r>
      <w:r w:rsidRPr="00720D91">
        <w:rPr>
          <w:rStyle w:val="FootnoteReference"/>
          <w:rFonts w:ascii="Arial" w:hAnsi="Arial" w:cs="Arial"/>
        </w:rPr>
        <w:footnoteReference w:id="128"/>
      </w:r>
    </w:p>
    <w:p w14:paraId="7D88BF25" w14:textId="24B3C5FE" w:rsidR="00F331F8" w:rsidRPr="00F331F8" w:rsidRDefault="00F331F8" w:rsidP="00971933">
      <w:pPr>
        <w:autoSpaceDE w:val="0"/>
        <w:autoSpaceDN w:val="0"/>
        <w:adjustRightInd w:val="0"/>
        <w:spacing w:after="240" w:line="240" w:lineRule="auto"/>
        <w:ind w:firstLine="426"/>
        <w:jc w:val="both"/>
        <w:rPr>
          <w:rFonts w:ascii="Arial" w:hAnsi="Arial" w:cs="Arial"/>
          <w:lang w:val="fr-FR"/>
        </w:rPr>
      </w:pPr>
      <w:r w:rsidRPr="00F331F8">
        <w:rPr>
          <w:rFonts w:ascii="Arial" w:hAnsi="Arial" w:cs="Arial"/>
          <w:lang w:val="fr-FR"/>
        </w:rPr>
        <w:lastRenderedPageBreak/>
        <w:t>8</w:t>
      </w:r>
      <w:r w:rsidR="00F240BE">
        <w:rPr>
          <w:rFonts w:ascii="Arial" w:hAnsi="Arial" w:cs="Arial"/>
          <w:lang w:val="fr-FR"/>
        </w:rPr>
        <w:t>3</w:t>
      </w:r>
      <w:r w:rsidRPr="00F331F8">
        <w:rPr>
          <w:rFonts w:ascii="Arial" w:hAnsi="Arial" w:cs="Arial"/>
          <w:lang w:val="fr-FR"/>
        </w:rPr>
        <w:t xml:space="preserve">. La Cour peut tirer des </w:t>
      </w:r>
      <w:r w:rsidRPr="00F331F8">
        <w:rPr>
          <w:rFonts w:ascii="Arial" w:hAnsi="Arial" w:cs="Arial"/>
          <w:b/>
          <w:bCs/>
          <w:i/>
          <w:iCs/>
          <w:lang w:val="fr-FR"/>
        </w:rPr>
        <w:t>conclusions défavorables</w:t>
      </w:r>
      <w:r w:rsidRPr="00F331F8">
        <w:rPr>
          <w:rFonts w:ascii="Arial" w:hAnsi="Arial" w:cs="Arial"/>
          <w:lang w:val="fr-FR"/>
        </w:rPr>
        <w:t xml:space="preserve"> du manquement des parties à leur obligation de fournir toutes les facilités nécessaires à l'examen de l'affaire par la Cour en vertu de l'article 38 de la Convention. Ceci est également explicitement prévu par l'article 44C du règlement de la Cour qui dispose que « lorsqu’une partie reste en défaut de produire les preuves ou informations requises par la Cour ou de divulguer de son propre chef des informations pertinentes, ou lorsqu’elle témoigne autrement d’un manque de participation effective à la procédure, la Cour peut tirer de son comportement les conclusions qu’elle juge appropriées. » Pour décrire la nature et le contenu de l'obligation de fournir toutes les facilités nécessaires en vertu de l'article 38 de la Convention, il est fait référence aux principes que la Cour a établis dans des requêtes individuelles concernant l'obligation procédurale de ne pas entraver l'exercice effectif du droit de pétition en vertu de l'article 34, étant donné que la Cour applique ces principes aux requêtes interétatiques. </w:t>
      </w:r>
      <w:r w:rsidRPr="00720D91">
        <w:rPr>
          <w:rStyle w:val="FootnoteReference"/>
          <w:rFonts w:ascii="Arial" w:hAnsi="Arial" w:cs="Arial"/>
        </w:rPr>
        <w:footnoteReference w:id="129"/>
      </w:r>
    </w:p>
    <w:p w14:paraId="0219D88B" w14:textId="0B3CCEC0" w:rsidR="00F331F8" w:rsidRPr="00F331F8" w:rsidRDefault="00F331F8" w:rsidP="00971933">
      <w:pPr>
        <w:spacing w:after="240" w:line="240" w:lineRule="auto"/>
        <w:ind w:firstLine="426"/>
        <w:jc w:val="both"/>
        <w:rPr>
          <w:rFonts w:ascii="Arial" w:hAnsi="Arial" w:cs="Arial"/>
          <w:lang w:val="fr-FR"/>
        </w:rPr>
      </w:pPr>
      <w:r w:rsidRPr="00F331F8">
        <w:rPr>
          <w:rFonts w:ascii="Arial" w:hAnsi="Arial" w:cs="Arial"/>
          <w:lang w:val="fr-FR"/>
        </w:rPr>
        <w:t>8</w:t>
      </w:r>
      <w:r w:rsidR="00F240BE">
        <w:rPr>
          <w:rFonts w:ascii="Arial" w:hAnsi="Arial" w:cs="Arial"/>
          <w:lang w:val="fr-FR"/>
        </w:rPr>
        <w:t>4</w:t>
      </w:r>
      <w:r w:rsidRPr="00F331F8">
        <w:rPr>
          <w:rFonts w:ascii="Arial" w:hAnsi="Arial" w:cs="Arial"/>
          <w:lang w:val="fr-FR"/>
        </w:rPr>
        <w:t xml:space="preserve">. </w:t>
      </w:r>
      <w:r w:rsidRPr="00F331F8">
        <w:rPr>
          <w:rFonts w:ascii="Arial" w:hAnsi="Arial" w:cs="Arial"/>
          <w:b/>
          <w:bCs/>
          <w:i/>
          <w:iCs/>
          <w:lang w:val="fr-FR"/>
        </w:rPr>
        <w:t>L'obligation de fournir toutes les facilités nécessaires</w:t>
      </w:r>
      <w:r w:rsidRPr="00F331F8">
        <w:rPr>
          <w:rFonts w:ascii="Arial" w:hAnsi="Arial" w:cs="Arial"/>
          <w:lang w:val="fr-FR"/>
        </w:rPr>
        <w:t xml:space="preserve"> est de la plus haute importance pour le bon fonctionnement du système de recours individuel institué par l'article 34 de la Convention et s'applique lorsque la Cour exerce ses fonctions générales en matière d'examen des requêtes ou lorsqu'elle procède à une enquête sur les faits.</w:t>
      </w:r>
      <w:r w:rsidRPr="00720D91">
        <w:rPr>
          <w:rStyle w:val="FootnoteReference"/>
          <w:rFonts w:ascii="Arial" w:hAnsi="Arial" w:cs="Arial"/>
        </w:rPr>
        <w:footnoteReference w:id="130"/>
      </w:r>
      <w:r w:rsidRPr="00F331F8">
        <w:rPr>
          <w:rFonts w:ascii="Arial" w:hAnsi="Arial" w:cs="Arial"/>
          <w:lang w:val="fr-FR"/>
        </w:rPr>
        <w:t xml:space="preserve"> L'obligation prévue à l'article 38 est corollaire de l'obligation prévue à l'article 34, mais a un caractère autonome.</w:t>
      </w:r>
      <w:r w:rsidRPr="00720D91">
        <w:rPr>
          <w:rStyle w:val="FootnoteReference"/>
          <w:rFonts w:ascii="Arial" w:hAnsi="Arial" w:cs="Arial"/>
        </w:rPr>
        <w:footnoteReference w:id="131"/>
      </w:r>
      <w:r w:rsidRPr="00F331F8">
        <w:rPr>
          <w:rFonts w:ascii="Arial" w:hAnsi="Arial" w:cs="Arial"/>
          <w:lang w:val="fr-FR"/>
        </w:rPr>
        <w:t xml:space="preserve"> Ces deux dispositions concourent à garantir le bon déroulement de la procédure judiciaire et portent sur des questions de procédure plutôt que sur le bien-fondé des griefs des requérants au regard des dispositions de fond de la Convention ou de ses Protocoles. </w:t>
      </w:r>
      <w:r w:rsidRPr="00720D91">
        <w:rPr>
          <w:rStyle w:val="FootnoteReference"/>
          <w:rFonts w:ascii="Arial" w:hAnsi="Arial" w:cs="Arial"/>
        </w:rPr>
        <w:footnoteReference w:id="132"/>
      </w:r>
      <w:r w:rsidRPr="00F331F8">
        <w:rPr>
          <w:rFonts w:ascii="Arial" w:hAnsi="Arial" w:cs="Arial"/>
          <w:lang w:val="fr-FR"/>
        </w:rPr>
        <w:t xml:space="preserve"> La Cour a coutume d'examiner d'emblée le respect par le Gouvernement de ses obligations procédurales au titre de l'article 38 de la Convention, surtout si des déductions négatives doivent être tirées du fait que le Gouvernement n'a pas présenté les preuves demandées. </w:t>
      </w:r>
      <w:r w:rsidRPr="00720D91">
        <w:rPr>
          <w:rStyle w:val="FootnoteReference"/>
          <w:rFonts w:ascii="Arial" w:hAnsi="Arial" w:cs="Arial"/>
        </w:rPr>
        <w:footnoteReference w:id="133"/>
      </w:r>
      <w:r w:rsidRPr="00F331F8">
        <w:rPr>
          <w:rFonts w:ascii="Arial" w:hAnsi="Arial" w:cs="Arial"/>
          <w:lang w:val="fr-FR"/>
        </w:rPr>
        <w:t xml:space="preserve"> La Cour peut établir un manquement du gouvernement défendeur à ses obligations procédurales même en l'absence de tout grief recevable de violation d'un droit substantiel de la Convention. En outre, il n'est pas nécessaire que l'ingérence alléguée du gouvernement ait effectivement restreint l'exercice du droit de recours individuel ou ait eu un impact sensible sur celui-ci. Les obligations procédurales de la partie contractante en vertu des articles 34 et 38 de la Convention doivent être respectées indépendamment de l'issue éventuelle de la procédure et de manière à éviter tout effet dissuasif réel ou potentiel sur les requérants ou leurs représentants. </w:t>
      </w:r>
      <w:r w:rsidRPr="00720D91">
        <w:rPr>
          <w:rStyle w:val="FootnoteReference"/>
          <w:rFonts w:ascii="Arial" w:hAnsi="Arial" w:cs="Arial"/>
        </w:rPr>
        <w:footnoteReference w:id="134"/>
      </w:r>
    </w:p>
    <w:p w14:paraId="349507C4" w14:textId="0C96973A" w:rsidR="00F331F8" w:rsidRPr="00F331F8" w:rsidRDefault="00F331F8" w:rsidP="00971933">
      <w:pPr>
        <w:spacing w:after="240" w:line="240" w:lineRule="auto"/>
        <w:ind w:firstLine="426"/>
        <w:jc w:val="both"/>
        <w:rPr>
          <w:rFonts w:ascii="Arial" w:hAnsi="Arial" w:cs="Arial"/>
          <w:lang w:val="fr-FR"/>
        </w:rPr>
      </w:pPr>
      <w:r w:rsidRPr="00F331F8">
        <w:rPr>
          <w:rFonts w:ascii="Arial" w:hAnsi="Arial" w:cs="Arial"/>
          <w:lang w:val="fr-FR"/>
        </w:rPr>
        <w:t>8</w:t>
      </w:r>
      <w:r w:rsidR="00F240BE">
        <w:rPr>
          <w:rFonts w:ascii="Arial" w:hAnsi="Arial" w:cs="Arial"/>
          <w:lang w:val="fr-FR"/>
        </w:rPr>
        <w:t>5</w:t>
      </w:r>
      <w:r w:rsidRPr="00F331F8">
        <w:rPr>
          <w:rFonts w:ascii="Arial" w:hAnsi="Arial" w:cs="Arial"/>
          <w:lang w:val="fr-FR"/>
        </w:rPr>
        <w:t>. Cette obligation de fournir les éléments de preuve demandés par la Cour lie le gouvernement défendeur à partir du moment où une telle demande a été formulée, que ce soit lors de la communication initiale d'une requête au gouvernement ou à un stade ultérieur de la procédure.</w:t>
      </w:r>
      <w:r w:rsidRPr="00720D91">
        <w:rPr>
          <w:rStyle w:val="FootnoteReference"/>
          <w:rFonts w:ascii="Arial" w:hAnsi="Arial" w:cs="Arial"/>
        </w:rPr>
        <w:footnoteReference w:id="135"/>
      </w:r>
      <w:r w:rsidRPr="00F331F8">
        <w:rPr>
          <w:rFonts w:ascii="Arial" w:hAnsi="Arial" w:cs="Arial"/>
          <w:lang w:val="fr-FR"/>
        </w:rPr>
        <w:t xml:space="preserve"> Il est fondamental que les pièces demandées soient soumises dans leur intégralité, si la Cour l'a ordonné, et que tout élément manquant soit dûment justifié.</w:t>
      </w:r>
      <w:r w:rsidRPr="00720D91">
        <w:rPr>
          <w:rStyle w:val="FootnoteReference"/>
          <w:rFonts w:ascii="Arial" w:hAnsi="Arial" w:cs="Arial"/>
        </w:rPr>
        <w:footnoteReference w:id="136"/>
      </w:r>
      <w:r w:rsidRPr="00F331F8">
        <w:rPr>
          <w:rFonts w:ascii="Arial" w:hAnsi="Arial" w:cs="Arial"/>
          <w:lang w:val="fr-FR"/>
        </w:rPr>
        <w:t xml:space="preserve"> Par ailleurs, toute pièce demandée doit être produite rapidement et, en tout état de cause, dans le délai fixé par la Cour, car un retard important et inexpliqué peut amener la Cour à considérer que les explications de l'État défendeur ne sont pas convaincantes. </w:t>
      </w:r>
      <w:r w:rsidRPr="00720D91">
        <w:rPr>
          <w:rStyle w:val="FootnoteReference"/>
          <w:rFonts w:ascii="Arial" w:hAnsi="Arial" w:cs="Arial"/>
        </w:rPr>
        <w:footnoteReference w:id="137"/>
      </w:r>
    </w:p>
    <w:p w14:paraId="5457B7AE" w14:textId="55600796" w:rsidR="00F331F8" w:rsidRPr="00F331F8" w:rsidRDefault="00F331F8" w:rsidP="00971933">
      <w:pPr>
        <w:spacing w:after="240" w:line="240" w:lineRule="auto"/>
        <w:ind w:firstLine="426"/>
        <w:jc w:val="both"/>
        <w:rPr>
          <w:rFonts w:ascii="Arial" w:hAnsi="Arial" w:cs="Arial"/>
          <w:lang w:val="fr-FR"/>
        </w:rPr>
      </w:pPr>
      <w:r w:rsidRPr="00F331F8">
        <w:rPr>
          <w:rFonts w:ascii="Arial" w:hAnsi="Arial" w:cs="Arial"/>
          <w:lang w:val="fr-FR"/>
        </w:rPr>
        <w:lastRenderedPageBreak/>
        <w:t>8</w:t>
      </w:r>
      <w:r w:rsidR="00F240BE">
        <w:rPr>
          <w:rFonts w:ascii="Arial" w:hAnsi="Arial" w:cs="Arial"/>
          <w:lang w:val="fr-FR"/>
        </w:rPr>
        <w:t>6</w:t>
      </w:r>
      <w:r w:rsidRPr="00F331F8">
        <w:rPr>
          <w:rFonts w:ascii="Arial" w:hAnsi="Arial" w:cs="Arial"/>
          <w:lang w:val="fr-FR"/>
        </w:rPr>
        <w:t xml:space="preserve">. La notion de fourniture des facilités nécessaires au sens de l'article 38 comprend </w:t>
      </w:r>
      <w:r w:rsidRPr="00F331F8">
        <w:rPr>
          <w:rFonts w:ascii="Arial" w:hAnsi="Arial" w:cs="Arial"/>
          <w:iCs/>
          <w:lang w:val="fr-FR"/>
        </w:rPr>
        <w:t>notamment</w:t>
      </w:r>
      <w:r w:rsidRPr="00F331F8">
        <w:rPr>
          <w:rFonts w:ascii="Arial" w:hAnsi="Arial" w:cs="Arial"/>
          <w:i/>
          <w:lang w:val="fr-FR"/>
        </w:rPr>
        <w:t xml:space="preserve"> </w:t>
      </w:r>
      <w:r w:rsidRPr="00F331F8">
        <w:rPr>
          <w:rFonts w:ascii="Arial" w:hAnsi="Arial" w:cs="Arial"/>
          <w:iCs/>
          <w:lang w:val="fr-FR"/>
        </w:rPr>
        <w:t>la</w:t>
      </w:r>
      <w:r w:rsidRPr="00F331F8">
        <w:rPr>
          <w:rFonts w:ascii="Arial" w:hAnsi="Arial" w:cs="Arial"/>
          <w:i/>
          <w:lang w:val="fr-FR"/>
        </w:rPr>
        <w:t xml:space="preserve"> </w:t>
      </w:r>
      <w:r w:rsidRPr="00F331F8">
        <w:rPr>
          <w:rFonts w:ascii="Arial" w:hAnsi="Arial" w:cs="Arial"/>
          <w:lang w:val="fr-FR"/>
        </w:rPr>
        <w:t xml:space="preserve">présentation de preuves documentaires à la Cour, l'identification, la localisation et la présence des témoins aux audiences et la réponse aux questions posées par la Cour. Tout manquement à l'obligation de coopérer avec la Cour ne constitue pas une violation de l'article 38 de la Convention. La Cour apprécie dans chaque cas si le degré de non-coopération a été tel qu'il a porté préjudice à l'établissement des faits ou empêché de toute autre manière un examen approprié de l'affaire. </w:t>
      </w:r>
      <w:r w:rsidRPr="00720D91">
        <w:rPr>
          <w:rStyle w:val="FootnoteReference"/>
          <w:rFonts w:ascii="Arial" w:hAnsi="Arial" w:cs="Arial"/>
        </w:rPr>
        <w:footnoteReference w:id="138"/>
      </w:r>
      <w:r w:rsidRPr="00F331F8">
        <w:rPr>
          <w:rFonts w:ascii="Arial" w:hAnsi="Arial" w:cs="Arial"/>
          <w:lang w:val="fr-FR"/>
        </w:rPr>
        <w:t xml:space="preserve"> </w:t>
      </w:r>
    </w:p>
    <w:p w14:paraId="442E7802" w14:textId="5BC9939E" w:rsidR="00F331F8" w:rsidRPr="00F331F8" w:rsidRDefault="00F331F8" w:rsidP="00971933">
      <w:pPr>
        <w:autoSpaceDE w:val="0"/>
        <w:autoSpaceDN w:val="0"/>
        <w:adjustRightInd w:val="0"/>
        <w:spacing w:line="240" w:lineRule="auto"/>
        <w:ind w:firstLine="426"/>
        <w:jc w:val="both"/>
        <w:rPr>
          <w:rFonts w:ascii="Arial" w:hAnsi="Arial" w:cs="Arial"/>
          <w:lang w:val="fr-FR"/>
        </w:rPr>
      </w:pPr>
      <w:r w:rsidRPr="00F331F8">
        <w:rPr>
          <w:rFonts w:ascii="Arial" w:hAnsi="Arial" w:cs="Arial"/>
          <w:lang w:val="fr-FR"/>
        </w:rPr>
        <w:t>8</w:t>
      </w:r>
      <w:r w:rsidR="00F240BE">
        <w:rPr>
          <w:rFonts w:ascii="Arial" w:hAnsi="Arial" w:cs="Arial"/>
          <w:lang w:val="fr-FR"/>
        </w:rPr>
        <w:t>7</w:t>
      </w:r>
      <w:r w:rsidRPr="00F331F8">
        <w:rPr>
          <w:rFonts w:ascii="Arial" w:hAnsi="Arial" w:cs="Arial"/>
          <w:lang w:val="fr-FR"/>
        </w:rPr>
        <w:t>. Lorsque la Cour considère que le Gouvernement défendeur a un accès exclusif à des informations susceptibles de corroborer ou de réfuter les allégations du gouvernement requérant, tout manque de coopération de la part du gouvernement sans explication satisfaisante peut donner lieu à des déductions quant au bien-fondé des allégations du gouvernement requérant</w:t>
      </w:r>
      <w:r w:rsidRPr="00720D91">
        <w:rPr>
          <w:rStyle w:val="FootnoteReference"/>
          <w:rFonts w:ascii="Arial" w:hAnsi="Arial" w:cs="Arial"/>
        </w:rPr>
        <w:footnoteReference w:id="139"/>
      </w:r>
      <w:r w:rsidRPr="00F331F8">
        <w:rPr>
          <w:rFonts w:ascii="Arial" w:hAnsi="Arial" w:cs="Arial"/>
          <w:lang w:val="fr-FR"/>
        </w:rPr>
        <w:t xml:space="preserve"> et peut également avoir une incidence négative sur le niveau de respect par l'État défendeur des obligations qui lui incombent en vertu de l'article 38 de la Convention.</w:t>
      </w:r>
      <w:r w:rsidRPr="00720D91">
        <w:rPr>
          <w:rStyle w:val="FootnoteReference"/>
          <w:rFonts w:ascii="Arial" w:hAnsi="Arial" w:cs="Arial"/>
        </w:rPr>
        <w:footnoteReference w:id="140"/>
      </w:r>
      <w:r w:rsidRPr="00F331F8">
        <w:rPr>
          <w:rFonts w:ascii="Arial" w:hAnsi="Arial" w:cs="Arial"/>
          <w:lang w:val="fr-FR"/>
        </w:rPr>
        <w:t xml:space="preserve"> Lorsque les requérants ne sont pas en mesure d'obtenir certains documents pour soumettre des preuves à la Cour à l'appui de leurs allégations et lorsqu'il est clair que ces documents ne peuvent être obtenus qu'avec l'aide des autorités nationales, la Cour peut demander aux représentants de l'Etat défendeur de les obtenir auprès des autorités nationales et de les mettre à la disposition de la Cour. En outre, à la lumière des informations déjà en sa possession, la Cour elle-même peut également identifier et demander d'autres documents au gouvernement défendeur. La Cour a estimé qu'un gouvernement défendeur ne s'est pas conformé aux exigences de l'article 38 lorsqu'il n'a pas soumis les documents demandés, ou s'ils ne sont pas soumis dans le délai imparti et qu'il n'a pas fourni d'explication à la Cour pour justifier son refus de soumettre des documents</w:t>
      </w:r>
      <w:r w:rsidRPr="00720D91">
        <w:rPr>
          <w:rStyle w:val="FootnoteReference"/>
          <w:rFonts w:ascii="Arial" w:hAnsi="Arial" w:cs="Arial"/>
        </w:rPr>
        <w:footnoteReference w:id="141"/>
      </w:r>
      <w:r w:rsidRPr="00F331F8">
        <w:rPr>
          <w:rFonts w:ascii="Arial" w:hAnsi="Arial" w:cs="Arial"/>
          <w:lang w:val="fr-FR"/>
        </w:rPr>
        <w:t xml:space="preserve"> ou lorsqu'il a soumis une copie incomplète ou déformée tout en refusant de produire le document original pour l'inspection de la Cour.  </w:t>
      </w:r>
      <w:r w:rsidRPr="00720D91">
        <w:rPr>
          <w:rStyle w:val="FootnoteReference"/>
          <w:rFonts w:ascii="Arial" w:hAnsi="Arial" w:cs="Arial"/>
        </w:rPr>
        <w:footnoteReference w:id="142"/>
      </w:r>
    </w:p>
    <w:p w14:paraId="45BED0D9" w14:textId="7740FD03" w:rsidR="00F331F8" w:rsidRPr="00720D91" w:rsidRDefault="00F331F8" w:rsidP="00971933">
      <w:pPr>
        <w:pStyle w:val="s30eec3f8"/>
        <w:ind w:firstLine="426"/>
        <w:jc w:val="both"/>
        <w:rPr>
          <w:rStyle w:val="sb8d990e2"/>
          <w:rFonts w:ascii="Arial" w:eastAsiaTheme="minorEastAsia" w:hAnsi="Arial" w:cs="Arial"/>
          <w:sz w:val="22"/>
          <w:szCs w:val="22"/>
          <w:lang w:val="fr-FR"/>
        </w:rPr>
      </w:pPr>
      <w:r w:rsidRPr="00720D91">
        <w:rPr>
          <w:rStyle w:val="sb8d990e2"/>
          <w:rFonts w:ascii="Arial" w:eastAsiaTheme="minorEastAsia" w:hAnsi="Arial" w:cs="Arial"/>
          <w:sz w:val="22"/>
          <w:szCs w:val="22"/>
          <w:lang w:val="fr-FR"/>
        </w:rPr>
        <w:t>8</w:t>
      </w:r>
      <w:r w:rsidR="00F240BE">
        <w:rPr>
          <w:rStyle w:val="sb8d990e2"/>
          <w:rFonts w:ascii="Arial" w:eastAsiaTheme="minorEastAsia" w:hAnsi="Arial" w:cs="Arial"/>
          <w:sz w:val="22"/>
          <w:szCs w:val="22"/>
          <w:lang w:val="fr-FR"/>
        </w:rPr>
        <w:t>8</w:t>
      </w:r>
      <w:r w:rsidRPr="00720D91">
        <w:rPr>
          <w:rStyle w:val="sb8d990e2"/>
          <w:rFonts w:ascii="Arial" w:eastAsiaTheme="minorEastAsia" w:hAnsi="Arial" w:cs="Arial"/>
          <w:sz w:val="22"/>
          <w:szCs w:val="22"/>
          <w:lang w:val="fr-FR"/>
        </w:rPr>
        <w:t>. Si le gouvernement défendeur avance des considérations de confidentialité ou de sécurité pour justifier son refus de produire les éléments de preuve demandés, la Cour doit se convaincre qu'il existe des motifs raisonnables et solides de considérer les documents en question comme secrets ou confidentiels.</w:t>
      </w:r>
      <w:r w:rsidRPr="00720D91">
        <w:rPr>
          <w:rStyle w:val="FootnoteReference"/>
          <w:rFonts w:ascii="Arial" w:eastAsiaTheme="minorEastAsia" w:hAnsi="Arial" w:cs="Arial"/>
          <w:sz w:val="22"/>
          <w:szCs w:val="22"/>
        </w:rPr>
        <w:footnoteReference w:id="143"/>
      </w:r>
      <w:r w:rsidRPr="00720D91">
        <w:rPr>
          <w:rStyle w:val="sb8d990e2"/>
          <w:rFonts w:ascii="Arial" w:eastAsiaTheme="minorEastAsia" w:hAnsi="Arial" w:cs="Arial"/>
          <w:sz w:val="22"/>
          <w:szCs w:val="22"/>
          <w:lang w:val="fr-FR"/>
        </w:rPr>
        <w:t xml:space="preserve"> La Cour peut également proposer des arrangements pratiques ou envisager de tels arrangements proposés par les parties pour soumettre des extraits non confidentiels lorsque le gouvernement défendeur refuse de soumettre les documents demandés par la Cour au motif que les documents en question constituent un secret d'État.</w:t>
      </w:r>
      <w:r w:rsidRPr="00720D91">
        <w:rPr>
          <w:rStyle w:val="sb8d990e2"/>
          <w:rFonts w:asciiTheme="minorBidi" w:eastAsiaTheme="minorEastAsia" w:hAnsiTheme="minorBidi" w:cstheme="minorBidi"/>
          <w:sz w:val="22"/>
          <w:szCs w:val="22"/>
          <w:vertAlign w:val="superscript"/>
          <w:lang w:val="fr-FR"/>
        </w:rPr>
        <w:footnoteReference w:id="144"/>
      </w:r>
      <w:r w:rsidRPr="00720D91">
        <w:rPr>
          <w:rStyle w:val="sb8d990e2"/>
          <w:rFonts w:ascii="Arial" w:eastAsiaTheme="minorEastAsia" w:hAnsi="Arial" w:cs="Arial"/>
          <w:sz w:val="22"/>
          <w:szCs w:val="22"/>
          <w:lang w:val="fr-FR"/>
        </w:rPr>
        <w:t xml:space="preserve"> </w:t>
      </w:r>
    </w:p>
    <w:p w14:paraId="445EF2CB" w14:textId="4E71F444" w:rsidR="00F331F8" w:rsidRPr="00720D91" w:rsidRDefault="00F331F8" w:rsidP="00971933">
      <w:pPr>
        <w:pStyle w:val="s30eec3f8"/>
        <w:ind w:firstLine="426"/>
        <w:jc w:val="both"/>
        <w:rPr>
          <w:rStyle w:val="sb8d990e2"/>
          <w:rFonts w:ascii="Arial" w:eastAsiaTheme="minorEastAsia" w:hAnsi="Arial" w:cs="Arial"/>
          <w:sz w:val="22"/>
          <w:szCs w:val="22"/>
          <w:lang w:val="fr-FR"/>
        </w:rPr>
      </w:pPr>
      <w:r w:rsidRPr="00720D91">
        <w:rPr>
          <w:rStyle w:val="sb8d990e2"/>
          <w:rFonts w:ascii="Arial" w:eastAsiaTheme="minorEastAsia" w:hAnsi="Arial" w:cs="Arial"/>
          <w:sz w:val="22"/>
          <w:szCs w:val="22"/>
          <w:lang w:val="fr-FR"/>
        </w:rPr>
        <w:t>8</w:t>
      </w:r>
      <w:r w:rsidR="00F240BE">
        <w:rPr>
          <w:rStyle w:val="sb8d990e2"/>
          <w:rFonts w:ascii="Arial" w:eastAsiaTheme="minorEastAsia" w:hAnsi="Arial" w:cs="Arial"/>
          <w:sz w:val="22"/>
          <w:szCs w:val="22"/>
          <w:lang w:val="fr-FR"/>
        </w:rPr>
        <w:t>9</w:t>
      </w:r>
      <w:r w:rsidRPr="00720D91">
        <w:rPr>
          <w:rStyle w:val="sb8d990e2"/>
          <w:rFonts w:ascii="Arial" w:eastAsiaTheme="minorEastAsia" w:hAnsi="Arial" w:cs="Arial"/>
          <w:sz w:val="22"/>
          <w:szCs w:val="22"/>
          <w:lang w:val="fr-FR"/>
        </w:rPr>
        <w:t>. Lorsque des documents sont classés secrets d'État , le gouvernement défendeur ne peut pas se fonder sur des dispositions du droit interne pour justifier son refus de se conformer à la demande de la Cour de produire les éléments de preuve, mais doit plutôt fournir une explication du caractère secret de l'information.</w:t>
      </w:r>
      <w:r w:rsidRPr="00720D91">
        <w:rPr>
          <w:rStyle w:val="FootnoteReference"/>
          <w:rFonts w:ascii="Arial" w:eastAsiaTheme="minorEastAsia" w:hAnsi="Arial" w:cs="Arial"/>
          <w:sz w:val="22"/>
          <w:szCs w:val="22"/>
        </w:rPr>
        <w:footnoteReference w:id="145"/>
      </w:r>
      <w:r w:rsidRPr="00720D91">
        <w:rPr>
          <w:rStyle w:val="sb8d990e2"/>
          <w:rFonts w:ascii="Arial" w:eastAsiaTheme="minorEastAsia" w:hAnsi="Arial" w:cs="Arial"/>
          <w:sz w:val="22"/>
          <w:szCs w:val="22"/>
          <w:lang w:val="fr-FR"/>
        </w:rPr>
        <w:t xml:space="preserve"> La Cour peut examiner la nature des informations classées secrètes en tenant compte de la question de savoir si le document était </w:t>
      </w:r>
      <w:r w:rsidRPr="00720D91">
        <w:rPr>
          <w:rStyle w:val="sb8d990e2"/>
          <w:rFonts w:ascii="Arial" w:eastAsiaTheme="minorEastAsia" w:hAnsi="Arial" w:cs="Arial"/>
          <w:sz w:val="22"/>
          <w:szCs w:val="22"/>
          <w:lang w:val="fr-FR"/>
        </w:rPr>
        <w:lastRenderedPageBreak/>
        <w:t>connu de quiconque en dehors des services secrets et des plus hauts responsables de l'État.</w:t>
      </w:r>
      <w:r w:rsidRPr="00720D91">
        <w:rPr>
          <w:rStyle w:val="FootnoteReference"/>
          <w:rFonts w:ascii="Arial" w:eastAsiaTheme="minorEastAsia" w:hAnsi="Arial" w:cs="Arial"/>
          <w:sz w:val="22"/>
          <w:szCs w:val="22"/>
        </w:rPr>
        <w:footnoteReference w:id="146"/>
      </w:r>
      <w:r w:rsidRPr="00720D91">
        <w:rPr>
          <w:rStyle w:val="sb8d990e2"/>
          <w:rFonts w:ascii="Arial" w:eastAsiaTheme="minorEastAsia" w:hAnsi="Arial" w:cs="Arial"/>
          <w:sz w:val="22"/>
          <w:szCs w:val="22"/>
          <w:lang w:val="fr-FR"/>
        </w:rPr>
        <w:t xml:space="preserve"> Dans un cas particulier, la Cour n'a pas été convaincue que le droit interne ne prévoyait pas de procédure de communication d'informations classifiées à une organisation internationale. La Cour a souligné que, s'il existait des préoccupations légitimes en matière de sécurité nationale, le gouvernement aurait dû supprimer les passages sensibles ou fournir un résumé des motifs factuels pertinents. Le caractère hautement sensible prêté aux informations en cause a été mis en doute dès lors qu'il était apparu que des profanes, tels que l'avocat d’une partie à un procès civil pouvaient prendre connaissance du document qui les renfermait.</w:t>
      </w:r>
      <w:r w:rsidRPr="00720D91">
        <w:rPr>
          <w:rStyle w:val="FootnoteReference"/>
          <w:rFonts w:ascii="Arial" w:eastAsiaTheme="minorEastAsia" w:hAnsi="Arial" w:cs="Arial"/>
          <w:sz w:val="22"/>
          <w:szCs w:val="22"/>
        </w:rPr>
        <w:footnoteReference w:id="147"/>
      </w:r>
      <w:r w:rsidRPr="00720D91">
        <w:rPr>
          <w:rStyle w:val="sb8d990e2"/>
          <w:rFonts w:ascii="Arial" w:eastAsiaTheme="minorEastAsia" w:hAnsi="Arial" w:cs="Arial"/>
          <w:sz w:val="22"/>
          <w:szCs w:val="22"/>
          <w:lang w:val="fr-FR"/>
        </w:rPr>
        <w:t xml:space="preserve"> L’article 33 du règlement de la Cour régit les questions relatives à l'accès du public aux documents soumis par les parties au greffe de la Cour et aux restrictions qui y sont apportées.  </w:t>
      </w:r>
      <w:r w:rsidRPr="00720D91">
        <w:rPr>
          <w:rStyle w:val="FootnoteReference"/>
          <w:rFonts w:ascii="Arial" w:eastAsiaTheme="minorEastAsia" w:hAnsi="Arial" w:cs="Arial"/>
          <w:sz w:val="22"/>
          <w:szCs w:val="22"/>
        </w:rPr>
        <w:footnoteReference w:id="148"/>
      </w:r>
      <w:r w:rsidRPr="00720D91">
        <w:rPr>
          <w:rStyle w:val="sb8d990e2"/>
          <w:rFonts w:ascii="Arial" w:eastAsiaTheme="minorEastAsia" w:hAnsi="Arial" w:cs="Arial"/>
          <w:sz w:val="22"/>
          <w:szCs w:val="22"/>
          <w:lang w:val="fr-FR"/>
        </w:rPr>
        <w:t xml:space="preserve"> </w:t>
      </w:r>
    </w:p>
    <w:p w14:paraId="0995270C" w14:textId="77777777" w:rsidR="00F331F8" w:rsidRPr="0059073A" w:rsidRDefault="00F331F8" w:rsidP="00971933">
      <w:pPr>
        <w:pStyle w:val="Heading2"/>
        <w:spacing w:line="240" w:lineRule="auto"/>
        <w:ind w:left="720"/>
        <w:jc w:val="both"/>
        <w:rPr>
          <w:rFonts w:cs="Arial"/>
          <w:iCs/>
          <w:sz w:val="24"/>
          <w:szCs w:val="22"/>
          <w:lang w:val="fr-FR"/>
        </w:rPr>
      </w:pPr>
      <w:bookmarkStart w:id="42" w:name="_Toc86329786"/>
      <w:r w:rsidRPr="0059073A">
        <w:rPr>
          <w:rFonts w:cs="Arial"/>
          <w:iCs/>
          <w:sz w:val="24"/>
          <w:szCs w:val="22"/>
          <w:lang w:val="fr-FR"/>
        </w:rPr>
        <w:t>2. Le niveau de preuve</w:t>
      </w:r>
      <w:bookmarkEnd w:id="42"/>
      <w:r w:rsidRPr="0059073A">
        <w:rPr>
          <w:rFonts w:cs="Arial"/>
          <w:iCs/>
          <w:sz w:val="24"/>
          <w:szCs w:val="22"/>
          <w:lang w:val="fr-FR"/>
        </w:rPr>
        <w:t xml:space="preserve"> </w:t>
      </w:r>
    </w:p>
    <w:p w14:paraId="3A07ADE8" w14:textId="77777777" w:rsidR="00F331F8" w:rsidRPr="00720D91" w:rsidRDefault="00F331F8" w:rsidP="00971933">
      <w:pPr>
        <w:pStyle w:val="NoSpacing"/>
        <w:shd w:val="clear" w:color="auto" w:fill="FFFFFF" w:themeFill="background1"/>
        <w:jc w:val="both"/>
        <w:rPr>
          <w:rFonts w:ascii="Arial" w:hAnsi="Arial" w:cs="Arial"/>
          <w:sz w:val="22"/>
          <w:szCs w:val="22"/>
          <w:shd w:val="clear" w:color="auto" w:fill="FFFFFF" w:themeFill="background1"/>
        </w:rPr>
      </w:pPr>
    </w:p>
    <w:p w14:paraId="53A7801C" w14:textId="50C3E8F1" w:rsidR="00F331F8" w:rsidRPr="00720D91" w:rsidRDefault="00F240BE" w:rsidP="00971933">
      <w:pPr>
        <w:pStyle w:val="NoSpacing"/>
        <w:shd w:val="clear" w:color="auto" w:fill="FFFFFF" w:themeFill="background1"/>
        <w:ind w:firstLine="426"/>
        <w:jc w:val="both"/>
        <w:rPr>
          <w:rFonts w:ascii="Arial" w:hAnsi="Arial" w:cs="Arial"/>
          <w:sz w:val="22"/>
          <w:szCs w:val="22"/>
          <w:shd w:val="clear" w:color="auto" w:fill="D9D9D9" w:themeFill="background1" w:themeFillShade="D9"/>
        </w:rPr>
      </w:pPr>
      <w:r>
        <w:rPr>
          <w:rFonts w:ascii="Arial" w:hAnsi="Arial" w:cs="Arial"/>
          <w:sz w:val="22"/>
          <w:szCs w:val="22"/>
          <w:shd w:val="clear" w:color="auto" w:fill="FFFFFF" w:themeFill="background1"/>
        </w:rPr>
        <w:t>90</w:t>
      </w:r>
      <w:r w:rsidR="00F331F8" w:rsidRPr="00720D91">
        <w:rPr>
          <w:rFonts w:ascii="Arial" w:hAnsi="Arial" w:cs="Arial"/>
          <w:sz w:val="22"/>
          <w:szCs w:val="22"/>
          <w:shd w:val="clear" w:color="auto" w:fill="FFFFFF" w:themeFill="background1"/>
        </w:rPr>
        <w:t>.</w:t>
      </w:r>
      <w:r w:rsidR="00F331F8" w:rsidRPr="00720D91">
        <w:rPr>
          <w:rFonts w:ascii="Arial" w:hAnsi="Arial" w:cs="Arial"/>
          <w:i/>
          <w:iCs/>
          <w:sz w:val="22"/>
          <w:szCs w:val="22"/>
          <w:shd w:val="clear" w:color="auto" w:fill="FFFFFF" w:themeFill="background1"/>
        </w:rPr>
        <w:t xml:space="preserve"> </w:t>
      </w:r>
      <w:r w:rsidR="00F331F8" w:rsidRPr="00720D91">
        <w:rPr>
          <w:rFonts w:ascii="Arial" w:hAnsi="Arial" w:cs="Arial"/>
          <w:sz w:val="22"/>
          <w:szCs w:val="22"/>
          <w:shd w:val="clear" w:color="auto" w:fill="FFFFFF" w:themeFill="background1"/>
        </w:rPr>
        <w:t xml:space="preserve">Au </w:t>
      </w:r>
      <w:r w:rsidR="00F331F8" w:rsidRPr="00720D91">
        <w:rPr>
          <w:rFonts w:ascii="Arial" w:hAnsi="Arial" w:cs="Arial"/>
          <w:b/>
          <w:bCs/>
          <w:i/>
          <w:iCs/>
          <w:sz w:val="22"/>
          <w:szCs w:val="22"/>
          <w:shd w:val="clear" w:color="auto" w:fill="FFFFFF" w:themeFill="background1"/>
        </w:rPr>
        <w:t>stade de la recevabilité</w:t>
      </w:r>
      <w:r w:rsidR="00F331F8" w:rsidRPr="00720D91">
        <w:rPr>
          <w:rFonts w:ascii="Arial" w:hAnsi="Arial" w:cs="Arial"/>
          <w:sz w:val="22"/>
          <w:szCs w:val="22"/>
          <w:shd w:val="clear" w:color="auto" w:fill="FFFFFF" w:themeFill="background1"/>
        </w:rPr>
        <w:t>, la Cour estime que le niveau de preuve approprié d'une requête interétatique concernant des allégations de pratique administrative de violations des droits de l'homme est l’existence d’un commencement de preuve suffisamment</w:t>
      </w:r>
      <w:r w:rsidR="00F331F8" w:rsidRPr="00720D91">
        <w:rPr>
          <w:rFonts w:ascii="Arial" w:hAnsi="Arial" w:cs="Arial"/>
          <w:i/>
          <w:iCs/>
          <w:sz w:val="22"/>
          <w:szCs w:val="22"/>
          <w:shd w:val="clear" w:color="auto" w:fill="FFFFFF" w:themeFill="background1"/>
        </w:rPr>
        <w:t xml:space="preserve"> </w:t>
      </w:r>
      <w:r w:rsidR="00F331F8" w:rsidRPr="00720D91">
        <w:rPr>
          <w:rFonts w:ascii="Arial" w:hAnsi="Arial" w:cs="Arial"/>
          <w:sz w:val="22"/>
          <w:szCs w:val="22"/>
          <w:shd w:val="clear" w:color="auto" w:fill="FFFFFF" w:themeFill="background1"/>
        </w:rPr>
        <w:t>étayé.</w:t>
      </w:r>
      <w:r w:rsidR="00F331F8" w:rsidRPr="00720D91">
        <w:rPr>
          <w:rStyle w:val="FootnoteReference"/>
          <w:rFonts w:ascii="Arial" w:hAnsi="Arial" w:cs="Arial"/>
          <w:sz w:val="22"/>
          <w:szCs w:val="22"/>
          <w:shd w:val="clear" w:color="auto" w:fill="FFFFFF" w:themeFill="background1"/>
        </w:rPr>
        <w:footnoteReference w:id="149"/>
      </w:r>
      <w:r w:rsidR="00F331F8" w:rsidRPr="00720D91">
        <w:rPr>
          <w:rFonts w:ascii="Arial" w:hAnsi="Arial" w:cs="Arial"/>
          <w:sz w:val="22"/>
          <w:szCs w:val="22"/>
          <w:shd w:val="clear" w:color="auto" w:fill="FFFFFF" w:themeFill="background1"/>
        </w:rPr>
        <w:t xml:space="preserve"> Le seuil d’un commencement de preuve doit être satisfait pour que l'exigence d'épuisement des voies de recours soit inapplicable à ces plaintes interétatiques. Ce n'est que si les deux éléments constitutifs de la « pratique administrative » alléguée (la « répétition d'actes » et la « tolérance officielle ») sont suffisamment étayés par un commencement de preuves que la règle de l'épuisement des recours de l'article 35 § 1 de la Convention ne s'applique pas. En l'absence d'une telle preuve, il ne sera pas nécessaire pour la Cour d'examiner ensuite s'il existe d'autres motifs, tels que l'inefficacité des voies de recours internes, qui dispensent le gouvernement requérant de l'obligation d'épuisement. Dans ce cas, ainsi qu'il a été noté ci-dessus, le grief d'une pratique administrative ne peut, pour des raisons de fond, être considéré comme recevable et justifiant l'examen de la Cour sur le fond.</w:t>
      </w:r>
      <w:r w:rsidR="00F331F8" w:rsidRPr="00720D91">
        <w:rPr>
          <w:rStyle w:val="FootnoteReference"/>
          <w:rFonts w:ascii="Arial" w:hAnsi="Arial" w:cs="Arial"/>
          <w:sz w:val="22"/>
          <w:szCs w:val="22"/>
          <w:shd w:val="clear" w:color="auto" w:fill="FFFFFF" w:themeFill="background1"/>
        </w:rPr>
        <w:footnoteReference w:id="150"/>
      </w:r>
      <w:r w:rsidR="00F331F8" w:rsidRPr="00720D91">
        <w:rPr>
          <w:rFonts w:ascii="Arial" w:hAnsi="Arial" w:cs="Arial"/>
          <w:sz w:val="22"/>
          <w:szCs w:val="22"/>
          <w:shd w:val="clear" w:color="auto" w:fill="FFFFFF" w:themeFill="background1"/>
        </w:rPr>
        <w:t xml:space="preserve"> Toute conclusion de la Cour quant à la recevabilité de la plainte relative à une pratique administrative est sans préjudice de la question de savoir si l'existence d'une pratique administrative est ultérieurement établie sur le fond « au-delà de tout doute raisonnable » et, dans l'affirmative, si, à cet égard, une quelconque responsabilité au titre de la Convention peut être imputée à l'État  défendeur. Il s'agit là de questions qui ne peuvent être déterminées qu'après un examen au fond. </w:t>
      </w:r>
      <w:r w:rsidR="00F331F8" w:rsidRPr="00720D91">
        <w:rPr>
          <w:rStyle w:val="FootnoteReference"/>
          <w:rFonts w:ascii="Arial" w:hAnsi="Arial" w:cs="Arial"/>
          <w:sz w:val="22"/>
          <w:szCs w:val="22"/>
          <w:shd w:val="clear" w:color="auto" w:fill="FFFFFF" w:themeFill="background1"/>
        </w:rPr>
        <w:footnoteReference w:id="151"/>
      </w:r>
      <w:r w:rsidR="00F331F8" w:rsidRPr="00720D91">
        <w:rPr>
          <w:rFonts w:ascii="Arial" w:hAnsi="Arial" w:cs="Arial"/>
          <w:sz w:val="22"/>
          <w:szCs w:val="22"/>
          <w:shd w:val="clear" w:color="auto" w:fill="D9D9D9" w:themeFill="background1" w:themeFillShade="D9"/>
        </w:rPr>
        <w:t xml:space="preserve"> </w:t>
      </w:r>
    </w:p>
    <w:p w14:paraId="5BEAA26A" w14:textId="77777777" w:rsidR="00F331F8" w:rsidRPr="00720D91" w:rsidRDefault="00F331F8" w:rsidP="00971933">
      <w:pPr>
        <w:pStyle w:val="NoSpacing"/>
        <w:shd w:val="clear" w:color="auto" w:fill="FFFFFF" w:themeFill="background1"/>
        <w:jc w:val="both"/>
        <w:rPr>
          <w:rFonts w:ascii="Arial" w:hAnsi="Arial" w:cs="Arial"/>
          <w:b/>
          <w:bCs/>
          <w:color w:val="FF0000"/>
          <w:sz w:val="22"/>
          <w:szCs w:val="22"/>
          <w:shd w:val="clear" w:color="auto" w:fill="D9D9D9" w:themeFill="background1" w:themeFillShade="D9"/>
        </w:rPr>
      </w:pPr>
    </w:p>
    <w:p w14:paraId="53659A18" w14:textId="65B9C4B6" w:rsidR="00F331F8" w:rsidRPr="00720D91" w:rsidRDefault="00F331F8" w:rsidP="00971933">
      <w:pPr>
        <w:pStyle w:val="NoSpacing"/>
        <w:shd w:val="clear" w:color="auto" w:fill="FFFFFF" w:themeFill="background1"/>
        <w:ind w:firstLine="426"/>
        <w:jc w:val="both"/>
        <w:rPr>
          <w:rFonts w:ascii="Arial" w:hAnsi="Arial" w:cs="Arial"/>
          <w:sz w:val="22"/>
          <w:szCs w:val="22"/>
          <w:shd w:val="clear" w:color="auto" w:fill="D9D9D9" w:themeFill="background1" w:themeFillShade="D9"/>
        </w:rPr>
      </w:pPr>
      <w:r w:rsidRPr="00720D91">
        <w:rPr>
          <w:rFonts w:ascii="Arial" w:hAnsi="Arial" w:cs="Arial"/>
          <w:sz w:val="22"/>
          <w:szCs w:val="22"/>
          <w:shd w:val="clear" w:color="auto" w:fill="FFFFFF" w:themeFill="background1"/>
        </w:rPr>
        <w:t>9</w:t>
      </w:r>
      <w:r w:rsidR="00F240BE">
        <w:rPr>
          <w:rFonts w:ascii="Arial" w:hAnsi="Arial" w:cs="Arial"/>
          <w:sz w:val="22"/>
          <w:szCs w:val="22"/>
          <w:shd w:val="clear" w:color="auto" w:fill="FFFFFF" w:themeFill="background1"/>
        </w:rPr>
        <w:t>1</w:t>
      </w:r>
      <w:r w:rsidRPr="00720D91">
        <w:rPr>
          <w:rFonts w:ascii="Arial" w:hAnsi="Arial" w:cs="Arial"/>
          <w:sz w:val="22"/>
          <w:szCs w:val="22"/>
          <w:shd w:val="clear" w:color="auto" w:fill="FFFFFF" w:themeFill="background1"/>
        </w:rPr>
        <w:t xml:space="preserve">. Lorsque la Cour a examiné, au stade de la recevabilité, la question de savoir si les faits dénoncés par le gouvernement requérant (allégations spécifiques d'une pratique administrative </w:t>
      </w:r>
      <w:r w:rsidRPr="00720D91">
        <w:rPr>
          <w:rFonts w:ascii="Arial" w:hAnsi="Arial" w:cs="Arial"/>
          <w:sz w:val="22"/>
          <w:szCs w:val="22"/>
          <w:shd w:val="clear" w:color="auto" w:fill="FFFFFF" w:themeFill="background1"/>
        </w:rPr>
        <w:lastRenderedPageBreak/>
        <w:t>adoptée par l'État défendeur en violation de la Convention) relèvent de la compétence du gouvernement défendeur, la Cour a estimé que la question de la compétence de l'État</w:t>
      </w:r>
      <w:r w:rsidRPr="00720D91">
        <w:rPr>
          <w:rFonts w:ascii="Arial" w:hAnsi="Arial" w:cs="Arial"/>
          <w:sz w:val="22"/>
          <w:szCs w:val="22"/>
          <w:shd w:val="clear" w:color="auto" w:fill="D9D9D9" w:themeFill="background1" w:themeFillShade="D9"/>
        </w:rPr>
        <w:t xml:space="preserve"> </w:t>
      </w:r>
      <w:r w:rsidRPr="00720D91">
        <w:rPr>
          <w:rFonts w:ascii="Arial" w:hAnsi="Arial" w:cs="Arial"/>
          <w:sz w:val="22"/>
          <w:szCs w:val="22"/>
          <w:shd w:val="clear" w:color="auto" w:fill="FFFFFF" w:themeFill="background1"/>
        </w:rPr>
        <w:t>défendeur au sens de l'article 1 de la Convention doit être examinée selon le critère de la preuve « au-delà du doute raisonnable ».</w:t>
      </w:r>
      <w:r w:rsidRPr="00720D91">
        <w:rPr>
          <w:rStyle w:val="FootnoteReference"/>
          <w:rFonts w:ascii="Arial" w:hAnsi="Arial" w:cs="Arial"/>
          <w:sz w:val="22"/>
          <w:szCs w:val="22"/>
          <w:shd w:val="clear" w:color="auto" w:fill="FFFFFF" w:themeFill="background1"/>
        </w:rPr>
        <w:footnoteReference w:id="152"/>
      </w:r>
      <w:r w:rsidRPr="00720D91">
        <w:rPr>
          <w:rFonts w:ascii="Arial" w:hAnsi="Arial" w:cs="Arial"/>
          <w:sz w:val="22"/>
          <w:szCs w:val="22"/>
          <w:shd w:val="clear" w:color="auto" w:fill="FFFFFF" w:themeFill="background1"/>
        </w:rPr>
        <w:t xml:space="preserve"> Il est entendu que cette preuve peut résulter de la coexistence d'inférences suffisamment fortes, claires et concordantes ou de présomptions de fait similaires non réfutées. </w:t>
      </w:r>
      <w:r w:rsidRPr="00720D91">
        <w:rPr>
          <w:rStyle w:val="FootnoteReference"/>
          <w:rFonts w:ascii="Arial" w:hAnsi="Arial" w:cs="Arial"/>
          <w:sz w:val="22"/>
          <w:szCs w:val="22"/>
          <w:shd w:val="clear" w:color="auto" w:fill="FFFFFF" w:themeFill="background1"/>
        </w:rPr>
        <w:footnoteReference w:id="153"/>
      </w:r>
      <w:r w:rsidRPr="00720D91">
        <w:rPr>
          <w:rFonts w:ascii="Arial" w:hAnsi="Arial" w:cs="Arial"/>
          <w:sz w:val="22"/>
          <w:szCs w:val="22"/>
          <w:shd w:val="clear" w:color="auto" w:fill="FFFFFF" w:themeFill="background1"/>
        </w:rPr>
        <w:t xml:space="preserve"> La décision de la Cour sur cette question préliminaire à ce stade de la procédure est sans préjudice des questions de l'attribution et de la responsabilité de l'État  défendeur au regard de la Convention pour les actes incriminés, qui seront examinées au stade du fond de la procédure.</w:t>
      </w:r>
      <w:r w:rsidRPr="00720D91">
        <w:rPr>
          <w:rStyle w:val="FootnoteReference"/>
          <w:rFonts w:ascii="Arial" w:hAnsi="Arial" w:cs="Arial"/>
          <w:sz w:val="22"/>
          <w:szCs w:val="22"/>
          <w:shd w:val="clear" w:color="auto" w:fill="FFFFFF" w:themeFill="background1"/>
        </w:rPr>
        <w:footnoteReference w:id="154"/>
      </w:r>
      <w:r w:rsidRPr="00720D91">
        <w:rPr>
          <w:rFonts w:ascii="Arial" w:hAnsi="Arial" w:cs="Arial"/>
          <w:sz w:val="22"/>
          <w:szCs w:val="22"/>
          <w:shd w:val="clear" w:color="auto" w:fill="FFFFFF" w:themeFill="background1"/>
        </w:rPr>
        <w:t xml:space="preserve"> La conclusion de la Cour, au stade de la recevabilité, selon laquelle les victimes alléguées de la pratique administrative dénoncée par le requérant relèvent de la compétence de l'État  défendeur et que la Cour est donc compétente pour examiner la requête, est sans préjudice de la question de savoir si l'État  défendeur est responsable au regard de la Convention des actes qui fondent les griefs du gouvernement requérant, qui appartient à la phase du fond de la procédure de la Cour. </w:t>
      </w:r>
      <w:r w:rsidRPr="00720D91">
        <w:rPr>
          <w:rStyle w:val="FootnoteReference"/>
          <w:rFonts w:ascii="Arial" w:hAnsi="Arial" w:cs="Arial"/>
          <w:sz w:val="22"/>
          <w:szCs w:val="22"/>
          <w:shd w:val="clear" w:color="auto" w:fill="FFFFFF" w:themeFill="background1"/>
        </w:rPr>
        <w:footnoteReference w:id="155"/>
      </w:r>
    </w:p>
    <w:p w14:paraId="7BD55F89" w14:textId="77777777" w:rsidR="00F331F8" w:rsidRPr="00720D91" w:rsidRDefault="00F331F8" w:rsidP="00971933">
      <w:pPr>
        <w:pStyle w:val="NoSpacing"/>
        <w:jc w:val="both"/>
        <w:rPr>
          <w:rFonts w:ascii="Arial" w:hAnsi="Arial" w:cs="Arial"/>
          <w:sz w:val="22"/>
          <w:szCs w:val="22"/>
        </w:rPr>
      </w:pPr>
    </w:p>
    <w:p w14:paraId="43BEFC49" w14:textId="326E5BD1" w:rsidR="00F331F8" w:rsidRPr="00720D91" w:rsidRDefault="00F331F8" w:rsidP="00971933">
      <w:pPr>
        <w:pStyle w:val="NoSpacing"/>
        <w:shd w:val="clear" w:color="auto" w:fill="FFFFFF" w:themeFill="background1"/>
        <w:ind w:firstLine="426"/>
        <w:jc w:val="both"/>
        <w:rPr>
          <w:rStyle w:val="sb8d990e2"/>
          <w:rFonts w:ascii="Arial" w:eastAsiaTheme="majorEastAsia" w:hAnsi="Arial" w:cs="Arial"/>
          <w:sz w:val="22"/>
          <w:szCs w:val="22"/>
          <w:shd w:val="clear" w:color="auto" w:fill="FFFFFF"/>
        </w:rPr>
      </w:pPr>
      <w:r w:rsidRPr="00720D91">
        <w:rPr>
          <w:rFonts w:ascii="Arial" w:hAnsi="Arial" w:cs="Arial"/>
          <w:sz w:val="22"/>
          <w:szCs w:val="22"/>
        </w:rPr>
        <w:t>9</w:t>
      </w:r>
      <w:r w:rsidR="00F240BE">
        <w:rPr>
          <w:rFonts w:ascii="Arial" w:hAnsi="Arial" w:cs="Arial"/>
          <w:sz w:val="22"/>
          <w:szCs w:val="22"/>
        </w:rPr>
        <w:t>2</w:t>
      </w:r>
      <w:r w:rsidRPr="00720D91">
        <w:rPr>
          <w:rFonts w:ascii="Arial" w:hAnsi="Arial" w:cs="Arial"/>
          <w:sz w:val="22"/>
          <w:szCs w:val="22"/>
        </w:rPr>
        <w:t xml:space="preserve">. Le niveau de preuve n'est pas explicitement abordé dans les dispositions de la Convention ou dans le Règlement de la Cour. </w:t>
      </w:r>
      <w:r w:rsidRPr="00720D91">
        <w:rPr>
          <w:rStyle w:val="sb8d990e2"/>
          <w:rFonts w:ascii="Arial" w:eastAsiaTheme="majorEastAsia" w:hAnsi="Arial" w:cs="Arial"/>
          <w:sz w:val="22"/>
          <w:szCs w:val="22"/>
          <w:shd w:val="clear" w:color="auto" w:fill="FFFFFF"/>
        </w:rPr>
        <w:t>Dans ses premières affaires interétatiques, la Cour a adopté le niveau de preuve « </w:t>
      </w:r>
      <w:r w:rsidRPr="00720D91">
        <w:rPr>
          <w:rStyle w:val="sb8d990e2"/>
          <w:rFonts w:ascii="Arial" w:eastAsiaTheme="majorEastAsia" w:hAnsi="Arial" w:cs="Arial"/>
          <w:b/>
          <w:bCs/>
          <w:i/>
          <w:iCs/>
          <w:sz w:val="22"/>
          <w:szCs w:val="22"/>
          <w:shd w:val="clear" w:color="auto" w:fill="FFFFFF"/>
        </w:rPr>
        <w:t>au-delà du doute raisonnable</w:t>
      </w:r>
      <w:r w:rsidRPr="00720D91">
        <w:rPr>
          <w:rStyle w:val="sb8d990e2"/>
          <w:rFonts w:ascii="Arial" w:eastAsiaTheme="majorEastAsia" w:hAnsi="Arial" w:cs="Arial"/>
          <w:sz w:val="22"/>
          <w:szCs w:val="22"/>
          <w:shd w:val="clear" w:color="auto" w:fill="FFFFFF"/>
        </w:rPr>
        <w:t> » qui fait désormais partie de sa jurisprudence établie</w:t>
      </w:r>
      <w:r w:rsidRPr="00720D91">
        <w:rPr>
          <w:rFonts w:ascii="Arial" w:hAnsi="Arial" w:cs="Arial"/>
          <w:sz w:val="22"/>
          <w:szCs w:val="22"/>
          <w:shd w:val="clear" w:color="auto" w:fill="FFFFFF" w:themeFill="background1"/>
        </w:rPr>
        <w:t>.</w:t>
      </w:r>
      <w:r w:rsidRPr="00720D91">
        <w:rPr>
          <w:rStyle w:val="FootnoteReference"/>
          <w:rFonts w:ascii="Arial" w:hAnsi="Arial" w:cs="Arial"/>
          <w:b/>
          <w:bCs/>
          <w:sz w:val="22"/>
          <w:szCs w:val="22"/>
          <w:shd w:val="clear" w:color="auto" w:fill="FFFFFF" w:themeFill="background1"/>
        </w:rPr>
        <w:footnoteReference w:id="156"/>
      </w:r>
      <w:r w:rsidRPr="00720D91">
        <w:rPr>
          <w:rFonts w:ascii="Arial" w:hAnsi="Arial" w:cs="Arial"/>
          <w:b/>
          <w:bCs/>
          <w:sz w:val="22"/>
          <w:szCs w:val="22"/>
          <w:shd w:val="clear" w:color="auto" w:fill="FFFFFF" w:themeFill="background1"/>
        </w:rPr>
        <w:t xml:space="preserve"> </w:t>
      </w:r>
      <w:r w:rsidRPr="00720D91">
        <w:rPr>
          <w:rFonts w:ascii="Arial" w:hAnsi="Arial" w:cs="Arial"/>
          <w:sz w:val="22"/>
          <w:szCs w:val="22"/>
          <w:shd w:val="clear" w:color="auto" w:fill="FFFFFF" w:themeFill="background1"/>
        </w:rPr>
        <w:t>Ce</w:t>
      </w:r>
      <w:r w:rsidRPr="00720D91">
        <w:rPr>
          <w:rFonts w:ascii="Arial" w:hAnsi="Arial" w:cs="Arial"/>
          <w:sz w:val="22"/>
          <w:szCs w:val="22"/>
        </w:rPr>
        <w:t xml:space="preserve"> niveau ne doit pas être assimilée au même niveau appliqué dans les procédures pénales</w:t>
      </w:r>
      <w:r w:rsidRPr="00720D91">
        <w:rPr>
          <w:rStyle w:val="FootnoteReference"/>
          <w:rFonts w:ascii="Arial" w:hAnsi="Arial" w:cs="Arial"/>
          <w:sz w:val="22"/>
          <w:szCs w:val="22"/>
        </w:rPr>
        <w:footnoteReference w:id="157"/>
      </w:r>
      <w:r w:rsidRPr="00720D91">
        <w:rPr>
          <w:rFonts w:ascii="Arial" w:hAnsi="Arial" w:cs="Arial"/>
          <w:sz w:val="22"/>
          <w:szCs w:val="22"/>
        </w:rPr>
        <w:t xml:space="preserve">, mais a une signification assez indépendante que la Cour lui a attribuée et qui reflète le rôle essentiel de la </w:t>
      </w:r>
      <w:r w:rsidRPr="00720D91">
        <w:rPr>
          <w:rFonts w:ascii="Arial" w:hAnsi="Arial" w:cs="Arial"/>
          <w:sz w:val="22"/>
          <w:szCs w:val="22"/>
          <w:shd w:val="clear" w:color="auto" w:fill="FFFFFF" w:themeFill="background1"/>
        </w:rPr>
        <w:t>Cour, qui n'est pas de se prononcer sur la culpabilité au regard du droit pénal ou sur la responsabilité civile, mais sur la responsabilité des États contractants en vertu de la Convention.</w:t>
      </w:r>
      <w:r w:rsidRPr="00720D91">
        <w:rPr>
          <w:rStyle w:val="FootnoteReference"/>
          <w:rFonts w:ascii="Arial" w:hAnsi="Arial" w:cs="Arial"/>
          <w:sz w:val="22"/>
          <w:szCs w:val="22"/>
          <w:shd w:val="clear" w:color="auto" w:fill="FFFFFF" w:themeFill="background1"/>
        </w:rPr>
        <w:footnoteReference w:id="158"/>
      </w:r>
      <w:r w:rsidRPr="00720D91">
        <w:rPr>
          <w:rFonts w:ascii="Arial" w:hAnsi="Arial" w:cs="Arial"/>
          <w:sz w:val="22"/>
          <w:szCs w:val="22"/>
          <w:shd w:val="clear" w:color="auto" w:fill="FFFFFF" w:themeFill="background1"/>
        </w:rPr>
        <w:t xml:space="preserve"> La spécificité de la tâche de la Cour que lui attribue l'article 19 de la Convention – assurer le respect par les Hautes Parties contractantes de leur engagement consistant à reconnaitre les droits fondamentaux consacrés par la Convention - conditionne sa façon d’aborder les questions de preuve.</w:t>
      </w:r>
      <w:r w:rsidRPr="00720D91">
        <w:rPr>
          <w:rStyle w:val="FootnoteReference"/>
          <w:rFonts w:ascii="Arial" w:hAnsi="Arial" w:cs="Arial"/>
          <w:sz w:val="22"/>
          <w:szCs w:val="22"/>
          <w:shd w:val="clear" w:color="auto" w:fill="FFFFFF" w:themeFill="background1"/>
        </w:rPr>
        <w:footnoteReference w:id="159"/>
      </w:r>
    </w:p>
    <w:p w14:paraId="10E15D8E" w14:textId="77777777" w:rsidR="00F331F8" w:rsidRPr="0059073A" w:rsidRDefault="00F331F8" w:rsidP="00971933">
      <w:pPr>
        <w:pStyle w:val="Heading2"/>
        <w:numPr>
          <w:ilvl w:val="0"/>
          <w:numId w:val="22"/>
        </w:numPr>
        <w:shd w:val="clear" w:color="auto" w:fill="FFFFFF" w:themeFill="background1"/>
        <w:spacing w:line="240" w:lineRule="auto"/>
        <w:ind w:left="927"/>
        <w:jc w:val="both"/>
        <w:rPr>
          <w:rFonts w:cs="Arial"/>
          <w:bCs w:val="0"/>
          <w:i w:val="0"/>
          <w:color w:val="FF0000"/>
          <w:sz w:val="24"/>
          <w:szCs w:val="22"/>
          <w:shd w:val="clear" w:color="auto" w:fill="BFBFBF" w:themeFill="background1" w:themeFillShade="BF"/>
        </w:rPr>
      </w:pPr>
      <w:bookmarkStart w:id="46" w:name="_Toc43386144"/>
      <w:bookmarkStart w:id="47" w:name="_Toc86329787"/>
      <w:bookmarkEnd w:id="46"/>
      <w:r w:rsidRPr="0059073A">
        <w:rPr>
          <w:rFonts w:eastAsiaTheme="minorHAnsi" w:cs="Arial"/>
          <w:sz w:val="24"/>
          <w:szCs w:val="22"/>
          <w:lang w:eastAsia="en-US"/>
        </w:rPr>
        <w:t>Charge de la preuve</w:t>
      </w:r>
      <w:bookmarkEnd w:id="47"/>
      <w:r w:rsidRPr="0059073A">
        <w:rPr>
          <w:rFonts w:cs="Arial"/>
          <w:bCs w:val="0"/>
          <w:i w:val="0"/>
          <w:color w:val="FF0000"/>
          <w:sz w:val="24"/>
          <w:szCs w:val="22"/>
          <w:shd w:val="clear" w:color="auto" w:fill="BFBFBF" w:themeFill="background1" w:themeFillShade="BF"/>
        </w:rPr>
        <w:t xml:space="preserve"> </w:t>
      </w:r>
    </w:p>
    <w:p w14:paraId="330F410D" w14:textId="77777777" w:rsidR="00971933" w:rsidRDefault="00971933" w:rsidP="00971933">
      <w:pPr>
        <w:pStyle w:val="NoSpacing"/>
        <w:shd w:val="clear" w:color="auto" w:fill="FFFFFF" w:themeFill="background1"/>
        <w:ind w:firstLine="426"/>
        <w:jc w:val="both"/>
        <w:rPr>
          <w:rFonts w:ascii="Arial" w:eastAsiaTheme="minorHAnsi" w:hAnsi="Arial" w:cs="Arial"/>
          <w:sz w:val="22"/>
          <w:szCs w:val="22"/>
          <w:shd w:val="clear" w:color="auto" w:fill="FFFFFF" w:themeFill="background1"/>
          <w:lang w:eastAsia="en-US"/>
        </w:rPr>
      </w:pPr>
    </w:p>
    <w:p w14:paraId="088EFC9E" w14:textId="7EEAE8B1" w:rsidR="00F331F8" w:rsidRPr="00720D91" w:rsidRDefault="00F331F8" w:rsidP="00971933">
      <w:pPr>
        <w:pStyle w:val="NoSpacing"/>
        <w:shd w:val="clear" w:color="auto" w:fill="FFFFFF" w:themeFill="background1"/>
        <w:ind w:firstLine="426"/>
        <w:jc w:val="both"/>
        <w:rPr>
          <w:rFonts w:ascii="Arial" w:eastAsiaTheme="minorHAnsi" w:hAnsi="Arial" w:cs="Arial"/>
          <w:sz w:val="22"/>
          <w:szCs w:val="22"/>
          <w:shd w:val="clear" w:color="auto" w:fill="D9D9D9" w:themeFill="background1" w:themeFillShade="D9"/>
          <w:lang w:eastAsia="en-US"/>
        </w:rPr>
      </w:pPr>
      <w:r w:rsidRPr="00720D91">
        <w:rPr>
          <w:rFonts w:ascii="Arial" w:eastAsiaTheme="minorHAnsi" w:hAnsi="Arial" w:cs="Arial"/>
          <w:sz w:val="22"/>
          <w:szCs w:val="22"/>
          <w:shd w:val="clear" w:color="auto" w:fill="FFFFFF" w:themeFill="background1"/>
          <w:lang w:eastAsia="en-US"/>
        </w:rPr>
        <w:t>9</w:t>
      </w:r>
      <w:r w:rsidR="00F240BE">
        <w:rPr>
          <w:rFonts w:ascii="Arial" w:eastAsiaTheme="minorHAnsi" w:hAnsi="Arial" w:cs="Arial"/>
          <w:sz w:val="22"/>
          <w:szCs w:val="22"/>
          <w:shd w:val="clear" w:color="auto" w:fill="FFFFFF" w:themeFill="background1"/>
          <w:lang w:eastAsia="en-US"/>
        </w:rPr>
        <w:t>3</w:t>
      </w:r>
      <w:r w:rsidRPr="00720D91">
        <w:rPr>
          <w:rFonts w:ascii="Arial" w:eastAsiaTheme="minorHAnsi" w:hAnsi="Arial" w:cs="Arial"/>
          <w:sz w:val="22"/>
          <w:szCs w:val="22"/>
          <w:shd w:val="clear" w:color="auto" w:fill="FFFFFF" w:themeFill="background1"/>
          <w:lang w:eastAsia="en-US"/>
        </w:rPr>
        <w:t xml:space="preserve">. La Cour estime qu'en tant que </w:t>
      </w:r>
      <w:r w:rsidRPr="0059073A">
        <w:rPr>
          <w:rFonts w:ascii="Arial" w:eastAsiaTheme="minorHAnsi" w:hAnsi="Arial" w:cs="Arial"/>
          <w:b/>
          <w:i/>
          <w:sz w:val="22"/>
          <w:szCs w:val="22"/>
          <w:shd w:val="clear" w:color="auto" w:fill="FFFFFF" w:themeFill="background1"/>
          <w:lang w:eastAsia="en-US"/>
        </w:rPr>
        <w:t>principe général du droit</w:t>
      </w:r>
      <w:r w:rsidRPr="00720D91">
        <w:rPr>
          <w:rFonts w:ascii="Arial" w:eastAsiaTheme="minorHAnsi" w:hAnsi="Arial" w:cs="Arial"/>
          <w:sz w:val="22"/>
          <w:szCs w:val="22"/>
          <w:shd w:val="clear" w:color="auto" w:fill="FFFFFF" w:themeFill="background1"/>
          <w:lang w:eastAsia="en-US"/>
        </w:rPr>
        <w:t>, la charge initiale de la preuve concernant une allégation incombe à la partie qui fait l'allégation en question (</w:t>
      </w:r>
      <w:r w:rsidRPr="00720D91">
        <w:rPr>
          <w:rFonts w:ascii="Arial" w:eastAsiaTheme="minorHAnsi" w:hAnsi="Arial" w:cs="Arial"/>
          <w:i/>
          <w:iCs/>
          <w:sz w:val="22"/>
          <w:szCs w:val="22"/>
          <w:shd w:val="clear" w:color="auto" w:fill="FFFFFF" w:themeFill="background1"/>
          <w:lang w:eastAsia="en-US"/>
        </w:rPr>
        <w:t>affirmanti incumbit probatio).</w:t>
      </w:r>
      <w:r w:rsidRPr="00720D91">
        <w:rPr>
          <w:rStyle w:val="FootnoteReference"/>
          <w:rFonts w:ascii="Arial" w:eastAsiaTheme="minorHAnsi" w:hAnsi="Arial" w:cs="Arial"/>
          <w:sz w:val="22"/>
          <w:szCs w:val="22"/>
          <w:shd w:val="clear" w:color="auto" w:fill="FFFFFF" w:themeFill="background1"/>
          <w:lang w:val="en-US" w:eastAsia="en-US"/>
        </w:rPr>
        <w:footnoteReference w:id="160"/>
      </w:r>
      <w:r w:rsidRPr="00720D91">
        <w:rPr>
          <w:rFonts w:ascii="Arial" w:eastAsiaTheme="minorHAnsi" w:hAnsi="Arial" w:cs="Arial"/>
          <w:sz w:val="22"/>
          <w:szCs w:val="22"/>
          <w:shd w:val="clear" w:color="auto" w:fill="FFFFFF" w:themeFill="background1"/>
          <w:lang w:eastAsia="en-US"/>
        </w:rPr>
        <w:t xml:space="preserve"> La Cour a toutefois reconnu qu'une application stricte de ce principe n'est pas toujours appropriée.</w:t>
      </w:r>
      <w:r w:rsidRPr="00720D91">
        <w:rPr>
          <w:rStyle w:val="FootnoteReference"/>
          <w:rFonts w:ascii="Arial" w:eastAsiaTheme="minorHAnsi" w:hAnsi="Arial" w:cs="Arial"/>
          <w:sz w:val="22"/>
          <w:szCs w:val="22"/>
          <w:shd w:val="clear" w:color="auto" w:fill="FFFFFF" w:themeFill="background1"/>
          <w:lang w:val="en-US" w:eastAsia="en-US"/>
        </w:rPr>
        <w:footnoteReference w:id="161"/>
      </w:r>
      <w:r w:rsidRPr="00720D91">
        <w:rPr>
          <w:rFonts w:ascii="Arial" w:eastAsiaTheme="minorHAnsi" w:hAnsi="Arial" w:cs="Arial"/>
          <w:sz w:val="22"/>
          <w:szCs w:val="22"/>
          <w:shd w:val="clear" w:color="auto" w:fill="FFFFFF" w:themeFill="background1"/>
          <w:lang w:eastAsia="en-US"/>
        </w:rPr>
        <w:t xml:space="preserve"> </w:t>
      </w:r>
      <w:r w:rsidRPr="00720D91">
        <w:rPr>
          <w:rStyle w:val="sb8d990e2"/>
          <w:rFonts w:ascii="Arial" w:eastAsiaTheme="majorEastAsia" w:hAnsi="Arial" w:cs="Arial"/>
          <w:sz w:val="22"/>
          <w:szCs w:val="22"/>
          <w:shd w:val="clear" w:color="auto" w:fill="FFFFFF" w:themeFill="background1"/>
        </w:rPr>
        <w:t xml:space="preserve">Son approche de la répartition de la charge de la preuve tient compte des circonstances dans lesquelles les </w:t>
      </w:r>
      <w:r w:rsidRPr="00720D91">
        <w:rPr>
          <w:rFonts w:ascii="Arial" w:eastAsiaTheme="minorHAnsi" w:hAnsi="Arial" w:cs="Arial"/>
          <w:sz w:val="22"/>
          <w:szCs w:val="22"/>
          <w:shd w:val="clear" w:color="auto" w:fill="FFFFFF" w:themeFill="background1"/>
          <w:lang w:eastAsia="en-US"/>
        </w:rPr>
        <w:t>événements en cause sont entièrement, ou en grande partie, à la connaissance exclusive des autorités de l'État défendeur et où seul le gouvernement défendeur a accès aux informations susceptibles de corroborer ou de réfuter les allégations du requérant.</w:t>
      </w:r>
      <w:r w:rsidRPr="00720D91">
        <w:rPr>
          <w:rStyle w:val="FootnoteReference"/>
          <w:rFonts w:ascii="Arial" w:eastAsiaTheme="minorHAnsi" w:hAnsi="Arial" w:cs="Arial"/>
          <w:sz w:val="22"/>
          <w:szCs w:val="22"/>
          <w:shd w:val="clear" w:color="auto" w:fill="FFFFFF" w:themeFill="background1"/>
          <w:lang w:val="en-US" w:eastAsia="en-US"/>
        </w:rPr>
        <w:footnoteReference w:id="162"/>
      </w:r>
      <w:r w:rsidRPr="00720D91">
        <w:rPr>
          <w:rFonts w:ascii="Arial" w:eastAsiaTheme="minorHAnsi" w:hAnsi="Arial" w:cs="Arial"/>
          <w:sz w:val="22"/>
          <w:szCs w:val="22"/>
          <w:shd w:val="clear" w:color="auto" w:fill="FFFFFF" w:themeFill="background1"/>
          <w:lang w:eastAsia="en-US"/>
        </w:rPr>
        <w:t xml:space="preserve"> </w:t>
      </w:r>
      <w:r w:rsidRPr="00720D91">
        <w:rPr>
          <w:rFonts w:ascii="Arial" w:hAnsi="Arial" w:cs="Arial"/>
          <w:sz w:val="22"/>
          <w:szCs w:val="22"/>
          <w:shd w:val="clear" w:color="auto" w:fill="FFFFFF" w:themeFill="background1"/>
        </w:rPr>
        <w:t xml:space="preserve">La charge de la preuve ne sera déplacée de cette manière que s'il </w:t>
      </w:r>
      <w:r w:rsidRPr="00720D91">
        <w:rPr>
          <w:rFonts w:ascii="Arial" w:hAnsi="Arial" w:cs="Arial"/>
          <w:sz w:val="22"/>
          <w:szCs w:val="22"/>
          <w:shd w:val="clear" w:color="auto" w:fill="FFFFFF" w:themeFill="background1"/>
        </w:rPr>
        <w:lastRenderedPageBreak/>
        <w:t>existe déjà des déductions concordantes à l'appui des allégations du requérant.</w:t>
      </w:r>
      <w:r w:rsidRPr="00720D91">
        <w:rPr>
          <w:rStyle w:val="FootnoteReference"/>
          <w:rFonts w:ascii="Arial" w:hAnsi="Arial" w:cs="Arial"/>
          <w:sz w:val="22"/>
          <w:szCs w:val="22"/>
          <w:shd w:val="clear" w:color="auto" w:fill="FFFFFF" w:themeFill="background1"/>
        </w:rPr>
        <w:footnoteReference w:id="163"/>
      </w:r>
      <w:r w:rsidRPr="00720D91">
        <w:rPr>
          <w:rFonts w:ascii="Arial" w:eastAsiaTheme="minorHAnsi" w:hAnsi="Arial" w:cs="Arial"/>
          <w:sz w:val="22"/>
          <w:szCs w:val="22"/>
          <w:shd w:val="clear" w:color="auto" w:fill="FFFFFF" w:themeFill="background1"/>
          <w:lang w:eastAsia="en-US"/>
        </w:rPr>
        <w:t xml:space="preserve"> </w:t>
      </w:r>
      <w:r w:rsidRPr="00720D91">
        <w:rPr>
          <w:rFonts w:ascii="Arial" w:hAnsi="Arial" w:cs="Arial"/>
          <w:sz w:val="22"/>
          <w:szCs w:val="22"/>
          <w:shd w:val="clear" w:color="auto" w:fill="FFFFFF" w:themeFill="background1"/>
        </w:rPr>
        <w:t>Le degré de persuasion nécessaire pour parvenir à une conclusion particulière et, à cet égard, la répartition de la charge de la preuve, sont intrinsèquement liés à la spécificité des faits, à la nature de l'allégation formulée et au droit de la Convention en jeu.</w:t>
      </w:r>
      <w:r w:rsidRPr="00720D91">
        <w:rPr>
          <w:rStyle w:val="FootnoteReference"/>
          <w:rFonts w:ascii="Arial" w:hAnsi="Arial" w:cs="Arial"/>
          <w:sz w:val="22"/>
          <w:szCs w:val="22"/>
          <w:shd w:val="clear" w:color="auto" w:fill="FFFFFF" w:themeFill="background1"/>
        </w:rPr>
        <w:footnoteReference w:id="164"/>
      </w:r>
      <w:r w:rsidRPr="00720D91">
        <w:rPr>
          <w:rFonts w:ascii="Arial" w:eastAsiaTheme="minorHAnsi" w:hAnsi="Arial" w:cs="Arial"/>
          <w:sz w:val="22"/>
          <w:szCs w:val="22"/>
          <w:shd w:val="clear" w:color="auto" w:fill="FFFFFF" w:themeFill="background1"/>
          <w:lang w:eastAsia="en-US"/>
        </w:rPr>
        <w:t xml:space="preserve"> Les </w:t>
      </w:r>
      <w:r w:rsidRPr="00720D91">
        <w:rPr>
          <w:rFonts w:ascii="Arial" w:hAnsi="Arial" w:cs="Arial"/>
          <w:sz w:val="22"/>
          <w:szCs w:val="22"/>
          <w:shd w:val="clear" w:color="auto" w:fill="FFFFFF" w:themeFill="background1"/>
        </w:rPr>
        <w:t>rapports ou déclarations d'observateurs internationaux, d'organisations non gouvernementales ou des médias, ou encore les décisions d'autres juridictions nationales ou internationales, sont souvent pris en compte pour, notamment, éclairer les faits ou corroborer les constatations faites par la Cour.</w:t>
      </w:r>
      <w:r w:rsidRPr="00720D91">
        <w:rPr>
          <w:rStyle w:val="FootnoteReference"/>
          <w:rFonts w:ascii="Arial" w:hAnsi="Arial" w:cs="Arial"/>
          <w:sz w:val="22"/>
          <w:szCs w:val="22"/>
          <w:shd w:val="clear" w:color="auto" w:fill="FFFFFF" w:themeFill="background1"/>
        </w:rPr>
        <w:footnoteReference w:id="165"/>
      </w:r>
      <w:r w:rsidRPr="00720D91">
        <w:rPr>
          <w:rFonts w:ascii="Arial" w:eastAsiaTheme="minorHAnsi" w:hAnsi="Arial" w:cs="Arial"/>
          <w:sz w:val="22"/>
          <w:szCs w:val="22"/>
          <w:shd w:val="clear" w:color="auto" w:fill="FFFFFF" w:themeFill="background1"/>
          <w:lang w:eastAsia="en-US"/>
        </w:rPr>
        <w:t xml:space="preserve"> Dans le cadre des affaires interétatiques, en ce qui concerne spécifiquement la question de l'établissement de l'existence d'une pratique administrative, la Cour ne s'appuie pas sur le concept selon lequel la charge de la preuve incombe à l'un ou l'autre des deux gouvernements concernés, mais elle étudie tous les éléments dont elle dispose, quelle que soit leur source.</w:t>
      </w:r>
      <w:r w:rsidRPr="00720D91">
        <w:rPr>
          <w:rStyle w:val="FootnoteReference"/>
          <w:rFonts w:ascii="Arial" w:eastAsiaTheme="minorHAnsi" w:hAnsi="Arial" w:cs="Arial"/>
          <w:sz w:val="22"/>
          <w:szCs w:val="22"/>
          <w:shd w:val="clear" w:color="auto" w:fill="FFFFFF" w:themeFill="background1"/>
          <w:lang w:val="en-US" w:eastAsia="en-US"/>
        </w:rPr>
        <w:footnoteReference w:id="166"/>
      </w:r>
      <w:r w:rsidRPr="00720D91">
        <w:rPr>
          <w:rFonts w:ascii="Arial" w:eastAsiaTheme="minorHAnsi" w:hAnsi="Arial" w:cs="Arial"/>
          <w:sz w:val="22"/>
          <w:szCs w:val="22"/>
          <w:shd w:val="clear" w:color="auto" w:fill="FFFFFF" w:themeFill="background1"/>
          <w:lang w:eastAsia="en-US"/>
        </w:rPr>
        <w:t xml:space="preserve"> Le comportement des parties par rapport aux efforts de la Cour pour obtenir des preuves peut constituer un élément à prendre en compte. </w:t>
      </w:r>
      <w:r w:rsidRPr="00720D91">
        <w:rPr>
          <w:rStyle w:val="FootnoteReference"/>
          <w:rFonts w:ascii="Arial" w:eastAsiaTheme="minorHAnsi" w:hAnsi="Arial" w:cs="Arial"/>
          <w:sz w:val="22"/>
          <w:szCs w:val="22"/>
          <w:shd w:val="clear" w:color="auto" w:fill="FFFFFF" w:themeFill="background1"/>
          <w:lang w:val="en-US" w:eastAsia="en-US"/>
        </w:rPr>
        <w:footnoteReference w:id="167"/>
      </w:r>
    </w:p>
    <w:p w14:paraId="707DDEDC" w14:textId="77777777" w:rsidR="00F331F8" w:rsidRPr="00720D91" w:rsidRDefault="00F331F8" w:rsidP="00971933">
      <w:pPr>
        <w:pStyle w:val="NoSpacing"/>
        <w:shd w:val="clear" w:color="auto" w:fill="FFFFFF" w:themeFill="background1"/>
        <w:jc w:val="both"/>
        <w:rPr>
          <w:rFonts w:ascii="Arial" w:hAnsi="Arial" w:cs="Arial"/>
          <w:b/>
          <w:bCs/>
          <w:color w:val="FF0000"/>
          <w:sz w:val="22"/>
          <w:szCs w:val="22"/>
        </w:rPr>
      </w:pPr>
    </w:p>
    <w:p w14:paraId="27DB973C" w14:textId="0112684F" w:rsidR="00F331F8" w:rsidRPr="00720D91" w:rsidRDefault="00F331F8" w:rsidP="00971933">
      <w:pPr>
        <w:pStyle w:val="NoSpacing"/>
        <w:shd w:val="clear" w:color="auto" w:fill="FFFFFF" w:themeFill="background1"/>
        <w:ind w:firstLine="426"/>
        <w:jc w:val="both"/>
        <w:rPr>
          <w:rFonts w:ascii="Arial" w:hAnsi="Arial" w:cs="Arial"/>
          <w:sz w:val="22"/>
          <w:szCs w:val="22"/>
        </w:rPr>
      </w:pPr>
      <w:r w:rsidRPr="00720D91">
        <w:rPr>
          <w:rFonts w:ascii="Arial" w:hAnsi="Arial" w:cs="Arial"/>
          <w:sz w:val="22"/>
          <w:szCs w:val="22"/>
        </w:rPr>
        <w:t>9</w:t>
      </w:r>
      <w:r w:rsidR="00F240BE">
        <w:rPr>
          <w:rFonts w:ascii="Arial" w:hAnsi="Arial" w:cs="Arial"/>
          <w:sz w:val="22"/>
          <w:szCs w:val="22"/>
        </w:rPr>
        <w:t>4</w:t>
      </w:r>
      <w:r w:rsidRPr="00720D91">
        <w:rPr>
          <w:rFonts w:ascii="Arial" w:hAnsi="Arial" w:cs="Arial"/>
          <w:sz w:val="22"/>
          <w:szCs w:val="22"/>
        </w:rPr>
        <w:t xml:space="preserve">. Dans le contexte des requêtes interétatiques, la Cour a jugé que, </w:t>
      </w:r>
      <w:r w:rsidRPr="00720D91">
        <w:rPr>
          <w:rFonts w:ascii="Arial" w:hAnsi="Arial" w:cs="Arial"/>
          <w:b/>
          <w:bCs/>
          <w:i/>
          <w:iCs/>
          <w:sz w:val="22"/>
          <w:szCs w:val="22"/>
        </w:rPr>
        <w:t>dans le domaine de l'épuisement des voies de recours internes</w:t>
      </w:r>
      <w:r w:rsidRPr="00720D91">
        <w:rPr>
          <w:rFonts w:ascii="Arial" w:hAnsi="Arial" w:cs="Arial"/>
          <w:sz w:val="22"/>
          <w:szCs w:val="22"/>
        </w:rPr>
        <w:t>, il y a une répartition de la charge de la preuve</w:t>
      </w:r>
      <w:r w:rsidRPr="00720D91">
        <w:rPr>
          <w:rStyle w:val="FootnoteReference"/>
          <w:rFonts w:ascii="Arial" w:hAnsi="Arial" w:cs="Arial"/>
          <w:sz w:val="22"/>
          <w:szCs w:val="22"/>
          <w:shd w:val="clear" w:color="auto" w:fill="FFFFFF" w:themeFill="background1"/>
        </w:rPr>
        <w:t xml:space="preserve"> </w:t>
      </w:r>
      <w:r w:rsidRPr="00720D91">
        <w:rPr>
          <w:rStyle w:val="FootnoteReference"/>
          <w:rFonts w:ascii="Arial" w:hAnsi="Arial" w:cs="Arial"/>
          <w:sz w:val="22"/>
          <w:szCs w:val="22"/>
          <w:shd w:val="clear" w:color="auto" w:fill="FFFFFF" w:themeFill="background1"/>
        </w:rPr>
        <w:footnoteReference w:id="168"/>
      </w:r>
      <w:r w:rsidRPr="00720D91">
        <w:rPr>
          <w:rStyle w:val="sb8d990e2"/>
          <w:rFonts w:ascii="Arial" w:eastAsiaTheme="majorEastAsia" w:hAnsi="Arial" w:cs="Arial"/>
          <w:sz w:val="22"/>
          <w:szCs w:val="22"/>
          <w:shd w:val="clear" w:color="auto" w:fill="FFFFFF" w:themeFill="background1"/>
        </w:rPr>
        <w:t> </w:t>
      </w:r>
      <w:r w:rsidRPr="00720D91">
        <w:rPr>
          <w:rFonts w:ascii="Arial" w:hAnsi="Arial" w:cs="Arial"/>
          <w:sz w:val="22"/>
          <w:szCs w:val="22"/>
          <w:shd w:val="clear" w:color="auto" w:fill="FFFFFF" w:themeFill="background1"/>
        </w:rPr>
        <w:t>; l</w:t>
      </w:r>
      <w:r w:rsidRPr="00720D91">
        <w:rPr>
          <w:rStyle w:val="sb8d990e2"/>
          <w:rFonts w:ascii="Arial" w:eastAsiaTheme="majorEastAsia" w:hAnsi="Arial" w:cs="Arial"/>
          <w:sz w:val="22"/>
          <w:szCs w:val="22"/>
          <w:shd w:val="clear" w:color="auto" w:fill="FFFFFF" w:themeFill="background1"/>
        </w:rPr>
        <w:t>'article 35 § 1 prévoyant cette répartition.</w:t>
      </w:r>
      <w:r w:rsidRPr="00720D91">
        <w:rPr>
          <w:rStyle w:val="FootnoteReference"/>
          <w:rFonts w:ascii="Arial" w:hAnsi="Arial" w:cs="Arial"/>
          <w:sz w:val="22"/>
          <w:szCs w:val="22"/>
          <w:shd w:val="clear" w:color="auto" w:fill="FFFFFF" w:themeFill="background1"/>
        </w:rPr>
        <w:footnoteReference w:id="169"/>
      </w:r>
      <w:r w:rsidRPr="00720D91">
        <w:rPr>
          <w:rStyle w:val="sb8d990e2"/>
          <w:rFonts w:ascii="Arial" w:eastAsiaTheme="majorEastAsia" w:hAnsi="Arial" w:cs="Arial"/>
          <w:sz w:val="22"/>
          <w:szCs w:val="22"/>
          <w:shd w:val="clear" w:color="auto" w:fill="FFFFFF" w:themeFill="background1"/>
        </w:rPr>
        <w:t xml:space="preserve"> Il incombe au gouvernement défendeur qui invoque le non-épuisement de convaincre la Cour que les voies de recours étaient effectives et disponibles en théorie et en pratique à l'époque pertinente</w:t>
      </w:r>
      <w:r w:rsidRPr="00720D91">
        <w:rPr>
          <w:rStyle w:val="FootnoteReference"/>
          <w:rFonts w:ascii="Arial" w:hAnsi="Arial" w:cs="Arial"/>
          <w:sz w:val="22"/>
          <w:szCs w:val="22"/>
          <w:shd w:val="clear" w:color="auto" w:fill="FFFFFF" w:themeFill="background1"/>
        </w:rPr>
        <w:footnoteReference w:id="170"/>
      </w:r>
      <w:r w:rsidRPr="00720D91">
        <w:rPr>
          <w:rStyle w:val="sb8d990e2"/>
          <w:rFonts w:ascii="Arial" w:eastAsiaTheme="majorEastAsia" w:hAnsi="Arial" w:cs="Arial"/>
          <w:sz w:val="22"/>
          <w:szCs w:val="22"/>
          <w:shd w:val="clear" w:color="auto" w:fill="FFFFFF" w:themeFill="background1"/>
        </w:rPr>
        <w:t xml:space="preserve">, c'est-à-dire qu'elles étaient accessibles, susceptibles d'apporter une réponse aux plaintes des individus lésés et offraient des perspectives raisonnables de succès. </w:t>
      </w:r>
      <w:r w:rsidRPr="00720D91">
        <w:rPr>
          <w:rStyle w:val="FootnoteReference"/>
          <w:rFonts w:ascii="Arial" w:hAnsi="Arial" w:cs="Arial"/>
          <w:sz w:val="22"/>
          <w:szCs w:val="22"/>
          <w:shd w:val="clear" w:color="auto" w:fill="FFFFFF" w:themeFill="background1"/>
        </w:rPr>
        <w:footnoteReference w:id="171"/>
      </w:r>
      <w:r w:rsidRPr="00720D91">
        <w:rPr>
          <w:rStyle w:val="sb8d990e2"/>
          <w:rFonts w:ascii="Arial" w:eastAsiaTheme="majorEastAsia" w:hAnsi="Arial" w:cs="Arial"/>
          <w:sz w:val="22"/>
          <w:szCs w:val="22"/>
          <w:shd w:val="clear" w:color="auto" w:fill="FFFFFF" w:themeFill="background1"/>
        </w:rPr>
        <w:t xml:space="preserve"> Toutefois, une fois cette charge de la preuve acquittée, il incombe au requérant - en l'occurrence au gouvernement requérant - d'établir que les voies de recours ou l'ensemble des voies de recours proposées par le gouvernement défendeur ont été effectivement épuisées ou étaient, pour une raison quelconque, inadéquates et inefficaces dans les circonstances particulières de l'espèce,</w:t>
      </w:r>
      <w:r w:rsidRPr="00720D91">
        <w:rPr>
          <w:rStyle w:val="FootnoteReference"/>
          <w:rFonts w:ascii="Arial" w:hAnsi="Arial" w:cs="Arial"/>
          <w:sz w:val="22"/>
          <w:szCs w:val="22"/>
          <w:shd w:val="clear" w:color="auto" w:fill="FFFFFF" w:themeFill="background1"/>
        </w:rPr>
        <w:footnoteReference w:id="172"/>
      </w:r>
      <w:r w:rsidRPr="00720D91">
        <w:rPr>
          <w:rStyle w:val="sb8d990e2"/>
          <w:rFonts w:ascii="Arial" w:eastAsiaTheme="majorEastAsia" w:hAnsi="Arial" w:cs="Arial"/>
          <w:sz w:val="22"/>
          <w:szCs w:val="22"/>
          <w:shd w:val="clear" w:color="auto" w:fill="FFFFFF" w:themeFill="background1"/>
        </w:rPr>
        <w:t xml:space="preserve"> ou qu'il existait des circonstances particulières dispensant les intéressés de l'obligation d'épuiser cette voie de recours.</w:t>
      </w:r>
      <w:r w:rsidRPr="00720D91">
        <w:rPr>
          <w:rStyle w:val="FootnoteReference"/>
          <w:rFonts w:ascii="Arial" w:hAnsi="Arial" w:cs="Arial"/>
          <w:sz w:val="22"/>
          <w:szCs w:val="22"/>
          <w:shd w:val="clear" w:color="auto" w:fill="FFFFFF" w:themeFill="background1"/>
        </w:rPr>
        <w:footnoteReference w:id="173"/>
      </w:r>
      <w:r w:rsidRPr="00720D91">
        <w:rPr>
          <w:rStyle w:val="sb8d990e2"/>
          <w:rFonts w:ascii="Arial" w:eastAsiaTheme="majorEastAsia" w:hAnsi="Arial" w:cs="Arial"/>
          <w:sz w:val="22"/>
          <w:szCs w:val="22"/>
          <w:shd w:val="clear" w:color="auto" w:fill="FFFFFF" w:themeFill="background1"/>
        </w:rPr>
        <w:t xml:space="preserve"> Une telle raison peut être constituée par le fait que les autorités nationales sont restées totalement passives face à de graves allégations de faute ou de préjudice de la part d'agents de l'État, par exemple lorsqu'elles n'ont pas entrepris d'enquête ou offert leur assistance. Dans de telles circonstances, on peut dire que la charge de la preuve se déplace une fois de plus, de sorte qu'il incombe au gouvernement défendeur de montrer ce que les autorités ont fait en réponse à l'ampleur et à la gravité des faits reprochés.  </w:t>
      </w:r>
      <w:r w:rsidRPr="00720D91">
        <w:rPr>
          <w:rStyle w:val="FootnoteReference"/>
          <w:rFonts w:ascii="Arial" w:hAnsi="Arial" w:cs="Arial"/>
          <w:sz w:val="22"/>
          <w:szCs w:val="22"/>
          <w:shd w:val="clear" w:color="auto" w:fill="FFFFFF" w:themeFill="background1"/>
        </w:rPr>
        <w:footnoteReference w:id="174"/>
      </w:r>
    </w:p>
    <w:p w14:paraId="2E458F45" w14:textId="77777777" w:rsidR="00F331F8" w:rsidRPr="00720D91" w:rsidRDefault="00F331F8" w:rsidP="00971933">
      <w:pPr>
        <w:pStyle w:val="NoSpacing"/>
        <w:shd w:val="clear" w:color="auto" w:fill="FFFFFF" w:themeFill="background1"/>
        <w:jc w:val="both"/>
        <w:rPr>
          <w:rFonts w:ascii="Arial" w:hAnsi="Arial" w:cs="Arial"/>
          <w:sz w:val="22"/>
          <w:szCs w:val="22"/>
        </w:rPr>
      </w:pPr>
    </w:p>
    <w:p w14:paraId="3D9625EE" w14:textId="4336E228" w:rsidR="00F331F8" w:rsidRPr="00720D91" w:rsidRDefault="00F331F8" w:rsidP="00971933">
      <w:pPr>
        <w:pStyle w:val="NoSpacing"/>
        <w:shd w:val="clear" w:color="auto" w:fill="FFFFFF" w:themeFill="background1"/>
        <w:ind w:firstLine="426"/>
        <w:jc w:val="both"/>
        <w:rPr>
          <w:rFonts w:ascii="Arial" w:hAnsi="Arial" w:cs="Arial"/>
          <w:sz w:val="22"/>
          <w:szCs w:val="22"/>
        </w:rPr>
      </w:pPr>
      <w:r w:rsidRPr="00720D91">
        <w:rPr>
          <w:rFonts w:ascii="Arial" w:hAnsi="Arial" w:cs="Arial"/>
          <w:sz w:val="22"/>
          <w:szCs w:val="22"/>
        </w:rPr>
        <w:t>9</w:t>
      </w:r>
      <w:r w:rsidR="00F240BE">
        <w:rPr>
          <w:rFonts w:ascii="Arial" w:hAnsi="Arial" w:cs="Arial"/>
          <w:sz w:val="22"/>
          <w:szCs w:val="22"/>
        </w:rPr>
        <w:t>5</w:t>
      </w:r>
      <w:r w:rsidRPr="00720D91">
        <w:rPr>
          <w:rFonts w:ascii="Arial" w:hAnsi="Arial" w:cs="Arial"/>
          <w:sz w:val="22"/>
          <w:szCs w:val="22"/>
        </w:rPr>
        <w:t xml:space="preserve">. Dans certaines </w:t>
      </w:r>
      <w:r w:rsidRPr="00720D91">
        <w:rPr>
          <w:rFonts w:ascii="Arial" w:hAnsi="Arial" w:cs="Arial"/>
          <w:b/>
          <w:bCs/>
          <w:i/>
          <w:iCs/>
          <w:sz w:val="22"/>
          <w:szCs w:val="22"/>
        </w:rPr>
        <w:t>circonstances spécifiques</w:t>
      </w:r>
      <w:r w:rsidRPr="00720D91">
        <w:rPr>
          <w:rFonts w:ascii="Arial" w:hAnsi="Arial" w:cs="Arial"/>
          <w:sz w:val="22"/>
          <w:szCs w:val="22"/>
        </w:rPr>
        <w:t xml:space="preserve">, la Cour a accepté de déplacer la charge de la preuve du requérant vers le gouvernement défendeur. Dans l'arrêt sur la satisfaction équitable dans l'affaire Géorgie c. Russie, la Cour a estimé que « eu égard au cadre numérique général sur lequel la Cour s'est fondée dans son arrêt principal pour conclure à l'existence de </w:t>
      </w:r>
      <w:r w:rsidRPr="00720D91">
        <w:rPr>
          <w:rFonts w:ascii="Arial" w:hAnsi="Arial" w:cs="Arial"/>
          <w:sz w:val="22"/>
          <w:szCs w:val="22"/>
        </w:rPr>
        <w:lastRenderedPageBreak/>
        <w:t xml:space="preserve">violations de la Convention [...], elle part du principe que les personnes citées dans la liste du gouvernement requérant peuvent être considérées comme des victimes de violations de la Convention dont le gouvernement défendeur a été tenu responsable. Eu égard au fait que les constats de violation des articles 3 et 5 § 1 de la Convention et de l'article 4 du Protocole n° 4 concernent des victimes individuelles et se fondent sur des événements survenus sur le territoire du gouvernement défendeur, la Cour estime que, dans les circonstances particulières de la présente affaire, il incombe au gouvernement défendeur de démontrer de manière convaincante que les personnes figurant sur la liste du gouvernement requérant n'ont pas la qualité de victime. En conséquence, lorsque l'examen préliminaire a permis à la Cour de conclure de manière satisfaisante qu'une personne a été victime d'une ou plusieurs violations de la Convention, et que le gouvernement défendeur n'a pas démontré que la personne en question n'avait pas la qualité de victime, cette personne sera incluse dans la liste interne définitive aux fins de la détermination de la somme totale à allouer au titre de la satisfaction équitable." </w:t>
      </w:r>
      <w:r w:rsidRPr="00720D91">
        <w:rPr>
          <w:rStyle w:val="FootnoteReference"/>
          <w:rFonts w:ascii="Arial" w:hAnsi="Arial" w:cs="Arial"/>
          <w:sz w:val="22"/>
          <w:szCs w:val="22"/>
        </w:rPr>
        <w:footnoteReference w:id="175"/>
      </w:r>
    </w:p>
    <w:p w14:paraId="4439E976" w14:textId="77777777" w:rsidR="00F331F8" w:rsidRPr="00720D91" w:rsidRDefault="00F331F8" w:rsidP="00971933">
      <w:pPr>
        <w:pStyle w:val="NoSpacing"/>
        <w:jc w:val="both"/>
        <w:rPr>
          <w:rFonts w:ascii="Arial" w:hAnsi="Arial" w:cs="Arial"/>
          <w:sz w:val="22"/>
          <w:szCs w:val="22"/>
        </w:rPr>
      </w:pPr>
    </w:p>
    <w:p w14:paraId="7CBE3113" w14:textId="77777777" w:rsidR="00F331F8" w:rsidRPr="0059073A" w:rsidRDefault="00F331F8" w:rsidP="00971933">
      <w:pPr>
        <w:pStyle w:val="Heading2"/>
        <w:numPr>
          <w:ilvl w:val="0"/>
          <w:numId w:val="22"/>
        </w:numPr>
        <w:spacing w:line="240" w:lineRule="auto"/>
        <w:ind w:left="927"/>
        <w:jc w:val="both"/>
        <w:rPr>
          <w:rFonts w:cs="Arial"/>
          <w:bCs w:val="0"/>
          <w:iCs/>
          <w:sz w:val="24"/>
          <w:szCs w:val="22"/>
          <w:lang w:val="fr-FR"/>
        </w:rPr>
      </w:pPr>
      <w:bookmarkStart w:id="50" w:name="_Toc86329788"/>
      <w:bookmarkStart w:id="51" w:name="_Toc36049236"/>
      <w:r w:rsidRPr="0059073A">
        <w:rPr>
          <w:rFonts w:cs="Arial"/>
          <w:bCs w:val="0"/>
          <w:iCs/>
          <w:sz w:val="24"/>
          <w:szCs w:val="22"/>
          <w:lang w:val="fr-FR"/>
        </w:rPr>
        <w:t>La fonction d'établissement des faits de la Cour</w:t>
      </w:r>
      <w:bookmarkEnd w:id="50"/>
      <w:r w:rsidRPr="0059073A">
        <w:rPr>
          <w:rFonts w:cs="Arial"/>
          <w:bCs w:val="0"/>
          <w:iCs/>
          <w:sz w:val="24"/>
          <w:szCs w:val="22"/>
          <w:lang w:val="fr-FR"/>
        </w:rPr>
        <w:t xml:space="preserve"> </w:t>
      </w:r>
      <w:bookmarkEnd w:id="51"/>
    </w:p>
    <w:p w14:paraId="276DA49C" w14:textId="77777777" w:rsidR="00F331F8" w:rsidRPr="00720D91" w:rsidRDefault="00F331F8" w:rsidP="00971933">
      <w:pPr>
        <w:pStyle w:val="Heading3"/>
        <w:spacing w:line="240" w:lineRule="auto"/>
        <w:ind w:left="720"/>
        <w:rPr>
          <w:rFonts w:ascii="Arial" w:hAnsi="Arial" w:cs="Arial"/>
          <w:b w:val="0"/>
          <w:i/>
          <w:color w:val="17365D" w:themeColor="text2" w:themeShade="BF"/>
          <w:lang w:val="fr-FR"/>
        </w:rPr>
      </w:pPr>
      <w:bookmarkStart w:id="52" w:name="_Toc86329789"/>
      <w:r w:rsidRPr="00720D91">
        <w:rPr>
          <w:rFonts w:ascii="Arial" w:hAnsi="Arial" w:cs="Arial"/>
          <w:b w:val="0"/>
          <w:i/>
          <w:color w:val="17365D" w:themeColor="text2" w:themeShade="BF"/>
          <w:lang w:val="fr-FR"/>
        </w:rPr>
        <w:t>4.1. Pouvoirs d'enquête</w:t>
      </w:r>
      <w:bookmarkEnd w:id="52"/>
      <w:r w:rsidRPr="00720D91">
        <w:rPr>
          <w:rFonts w:ascii="Arial" w:hAnsi="Arial" w:cs="Arial"/>
          <w:b w:val="0"/>
          <w:i/>
          <w:color w:val="17365D" w:themeColor="text2" w:themeShade="BF"/>
          <w:lang w:val="fr-FR"/>
        </w:rPr>
        <w:t xml:space="preserve"> </w:t>
      </w:r>
    </w:p>
    <w:p w14:paraId="3450AE25" w14:textId="77777777" w:rsidR="00F331F8" w:rsidRPr="00720D91" w:rsidRDefault="00F331F8" w:rsidP="00971933">
      <w:pPr>
        <w:pStyle w:val="NoSpacing"/>
        <w:rPr>
          <w:sz w:val="22"/>
          <w:szCs w:val="22"/>
        </w:rPr>
      </w:pPr>
    </w:p>
    <w:p w14:paraId="16358122" w14:textId="27B56403" w:rsidR="00F331F8" w:rsidRPr="00F331F8" w:rsidRDefault="00F331F8" w:rsidP="00971933">
      <w:pPr>
        <w:shd w:val="clear" w:color="auto" w:fill="FFFFFF" w:themeFill="background1"/>
        <w:spacing w:after="240" w:line="240" w:lineRule="auto"/>
        <w:ind w:firstLine="426"/>
        <w:jc w:val="both"/>
        <w:rPr>
          <w:rFonts w:ascii="Arial" w:hAnsi="Arial" w:cs="Arial"/>
          <w:lang w:val="fr-FR"/>
        </w:rPr>
      </w:pPr>
      <w:r w:rsidRPr="00F331F8">
        <w:rPr>
          <w:rFonts w:ascii="Arial" w:hAnsi="Arial" w:cs="Arial"/>
          <w:lang w:val="fr-FR"/>
        </w:rPr>
        <w:t>9</w:t>
      </w:r>
      <w:r w:rsidR="00F240BE">
        <w:rPr>
          <w:rFonts w:ascii="Arial" w:hAnsi="Arial" w:cs="Arial"/>
          <w:lang w:val="fr-FR"/>
        </w:rPr>
        <w:t>6</w:t>
      </w:r>
      <w:r w:rsidRPr="00F331F8">
        <w:rPr>
          <w:rFonts w:ascii="Arial" w:hAnsi="Arial" w:cs="Arial"/>
          <w:lang w:val="fr-FR"/>
        </w:rPr>
        <w:t>. Comme indiqué ci-dessus, la Cour établit les faits en se fondant principalement sur des preuves documentaires qui comprennent notamment des rapports d'organisations internationales gouvernementales et non gouvernementales (voir paragraphe 84 ci-dessus).</w:t>
      </w:r>
      <w:r w:rsidRPr="00720D91">
        <w:rPr>
          <w:rStyle w:val="FootnoteReference"/>
          <w:rFonts w:ascii="Arial" w:hAnsi="Arial" w:cs="Arial"/>
        </w:rPr>
        <w:footnoteReference w:id="176"/>
      </w:r>
      <w:r w:rsidRPr="00F331F8">
        <w:rPr>
          <w:rFonts w:ascii="Arial" w:hAnsi="Arial" w:cs="Arial"/>
          <w:lang w:val="fr-FR"/>
        </w:rPr>
        <w:t xml:space="preserve"> Toutefois, </w:t>
      </w:r>
      <w:bookmarkStart w:id="54" w:name="_Hlk38984341"/>
      <w:r w:rsidRPr="00F331F8">
        <w:rPr>
          <w:rFonts w:ascii="Arial" w:hAnsi="Arial" w:cs="Arial"/>
          <w:lang w:val="fr-FR"/>
        </w:rPr>
        <w:t xml:space="preserve">la Cour peut être amenée à agir en tant que juridiction de première instance lorsqu'il existe des différends factuels entre les parties qui ne peuvent être résolus par l'examen des documents dont elle est saisie ou lorsqu'il n'y a pas eu d'examen des faits reprochés par les juridictions internes. La Cour peut donc décider de recourir à des </w:t>
      </w:r>
      <w:r w:rsidRPr="00F331F8">
        <w:rPr>
          <w:rFonts w:ascii="Arial" w:hAnsi="Arial" w:cs="Arial"/>
          <w:shd w:val="clear" w:color="auto" w:fill="FFFFFF" w:themeFill="background1"/>
          <w:lang w:val="fr-FR"/>
        </w:rPr>
        <w:t xml:space="preserve">procédures d'établissement des faits telles que des audiences d’information ou des enquêtes sur place. Il est signalé que parmi les </w:t>
      </w:r>
      <w:r w:rsidRPr="00F331F8">
        <w:rPr>
          <w:rFonts w:ascii="Arial" w:hAnsi="Arial" w:cs="Arial"/>
          <w:lang w:val="fr-FR"/>
        </w:rPr>
        <w:t xml:space="preserve">facteurs clés d'une telle décision figurent l'incapacité des autorités nationales à établir pleinement les faits pertinents d'une affaire, les défaillances systématiques dans le fonctionnement des tribunaux nationaux, le potentiel de l'audience d'enquête à conduire à l'établissement d'une violation de la Convention et, dans le cas d'une visite sur place, le temps qui s'est écoulé depuis que les événements en question ont eu lieu. </w:t>
      </w:r>
      <w:r w:rsidRPr="00720D91">
        <w:rPr>
          <w:rStyle w:val="FootnoteReference"/>
          <w:rFonts w:ascii="Arial" w:hAnsi="Arial" w:cs="Arial"/>
        </w:rPr>
        <w:footnoteReference w:id="177"/>
      </w:r>
    </w:p>
    <w:bookmarkEnd w:id="54"/>
    <w:p w14:paraId="1DA7B7F7" w14:textId="18200F17" w:rsidR="00F331F8" w:rsidRPr="00F331F8" w:rsidRDefault="00F331F8" w:rsidP="00971933">
      <w:pPr>
        <w:autoSpaceDE w:val="0"/>
        <w:autoSpaceDN w:val="0"/>
        <w:adjustRightInd w:val="0"/>
        <w:spacing w:line="240" w:lineRule="auto"/>
        <w:ind w:firstLine="426"/>
        <w:jc w:val="both"/>
        <w:rPr>
          <w:rFonts w:ascii="Arial" w:hAnsi="Arial" w:cs="Arial"/>
          <w:lang w:val="fr-FR"/>
        </w:rPr>
      </w:pPr>
      <w:r w:rsidRPr="00F331F8">
        <w:rPr>
          <w:rFonts w:ascii="Arial" w:hAnsi="Arial" w:cs="Arial"/>
          <w:lang w:val="fr-FR"/>
        </w:rPr>
        <w:t>9</w:t>
      </w:r>
      <w:r w:rsidR="00F240BE">
        <w:rPr>
          <w:rFonts w:ascii="Arial" w:hAnsi="Arial" w:cs="Arial"/>
          <w:lang w:val="fr-FR"/>
        </w:rPr>
        <w:t>7</w:t>
      </w:r>
      <w:r w:rsidRPr="00F331F8">
        <w:rPr>
          <w:rFonts w:ascii="Arial" w:hAnsi="Arial" w:cs="Arial"/>
          <w:lang w:val="fr-FR"/>
        </w:rPr>
        <w:t>. La décision de recourir ou non à des mesures d'enquête est laissée à la discrétion de la Cour et peut être prise d'office ou à la demande de l'une des parties. Le refus effectif de coopération d'un gouvernement dans une affaire dissuadera considérablement la Cour d'organiser une mission d'enquête.</w:t>
      </w:r>
      <w:r w:rsidRPr="00720D91">
        <w:rPr>
          <w:rStyle w:val="FootnoteReference"/>
          <w:rFonts w:ascii="Arial" w:hAnsi="Arial" w:cs="Arial"/>
        </w:rPr>
        <w:footnoteReference w:id="178"/>
      </w:r>
      <w:r w:rsidRPr="00F331F8">
        <w:rPr>
          <w:rFonts w:ascii="Arial" w:hAnsi="Arial" w:cs="Arial"/>
          <w:lang w:val="fr-FR"/>
        </w:rPr>
        <w:t xml:space="preserve"> Une demande bien justifiée d'audience d'enquête soumise par une partie peut avoir une influence considérable sur le processus décisionnel de la Cour et une liste de témoins (y compris des informations sur la pertinence de leur témoignage attendu) est une partie essentielle d'une demande bien argumentée de mission d'enquête. </w:t>
      </w:r>
      <w:r w:rsidRPr="00720D91">
        <w:rPr>
          <w:rStyle w:val="FootnoteReference"/>
          <w:rFonts w:ascii="Arial" w:hAnsi="Arial" w:cs="Arial"/>
        </w:rPr>
        <w:footnoteReference w:id="179"/>
      </w:r>
      <w:r w:rsidRPr="00F331F8">
        <w:rPr>
          <w:rFonts w:ascii="Arial" w:hAnsi="Arial" w:cs="Arial"/>
          <w:lang w:val="fr-FR"/>
        </w:rPr>
        <w:t xml:space="preserve"> En ce qui concerne le calendrier des activités d'enquête de la Cour, la Convention ne traite pas explicitement de cette question. Cependant, le Règlement de la Cour précise que l'enquête a </w:t>
      </w:r>
      <w:r w:rsidRPr="00F331F8">
        <w:rPr>
          <w:rFonts w:ascii="Arial" w:hAnsi="Arial" w:cs="Arial"/>
          <w:lang w:val="fr-FR"/>
        </w:rPr>
        <w:lastRenderedPageBreak/>
        <w:t xml:space="preserve">lieu après qu'une affaire a été déclarée recevable, ou exceptionnellement, avant la décision sur la recevabilité. </w:t>
      </w:r>
      <w:r w:rsidRPr="00720D91">
        <w:rPr>
          <w:rStyle w:val="FootnoteReference"/>
          <w:rFonts w:ascii="Arial" w:hAnsi="Arial" w:cs="Arial"/>
        </w:rPr>
        <w:footnoteReference w:id="180"/>
      </w:r>
    </w:p>
    <w:p w14:paraId="03D82D3F" w14:textId="2492E05C" w:rsidR="00F331F8" w:rsidRPr="00F331F8" w:rsidRDefault="00F331F8" w:rsidP="00971933">
      <w:pPr>
        <w:spacing w:after="240" w:line="240" w:lineRule="auto"/>
        <w:ind w:firstLine="426"/>
        <w:jc w:val="both"/>
        <w:rPr>
          <w:rFonts w:ascii="Arial" w:hAnsi="Arial" w:cs="Arial"/>
          <w:lang w:val="fr-FR"/>
        </w:rPr>
      </w:pPr>
      <w:r w:rsidRPr="00F331F8">
        <w:rPr>
          <w:rFonts w:ascii="Arial" w:hAnsi="Arial" w:cs="Arial"/>
          <w:lang w:val="fr-FR"/>
        </w:rPr>
        <w:t>9</w:t>
      </w:r>
      <w:r w:rsidR="00F240BE">
        <w:rPr>
          <w:rFonts w:ascii="Arial" w:hAnsi="Arial" w:cs="Arial"/>
          <w:lang w:val="fr-FR"/>
        </w:rPr>
        <w:t>8</w:t>
      </w:r>
      <w:r w:rsidRPr="00F331F8">
        <w:rPr>
          <w:rFonts w:ascii="Arial" w:hAnsi="Arial" w:cs="Arial"/>
          <w:lang w:val="fr-FR"/>
        </w:rPr>
        <w:t xml:space="preserve">. Les pouvoirs d'enquête de la Cour se fondent sur l'article 38 de la Convention et sont exercés en vertu du Règlement de la Cour (Article A1 à A8 de l'Annexe) qui contient des dispositions détaillées concernant les mesures d'enquête et les obligations des parties à cet égard. Après qu'une affaire a été déclarée recevable ou, exceptionnellement, avant la décision sur la recevabilité, la Chambre peut désigner un ou plusieurs de ses membres ou des autres juges de la Cour, comme son ou ses délégués, pour mener une enquête, effectuer une investigation sur place ou recueillir des preuves d'une autre manière. La Chambre peut également désigner toute personne ou institution de son choix pour assister la délégation de la manière qu'elle juge appropriée. </w:t>
      </w:r>
      <w:r w:rsidRPr="00720D91">
        <w:rPr>
          <w:rStyle w:val="FootnoteReference"/>
          <w:rFonts w:ascii="Arial" w:hAnsi="Arial" w:cs="Arial"/>
        </w:rPr>
        <w:footnoteReference w:id="181"/>
      </w:r>
    </w:p>
    <w:p w14:paraId="174C70B4" w14:textId="77777777" w:rsidR="00F331F8" w:rsidRPr="00720D91" w:rsidRDefault="00F331F8" w:rsidP="00971933">
      <w:pPr>
        <w:pStyle w:val="Heading3"/>
        <w:spacing w:line="240" w:lineRule="auto"/>
        <w:ind w:left="720"/>
        <w:rPr>
          <w:rFonts w:ascii="Arial" w:hAnsi="Arial" w:cs="Arial"/>
          <w:b w:val="0"/>
          <w:i/>
          <w:color w:val="17365D" w:themeColor="text2" w:themeShade="BF"/>
          <w:lang w:val="fr-FR"/>
        </w:rPr>
      </w:pPr>
      <w:bookmarkStart w:id="55" w:name="_Toc86329790"/>
      <w:r w:rsidRPr="00720D91">
        <w:rPr>
          <w:rFonts w:ascii="Arial" w:hAnsi="Arial" w:cs="Arial"/>
          <w:b w:val="0"/>
          <w:i/>
          <w:color w:val="17365D" w:themeColor="text2" w:themeShade="BF"/>
          <w:lang w:val="fr-FR"/>
        </w:rPr>
        <w:t>4.2. Auditions de témoins</w:t>
      </w:r>
      <w:bookmarkEnd w:id="55"/>
      <w:r w:rsidRPr="00720D91">
        <w:rPr>
          <w:rFonts w:ascii="Arial" w:hAnsi="Arial" w:cs="Arial"/>
          <w:b w:val="0"/>
          <w:i/>
          <w:color w:val="17365D" w:themeColor="text2" w:themeShade="BF"/>
          <w:lang w:val="fr-FR"/>
        </w:rPr>
        <w:t xml:space="preserve"> </w:t>
      </w:r>
    </w:p>
    <w:p w14:paraId="6A8C6050" w14:textId="77777777" w:rsidR="00F331F8" w:rsidRPr="00720D91" w:rsidRDefault="00F331F8" w:rsidP="00971933">
      <w:pPr>
        <w:pStyle w:val="NoSpacing"/>
        <w:rPr>
          <w:sz w:val="22"/>
          <w:szCs w:val="22"/>
        </w:rPr>
      </w:pPr>
    </w:p>
    <w:p w14:paraId="2657BC60" w14:textId="2D82C034" w:rsidR="00F331F8" w:rsidRPr="00F331F8" w:rsidRDefault="00F331F8" w:rsidP="00971933">
      <w:pPr>
        <w:spacing w:after="240" w:line="240" w:lineRule="auto"/>
        <w:ind w:firstLine="426"/>
        <w:jc w:val="both"/>
        <w:rPr>
          <w:rFonts w:ascii="Arial" w:hAnsi="Arial" w:cs="Arial"/>
          <w:lang w:val="fr-FR"/>
        </w:rPr>
      </w:pPr>
      <w:r w:rsidRPr="00F331F8">
        <w:rPr>
          <w:rFonts w:ascii="Arial" w:hAnsi="Arial" w:cs="Arial"/>
          <w:lang w:val="fr-FR"/>
        </w:rPr>
        <w:t>9</w:t>
      </w:r>
      <w:r w:rsidR="00F240BE">
        <w:rPr>
          <w:rFonts w:ascii="Arial" w:hAnsi="Arial" w:cs="Arial"/>
          <w:lang w:val="fr-FR"/>
        </w:rPr>
        <w:t>9</w:t>
      </w:r>
      <w:r w:rsidRPr="00F331F8">
        <w:rPr>
          <w:rFonts w:ascii="Arial" w:hAnsi="Arial" w:cs="Arial"/>
          <w:lang w:val="fr-FR"/>
        </w:rPr>
        <w:t xml:space="preserve">. Comme cela a été mentionné ci-dessus (voir paragraphe 83 ci-dessus), la Cour peut organiser une audition de témoins et d'experts non seulement dans le but d'établir les faits mais aussi dans le but de vérifier la véracité des preuves soumises par les parties et des preuves exposées dans les rapports des organisations internationales concernant certains aspects de la requête. </w:t>
      </w:r>
      <w:r w:rsidRPr="00720D91">
        <w:rPr>
          <w:rStyle w:val="FootnoteReference"/>
          <w:rFonts w:ascii="Arial" w:hAnsi="Arial" w:cs="Arial"/>
        </w:rPr>
        <w:footnoteReference w:id="182"/>
      </w:r>
      <w:r w:rsidRPr="00F331F8">
        <w:rPr>
          <w:rFonts w:ascii="Arial" w:hAnsi="Arial" w:cs="Arial"/>
          <w:lang w:val="fr-FR"/>
        </w:rPr>
        <w:t xml:space="preserve"> L'obtention des preuves nécessaires par le biais d'auditions de témoins est l'un des défis auxquels la Cour est souvent confrontée dans le cadre de requêtes interétatiques et de requêtes individuelles liées.</w:t>
      </w:r>
    </w:p>
    <w:p w14:paraId="0EE26427" w14:textId="74CA3A08" w:rsidR="00F331F8" w:rsidRPr="00F331F8" w:rsidRDefault="00F240BE" w:rsidP="00971933">
      <w:pPr>
        <w:spacing w:after="240" w:line="240" w:lineRule="auto"/>
        <w:ind w:firstLine="426"/>
        <w:jc w:val="both"/>
        <w:rPr>
          <w:rFonts w:ascii="Arial" w:hAnsi="Arial" w:cs="Arial"/>
          <w:lang w:val="fr-FR"/>
        </w:rPr>
      </w:pPr>
      <w:r>
        <w:rPr>
          <w:rFonts w:ascii="Arial" w:hAnsi="Arial" w:cs="Arial"/>
          <w:lang w:val="fr-FR"/>
        </w:rPr>
        <w:t>100</w:t>
      </w:r>
      <w:r w:rsidR="00F331F8" w:rsidRPr="00F331F8">
        <w:rPr>
          <w:rFonts w:ascii="Arial" w:hAnsi="Arial" w:cs="Arial"/>
          <w:lang w:val="fr-FR"/>
        </w:rPr>
        <w:t>. Les témoins sont convoqués par le greffier de la Cour,</w:t>
      </w:r>
      <w:r w:rsidR="00F331F8" w:rsidRPr="00720D91">
        <w:rPr>
          <w:rStyle w:val="FootnoteReference"/>
          <w:rFonts w:ascii="Arial" w:hAnsi="Arial" w:cs="Arial"/>
        </w:rPr>
        <w:footnoteReference w:id="183"/>
      </w:r>
      <w:r w:rsidR="00F331F8" w:rsidRPr="00F331F8">
        <w:rPr>
          <w:rFonts w:ascii="Arial" w:hAnsi="Arial" w:cs="Arial"/>
          <w:lang w:val="fr-FR"/>
        </w:rPr>
        <w:t xml:space="preserve"> tandis que l'État contractant sur le territoire duquel le témoin réside est chargé de signifier toute convocation qui lui est adressée par la Cour.</w:t>
      </w:r>
      <w:r w:rsidR="00F331F8" w:rsidRPr="00720D91">
        <w:rPr>
          <w:rStyle w:val="FootnoteReference"/>
          <w:rFonts w:ascii="Arial" w:hAnsi="Arial" w:cs="Arial"/>
        </w:rPr>
        <w:footnoteReference w:id="184"/>
      </w:r>
      <w:r w:rsidR="00F331F8" w:rsidRPr="00F331F8">
        <w:rPr>
          <w:rFonts w:ascii="Arial" w:hAnsi="Arial" w:cs="Arial"/>
          <w:lang w:val="fr-FR"/>
        </w:rPr>
        <w:t xml:space="preserve"> Chaque Partie peut proposer des témoins à entendre lors d'une audience. La communication relative à la préparation de l'audition des témoins entre les États parties et la Cour se fait principalement par écrit mais, si nécessaire, une réunion préparatoire peut également être organisée. </w:t>
      </w:r>
      <w:r w:rsidR="00F331F8" w:rsidRPr="00720D91">
        <w:rPr>
          <w:rStyle w:val="FootnoteReference"/>
          <w:rFonts w:ascii="Arial" w:hAnsi="Arial" w:cs="Arial"/>
        </w:rPr>
        <w:footnoteReference w:id="185"/>
      </w:r>
    </w:p>
    <w:p w14:paraId="1E28E544" w14:textId="4E8DAA21" w:rsidR="00F331F8" w:rsidRPr="00F331F8" w:rsidRDefault="00575ED5" w:rsidP="00971933">
      <w:pPr>
        <w:spacing w:after="240" w:line="240" w:lineRule="auto"/>
        <w:ind w:firstLine="426"/>
        <w:jc w:val="both"/>
        <w:rPr>
          <w:rFonts w:ascii="Arial" w:hAnsi="Arial" w:cs="Arial"/>
          <w:lang w:val="fr-FR"/>
        </w:rPr>
      </w:pPr>
      <w:r>
        <w:rPr>
          <w:rFonts w:ascii="Arial" w:hAnsi="Arial" w:cs="Arial"/>
          <w:lang w:val="fr-FR"/>
        </w:rPr>
        <w:t>10</w:t>
      </w:r>
      <w:r w:rsidR="00F240BE">
        <w:rPr>
          <w:rFonts w:ascii="Arial" w:hAnsi="Arial" w:cs="Arial"/>
          <w:lang w:val="fr-FR"/>
        </w:rPr>
        <w:t>1</w:t>
      </w:r>
      <w:r w:rsidR="00F331F8" w:rsidRPr="00F331F8">
        <w:rPr>
          <w:rFonts w:ascii="Arial" w:hAnsi="Arial" w:cs="Arial"/>
          <w:lang w:val="fr-FR"/>
        </w:rPr>
        <w:t xml:space="preserve">. Même si la Cour jouit d'un large pouvoir d'appréciation en ce qui concerne la sélection des témoins, il est souvent nécessaire en pratique de limiter le nombre de témoins qu'elle entend, compte tenu du fait qu'elle ne dispose que d'un temps relativement court pour mener une audience. Dans l'affaire </w:t>
      </w:r>
      <w:r w:rsidR="00F331F8" w:rsidRPr="00F331F8">
        <w:rPr>
          <w:rFonts w:ascii="Arial" w:hAnsi="Arial" w:cs="Arial"/>
          <w:i/>
          <w:lang w:val="fr-FR"/>
        </w:rPr>
        <w:t>Chypre c. Turquie</w:t>
      </w:r>
      <w:r w:rsidR="00F331F8" w:rsidRPr="00F331F8">
        <w:rPr>
          <w:rFonts w:ascii="Arial" w:hAnsi="Arial" w:cs="Arial"/>
          <w:lang w:val="fr-FR"/>
        </w:rPr>
        <w:t xml:space="preserve">, par exemple, elle a justifié cette approche en faisant valoir que l'exécution efficace de son rôle d'établissement des faits l'obligeait nécessairement à réglementer la procédure d'obtention des preuves orales, en tenant compte des contraintes de temps et de sa propre évaluation de la pertinence des témoignages supplémentaires. </w:t>
      </w:r>
      <w:r w:rsidR="00F331F8" w:rsidRPr="00720D91">
        <w:rPr>
          <w:rStyle w:val="FootnoteReference"/>
          <w:rFonts w:ascii="Arial" w:hAnsi="Arial" w:cs="Arial"/>
        </w:rPr>
        <w:footnoteReference w:id="186"/>
      </w:r>
    </w:p>
    <w:p w14:paraId="21F024EA" w14:textId="2D487DC9" w:rsidR="00F331F8" w:rsidRPr="00F331F8" w:rsidRDefault="00F331F8" w:rsidP="00971933">
      <w:pPr>
        <w:spacing w:after="240" w:line="240" w:lineRule="auto"/>
        <w:ind w:firstLine="426"/>
        <w:jc w:val="both"/>
        <w:rPr>
          <w:rFonts w:ascii="Arial" w:hAnsi="Arial" w:cs="Arial"/>
          <w:lang w:val="fr-FR"/>
        </w:rPr>
      </w:pPr>
      <w:r w:rsidRPr="00F331F8">
        <w:rPr>
          <w:rFonts w:ascii="Arial" w:hAnsi="Arial" w:cs="Arial"/>
          <w:lang w:val="fr-FR"/>
        </w:rPr>
        <w:t>10</w:t>
      </w:r>
      <w:r w:rsidR="00F240BE">
        <w:rPr>
          <w:rFonts w:ascii="Arial" w:hAnsi="Arial" w:cs="Arial"/>
          <w:lang w:val="fr-FR"/>
        </w:rPr>
        <w:t>2</w:t>
      </w:r>
      <w:r w:rsidRPr="00F331F8">
        <w:rPr>
          <w:rFonts w:ascii="Arial" w:hAnsi="Arial" w:cs="Arial"/>
          <w:lang w:val="fr-FR"/>
        </w:rPr>
        <w:t xml:space="preserve">. Jusqu'à présent, de manière générale, il y a eu des auditions de témoins dans les affaires interétatiques. Dans les affaires </w:t>
      </w:r>
      <w:r w:rsidRPr="00F331F8">
        <w:rPr>
          <w:rFonts w:ascii="Arial" w:hAnsi="Arial" w:cs="Arial"/>
          <w:i/>
          <w:lang w:val="fr-FR"/>
        </w:rPr>
        <w:t xml:space="preserve">Chypre c. Turquie </w:t>
      </w:r>
      <w:r w:rsidRPr="00F331F8">
        <w:rPr>
          <w:rFonts w:ascii="Arial" w:hAnsi="Arial" w:cs="Arial"/>
          <w:lang w:val="fr-FR"/>
        </w:rPr>
        <w:t xml:space="preserve">et </w:t>
      </w:r>
      <w:r w:rsidRPr="00F331F8">
        <w:rPr>
          <w:rFonts w:ascii="Arial" w:hAnsi="Arial" w:cs="Arial"/>
          <w:i/>
          <w:lang w:val="fr-FR"/>
        </w:rPr>
        <w:t>Irlande c. Royaume-Uni</w:t>
      </w:r>
      <w:r w:rsidRPr="00F331F8">
        <w:rPr>
          <w:rFonts w:ascii="Arial" w:hAnsi="Arial" w:cs="Arial"/>
          <w:lang w:val="fr-FR"/>
        </w:rPr>
        <w:t xml:space="preserve">, par exemple, les auditions par la Commission ont eu lieu dans le pays concerné ou dans des lieux extérieurs aux locaux de la Cour. Plus récemment, dans les affaires </w:t>
      </w:r>
      <w:r w:rsidRPr="00F331F8">
        <w:rPr>
          <w:rFonts w:ascii="Arial" w:hAnsi="Arial" w:cs="Arial"/>
          <w:i/>
          <w:lang w:val="fr-FR"/>
        </w:rPr>
        <w:t xml:space="preserve">Géorgie c. Russie </w:t>
      </w:r>
      <w:r w:rsidRPr="00F331F8">
        <w:rPr>
          <w:rFonts w:ascii="Arial" w:hAnsi="Arial" w:cs="Arial"/>
          <w:lang w:val="fr-FR"/>
        </w:rPr>
        <w:t xml:space="preserve">(I) et (II), les audiences ont eu lieu à Strasbourg, dans les locaux de la Cour, et ont duré respectivement </w:t>
      </w:r>
      <w:r w:rsidRPr="00F331F8">
        <w:rPr>
          <w:rFonts w:ascii="Arial" w:hAnsi="Arial" w:cs="Arial"/>
          <w:lang w:val="fr-FR"/>
        </w:rPr>
        <w:lastRenderedPageBreak/>
        <w:t>une et deux semaines.</w:t>
      </w:r>
      <w:r w:rsidRPr="00720D91">
        <w:rPr>
          <w:rStyle w:val="FootnoteReference"/>
          <w:rFonts w:ascii="Arial" w:hAnsi="Arial" w:cs="Arial"/>
          <w:shd w:val="clear" w:color="auto" w:fill="FFFFFF" w:themeFill="background1"/>
        </w:rPr>
        <w:footnoteReference w:id="187"/>
      </w:r>
      <w:r w:rsidRPr="00F331F8">
        <w:rPr>
          <w:rFonts w:ascii="Arial" w:hAnsi="Arial" w:cs="Arial"/>
          <w:shd w:val="clear" w:color="auto" w:fill="FFFFFF" w:themeFill="background1"/>
          <w:lang w:val="fr-FR"/>
        </w:rPr>
        <w:t xml:space="preserve"> </w:t>
      </w:r>
      <w:r w:rsidRPr="00F331F8">
        <w:rPr>
          <w:rFonts w:ascii="Arial" w:hAnsi="Arial" w:cs="Arial"/>
          <w:lang w:val="fr-FR"/>
        </w:rPr>
        <w:t>Cette approche présente des avantages pour la Cour en ce qui concerne la disponibilité du personnel juridique, du matériel d'enregistrement et des interprètes. Il convient également de noter que lorsqu'un témoin est cité à la demande ou au nom d'une Partie contractante, les frais de sa comparution sont à la charge de cette dernière, sauf décision contraire de la chambre.</w:t>
      </w:r>
      <w:r w:rsidRPr="00720D91">
        <w:rPr>
          <w:rStyle w:val="FootnoteReference"/>
          <w:rFonts w:ascii="Arial" w:hAnsi="Arial" w:cs="Arial"/>
        </w:rPr>
        <w:footnoteReference w:id="188"/>
      </w:r>
      <w:r w:rsidRPr="00F331F8">
        <w:rPr>
          <w:rFonts w:ascii="Arial" w:hAnsi="Arial" w:cs="Arial"/>
          <w:lang w:val="fr-FR"/>
        </w:rPr>
        <w:t xml:space="preserve"> En outre, elle peut fournir un lieu neutre et ainsi éviter le désaccord des parties quant au lieu de l'audience d'établissement des faits. Toutefois, cette approche présuppose que les témoins sont libres et disposés à assister à l'audience. </w:t>
      </w:r>
    </w:p>
    <w:p w14:paraId="14C4FC3A" w14:textId="2E0F7AA4" w:rsidR="00F331F8" w:rsidRPr="00720D91" w:rsidRDefault="00F331F8" w:rsidP="00971933">
      <w:pPr>
        <w:pStyle w:val="NoSpacing"/>
        <w:ind w:firstLine="426"/>
        <w:jc w:val="both"/>
        <w:rPr>
          <w:rFonts w:ascii="Arial" w:hAnsi="Arial" w:cs="Arial"/>
          <w:sz w:val="22"/>
          <w:szCs w:val="22"/>
        </w:rPr>
      </w:pPr>
      <w:bookmarkStart w:id="56" w:name="_Toc36049239"/>
      <w:r w:rsidRPr="00720D91">
        <w:rPr>
          <w:rFonts w:ascii="Arial" w:hAnsi="Arial" w:cs="Arial"/>
          <w:sz w:val="22"/>
          <w:szCs w:val="22"/>
        </w:rPr>
        <w:t>10</w:t>
      </w:r>
      <w:r w:rsidR="00F240BE">
        <w:rPr>
          <w:rFonts w:ascii="Arial" w:hAnsi="Arial" w:cs="Arial"/>
          <w:sz w:val="22"/>
          <w:szCs w:val="22"/>
        </w:rPr>
        <w:t>3</w:t>
      </w:r>
      <w:r w:rsidRPr="00720D91">
        <w:rPr>
          <w:rFonts w:ascii="Arial" w:hAnsi="Arial" w:cs="Arial"/>
          <w:sz w:val="22"/>
          <w:szCs w:val="22"/>
        </w:rPr>
        <w:t>. Les États membres sont tenus d'assurer la liberté de circulation et une sécurité adéquate pour, entre autres, les témoins et les experts.</w:t>
      </w:r>
      <w:r w:rsidRPr="00720D91">
        <w:rPr>
          <w:rStyle w:val="FootnoteReference"/>
          <w:rFonts w:ascii="Arial" w:hAnsi="Arial" w:cs="Arial"/>
          <w:sz w:val="22"/>
          <w:szCs w:val="22"/>
        </w:rPr>
        <w:footnoteReference w:id="189"/>
      </w:r>
      <w:r w:rsidRPr="00720D91">
        <w:rPr>
          <w:rFonts w:ascii="Arial" w:hAnsi="Arial" w:cs="Arial"/>
          <w:sz w:val="22"/>
          <w:szCs w:val="22"/>
        </w:rPr>
        <w:t xml:space="preserve"> </w:t>
      </w:r>
      <w:bookmarkEnd w:id="56"/>
      <w:r w:rsidRPr="00720D91">
        <w:rPr>
          <w:rFonts w:ascii="Arial" w:hAnsi="Arial" w:cs="Arial"/>
          <w:sz w:val="22"/>
          <w:szCs w:val="22"/>
        </w:rPr>
        <w:t xml:space="preserve">Les questions liées à la </w:t>
      </w:r>
      <w:r w:rsidRPr="00720D91">
        <w:rPr>
          <w:rFonts w:ascii="Arial" w:hAnsi="Arial" w:cs="Arial"/>
          <w:bCs/>
          <w:sz w:val="22"/>
          <w:szCs w:val="22"/>
        </w:rPr>
        <w:t xml:space="preserve">protection des témoins ainsi que </w:t>
      </w:r>
      <w:r w:rsidRPr="00720D91">
        <w:rPr>
          <w:rFonts w:ascii="Arial" w:hAnsi="Arial" w:cs="Arial"/>
          <w:sz w:val="22"/>
          <w:szCs w:val="22"/>
        </w:rPr>
        <w:t>le manque de coopération des États avec la Cour à cet égard ont été identifiés comme des aspects difficiles de la fonction d'établissement des faits de la Cour.</w:t>
      </w:r>
      <w:r w:rsidRPr="00720D91">
        <w:rPr>
          <w:rStyle w:val="FootnoteReference"/>
          <w:rFonts w:ascii="Arial" w:hAnsi="Arial" w:cs="Arial"/>
          <w:sz w:val="22"/>
          <w:szCs w:val="22"/>
        </w:rPr>
        <w:footnoteReference w:id="190"/>
      </w:r>
      <w:r w:rsidRPr="00720D91">
        <w:rPr>
          <w:rFonts w:ascii="Arial" w:hAnsi="Arial" w:cs="Arial"/>
          <w:sz w:val="22"/>
          <w:szCs w:val="22"/>
        </w:rPr>
        <w:t xml:space="preserve"> Le chef de délégation peut prendre des dispositions particulières pour que des témoins, des experts ou d'autres personnes soient entendus en l'absence des parties lorsque cela est nécessaire à la bonne administration de la justice.</w:t>
      </w:r>
      <w:r w:rsidRPr="00720D91">
        <w:rPr>
          <w:rStyle w:val="FootnoteReference"/>
          <w:rFonts w:ascii="Arial" w:hAnsi="Arial" w:cs="Arial"/>
          <w:sz w:val="22"/>
          <w:szCs w:val="22"/>
        </w:rPr>
        <w:footnoteReference w:id="191"/>
      </w:r>
      <w:r w:rsidRPr="00720D91">
        <w:rPr>
          <w:rFonts w:ascii="Arial" w:hAnsi="Arial" w:cs="Arial"/>
          <w:sz w:val="22"/>
          <w:szCs w:val="22"/>
        </w:rPr>
        <w:t xml:space="preserve"> Par exemple, dans l'affaire </w:t>
      </w:r>
      <w:r w:rsidRPr="00720D91">
        <w:rPr>
          <w:rFonts w:ascii="Arial" w:hAnsi="Arial" w:cs="Arial"/>
          <w:i/>
          <w:sz w:val="22"/>
          <w:szCs w:val="22"/>
        </w:rPr>
        <w:t>Chypre c. Turquie</w:t>
      </w:r>
      <w:r w:rsidRPr="00720D91">
        <w:rPr>
          <w:rFonts w:ascii="Arial" w:hAnsi="Arial" w:cs="Arial"/>
          <w:sz w:val="22"/>
          <w:szCs w:val="22"/>
        </w:rPr>
        <w:t xml:space="preserve">, </w:t>
      </w:r>
      <w:r w:rsidRPr="00720D91">
        <w:rPr>
          <w:rFonts w:ascii="Arial" w:hAnsi="Arial" w:cs="Arial"/>
          <w:i/>
          <w:sz w:val="22"/>
          <w:szCs w:val="22"/>
        </w:rPr>
        <w:t xml:space="preserve">un </w:t>
      </w:r>
      <w:r w:rsidRPr="00720D91">
        <w:rPr>
          <w:rFonts w:ascii="Arial" w:hAnsi="Arial" w:cs="Arial"/>
          <w:sz w:val="22"/>
          <w:szCs w:val="22"/>
        </w:rPr>
        <w:t xml:space="preserve">certain nombre de témoins ont été interrogés uniquement par des membres de la délégation de la Commission, sans que leur identité soit révélée pour des raisons de sécurité. Par la suite, dans son appréciation, la Cour a établi que la Commission avait pris les mesures nécessaires pour que l'obtention de preuves auprès de témoins non identifiés soit conforme aux exigences d'équité de l'article 6 de la Convention. Il a été noté que l'État défendeur pouvait suffisamment participer à la procédure, commenter les preuves recueillies et présenter des contre-preuves, même si cette approche a été critiquée par l'État défendeur en question. </w:t>
      </w:r>
      <w:r w:rsidRPr="00720D91">
        <w:rPr>
          <w:rStyle w:val="FootnoteReference"/>
          <w:rFonts w:ascii="Arial" w:hAnsi="Arial" w:cs="Arial"/>
          <w:sz w:val="22"/>
          <w:szCs w:val="22"/>
        </w:rPr>
        <w:footnoteReference w:id="192"/>
      </w:r>
    </w:p>
    <w:p w14:paraId="640D0107" w14:textId="77777777" w:rsidR="00F331F8" w:rsidRPr="00720D91" w:rsidRDefault="00F331F8" w:rsidP="00971933">
      <w:pPr>
        <w:pStyle w:val="NoSpacing"/>
        <w:rPr>
          <w:sz w:val="22"/>
          <w:szCs w:val="22"/>
        </w:rPr>
      </w:pPr>
    </w:p>
    <w:p w14:paraId="61ED6014" w14:textId="21087578" w:rsidR="00F331F8" w:rsidRPr="00F331F8" w:rsidRDefault="00F331F8" w:rsidP="00971933">
      <w:pPr>
        <w:spacing w:after="240" w:line="240" w:lineRule="auto"/>
        <w:ind w:firstLine="426"/>
        <w:jc w:val="both"/>
        <w:rPr>
          <w:rFonts w:ascii="Arial" w:hAnsi="Arial" w:cs="Arial"/>
          <w:lang w:val="fr-FR"/>
        </w:rPr>
      </w:pPr>
      <w:r w:rsidRPr="00F331F8">
        <w:rPr>
          <w:rFonts w:ascii="Arial" w:hAnsi="Arial" w:cs="Arial"/>
          <w:lang w:val="fr-FR"/>
        </w:rPr>
        <w:t>10</w:t>
      </w:r>
      <w:r w:rsidR="00F240BE">
        <w:rPr>
          <w:rFonts w:ascii="Arial" w:hAnsi="Arial" w:cs="Arial"/>
          <w:lang w:val="fr-FR"/>
        </w:rPr>
        <w:t>4</w:t>
      </w:r>
      <w:r w:rsidRPr="00F331F8">
        <w:rPr>
          <w:rFonts w:ascii="Arial" w:hAnsi="Arial" w:cs="Arial"/>
          <w:lang w:val="fr-FR"/>
        </w:rPr>
        <w:t xml:space="preserve">. La non-comparution des témoins devant la </w:t>
      </w:r>
      <w:r w:rsidRPr="00F331F8">
        <w:rPr>
          <w:rFonts w:ascii="Arial" w:hAnsi="Arial" w:cs="Arial"/>
          <w:shd w:val="clear" w:color="auto" w:fill="FFFFFF" w:themeFill="background1"/>
          <w:lang w:val="fr-FR"/>
        </w:rPr>
        <w:t>Cour a été considérée comme l'un</w:t>
      </w:r>
      <w:r w:rsidRPr="00F331F8">
        <w:rPr>
          <w:rFonts w:ascii="Arial" w:hAnsi="Arial" w:cs="Arial"/>
          <w:lang w:val="fr-FR"/>
        </w:rPr>
        <w:t xml:space="preserve"> des problèmes les plus importants rencontrés lors des audiences d'établissement des faits. Dans certains cas, les témoins n'ont pas répondu aux convocations de la Cour, sont tombés malades ou les États n'ont pas localisé et convoqué les témoins résidant sur leur territoire (concernant l'obligation des États à cet égard, voir l'article A5 § 4 de l'annexe au règlement de la Cour).</w:t>
      </w:r>
      <w:r w:rsidRPr="00720D91">
        <w:rPr>
          <w:rStyle w:val="FootnoteReference"/>
          <w:rFonts w:ascii="Arial" w:hAnsi="Arial" w:cs="Arial"/>
        </w:rPr>
        <w:footnoteReference w:id="193"/>
      </w:r>
      <w:r w:rsidRPr="00F331F8">
        <w:rPr>
          <w:rFonts w:ascii="Arial" w:hAnsi="Arial" w:cs="Arial"/>
          <w:lang w:val="fr-FR"/>
        </w:rPr>
        <w:t xml:space="preserve"> Une étude de la fonction d'établissement des faits de la Cour, fondée sur des entretiens avec des membres concernés du greffe, a suggéré qu' « il existe des distinctions claires entre les raisons de la non-comparution des témoins des requérants et des témoins des États. Les raisons pour lesquelles les témoins des requérants ne se présentent pas sont généralement liées à des questions de peur et de pression, alors que les explications de la non-comparution </w:t>
      </w:r>
      <w:r w:rsidRPr="00F331F8">
        <w:rPr>
          <w:rFonts w:ascii="Arial" w:hAnsi="Arial" w:cs="Arial"/>
          <w:lang w:val="fr-FR"/>
        </w:rPr>
        <w:lastRenderedPageBreak/>
        <w:t>des témoins de l'État sont plus diverses ».</w:t>
      </w:r>
      <w:r w:rsidRPr="00720D91">
        <w:rPr>
          <w:rStyle w:val="FootnoteReference"/>
          <w:rFonts w:ascii="Arial" w:hAnsi="Arial" w:cs="Arial"/>
        </w:rPr>
        <w:footnoteReference w:id="194"/>
      </w:r>
      <w:r w:rsidRPr="00F331F8">
        <w:rPr>
          <w:rFonts w:ascii="Arial" w:hAnsi="Arial" w:cs="Arial"/>
          <w:lang w:val="fr-FR"/>
        </w:rPr>
        <w:t xml:space="preserve"> En revanche, la Cour ne dispose d'aucun moyen pour contraindre les témoins à assister à ses audiences. </w:t>
      </w:r>
    </w:p>
    <w:p w14:paraId="6A8BC6BD" w14:textId="01279B2F" w:rsidR="00F331F8" w:rsidRPr="00F331F8" w:rsidRDefault="00F331F8" w:rsidP="00971933">
      <w:pPr>
        <w:spacing w:after="240" w:line="240" w:lineRule="auto"/>
        <w:ind w:firstLine="426"/>
        <w:jc w:val="both"/>
        <w:rPr>
          <w:rFonts w:ascii="Arial" w:hAnsi="Arial" w:cs="Arial"/>
          <w:lang w:val="fr-FR"/>
        </w:rPr>
      </w:pPr>
      <w:r w:rsidRPr="00F331F8">
        <w:rPr>
          <w:rFonts w:ascii="Arial" w:hAnsi="Arial" w:cs="Arial"/>
          <w:lang w:val="fr-FR"/>
        </w:rPr>
        <w:t>10</w:t>
      </w:r>
      <w:r w:rsidR="00F240BE">
        <w:rPr>
          <w:rFonts w:ascii="Arial" w:hAnsi="Arial" w:cs="Arial"/>
          <w:lang w:val="fr-FR"/>
        </w:rPr>
        <w:t>5</w:t>
      </w:r>
      <w:r w:rsidRPr="00F331F8">
        <w:rPr>
          <w:rFonts w:ascii="Arial" w:hAnsi="Arial" w:cs="Arial"/>
          <w:lang w:val="fr-FR"/>
        </w:rPr>
        <w:t>. Néanmoins, la Cour tire ses propres conclusions lorsque des témoins, notamment ceux qui sont fonctionnaires de police ou procureurs, ne se présentent pas. La Cour considère que l'engagement pris par les États parties en vertu de l'article 38 de fournir toutes les facilités nécessaires à la conduite efficace des enquêtes de la Cour comprend l'identification, la localisation et l'assurance de la présence des témoins.</w:t>
      </w:r>
      <w:r w:rsidRPr="00720D91">
        <w:rPr>
          <w:rStyle w:val="FootnoteReference"/>
          <w:rFonts w:ascii="Arial" w:hAnsi="Arial" w:cs="Arial"/>
        </w:rPr>
        <w:footnoteReference w:id="195"/>
      </w:r>
      <w:r w:rsidRPr="00F331F8">
        <w:rPr>
          <w:rFonts w:ascii="Arial" w:hAnsi="Arial" w:cs="Arial"/>
          <w:lang w:val="fr-FR"/>
        </w:rPr>
        <w:t xml:space="preserve"> Par conséquent, la Cour a pris l'habitude de demander aux gouvernements défendeurs de justifier la non-présence des témoins qu'elle a sollicités. A cet égard, la Cour peut tirer des conclusions quant au respect par l'État défendeur de ses obligations au titre de l'article 38 de la Convention.</w:t>
      </w:r>
      <w:r w:rsidRPr="00720D91">
        <w:rPr>
          <w:rStyle w:val="FootnoteReference"/>
          <w:rFonts w:ascii="Arial" w:hAnsi="Arial" w:cs="Arial"/>
        </w:rPr>
        <w:footnoteReference w:id="196"/>
      </w:r>
      <w:r w:rsidRPr="00F331F8">
        <w:rPr>
          <w:rFonts w:ascii="Arial" w:hAnsi="Arial" w:cs="Arial"/>
          <w:lang w:val="fr-FR"/>
        </w:rPr>
        <w:t xml:space="preserve"> En outre, la Cour peut tirer des conclusions du comportement d'un gouvernement défendeur qui n'avance aucune explication, ou aucune explication convaincante, pour justifier ses retards et omissions en réponse aux demandes de témoins de la Cour. </w:t>
      </w:r>
      <w:r w:rsidRPr="00720D91">
        <w:rPr>
          <w:rStyle w:val="FootnoteReference"/>
          <w:rFonts w:ascii="Arial" w:hAnsi="Arial" w:cs="Arial"/>
        </w:rPr>
        <w:footnoteReference w:id="197"/>
      </w:r>
      <w:r w:rsidRPr="00F331F8">
        <w:rPr>
          <w:rFonts w:ascii="Arial" w:hAnsi="Arial" w:cs="Arial"/>
          <w:lang w:val="fr-FR"/>
        </w:rPr>
        <w:t xml:space="preserve"> Cette pratique est reflétée dans le Règlement de la Cour qui prévoit que lorsqu'une partie s'abstient de produire des éléments de preuve ou de fournir des informations demandées par la Cour ou de divulguer d'office des informations pertinentes ou s'abstient de toute autre manière de participer effectivement à la procédure, la Cour peut tirer les conclusions qu'elle juge appropriées. </w:t>
      </w:r>
      <w:r w:rsidRPr="00720D91">
        <w:rPr>
          <w:rStyle w:val="FootnoteReference"/>
          <w:rFonts w:ascii="Arial" w:hAnsi="Arial" w:cs="Arial"/>
        </w:rPr>
        <w:footnoteReference w:id="198"/>
      </w:r>
    </w:p>
    <w:p w14:paraId="0F543AF2" w14:textId="27D36560" w:rsidR="00F331F8" w:rsidRPr="00F331F8" w:rsidRDefault="00F331F8" w:rsidP="00971933">
      <w:pPr>
        <w:spacing w:after="240" w:line="240" w:lineRule="auto"/>
        <w:ind w:firstLine="426"/>
        <w:jc w:val="both"/>
        <w:rPr>
          <w:rFonts w:ascii="Arial" w:hAnsi="Arial" w:cs="Arial"/>
          <w:lang w:val="fr-FR"/>
        </w:rPr>
      </w:pPr>
      <w:r w:rsidRPr="00F331F8">
        <w:rPr>
          <w:rFonts w:ascii="Arial" w:hAnsi="Arial" w:cs="Arial"/>
          <w:lang w:val="fr-FR"/>
        </w:rPr>
        <w:t>10</w:t>
      </w:r>
      <w:r w:rsidR="00F240BE">
        <w:rPr>
          <w:rFonts w:ascii="Arial" w:hAnsi="Arial" w:cs="Arial"/>
          <w:lang w:val="fr-FR"/>
        </w:rPr>
        <w:t>6</w:t>
      </w:r>
      <w:r w:rsidRPr="00F331F8">
        <w:rPr>
          <w:rFonts w:ascii="Arial" w:hAnsi="Arial" w:cs="Arial"/>
          <w:lang w:val="fr-FR"/>
        </w:rPr>
        <w:t xml:space="preserve">. Le Règlement de la Cour ne prévoit pas explicitement l'audition de témoins par le biais d'une participation à distance ou de moyens informatiques. Cette méthode pourrait en effet présenter des avantages en termes de coût-efficacité. L'opportunité et la faisabilité d'organiser les auditions de témoins de cette manière méritent une réflexion plus approfondie. </w:t>
      </w:r>
    </w:p>
    <w:p w14:paraId="4106F608" w14:textId="77777777" w:rsidR="00F331F8" w:rsidRPr="00720D91" w:rsidRDefault="00F331F8" w:rsidP="00971933">
      <w:pPr>
        <w:pStyle w:val="Heading3"/>
        <w:spacing w:line="240" w:lineRule="auto"/>
        <w:ind w:left="720"/>
        <w:rPr>
          <w:rFonts w:ascii="Arial" w:hAnsi="Arial" w:cs="Arial"/>
          <w:b w:val="0"/>
          <w:i/>
          <w:color w:val="17365D" w:themeColor="text2" w:themeShade="BF"/>
          <w:lang w:val="fr-FR"/>
        </w:rPr>
      </w:pPr>
      <w:bookmarkStart w:id="57" w:name="_Toc86329791"/>
      <w:r w:rsidRPr="00720D91">
        <w:rPr>
          <w:rFonts w:ascii="Arial" w:hAnsi="Arial" w:cs="Arial"/>
          <w:b w:val="0"/>
          <w:i/>
          <w:color w:val="17365D" w:themeColor="text2" w:themeShade="BF"/>
          <w:lang w:val="fr-FR"/>
        </w:rPr>
        <w:t>4.3. Enquêtes sur place</w:t>
      </w:r>
      <w:bookmarkEnd w:id="57"/>
      <w:r w:rsidRPr="00720D91">
        <w:rPr>
          <w:rFonts w:ascii="Arial" w:hAnsi="Arial" w:cs="Arial"/>
          <w:b w:val="0"/>
          <w:i/>
          <w:color w:val="17365D" w:themeColor="text2" w:themeShade="BF"/>
          <w:lang w:val="fr-FR"/>
        </w:rPr>
        <w:t xml:space="preserve"> </w:t>
      </w:r>
    </w:p>
    <w:p w14:paraId="431967E6" w14:textId="77777777" w:rsidR="00F331F8" w:rsidRPr="00F331F8" w:rsidRDefault="00F331F8" w:rsidP="00971933">
      <w:pPr>
        <w:autoSpaceDE w:val="0"/>
        <w:autoSpaceDN w:val="0"/>
        <w:adjustRightInd w:val="0"/>
        <w:spacing w:line="240" w:lineRule="auto"/>
        <w:rPr>
          <w:rFonts w:ascii="Arial" w:hAnsi="Arial" w:cs="Arial"/>
          <w:lang w:val="fr-FR"/>
        </w:rPr>
      </w:pPr>
    </w:p>
    <w:p w14:paraId="40B3B7F9" w14:textId="2D55BBA0" w:rsidR="00F331F8" w:rsidRPr="00F331F8" w:rsidRDefault="00F331F8" w:rsidP="00971933">
      <w:pPr>
        <w:autoSpaceDE w:val="0"/>
        <w:autoSpaceDN w:val="0"/>
        <w:adjustRightInd w:val="0"/>
        <w:spacing w:line="240" w:lineRule="auto"/>
        <w:ind w:firstLine="284"/>
        <w:jc w:val="both"/>
        <w:rPr>
          <w:rFonts w:ascii="Arial" w:hAnsi="Arial" w:cs="Arial"/>
          <w:lang w:val="fr-FR"/>
        </w:rPr>
      </w:pPr>
      <w:r w:rsidRPr="00F331F8">
        <w:rPr>
          <w:rFonts w:ascii="Arial" w:hAnsi="Arial" w:cs="Arial"/>
          <w:lang w:val="fr-FR"/>
        </w:rPr>
        <w:t>10</w:t>
      </w:r>
      <w:r w:rsidR="00F240BE">
        <w:rPr>
          <w:rFonts w:ascii="Arial" w:hAnsi="Arial" w:cs="Arial"/>
          <w:lang w:val="fr-FR"/>
        </w:rPr>
        <w:t>7</w:t>
      </w:r>
      <w:r w:rsidRPr="00F331F8">
        <w:rPr>
          <w:rFonts w:ascii="Arial" w:hAnsi="Arial" w:cs="Arial"/>
          <w:lang w:val="fr-FR"/>
        </w:rPr>
        <w:t xml:space="preserve">. Les institutions de la Convention ont effectué des enquêtes sur place concernant des requêtes interétatiques dans des affaires limitées, qui remontent tous à la période antérieure au Protocole 11. Par exemple, dans l'affaire </w:t>
      </w:r>
      <w:r w:rsidRPr="00F331F8">
        <w:rPr>
          <w:rFonts w:ascii="Arial" w:hAnsi="Arial" w:cs="Arial"/>
          <w:i/>
          <w:iCs/>
          <w:lang w:val="fr-FR"/>
        </w:rPr>
        <w:t>Danemark, Norvège, Suède et Pays-Bas c. Grèce</w:t>
      </w:r>
      <w:r w:rsidRPr="00720D91">
        <w:rPr>
          <w:rStyle w:val="FootnoteReference"/>
          <w:rFonts w:ascii="Arial" w:hAnsi="Arial" w:cs="Arial"/>
        </w:rPr>
        <w:footnoteReference w:id="199"/>
      </w:r>
      <w:r w:rsidRPr="00F331F8">
        <w:rPr>
          <w:rFonts w:ascii="Arial" w:hAnsi="Arial" w:cs="Arial"/>
          <w:lang w:val="fr-FR"/>
        </w:rPr>
        <w:t xml:space="preserve">, qui a donné lieu à une enquête approfondie de la part de la Commission, le rapport final contenait plus de 1000 pages. En outre, dans l'affaire </w:t>
      </w:r>
      <w:r w:rsidRPr="00F331F8">
        <w:rPr>
          <w:rFonts w:ascii="Arial" w:hAnsi="Arial" w:cs="Arial"/>
          <w:i/>
          <w:iCs/>
          <w:lang w:val="fr-FR"/>
        </w:rPr>
        <w:t>Irlande contre Royaume-Uni</w:t>
      </w:r>
      <w:r w:rsidRPr="00F331F8">
        <w:rPr>
          <w:rFonts w:ascii="Arial" w:hAnsi="Arial" w:cs="Arial"/>
          <w:lang w:val="fr-FR"/>
        </w:rPr>
        <w:t xml:space="preserve">, la Commission a beaucoup investi dans l'établissement des faits, recueillant des témoignages en divers endroits. De même, dans l'affaire </w:t>
      </w:r>
      <w:r w:rsidRPr="00F331F8">
        <w:rPr>
          <w:rFonts w:ascii="Arial" w:hAnsi="Arial" w:cs="Arial"/>
          <w:i/>
          <w:iCs/>
          <w:lang w:val="fr-FR"/>
        </w:rPr>
        <w:t>Chypre c. Turquie</w:t>
      </w:r>
      <w:r w:rsidRPr="00F331F8">
        <w:rPr>
          <w:rFonts w:ascii="Arial" w:hAnsi="Arial" w:cs="Arial"/>
          <w:lang w:val="fr-FR"/>
        </w:rPr>
        <w:t>, la Commission a mené une audience d'établissement des faits et des enquêtes sur place sur des questions liées au contrôle effectif et à la juridiction dans la partie nord de Chypre</w:t>
      </w:r>
      <w:r w:rsidRPr="00720D91">
        <w:rPr>
          <w:rStyle w:val="FootnoteReference"/>
          <w:rFonts w:ascii="Arial" w:hAnsi="Arial" w:cs="Arial"/>
        </w:rPr>
        <w:footnoteReference w:id="200"/>
      </w:r>
      <w:r w:rsidRPr="00F331F8">
        <w:rPr>
          <w:rFonts w:ascii="Arial" w:hAnsi="Arial" w:cs="Arial"/>
          <w:lang w:val="fr-FR"/>
        </w:rPr>
        <w:t xml:space="preserve">. Depuis l'entrée en vigueur du Protocole 11, la Cour n'a pas effectué de missions d'enquête mais a plutôt procédé à des auditions de témoins qui ont eu lieu à Strasbourg (Géorgie c. Russie (I) et (II). La tendance de la Cour à ne pas effectuer de missions d'enquête serait principalement liée à des facteurs de coût et de temps ; l'augmentation de la charge de travail de la Cour et la longueur des </w:t>
      </w:r>
      <w:r w:rsidRPr="00F331F8">
        <w:rPr>
          <w:rFonts w:ascii="Arial" w:hAnsi="Arial" w:cs="Arial"/>
          <w:lang w:val="fr-FR"/>
        </w:rPr>
        <w:lastRenderedPageBreak/>
        <w:t>procédures ont apparemment une incidence sur la possibilité d'effectuer des audiences d'enquête dans toutes les affaires dans lesquelles elles seraient autrement justifiées.</w:t>
      </w:r>
      <w:r w:rsidRPr="00720D91">
        <w:rPr>
          <w:rStyle w:val="FootnoteReference"/>
          <w:rFonts w:ascii="Arial" w:hAnsi="Arial" w:cs="Arial"/>
        </w:rPr>
        <w:footnoteReference w:id="201"/>
      </w:r>
    </w:p>
    <w:p w14:paraId="732AA19F" w14:textId="53217EFE" w:rsidR="00F331F8" w:rsidRPr="00F331F8" w:rsidRDefault="00F331F8" w:rsidP="00971933">
      <w:pPr>
        <w:autoSpaceDE w:val="0"/>
        <w:autoSpaceDN w:val="0"/>
        <w:adjustRightInd w:val="0"/>
        <w:spacing w:line="240" w:lineRule="auto"/>
        <w:ind w:firstLine="284"/>
        <w:jc w:val="both"/>
        <w:rPr>
          <w:rFonts w:ascii="Arial" w:hAnsi="Arial" w:cs="Arial"/>
          <w:lang w:val="fr-FR"/>
        </w:rPr>
      </w:pPr>
      <w:r w:rsidRPr="00F331F8">
        <w:rPr>
          <w:rFonts w:ascii="Arial" w:hAnsi="Arial" w:cs="Arial"/>
          <w:lang w:val="fr-FR"/>
        </w:rPr>
        <w:t>10</w:t>
      </w:r>
      <w:r w:rsidR="00F240BE">
        <w:rPr>
          <w:rFonts w:ascii="Arial" w:hAnsi="Arial" w:cs="Arial"/>
          <w:lang w:val="fr-FR"/>
        </w:rPr>
        <w:t>8</w:t>
      </w:r>
      <w:r w:rsidRPr="00F331F8">
        <w:rPr>
          <w:rFonts w:ascii="Arial" w:hAnsi="Arial" w:cs="Arial"/>
          <w:lang w:val="fr-FR"/>
        </w:rPr>
        <w:t xml:space="preserve">. Les enquêtes sur place jouent un rôle crucial dans certaines affaires, notamment lorsque les faits n'ont pas été établis par les juridictions </w:t>
      </w:r>
      <w:r w:rsidRPr="00F331F8">
        <w:rPr>
          <w:rFonts w:ascii="Arial" w:hAnsi="Arial" w:cs="Arial"/>
          <w:shd w:val="clear" w:color="auto" w:fill="FFFFFF" w:themeFill="background1"/>
          <w:lang w:val="fr-FR"/>
        </w:rPr>
        <w:t>internes. Cependant, elles sont incontestablement coûteuses et prennent du temps à la Cour. En outre, l'opportunité de missions d'enquête lorsque l'événement en question a eu lieu de nombreuses années auparavant ont</w:t>
      </w:r>
      <w:r w:rsidRPr="00F331F8">
        <w:rPr>
          <w:rFonts w:ascii="Arial" w:hAnsi="Arial" w:cs="Arial"/>
          <w:lang w:val="fr-FR"/>
        </w:rPr>
        <w:t xml:space="preserve"> été soulevées comme un problème potentiel.</w:t>
      </w:r>
    </w:p>
    <w:p w14:paraId="73EC1D75" w14:textId="0F9AB7CF" w:rsidR="00F331F8" w:rsidRPr="00F331F8" w:rsidRDefault="00F331F8" w:rsidP="00971933">
      <w:pPr>
        <w:autoSpaceDE w:val="0"/>
        <w:autoSpaceDN w:val="0"/>
        <w:adjustRightInd w:val="0"/>
        <w:spacing w:line="240" w:lineRule="auto"/>
        <w:ind w:firstLine="284"/>
        <w:jc w:val="both"/>
        <w:rPr>
          <w:rFonts w:ascii="Arial" w:hAnsi="Arial" w:cs="Arial"/>
          <w:lang w:val="fr-FR"/>
        </w:rPr>
      </w:pPr>
      <w:r w:rsidRPr="00F331F8">
        <w:rPr>
          <w:rFonts w:ascii="Arial" w:hAnsi="Arial" w:cs="Arial"/>
          <w:lang w:val="fr-FR"/>
        </w:rPr>
        <w:t>10</w:t>
      </w:r>
      <w:r w:rsidR="00F240BE">
        <w:rPr>
          <w:rFonts w:ascii="Arial" w:hAnsi="Arial" w:cs="Arial"/>
          <w:lang w:val="fr-FR"/>
        </w:rPr>
        <w:t>9</w:t>
      </w:r>
      <w:r w:rsidRPr="00F331F8">
        <w:rPr>
          <w:rFonts w:ascii="Arial" w:hAnsi="Arial" w:cs="Arial"/>
          <w:lang w:val="fr-FR"/>
        </w:rPr>
        <w:t>. L'efficacité des enquêtes sur place dépend dans une large mesure de la pleine coopération de l'État défendeur. Certaines des difficultés qui sont apparues dans le contexte des enquêtes sur place sont liées à la réticence, et parfois au refus, des autorités de l'État défendeur d'assurer l'accès de la délégation de la Cour au territoire</w:t>
      </w:r>
      <w:r w:rsidRPr="00720D91">
        <w:rPr>
          <w:rStyle w:val="FootnoteReference"/>
          <w:rFonts w:ascii="Arial" w:hAnsi="Arial" w:cs="Arial"/>
        </w:rPr>
        <w:footnoteReference w:id="202"/>
      </w:r>
      <w:r w:rsidRPr="00F331F8">
        <w:rPr>
          <w:rFonts w:ascii="Arial" w:hAnsi="Arial" w:cs="Arial"/>
          <w:lang w:val="fr-FR"/>
        </w:rPr>
        <w:t xml:space="preserve"> ou aux locaux pertinents pour l'affaire.</w:t>
      </w:r>
      <w:r w:rsidRPr="00720D91">
        <w:rPr>
          <w:rStyle w:val="FootnoteReference"/>
          <w:rFonts w:ascii="Arial" w:hAnsi="Arial" w:cs="Arial"/>
        </w:rPr>
        <w:footnoteReference w:id="203"/>
      </w:r>
      <w:r w:rsidRPr="00F331F8">
        <w:rPr>
          <w:rFonts w:ascii="Arial" w:hAnsi="Arial" w:cs="Arial"/>
          <w:lang w:val="fr-FR"/>
        </w:rPr>
        <w:t xml:space="preserve"> Conformément à l'article A1 (1) du Règlement, la Cour peut décider d'office d'effectuer une mission d'enquête et n'a donc pas besoin d'obtenir le consentement de l'État concerné. L'efficacité de l'enquête peut toutefois être compromise dans la pratique si l'État défendeur n'est pas disposé à coopérer. Il est arrivé que la Cour doive renoncer à une mission d'enquête prévue lorsqu'elle n'a pas pu persuader l'État défendeur d'adopter une attitude plus coopérative. Dans de tels cas, la Cour a plutôt procédé à la préparation de l'arrêt sur la base des éléments de preuve dont elle disposait. </w:t>
      </w:r>
      <w:r w:rsidRPr="00720D91">
        <w:rPr>
          <w:rStyle w:val="FootnoteReference"/>
          <w:rFonts w:ascii="Arial" w:hAnsi="Arial" w:cs="Arial"/>
        </w:rPr>
        <w:footnoteReference w:id="204"/>
      </w:r>
    </w:p>
    <w:p w14:paraId="73699EE2" w14:textId="7C4EAA19" w:rsidR="00F331F8" w:rsidRPr="00F331F8" w:rsidRDefault="00F331F8" w:rsidP="00971933">
      <w:pPr>
        <w:autoSpaceDE w:val="0"/>
        <w:autoSpaceDN w:val="0"/>
        <w:adjustRightInd w:val="0"/>
        <w:spacing w:line="240" w:lineRule="auto"/>
        <w:ind w:firstLine="284"/>
        <w:jc w:val="both"/>
        <w:rPr>
          <w:rFonts w:ascii="Arial" w:hAnsi="Arial" w:cs="Arial"/>
          <w:lang w:val="fr-FR"/>
        </w:rPr>
      </w:pPr>
      <w:r w:rsidRPr="00F331F8">
        <w:rPr>
          <w:rFonts w:ascii="Arial" w:hAnsi="Arial" w:cs="Arial"/>
          <w:lang w:val="fr-FR"/>
        </w:rPr>
        <w:t>1</w:t>
      </w:r>
      <w:r w:rsidR="00F240BE">
        <w:rPr>
          <w:rFonts w:ascii="Arial" w:hAnsi="Arial" w:cs="Arial"/>
          <w:lang w:val="fr-FR"/>
        </w:rPr>
        <w:t>1</w:t>
      </w:r>
      <w:r w:rsidRPr="00F331F8">
        <w:rPr>
          <w:rFonts w:ascii="Arial" w:hAnsi="Arial" w:cs="Arial"/>
          <w:lang w:val="fr-FR"/>
        </w:rPr>
        <w:t xml:space="preserve">0. </w:t>
      </w:r>
      <w:r w:rsidR="00B41728">
        <w:rPr>
          <w:rFonts w:ascii="Arial" w:hAnsi="Arial" w:cs="Arial"/>
          <w:lang w:val="fr-FR"/>
        </w:rPr>
        <w:t>Sous l’autorité du DH-SYSC, l</w:t>
      </w:r>
      <w:r w:rsidRPr="00F331F8">
        <w:rPr>
          <w:rFonts w:ascii="Arial" w:hAnsi="Arial" w:cs="Arial"/>
          <w:lang w:val="fr-FR"/>
        </w:rPr>
        <w:t xml:space="preserve">e DH-SYSC-IV continuera à se pencher sur la question de savoir s'il est possible et/ou souhaitable que des missions d'enquête soient organisées par la Cour dans les affaires interétatiques et sur l'application des obligations des Etats parties en vertu de l'article 38 dans ce contexte. </w:t>
      </w:r>
    </w:p>
    <w:p w14:paraId="3601426E" w14:textId="77777777" w:rsidR="00F331F8" w:rsidRPr="00F240BE" w:rsidRDefault="00F331F8" w:rsidP="00971933">
      <w:pPr>
        <w:pStyle w:val="Heading1"/>
        <w:spacing w:line="240" w:lineRule="auto"/>
        <w:ind w:firstLine="284"/>
        <w:jc w:val="both"/>
        <w:rPr>
          <w:rFonts w:ascii="Arial" w:hAnsi="Arial" w:cs="Arial"/>
          <w:lang w:val="fr-FR"/>
        </w:rPr>
      </w:pPr>
      <w:bookmarkStart w:id="58" w:name="_Toc29388094"/>
      <w:bookmarkStart w:id="59" w:name="_Toc29388173"/>
      <w:bookmarkStart w:id="60" w:name="_Toc29388254"/>
      <w:bookmarkStart w:id="61" w:name="_Toc29396138"/>
      <w:bookmarkStart w:id="62" w:name="_Toc29464714"/>
      <w:bookmarkStart w:id="63" w:name="_Toc29464742"/>
      <w:bookmarkStart w:id="64" w:name="_Toc29388099"/>
      <w:bookmarkStart w:id="65" w:name="_Toc29388178"/>
      <w:bookmarkStart w:id="66" w:name="_Toc29388259"/>
      <w:bookmarkStart w:id="67" w:name="_Toc29396143"/>
      <w:bookmarkStart w:id="68" w:name="_Toc29464719"/>
      <w:bookmarkStart w:id="69" w:name="_Toc29464747"/>
      <w:bookmarkStart w:id="70" w:name="_Toc29388100"/>
      <w:bookmarkStart w:id="71" w:name="_Toc29388179"/>
      <w:bookmarkStart w:id="72" w:name="_Toc29388260"/>
      <w:bookmarkStart w:id="73" w:name="_Toc29396144"/>
      <w:bookmarkStart w:id="74" w:name="_Toc29464720"/>
      <w:bookmarkStart w:id="75" w:name="_Toc29464748"/>
      <w:bookmarkStart w:id="76" w:name="_Toc36049248"/>
      <w:bookmarkStart w:id="77" w:name="_Toc86329792"/>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F240BE">
        <w:rPr>
          <w:rFonts w:ascii="Arial" w:hAnsi="Arial" w:cs="Arial"/>
          <w:lang w:val="fr-FR"/>
        </w:rPr>
        <w:t xml:space="preserve">VII. </w:t>
      </w:r>
      <w:bookmarkEnd w:id="76"/>
      <w:r w:rsidRPr="00F240BE">
        <w:rPr>
          <w:rFonts w:ascii="Arial" w:hAnsi="Arial" w:cs="Arial"/>
          <w:lang w:val="fr-FR"/>
        </w:rPr>
        <w:t>LA SATISFACTION ÉQUITABLE DANS LES AFFAIRES INTERÉTATIQUES</w:t>
      </w:r>
      <w:bookmarkEnd w:id="77"/>
      <w:r w:rsidRPr="00F240BE">
        <w:rPr>
          <w:rFonts w:ascii="Arial" w:hAnsi="Arial" w:cs="Arial"/>
          <w:lang w:val="fr-FR"/>
        </w:rPr>
        <w:t xml:space="preserve"> </w:t>
      </w:r>
    </w:p>
    <w:p w14:paraId="695E5963" w14:textId="77777777" w:rsidR="00F331F8" w:rsidRPr="00720D91" w:rsidRDefault="00F331F8" w:rsidP="00971933">
      <w:pPr>
        <w:pStyle w:val="NoSpacing"/>
        <w:rPr>
          <w:sz w:val="22"/>
          <w:szCs w:val="22"/>
        </w:rPr>
      </w:pPr>
    </w:p>
    <w:p w14:paraId="63982C97" w14:textId="38EA72A1" w:rsidR="00F331F8" w:rsidRPr="00F331F8" w:rsidRDefault="00F331F8" w:rsidP="00971933">
      <w:pPr>
        <w:spacing w:after="240" w:line="240" w:lineRule="auto"/>
        <w:ind w:firstLine="426"/>
        <w:jc w:val="both"/>
        <w:rPr>
          <w:rStyle w:val="sb8d990e2"/>
          <w:rFonts w:ascii="Arial" w:eastAsiaTheme="majorEastAsia" w:hAnsi="Arial" w:cs="Arial"/>
          <w:lang w:val="fr-FR"/>
        </w:rPr>
      </w:pPr>
      <w:r w:rsidRPr="00394753">
        <w:rPr>
          <w:rFonts w:ascii="Arial" w:hAnsi="Arial" w:cs="Arial"/>
          <w:lang w:val="fr-FR"/>
        </w:rPr>
        <w:t>1</w:t>
      </w:r>
      <w:r w:rsidR="00394753">
        <w:rPr>
          <w:rFonts w:ascii="Arial" w:hAnsi="Arial" w:cs="Arial"/>
          <w:lang w:val="fr-FR"/>
        </w:rPr>
        <w:t>1</w:t>
      </w:r>
      <w:r w:rsidR="00F240BE">
        <w:rPr>
          <w:rFonts w:ascii="Arial" w:hAnsi="Arial" w:cs="Arial"/>
          <w:lang w:val="fr-FR"/>
        </w:rPr>
        <w:t>1</w:t>
      </w:r>
      <w:r w:rsidRPr="00394753">
        <w:rPr>
          <w:rFonts w:ascii="Arial" w:hAnsi="Arial" w:cs="Arial"/>
          <w:lang w:val="fr-FR"/>
        </w:rPr>
        <w:t>.</w:t>
      </w:r>
      <w:r w:rsidRPr="00F331F8">
        <w:rPr>
          <w:rFonts w:ascii="Arial" w:hAnsi="Arial" w:cs="Arial"/>
          <w:lang w:val="fr-FR"/>
        </w:rPr>
        <w:t xml:space="preserve"> L’article 41 de la Convention ne se réfère pas explicitement aux procédures prévues aux articles 33 et 34. En vertu de la jurisprudence de la Cour, l’article 41 s’applique à la fois aux requêtes interétatiques et individuelles. Dans l'affaire </w:t>
      </w:r>
      <w:r w:rsidRPr="00F331F8">
        <w:rPr>
          <w:rFonts w:ascii="Arial" w:hAnsi="Arial" w:cs="Arial"/>
          <w:i/>
          <w:lang w:val="fr-FR"/>
        </w:rPr>
        <w:t>Chypre c. Turquie</w:t>
      </w:r>
      <w:r w:rsidRPr="00720D91">
        <w:rPr>
          <w:rStyle w:val="FootnoteReference"/>
          <w:rFonts w:ascii="Arial" w:hAnsi="Arial" w:cs="Arial"/>
        </w:rPr>
        <w:footnoteReference w:id="205"/>
      </w:r>
      <w:r w:rsidRPr="00F331F8">
        <w:rPr>
          <w:rFonts w:ascii="Arial" w:hAnsi="Arial" w:cs="Arial"/>
          <w:lang w:val="fr-FR"/>
        </w:rPr>
        <w:t xml:space="preserve">, la Cour a, pour la première fois, accordé une satisfaction équitable à des particuliers pour des violations établies sur le fond dans une affaire interétatique. Gardant à l’esprit la nature spécifique de l’article 41 de la Convention en tant que </w:t>
      </w:r>
      <w:r w:rsidRPr="00F331F8">
        <w:rPr>
          <w:rFonts w:ascii="Arial" w:hAnsi="Arial" w:cs="Arial"/>
          <w:i/>
          <w:iCs/>
          <w:lang w:val="fr-FR"/>
        </w:rPr>
        <w:t xml:space="preserve">lex specialis </w:t>
      </w:r>
      <w:r w:rsidRPr="00F331F8">
        <w:rPr>
          <w:rFonts w:ascii="Arial" w:hAnsi="Arial" w:cs="Arial"/>
          <w:lang w:val="fr-FR"/>
        </w:rPr>
        <w:t xml:space="preserve">par rapport aux règles et principes généraux du droit international, la Cour a puisé dans les principes du droit international public </w:t>
      </w:r>
      <w:r w:rsidRPr="00F331F8">
        <w:rPr>
          <w:rStyle w:val="sb8d990e2"/>
          <w:rFonts w:ascii="Arial" w:eastAsiaTheme="majorEastAsia" w:hAnsi="Arial" w:cs="Arial"/>
          <w:lang w:val="fr-FR"/>
        </w:rPr>
        <w:t xml:space="preserve">relatifs à la responsabilité des États, </w:t>
      </w:r>
      <w:r w:rsidRPr="00F331F8">
        <w:rPr>
          <w:rFonts w:ascii="Arial" w:hAnsi="Arial" w:cs="Arial"/>
          <w:lang w:val="fr-FR"/>
        </w:rPr>
        <w:t xml:space="preserve">les </w:t>
      </w:r>
      <w:r w:rsidRPr="00F331F8">
        <w:rPr>
          <w:rFonts w:ascii="Arial" w:hAnsi="Arial" w:cs="Arial"/>
          <w:i/>
          <w:lang w:val="fr-FR"/>
        </w:rPr>
        <w:t xml:space="preserve">travaux préparatoires </w:t>
      </w:r>
      <w:r w:rsidRPr="00F331F8">
        <w:rPr>
          <w:rFonts w:ascii="Arial" w:hAnsi="Arial" w:cs="Arial"/>
          <w:iCs/>
          <w:lang w:val="fr-FR"/>
        </w:rPr>
        <w:t xml:space="preserve">de </w:t>
      </w:r>
      <w:r w:rsidRPr="00F331F8">
        <w:rPr>
          <w:rFonts w:ascii="Arial" w:hAnsi="Arial" w:cs="Arial"/>
          <w:lang w:val="fr-FR"/>
        </w:rPr>
        <w:t xml:space="preserve">la Convention ainsi que le </w:t>
      </w:r>
      <w:r w:rsidRPr="00F331F8">
        <w:rPr>
          <w:rStyle w:val="sb8d990e2"/>
          <w:rFonts w:ascii="Arial" w:eastAsiaTheme="majorEastAsia" w:hAnsi="Arial" w:cs="Arial"/>
          <w:lang w:val="fr-FR"/>
        </w:rPr>
        <w:t>projet d'articles de la Commission du droit international sur la protection diplomatique</w:t>
      </w:r>
      <w:r w:rsidRPr="00F331F8">
        <w:rPr>
          <w:rFonts w:ascii="Arial" w:hAnsi="Arial" w:cs="Arial"/>
          <w:i/>
          <w:lang w:val="fr-FR"/>
        </w:rPr>
        <w:t>.</w:t>
      </w:r>
      <w:r w:rsidRPr="00720D91">
        <w:rPr>
          <w:rStyle w:val="FootnoteReference"/>
          <w:rFonts w:ascii="Arial" w:hAnsi="Arial" w:cs="Arial"/>
        </w:rPr>
        <w:footnoteReference w:id="206"/>
      </w:r>
      <w:r w:rsidRPr="00F331F8">
        <w:rPr>
          <w:rStyle w:val="sb8d990e2"/>
          <w:rFonts w:ascii="Arial" w:eastAsiaTheme="majorEastAsia" w:hAnsi="Arial" w:cs="Arial"/>
          <w:lang w:val="fr-FR"/>
        </w:rPr>
        <w:t xml:space="preserve"> La </w:t>
      </w:r>
      <w:r w:rsidRPr="00F331F8">
        <w:rPr>
          <w:rFonts w:ascii="Arial" w:hAnsi="Arial" w:cs="Arial"/>
          <w:lang w:val="fr-FR"/>
        </w:rPr>
        <w:t>Cour a noté que « </w:t>
      </w:r>
      <w:r w:rsidRPr="00F331F8">
        <w:rPr>
          <w:rStyle w:val="sb8d990e2"/>
          <w:rFonts w:ascii="Arial" w:eastAsiaTheme="majorEastAsia" w:hAnsi="Arial" w:cs="Arial"/>
          <w:lang w:val="fr-FR"/>
        </w:rPr>
        <w:t xml:space="preserve">selon la nature même de la Convention, c'est l'individu, et non l'État, qui est directement ou indirectement lésé et principalement « lésé » par une violation d'un ou plusieurs droits de la </w:t>
      </w:r>
      <w:r w:rsidRPr="00F331F8">
        <w:rPr>
          <w:rStyle w:val="sb8d990e2"/>
          <w:rFonts w:ascii="Arial" w:eastAsiaTheme="majorEastAsia" w:hAnsi="Arial" w:cs="Arial"/>
          <w:lang w:val="fr-FR"/>
        </w:rPr>
        <w:lastRenderedPageBreak/>
        <w:t>Convention. Par conséquent, si une satisfaction équitable est accordée dans une affaire interétatique, elle doit toujours l'être au profit des victimes individuelles ».</w:t>
      </w:r>
      <w:r w:rsidRPr="00720D91">
        <w:rPr>
          <w:rStyle w:val="FootnoteReference"/>
          <w:rFonts w:ascii="Arial" w:hAnsi="Arial" w:cs="Arial"/>
        </w:rPr>
        <w:footnoteReference w:id="207"/>
      </w:r>
      <w:r w:rsidRPr="00F331F8">
        <w:rPr>
          <w:rStyle w:val="sb8d990e2"/>
          <w:rFonts w:ascii="Arial" w:eastAsiaTheme="majorEastAsia" w:hAnsi="Arial" w:cs="Arial"/>
          <w:lang w:val="fr-FR"/>
        </w:rPr>
        <w:t xml:space="preserve"> </w:t>
      </w:r>
    </w:p>
    <w:p w14:paraId="5FF37FD6" w14:textId="47E4C791" w:rsidR="00F331F8" w:rsidRPr="00F331F8" w:rsidRDefault="00F331F8" w:rsidP="00971933">
      <w:pPr>
        <w:spacing w:after="240" w:line="240" w:lineRule="auto"/>
        <w:ind w:firstLine="426"/>
        <w:jc w:val="both"/>
        <w:rPr>
          <w:rFonts w:ascii="Arial" w:hAnsi="Arial" w:cs="Arial"/>
          <w:color w:val="000000"/>
          <w:lang w:val="fr-FR"/>
        </w:rPr>
      </w:pPr>
      <w:r w:rsidRPr="00F331F8">
        <w:rPr>
          <w:rStyle w:val="sb8d990e2"/>
          <w:rFonts w:ascii="Arial" w:eastAsiaTheme="majorEastAsia" w:hAnsi="Arial" w:cs="Arial"/>
          <w:lang w:val="fr-FR"/>
        </w:rPr>
        <w:t>11</w:t>
      </w:r>
      <w:r w:rsidR="00F240BE">
        <w:rPr>
          <w:rStyle w:val="sb8d990e2"/>
          <w:rFonts w:ascii="Arial" w:eastAsiaTheme="majorEastAsia" w:hAnsi="Arial" w:cs="Arial"/>
          <w:lang w:val="fr-FR"/>
        </w:rPr>
        <w:t>2</w:t>
      </w:r>
      <w:r w:rsidRPr="00F331F8">
        <w:rPr>
          <w:rStyle w:val="sb8d990e2"/>
          <w:rFonts w:ascii="Arial" w:eastAsiaTheme="majorEastAsia" w:hAnsi="Arial" w:cs="Arial"/>
          <w:lang w:val="fr-FR"/>
        </w:rPr>
        <w:t xml:space="preserve">. Le règlement de la Cour reflète la jurisprudence de la Cour sur l'applicabilité de l'article 41 aux affaires interétatiques. En conséquence, la </w:t>
      </w:r>
      <w:r w:rsidRPr="00F331F8">
        <w:rPr>
          <w:rFonts w:ascii="Arial" w:hAnsi="Arial" w:cs="Arial"/>
          <w:color w:val="000000"/>
          <w:lang w:val="fr-FR"/>
        </w:rPr>
        <w:t xml:space="preserve">ou les Parties contractantes qui ont l'intention de saisir la Cour en vertu de l'article 33 de la Convention doivent déposer au greffe une requête exposant, </w:t>
      </w:r>
      <w:r w:rsidRPr="00F331F8">
        <w:rPr>
          <w:rFonts w:ascii="Arial" w:hAnsi="Arial" w:cs="Arial"/>
          <w:i/>
          <w:color w:val="000000"/>
          <w:lang w:val="fr-FR"/>
        </w:rPr>
        <w:t xml:space="preserve">entre autres, </w:t>
      </w:r>
      <w:r w:rsidRPr="00F331F8">
        <w:rPr>
          <w:rFonts w:ascii="Arial" w:hAnsi="Arial" w:cs="Arial"/>
          <w:color w:val="000000"/>
          <w:lang w:val="fr-FR"/>
        </w:rPr>
        <w:t>l'objet de la demande et une indication générale de toute demande de satisfaction équitable formulée en vertu de l'article 41 de la Convention au nom de la ou des parties prétendument lésées.</w:t>
      </w:r>
      <w:r w:rsidRPr="00720D91">
        <w:rPr>
          <w:rStyle w:val="FootnoteReference"/>
          <w:rFonts w:ascii="Arial" w:hAnsi="Arial" w:cs="Arial"/>
          <w:color w:val="000000"/>
        </w:rPr>
        <w:footnoteReference w:id="208"/>
      </w:r>
      <w:r w:rsidRPr="00F331F8">
        <w:rPr>
          <w:rFonts w:ascii="Arial" w:hAnsi="Arial" w:cs="Arial"/>
          <w:color w:val="000000"/>
          <w:lang w:val="fr-FR"/>
        </w:rPr>
        <w:t xml:space="preserve"> Les demandes de satisfaction équitable du requérant, y compris les indications détaillées de toutes les demandes, ainsi que toutes les pièces justificatives pertinentes, dans le délai fixé pour la présentation des observations du requérant sur le fond, sont transmises à la Partie contractante défenderesse pour commentaires. </w:t>
      </w:r>
      <w:r w:rsidRPr="00720D91">
        <w:rPr>
          <w:rStyle w:val="FootnoteReference"/>
          <w:rFonts w:ascii="Arial" w:hAnsi="Arial" w:cs="Arial"/>
          <w:color w:val="000000"/>
        </w:rPr>
        <w:footnoteReference w:id="209"/>
      </w:r>
    </w:p>
    <w:p w14:paraId="1B7C0C90" w14:textId="6DBD3F65" w:rsidR="00F331F8" w:rsidRPr="00F331F8" w:rsidRDefault="00F331F8" w:rsidP="00971933">
      <w:pPr>
        <w:spacing w:after="240" w:line="240" w:lineRule="auto"/>
        <w:ind w:firstLine="426"/>
        <w:jc w:val="both"/>
        <w:rPr>
          <w:rStyle w:val="sb8d990e2"/>
          <w:rFonts w:ascii="Arial" w:eastAsiaTheme="majorEastAsia" w:hAnsi="Arial" w:cs="Arial"/>
          <w:lang w:val="fr-FR"/>
        </w:rPr>
      </w:pPr>
      <w:r w:rsidRPr="00F331F8">
        <w:rPr>
          <w:rStyle w:val="sb8d990e2"/>
          <w:rFonts w:ascii="Arial" w:eastAsiaTheme="majorEastAsia" w:hAnsi="Arial" w:cs="Arial"/>
          <w:lang w:val="fr-FR"/>
        </w:rPr>
        <w:t>11</w:t>
      </w:r>
      <w:r w:rsidR="00F240BE">
        <w:rPr>
          <w:rStyle w:val="sb8d990e2"/>
          <w:rFonts w:ascii="Arial" w:eastAsiaTheme="majorEastAsia" w:hAnsi="Arial" w:cs="Arial"/>
          <w:lang w:val="fr-FR"/>
        </w:rPr>
        <w:t>3</w:t>
      </w:r>
      <w:r w:rsidRPr="00F331F8">
        <w:rPr>
          <w:rStyle w:val="sb8d990e2"/>
          <w:rFonts w:ascii="Arial" w:eastAsiaTheme="majorEastAsia" w:hAnsi="Arial" w:cs="Arial"/>
          <w:lang w:val="fr-FR"/>
        </w:rPr>
        <w:t xml:space="preserve">. L'octroi d'une satisfaction équitable à un État requérant est évalué et décidé par la Cour au cas par cas, en tenant compte, </w:t>
      </w:r>
      <w:r w:rsidRPr="00F331F8">
        <w:rPr>
          <w:rStyle w:val="s6b621b36"/>
          <w:rFonts w:ascii="Arial" w:eastAsiaTheme="minorEastAsia" w:hAnsi="Arial" w:cs="Arial"/>
          <w:i/>
          <w:lang w:val="fr-FR"/>
        </w:rPr>
        <w:t xml:space="preserve">entre autres, </w:t>
      </w:r>
      <w:r w:rsidRPr="00F331F8">
        <w:rPr>
          <w:rStyle w:val="sb8d990e2"/>
          <w:rFonts w:ascii="Arial" w:eastAsiaTheme="majorEastAsia" w:hAnsi="Arial" w:cs="Arial"/>
          <w:lang w:val="fr-FR"/>
        </w:rPr>
        <w:t>du type de plainte formulée par le gouvernement requérant, de la possibilité d'identifier les victimes de violations, ainsi que du but principal de l'introduction de la procédure, dans la mesure où celui-ci peut être discerné dans la requête initiale à la Cour.</w:t>
      </w:r>
      <w:bookmarkStart w:id="78" w:name="_Hlk42527680"/>
      <w:r w:rsidRPr="00720D91">
        <w:rPr>
          <w:rStyle w:val="FootnoteReference"/>
          <w:rFonts w:ascii="Arial" w:hAnsi="Arial" w:cs="Arial"/>
          <w:color w:val="000000"/>
        </w:rPr>
        <w:footnoteReference w:id="210"/>
      </w:r>
      <w:r w:rsidRPr="00F331F8">
        <w:rPr>
          <w:rStyle w:val="sb8d990e2"/>
          <w:rFonts w:ascii="Arial" w:eastAsiaTheme="majorEastAsia" w:hAnsi="Arial" w:cs="Arial"/>
          <w:lang w:val="fr-FR"/>
        </w:rPr>
        <w:t xml:space="preserve"> </w:t>
      </w:r>
      <w:bookmarkEnd w:id="78"/>
      <w:r w:rsidRPr="00F331F8">
        <w:rPr>
          <w:rStyle w:val="sb8d990e2"/>
          <w:rFonts w:ascii="Arial" w:eastAsiaTheme="majorEastAsia" w:hAnsi="Arial" w:cs="Arial"/>
          <w:lang w:val="fr-FR"/>
        </w:rPr>
        <w:t xml:space="preserve">La Cour reconnaît qu'une requête introduite devant elle en vertu de l'article 33 de la Convention peut contenir différents types de griefs poursuivant des buts différents. Dans ce cas, chaque grief doit être examiné séparément afin de déterminer si l'octroi d'une satisfaction équitable à son égard serait justifié. </w:t>
      </w:r>
      <w:r w:rsidRPr="00720D91">
        <w:rPr>
          <w:rStyle w:val="FootnoteReference"/>
          <w:rFonts w:ascii="Arial" w:hAnsi="Arial" w:cs="Arial"/>
        </w:rPr>
        <w:footnoteReference w:id="211"/>
      </w:r>
    </w:p>
    <w:p w14:paraId="00FA9F4C" w14:textId="01E38715" w:rsidR="00F331F8" w:rsidRPr="00F331F8" w:rsidRDefault="00F331F8" w:rsidP="00971933">
      <w:pPr>
        <w:shd w:val="clear" w:color="auto" w:fill="FFFFFF" w:themeFill="background1"/>
        <w:spacing w:after="240" w:line="240" w:lineRule="auto"/>
        <w:ind w:firstLine="426"/>
        <w:jc w:val="both"/>
        <w:rPr>
          <w:rFonts w:ascii="Arial" w:hAnsi="Arial" w:cs="Arial"/>
          <w:b/>
          <w:bCs/>
          <w:color w:val="FF0000"/>
          <w:lang w:val="fr-FR"/>
        </w:rPr>
      </w:pPr>
      <w:r w:rsidRPr="00F331F8">
        <w:rPr>
          <w:rFonts w:ascii="Arial" w:hAnsi="Arial" w:cs="Arial"/>
          <w:lang w:val="fr-FR"/>
        </w:rPr>
        <w:t>11</w:t>
      </w:r>
      <w:r w:rsidR="00F240BE">
        <w:rPr>
          <w:rFonts w:ascii="Arial" w:hAnsi="Arial" w:cs="Arial"/>
          <w:lang w:val="fr-FR"/>
        </w:rPr>
        <w:t>4</w:t>
      </w:r>
      <w:r w:rsidRPr="00F331F8">
        <w:rPr>
          <w:rFonts w:ascii="Arial" w:hAnsi="Arial" w:cs="Arial"/>
          <w:lang w:val="fr-FR"/>
        </w:rPr>
        <w:t xml:space="preserve">. </w:t>
      </w:r>
      <w:r w:rsidRPr="00F331F8">
        <w:rPr>
          <w:rFonts w:ascii="Arial" w:hAnsi="Arial" w:cs="Arial"/>
          <w:shd w:val="clear" w:color="auto" w:fill="FFFFFF" w:themeFill="background1"/>
          <w:lang w:val="fr-FR"/>
        </w:rPr>
        <w:t>L'application de l'article 41 de la Convention requiert l'identification des victimes individuelles concernées.</w:t>
      </w:r>
      <w:r w:rsidRPr="00720D91">
        <w:rPr>
          <w:rStyle w:val="FootnoteReference"/>
          <w:rFonts w:ascii="Arial" w:hAnsi="Arial" w:cs="Arial"/>
          <w:shd w:val="clear" w:color="auto" w:fill="FFFFFF" w:themeFill="background1"/>
        </w:rPr>
        <w:footnoteReference w:id="212"/>
      </w:r>
      <w:r w:rsidRPr="00F331F8">
        <w:rPr>
          <w:rStyle w:val="sb8d990e2"/>
          <w:rFonts w:ascii="Arial" w:eastAsiaTheme="majorEastAsia" w:hAnsi="Arial" w:cs="Arial"/>
          <w:shd w:val="clear" w:color="auto" w:fill="FFFFFF" w:themeFill="background1"/>
          <w:lang w:val="fr-FR"/>
        </w:rPr>
        <w:t xml:space="preserve"> </w:t>
      </w:r>
      <w:r w:rsidRPr="00F331F8">
        <w:rPr>
          <w:rFonts w:ascii="Arial" w:hAnsi="Arial" w:cs="Arial"/>
          <w:shd w:val="clear" w:color="auto" w:fill="FFFFFF" w:themeFill="background1"/>
          <w:lang w:val="fr-FR"/>
        </w:rPr>
        <w:t>La</w:t>
      </w:r>
      <w:r w:rsidRPr="00F331F8">
        <w:rPr>
          <w:rFonts w:ascii="Arial" w:hAnsi="Arial" w:cs="Arial"/>
          <w:lang w:val="fr-FR"/>
        </w:rPr>
        <w:t xml:space="preserve"> Cour se fonde sur la détermination d'un groupe « suffisamment précis et objectivement identifiable » de personnes dont les droits ont été violés aux fins de l'octroi d'une satisfaction équitable au titre des violations constatées et des critères à appliquer pour l'octroi d'une satisfaction équitable au </w:t>
      </w:r>
      <w:r w:rsidRPr="00F331F8">
        <w:rPr>
          <w:rFonts w:ascii="Arial" w:hAnsi="Arial" w:cs="Arial"/>
          <w:shd w:val="clear" w:color="auto" w:fill="FFFFFF" w:themeFill="background1"/>
          <w:lang w:val="fr-FR"/>
        </w:rPr>
        <w:t>titre du préjudice moral.</w:t>
      </w:r>
      <w:r w:rsidRPr="00720D91">
        <w:rPr>
          <w:rStyle w:val="FootnoteReference"/>
          <w:rFonts w:ascii="Arial" w:hAnsi="Arial" w:cs="Arial"/>
          <w:shd w:val="clear" w:color="auto" w:fill="FFFFFF" w:themeFill="background1"/>
        </w:rPr>
        <w:footnoteReference w:id="213"/>
      </w:r>
      <w:r w:rsidRPr="00F331F8">
        <w:rPr>
          <w:rStyle w:val="sb8d990e2"/>
          <w:rFonts w:ascii="Arial" w:eastAsiaTheme="majorEastAsia" w:hAnsi="Arial" w:cs="Arial"/>
          <w:color w:val="000000"/>
          <w:shd w:val="clear" w:color="auto" w:fill="FFFFFF" w:themeFill="background1"/>
          <w:lang w:val="fr-FR"/>
        </w:rPr>
        <w:t xml:space="preserve"> </w:t>
      </w:r>
      <w:r w:rsidRPr="00F331F8">
        <w:rPr>
          <w:rFonts w:ascii="Arial" w:hAnsi="Arial" w:cs="Arial"/>
          <w:shd w:val="clear" w:color="auto" w:fill="FFFFFF" w:themeFill="background1"/>
          <w:lang w:val="fr-FR"/>
        </w:rPr>
        <w:t xml:space="preserve">Dans l'affaire </w:t>
      </w:r>
      <w:r w:rsidRPr="00F331F8">
        <w:rPr>
          <w:rFonts w:ascii="Arial" w:hAnsi="Arial" w:cs="Arial"/>
          <w:i/>
          <w:iCs/>
          <w:shd w:val="clear" w:color="auto" w:fill="FFFFFF" w:themeFill="background1"/>
          <w:lang w:val="fr-FR"/>
        </w:rPr>
        <w:t>Géorgie c. Russie (I)</w:t>
      </w:r>
      <w:r w:rsidRPr="00F331F8">
        <w:rPr>
          <w:rFonts w:ascii="Arial" w:hAnsi="Arial" w:cs="Arial"/>
          <w:shd w:val="clear" w:color="auto" w:fill="FFFFFF" w:themeFill="background1"/>
          <w:lang w:val="fr-FR"/>
        </w:rPr>
        <w:t>, dans laquelle le constat de l'existence d'une pratique administrative contraire à la Convention se fondait sur des décisions administratives individuelles d'expulsion de ressortissants géorgiens de la Fédération de Russie au cours de l'automne 2006, la Cour a estimé que les parties devaient être en mesure d'identifier les ressortissants géorgiens concernés et de lui fournir les informations pertinentes.</w:t>
      </w:r>
      <w:r w:rsidRPr="00720D91">
        <w:rPr>
          <w:rStyle w:val="FootnoteReference"/>
          <w:rFonts w:ascii="Arial" w:hAnsi="Arial" w:cs="Arial"/>
          <w:shd w:val="clear" w:color="auto" w:fill="FFFFFF" w:themeFill="background1"/>
        </w:rPr>
        <w:footnoteReference w:id="214"/>
      </w:r>
      <w:r w:rsidRPr="00F331F8">
        <w:rPr>
          <w:rStyle w:val="sb8d990e2"/>
          <w:rFonts w:ascii="Arial" w:eastAsiaTheme="majorEastAsia" w:hAnsi="Arial" w:cs="Arial"/>
          <w:shd w:val="clear" w:color="auto" w:fill="FFFFFF" w:themeFill="background1"/>
          <w:lang w:val="fr-FR"/>
        </w:rPr>
        <w:t xml:space="preserve"> Conformément</w:t>
      </w:r>
      <w:r w:rsidRPr="00F331F8">
        <w:rPr>
          <w:rStyle w:val="sb8d990e2"/>
          <w:rFonts w:ascii="Arial" w:eastAsiaTheme="majorEastAsia" w:hAnsi="Arial" w:cs="Arial"/>
          <w:lang w:val="fr-FR"/>
        </w:rPr>
        <w:t xml:space="preserve"> </w:t>
      </w:r>
      <w:r w:rsidRPr="00F331F8">
        <w:rPr>
          <w:rStyle w:val="sb8d990e2"/>
          <w:rFonts w:ascii="Arial" w:eastAsiaTheme="majorEastAsia" w:hAnsi="Arial" w:cs="Arial"/>
          <w:color w:val="000000"/>
          <w:lang w:val="fr-FR"/>
        </w:rPr>
        <w:t xml:space="preserve">à l'article 60 § 2 du Règlement de la </w:t>
      </w:r>
      <w:r w:rsidRPr="00F331F8">
        <w:rPr>
          <w:rStyle w:val="sb8d990e2"/>
          <w:rFonts w:ascii="Arial" w:eastAsiaTheme="majorEastAsia" w:hAnsi="Arial" w:cs="Arial"/>
          <w:lang w:val="fr-FR"/>
        </w:rPr>
        <w:t xml:space="preserve">Cour, </w:t>
      </w:r>
      <w:r w:rsidRPr="00F331F8">
        <w:rPr>
          <w:rStyle w:val="sb8d990e2"/>
          <w:rFonts w:ascii="Arial" w:eastAsiaTheme="majorEastAsia" w:hAnsi="Arial" w:cs="Arial"/>
          <w:shd w:val="clear" w:color="auto" w:fill="FFFFFF" w:themeFill="background1"/>
          <w:lang w:val="fr-FR"/>
        </w:rPr>
        <w:t>elle a invité</w:t>
      </w:r>
      <w:r w:rsidRPr="00F331F8">
        <w:rPr>
          <w:rStyle w:val="sb8d990e2"/>
          <w:rFonts w:ascii="Arial" w:eastAsiaTheme="majorEastAsia" w:hAnsi="Arial" w:cs="Arial"/>
          <w:lang w:val="fr-FR"/>
        </w:rPr>
        <w:t xml:space="preserve"> </w:t>
      </w:r>
      <w:r w:rsidRPr="00F331F8">
        <w:rPr>
          <w:rStyle w:val="sb8d990e2"/>
          <w:rFonts w:ascii="Arial" w:eastAsiaTheme="majorEastAsia" w:hAnsi="Arial" w:cs="Arial"/>
          <w:color w:val="000000"/>
          <w:lang w:val="fr-FR"/>
        </w:rPr>
        <w:t>le gouvernement requérant à présenter une liste de ses ressortissants victimes de la « politique coordonnée d'arrestation, de détention et d'expulsion de ressortissants géorgiens » mise en place en Fédération de Russie à l'automne 2006.</w:t>
      </w:r>
      <w:r w:rsidRPr="00720D91">
        <w:rPr>
          <w:rStyle w:val="FootnoteReference"/>
          <w:rFonts w:ascii="Arial" w:hAnsi="Arial" w:cs="Arial"/>
          <w:color w:val="000000"/>
        </w:rPr>
        <w:footnoteReference w:id="215"/>
      </w:r>
      <w:r w:rsidRPr="00F331F8">
        <w:rPr>
          <w:rStyle w:val="sb8d990e2"/>
          <w:rFonts w:ascii="Arial" w:eastAsiaTheme="majorEastAsia" w:hAnsi="Arial" w:cs="Arial"/>
          <w:color w:val="000000"/>
          <w:lang w:val="fr-FR"/>
        </w:rPr>
        <w:t xml:space="preserve"> Il a également demandé au gouvernement défendeur de soumettre toutes les informations et documents pertinents (en particulier les ordres d'expulsion et les décisions de justice) </w:t>
      </w:r>
      <w:r w:rsidRPr="00F331F8">
        <w:rPr>
          <w:rStyle w:val="sb8d990e2"/>
          <w:rFonts w:ascii="Arial" w:eastAsiaTheme="majorEastAsia" w:hAnsi="Arial" w:cs="Arial"/>
          <w:color w:val="000000"/>
          <w:lang w:val="fr-FR"/>
        </w:rPr>
        <w:lastRenderedPageBreak/>
        <w:t>concernant les ressortissants géorgiens victimes de cette politique pendant la période en question.</w:t>
      </w:r>
      <w:r w:rsidRPr="00720D91">
        <w:rPr>
          <w:rStyle w:val="FootnoteReference"/>
          <w:rFonts w:ascii="Arial" w:hAnsi="Arial" w:cs="Arial"/>
          <w:color w:val="000000"/>
        </w:rPr>
        <w:footnoteReference w:id="216"/>
      </w:r>
      <w:r w:rsidRPr="00F331F8">
        <w:rPr>
          <w:rStyle w:val="sb8d990e2"/>
          <w:rFonts w:ascii="Arial" w:eastAsiaTheme="majorEastAsia" w:hAnsi="Arial" w:cs="Arial"/>
          <w:color w:val="000000"/>
          <w:lang w:val="fr-FR"/>
        </w:rPr>
        <w:t xml:space="preserve"> En l'espèce, le gouvernement défendeur a demandé à la Cour d'identifier chacune des victimes individuelles des violations qu'elle a constatées dans le cadre d'une procédure contradictoire, au motif que la tâche d'établir les faits relève de la compétence exclusive de la Cour. A cet égard, la Cour a relevé que les parties avaient échangé des observations sur la question de la satisfaction équitable dans le respect du principe du contradictoire. En outre, la Cour a observé que, dans les affaires concernant des violations systématiques de la Convention, elle n'est pas un tribunal de première instance ; elle n'a pas la capacité, et il n'est pas approprié à sa fonction de tribunal international, de statuer sur un grand nombre d'affaires qui nécessitent l'établissement de faits spécifiques ou le calcul d'une compensation monétaire - deux tâches qui, par principe et dans la pratique, devraient être du ressort des juridictions nationales</w:t>
      </w:r>
      <w:r w:rsidRPr="00F331F8">
        <w:rPr>
          <w:rStyle w:val="sb8d990e2"/>
          <w:rFonts w:ascii="Arial" w:eastAsiaTheme="majorEastAsia" w:hAnsi="Arial" w:cs="Arial"/>
          <w:color w:val="000000"/>
          <w:shd w:val="clear" w:color="auto" w:fill="FFFFFF" w:themeFill="background1"/>
          <w:lang w:val="fr-FR"/>
        </w:rPr>
        <w:t>.</w:t>
      </w:r>
      <w:r w:rsidRPr="00720D91">
        <w:rPr>
          <w:rStyle w:val="FootnoteReference"/>
          <w:rFonts w:ascii="Arial" w:hAnsi="Arial" w:cs="Arial"/>
          <w:color w:val="000000"/>
          <w:shd w:val="clear" w:color="auto" w:fill="FFFFFF" w:themeFill="background1"/>
        </w:rPr>
        <w:footnoteReference w:id="217"/>
      </w:r>
      <w:r w:rsidRPr="00F331F8">
        <w:rPr>
          <w:rFonts w:ascii="Arial" w:hAnsi="Arial" w:cs="Arial"/>
          <w:b/>
          <w:color w:val="FF0000"/>
          <w:shd w:val="clear" w:color="auto" w:fill="FFFFFF" w:themeFill="background1"/>
          <w:lang w:val="fr-FR"/>
        </w:rPr>
        <w:t xml:space="preserve"> </w:t>
      </w:r>
      <w:r w:rsidRPr="00F331F8">
        <w:rPr>
          <w:rFonts w:ascii="Arial" w:hAnsi="Arial" w:cs="Arial"/>
          <w:shd w:val="clear" w:color="auto" w:fill="FFFFFF" w:themeFill="background1"/>
          <w:lang w:val="fr-FR"/>
        </w:rPr>
        <w:t xml:space="preserve">Aussi, dans l'affaire </w:t>
      </w:r>
      <w:r w:rsidRPr="00F331F8">
        <w:rPr>
          <w:rFonts w:ascii="Arial" w:hAnsi="Arial" w:cs="Arial"/>
          <w:i/>
          <w:iCs/>
          <w:shd w:val="clear" w:color="auto" w:fill="FFFFFF" w:themeFill="background1"/>
          <w:lang w:val="fr-FR"/>
        </w:rPr>
        <w:t>Géorgie c. Russie (I)</w:t>
      </w:r>
      <w:r w:rsidRPr="00F331F8">
        <w:rPr>
          <w:rFonts w:ascii="Arial" w:hAnsi="Arial" w:cs="Arial"/>
          <w:shd w:val="clear" w:color="auto" w:fill="FFFFFF" w:themeFill="background1"/>
          <w:lang w:val="fr-FR"/>
        </w:rPr>
        <w:t xml:space="preserve">, la Cour a considéré, </w:t>
      </w:r>
      <w:r w:rsidRPr="00F331F8">
        <w:rPr>
          <w:rFonts w:ascii="Arial" w:hAnsi="Arial" w:cs="Arial"/>
          <w:i/>
          <w:iCs/>
          <w:shd w:val="clear" w:color="auto" w:fill="FFFFFF" w:themeFill="background1"/>
          <w:lang w:val="fr-FR"/>
        </w:rPr>
        <w:t xml:space="preserve">entre autres, </w:t>
      </w:r>
      <w:r w:rsidRPr="00F331F8">
        <w:rPr>
          <w:rFonts w:ascii="Arial" w:hAnsi="Arial" w:cs="Arial"/>
          <w:shd w:val="clear" w:color="auto" w:fill="FFFFFF" w:themeFill="background1"/>
          <w:lang w:val="fr-FR"/>
        </w:rPr>
        <w:t xml:space="preserve">qu'un certain nombre de personnes figurant sur la liste des victimes soumise par le gouvernement requérant ne pouvaient être considérées comme telles ou ne pouvaient se voir accorder une satisfaction équitable dans le cadre de cette procédure car elles avaient introduit des requêtes individuelles devant la Cour. </w:t>
      </w:r>
      <w:r w:rsidRPr="00720D91">
        <w:rPr>
          <w:rStyle w:val="FootnoteReference"/>
          <w:rFonts w:ascii="Arial" w:hAnsi="Arial" w:cs="Arial"/>
          <w:shd w:val="clear" w:color="auto" w:fill="FFFFFF" w:themeFill="background1"/>
        </w:rPr>
        <w:footnoteReference w:id="218"/>
      </w:r>
    </w:p>
    <w:p w14:paraId="29BDD5D1" w14:textId="79BD4CF4" w:rsidR="00F331F8" w:rsidRPr="00F331F8" w:rsidRDefault="00F331F8" w:rsidP="00971933">
      <w:pPr>
        <w:spacing w:after="240" w:line="240" w:lineRule="auto"/>
        <w:ind w:firstLine="426"/>
        <w:jc w:val="both"/>
        <w:rPr>
          <w:rFonts w:ascii="Arial" w:hAnsi="Arial" w:cs="Arial"/>
          <w:shd w:val="clear" w:color="auto" w:fill="FFFFFF" w:themeFill="background1"/>
          <w:lang w:val="fr-FR"/>
        </w:rPr>
      </w:pPr>
      <w:r w:rsidRPr="00F331F8">
        <w:rPr>
          <w:rFonts w:ascii="Arial" w:hAnsi="Arial" w:cs="Arial"/>
          <w:lang w:val="fr-FR"/>
        </w:rPr>
        <w:t>11</w:t>
      </w:r>
      <w:r w:rsidR="00F240BE">
        <w:rPr>
          <w:rFonts w:ascii="Arial" w:hAnsi="Arial" w:cs="Arial"/>
          <w:lang w:val="fr-FR"/>
        </w:rPr>
        <w:t>5</w:t>
      </w:r>
      <w:r w:rsidRPr="00F331F8">
        <w:rPr>
          <w:rFonts w:ascii="Arial" w:hAnsi="Arial" w:cs="Arial"/>
          <w:lang w:val="fr-FR"/>
        </w:rPr>
        <w:t xml:space="preserve">. La Cour a observé que la procédure de l’article 41 est normalement très complexe ; il est important de demander au Gouvernement </w:t>
      </w:r>
      <w:r w:rsidRPr="00F331F8">
        <w:rPr>
          <w:rFonts w:ascii="Arial" w:hAnsi="Arial" w:cs="Arial"/>
          <w:shd w:val="clear" w:color="auto" w:fill="FFFFFF" w:themeFill="background1"/>
          <w:lang w:val="fr-FR"/>
        </w:rPr>
        <w:t>requérant de soumettre dès le départ une liste d’individus clairement identifiables.</w:t>
      </w:r>
      <w:r w:rsidRPr="00720D91">
        <w:rPr>
          <w:rStyle w:val="FootnoteReference"/>
          <w:rFonts w:ascii="Arial" w:hAnsi="Arial" w:cs="Arial"/>
          <w:shd w:val="clear" w:color="auto" w:fill="FFFFFF" w:themeFill="background1"/>
        </w:rPr>
        <w:footnoteReference w:id="219"/>
      </w:r>
      <w:r w:rsidRPr="00F331F8">
        <w:rPr>
          <w:rFonts w:ascii="Arial" w:hAnsi="Arial" w:cs="Arial"/>
          <w:shd w:val="clear" w:color="auto" w:fill="FFFFFF" w:themeFill="background1"/>
          <w:lang w:val="fr-FR"/>
        </w:rPr>
        <w:t xml:space="preserve"> Le DH-SYSC note qu'une discussion plus approfondie est nécessaire pour savoir si ces listes doivent être soumises au début de la procédure de la satisfaction équitable ou au moment où une requête interétatique est introduite. </w:t>
      </w:r>
    </w:p>
    <w:p w14:paraId="72C07709" w14:textId="614E3798" w:rsidR="00F331F8" w:rsidRPr="00F331F8" w:rsidRDefault="00F331F8" w:rsidP="00971933">
      <w:pPr>
        <w:spacing w:after="240" w:line="240" w:lineRule="auto"/>
        <w:ind w:firstLine="426"/>
        <w:jc w:val="both"/>
        <w:rPr>
          <w:rFonts w:ascii="Arial" w:hAnsi="Arial" w:cs="Arial"/>
          <w:shd w:val="clear" w:color="auto" w:fill="FFFFFF" w:themeFill="background1"/>
          <w:lang w:val="fr-FR"/>
        </w:rPr>
      </w:pPr>
      <w:r w:rsidRPr="00F331F8">
        <w:rPr>
          <w:rFonts w:ascii="Arial" w:hAnsi="Arial" w:cs="Arial"/>
          <w:shd w:val="clear" w:color="auto" w:fill="FFFFFF" w:themeFill="background1"/>
          <w:lang w:val="fr-FR"/>
        </w:rPr>
        <w:t>11</w:t>
      </w:r>
      <w:r w:rsidR="00F240BE">
        <w:rPr>
          <w:rFonts w:ascii="Arial" w:hAnsi="Arial" w:cs="Arial"/>
          <w:shd w:val="clear" w:color="auto" w:fill="FFFFFF" w:themeFill="background1"/>
          <w:lang w:val="fr-FR"/>
        </w:rPr>
        <w:t>6</w:t>
      </w:r>
      <w:r w:rsidRPr="00F331F8">
        <w:rPr>
          <w:rFonts w:ascii="Arial" w:hAnsi="Arial" w:cs="Arial"/>
          <w:shd w:val="clear" w:color="auto" w:fill="FFFFFF" w:themeFill="background1"/>
          <w:lang w:val="fr-FR"/>
        </w:rPr>
        <w:t>. La Cour rappelle l'obligation de coopération des États avec la Cour, qui est énoncée à l'article 38 de la Convention et à l'article 44A du règlement de la Cour, est particulièrement important pour la bonne administration de la justice lorsque la Cour accorde une satisfaction équitable en vertu de l'article 41 de la Convention dans des affaires interétatiques. Il s'applique aux deux parties : le gouvernement requérant, qui, conformément à l'article 60 du règlement de la Cour, doit étayer ses prétentions, et aussi le gouvernement défendeur, à l'égard duquel l'existence d'une pratique administrative contraire à la Convention a été constatée dans l'arrêt principal.</w:t>
      </w:r>
      <w:r w:rsidRPr="00720D91">
        <w:rPr>
          <w:rStyle w:val="FootnoteReference"/>
          <w:rFonts w:ascii="Arial" w:hAnsi="Arial" w:cs="Arial"/>
          <w:shd w:val="clear" w:color="auto" w:fill="FFFFFF" w:themeFill="background1"/>
        </w:rPr>
        <w:footnoteReference w:id="220"/>
      </w:r>
      <w:r w:rsidRPr="00F331F8">
        <w:rPr>
          <w:rFonts w:ascii="Arial" w:hAnsi="Arial" w:cs="Arial"/>
          <w:shd w:val="clear" w:color="auto" w:fill="FFFFFF" w:themeFill="background1"/>
          <w:lang w:val="fr-FR"/>
        </w:rPr>
        <w:t xml:space="preserve"> Ainsi, le risque d'octroyer une satisfaction équitable à des personnes qui ne </w:t>
      </w:r>
      <w:r w:rsidRPr="00F331F8">
        <w:rPr>
          <w:rFonts w:ascii="Arial" w:hAnsi="Arial" w:cs="Arial"/>
          <w:shd w:val="clear" w:color="auto" w:fill="FFFFFF" w:themeFill="background1"/>
          <w:lang w:val="fr-FR"/>
        </w:rPr>
        <w:lastRenderedPageBreak/>
        <w:t>peuvent y prétendre pour diverses raisons pourrait être réduit. En outre, il est important, dans le dispositif de l'arrêt sur</w:t>
      </w:r>
      <w:r w:rsidRPr="00F331F8">
        <w:rPr>
          <w:rFonts w:ascii="Arial" w:hAnsi="Arial" w:cs="Arial"/>
          <w:lang w:val="fr-FR"/>
        </w:rPr>
        <w:t xml:space="preserve"> le fond, de fixer un délai pour l'échange d'observations des parties sur la satisfaction équitable</w:t>
      </w:r>
      <w:r w:rsidRPr="00720D91">
        <w:rPr>
          <w:rStyle w:val="FootnoteReference"/>
          <w:rFonts w:ascii="Arial" w:hAnsi="Arial" w:cs="Arial"/>
        </w:rPr>
        <w:footnoteReference w:id="221"/>
      </w:r>
      <w:r w:rsidRPr="00F331F8">
        <w:rPr>
          <w:rFonts w:ascii="Arial" w:hAnsi="Arial" w:cs="Arial"/>
          <w:lang w:val="fr-FR"/>
        </w:rPr>
        <w:t xml:space="preserve"> afin d'éviter de longs intervalles de temps entre l'arrêt sur le fond et l'arrêt sur la satisfaction équitable.</w:t>
      </w:r>
      <w:r w:rsidRPr="00720D91">
        <w:rPr>
          <w:rStyle w:val="FootnoteReference"/>
          <w:rFonts w:ascii="Arial" w:hAnsi="Arial" w:cs="Arial"/>
        </w:rPr>
        <w:footnoteReference w:id="222"/>
      </w:r>
      <w:r w:rsidRPr="00F331F8">
        <w:rPr>
          <w:rFonts w:ascii="Arial" w:hAnsi="Arial" w:cs="Arial"/>
          <w:lang w:val="fr-FR"/>
        </w:rPr>
        <w:t xml:space="preserve"> Dans le récent arrêt sur le fond </w:t>
      </w:r>
      <w:r w:rsidRPr="00F331F8">
        <w:rPr>
          <w:rFonts w:ascii="Arial" w:hAnsi="Arial" w:cs="Arial"/>
          <w:i/>
          <w:iCs/>
          <w:lang w:val="fr-FR"/>
        </w:rPr>
        <w:t xml:space="preserve">Géorgie c. Russie (II), </w:t>
      </w:r>
      <w:r w:rsidRPr="00F331F8">
        <w:rPr>
          <w:rFonts w:ascii="Arial" w:hAnsi="Arial" w:cs="Arial"/>
          <w:lang w:val="fr-FR"/>
        </w:rPr>
        <w:t>la Cour a fixé un délai de douze mois aux parties pour soumettre par écrit leurs observations sur la satisfaction équitable.</w:t>
      </w:r>
      <w:r w:rsidRPr="00720D91">
        <w:rPr>
          <w:rStyle w:val="FootnoteReference"/>
          <w:rFonts w:ascii="Arial" w:hAnsi="Arial" w:cs="Arial"/>
        </w:rPr>
        <w:footnoteReference w:id="223"/>
      </w:r>
      <w:r w:rsidRPr="00F331F8">
        <w:rPr>
          <w:rFonts w:ascii="Arial" w:hAnsi="Arial" w:cs="Arial"/>
          <w:lang w:val="fr-FR"/>
        </w:rPr>
        <w:t xml:space="preserve"> </w:t>
      </w:r>
    </w:p>
    <w:p w14:paraId="5CA37DE1" w14:textId="728293BC" w:rsidR="00F331F8" w:rsidRPr="00F331F8" w:rsidRDefault="00F331F8" w:rsidP="00971933">
      <w:pPr>
        <w:spacing w:after="240" w:line="240" w:lineRule="auto"/>
        <w:ind w:firstLine="426"/>
        <w:jc w:val="both"/>
        <w:rPr>
          <w:rStyle w:val="sb8d990e2"/>
          <w:rFonts w:ascii="Arial" w:eastAsiaTheme="majorEastAsia" w:hAnsi="Arial" w:cs="Arial"/>
          <w:color w:val="000000"/>
          <w:lang w:val="fr-FR"/>
        </w:rPr>
      </w:pPr>
      <w:r w:rsidRPr="00F331F8">
        <w:rPr>
          <w:rFonts w:ascii="Arial" w:hAnsi="Arial" w:cs="Arial"/>
          <w:lang w:val="fr-FR"/>
        </w:rPr>
        <w:t>11</w:t>
      </w:r>
      <w:r w:rsidR="00F240BE">
        <w:rPr>
          <w:rFonts w:ascii="Arial" w:hAnsi="Arial" w:cs="Arial"/>
          <w:lang w:val="fr-FR"/>
        </w:rPr>
        <w:t>7</w:t>
      </w:r>
      <w:r w:rsidRPr="00F331F8">
        <w:rPr>
          <w:rFonts w:ascii="Arial" w:hAnsi="Arial" w:cs="Arial"/>
          <w:lang w:val="fr-FR"/>
        </w:rPr>
        <w:t xml:space="preserve">. </w:t>
      </w:r>
      <w:r w:rsidRPr="00F331F8">
        <w:rPr>
          <w:rFonts w:ascii="Arial" w:hAnsi="Arial" w:cs="Arial"/>
          <w:color w:val="000000"/>
          <w:lang w:val="fr-FR"/>
        </w:rPr>
        <w:t>S’agissant des critères à appliquer pour octroyer une satisfaction équitable pour dommage moral, la Cour a constamment soutenu qu’aucune disposition de la Convention ne prévoyait expressément le versement d’une telle indemnité</w:t>
      </w:r>
      <w:r w:rsidRPr="00720D91">
        <w:rPr>
          <w:rStyle w:val="FootnoteReference"/>
          <w:rFonts w:ascii="Arial" w:hAnsi="Arial" w:cs="Arial"/>
          <w:color w:val="000000"/>
        </w:rPr>
        <w:footnoteReference w:id="224"/>
      </w:r>
      <w:r w:rsidRPr="00F331F8">
        <w:rPr>
          <w:rFonts w:ascii="Arial" w:hAnsi="Arial" w:cs="Arial"/>
          <w:color w:val="000000"/>
          <w:lang w:val="fr-FR"/>
        </w:rPr>
        <w:t xml:space="preserve">. </w:t>
      </w:r>
      <w:r w:rsidRPr="00F331F8">
        <w:rPr>
          <w:rStyle w:val="sb8d990e2"/>
          <w:rFonts w:ascii="Arial" w:eastAsiaTheme="majorEastAsia" w:hAnsi="Arial" w:cs="Arial"/>
          <w:color w:val="000000"/>
          <w:lang w:val="fr-FR"/>
        </w:rPr>
        <w:t>La Cour a cependant développé progressivement un certain nombre de principes relatifs à l’octroi d’une indemnité pour dommage moral. La Cour établit une distinction entre les situations où le requérant a subi un traumatisme évident, physique ou psychologique, des douleurs et souffrances, de la détresse, de l’angoisse, de la frustration, des sentiments d’injustice ou d’humiliation, une incertitude prolongée, une perturbation dans sa vie ou une véritable perte de chances, et les situations où la reconnaissance publique, dans un arrêt contraignant pour l’État contractant, du préjudice souffert par le requérant représente en soi une forme efficace de réparation. Dans certaines situations, le constat par la Cour de la non-conformité aux normes de la Convention d’une loi, d’une procédure ou d’une pratique est suffisant pour redresser la situation. Dans d’autres toutefois, l’impact de la violation peut être considéré comme étant d’une nature et d’un degré propres à avoir porté au bien-être moral du requérant une atteinte telle que cette réparation ne suffit pas. Ces éléments ne se prêtent pas à un calcul ou à une quantification précise. La Cour n’a pas non plus pour rôle d’agir comme une juridiction nationale appelée, en matière civile, à déterminer les responsabilités et octroyer des dommages-intérêts. Elle est guidée par le principe de l’équité, qui implique avant tout une certaine souplesse et un examen objectif de ce qui est juste, équitable et raisonnable, compte tenu de l’ensemble des circonstances de l’affaire, c’est-à-dire non seulement de la situation du requérant, mais aussi du contexte général dans lequel la violation a été commise. Les indemnités qu’elle alloue pour préjudice moral ont pour objet de reconnaître le fait qu’un dommage moral est résulté de la violation d’un droit fondamental et elles sont chiffrées de manière à refléter approximativement la gravité de ce dommage</w:t>
      </w:r>
      <w:r w:rsidRPr="00720D91">
        <w:rPr>
          <w:rStyle w:val="FootnoteReference"/>
          <w:rFonts w:ascii="Arial" w:hAnsi="Arial" w:cs="Arial"/>
          <w:color w:val="000000"/>
        </w:rPr>
        <w:footnoteReference w:id="225"/>
      </w:r>
      <w:r w:rsidRPr="00F331F8">
        <w:rPr>
          <w:rStyle w:val="sb8d990e2"/>
          <w:rFonts w:ascii="Arial" w:eastAsiaTheme="majorEastAsia" w:hAnsi="Arial" w:cs="Arial"/>
          <w:color w:val="000000"/>
          <w:lang w:val="fr-FR"/>
        </w:rPr>
        <w:t xml:space="preserve">. </w:t>
      </w:r>
    </w:p>
    <w:p w14:paraId="07210EA9" w14:textId="0F7040DB" w:rsidR="00F331F8" w:rsidRPr="00F331F8" w:rsidRDefault="00F331F8" w:rsidP="00971933">
      <w:pPr>
        <w:spacing w:after="240" w:line="240" w:lineRule="auto"/>
        <w:ind w:firstLine="426"/>
        <w:jc w:val="both"/>
        <w:rPr>
          <w:rFonts w:ascii="Arial" w:hAnsi="Arial" w:cs="Arial"/>
          <w:color w:val="000000"/>
          <w:lang w:val="fr-FR"/>
        </w:rPr>
      </w:pPr>
      <w:r w:rsidRPr="00F331F8">
        <w:rPr>
          <w:rStyle w:val="sb8d990e2"/>
          <w:rFonts w:ascii="Arial" w:eastAsiaTheme="majorEastAsia" w:hAnsi="Arial" w:cs="Arial"/>
          <w:color w:val="000000"/>
          <w:lang w:val="fr-FR"/>
        </w:rPr>
        <w:t>11</w:t>
      </w:r>
      <w:r w:rsidR="00F240BE">
        <w:rPr>
          <w:rStyle w:val="sb8d990e2"/>
          <w:rFonts w:ascii="Arial" w:eastAsiaTheme="majorEastAsia" w:hAnsi="Arial" w:cs="Arial"/>
          <w:color w:val="000000"/>
          <w:lang w:val="fr-FR"/>
        </w:rPr>
        <w:t>8</w:t>
      </w:r>
      <w:r w:rsidRPr="00F331F8">
        <w:rPr>
          <w:rStyle w:val="sb8d990e2"/>
          <w:rFonts w:ascii="Arial" w:eastAsiaTheme="majorEastAsia" w:hAnsi="Arial" w:cs="Arial"/>
          <w:color w:val="000000"/>
          <w:lang w:val="fr-FR"/>
        </w:rPr>
        <w:t xml:space="preserve">. En ce qui concerne le calcul du niveau de satisfaction équitable à accorder, la Cour dispose d'un pouvoir discrétionnaire en fonction de ce qu'elle juge équitable. La Cour rappelle à cet égard qu'elle a toujours refusé par le passé d'accorder des dommages et intérêts punitifs ou exemplaires, même lorsque de telles demandes sont formulées par des victimes individuelles d'une pratique administrative. </w:t>
      </w:r>
      <w:r w:rsidRPr="00720D91">
        <w:rPr>
          <w:rStyle w:val="FootnoteReference"/>
          <w:rFonts w:ascii="Arial" w:hAnsi="Arial" w:cs="Arial"/>
          <w:color w:val="000000"/>
        </w:rPr>
        <w:footnoteReference w:id="226"/>
      </w:r>
    </w:p>
    <w:p w14:paraId="1A3C2EC8" w14:textId="77777777" w:rsidR="00F331F8" w:rsidRPr="00F240BE" w:rsidRDefault="00F331F8" w:rsidP="00971933">
      <w:pPr>
        <w:pStyle w:val="Heading1"/>
        <w:spacing w:line="240" w:lineRule="auto"/>
        <w:ind w:firstLine="720"/>
        <w:rPr>
          <w:rFonts w:ascii="Arial" w:hAnsi="Arial" w:cs="Arial"/>
          <w:lang w:val="fr-FR"/>
        </w:rPr>
      </w:pPr>
      <w:bookmarkStart w:id="80" w:name="_ftnref2"/>
      <w:bookmarkStart w:id="81" w:name="_Toc36049249"/>
      <w:bookmarkStart w:id="82" w:name="_Toc86329793"/>
      <w:bookmarkEnd w:id="80"/>
      <w:r w:rsidRPr="00F240BE">
        <w:rPr>
          <w:rFonts w:ascii="Arial" w:hAnsi="Arial" w:cs="Arial"/>
          <w:lang w:val="fr-FR"/>
        </w:rPr>
        <w:lastRenderedPageBreak/>
        <w:t xml:space="preserve">VIII. </w:t>
      </w:r>
      <w:bookmarkEnd w:id="81"/>
      <w:r w:rsidRPr="00F240BE">
        <w:rPr>
          <w:rFonts w:ascii="Arial" w:hAnsi="Arial" w:cs="Arial"/>
          <w:lang w:val="fr-FR"/>
        </w:rPr>
        <w:t>RÈGLEMENT AMIABLE</w:t>
      </w:r>
      <w:bookmarkEnd w:id="82"/>
      <w:r w:rsidRPr="00F240BE">
        <w:rPr>
          <w:rFonts w:ascii="Arial" w:hAnsi="Arial" w:cs="Arial"/>
          <w:lang w:val="fr-FR"/>
        </w:rPr>
        <w:t xml:space="preserve"> </w:t>
      </w:r>
    </w:p>
    <w:p w14:paraId="11DB69C7" w14:textId="77777777" w:rsidR="00F331F8" w:rsidRPr="00720D91" w:rsidRDefault="00F331F8" w:rsidP="00971933">
      <w:pPr>
        <w:pStyle w:val="Heading2"/>
        <w:spacing w:line="240" w:lineRule="auto"/>
        <w:ind w:firstLine="720"/>
        <w:rPr>
          <w:rFonts w:cs="Arial"/>
          <w:bCs w:val="0"/>
          <w:iCs/>
          <w:color w:val="17365D" w:themeColor="text2" w:themeShade="BF"/>
          <w:sz w:val="22"/>
          <w:szCs w:val="22"/>
          <w:lang w:val="fr-FR"/>
        </w:rPr>
      </w:pPr>
      <w:bookmarkStart w:id="83" w:name="_Toc86329794"/>
      <w:r w:rsidRPr="00720D91">
        <w:rPr>
          <w:rFonts w:cs="Arial"/>
          <w:bCs w:val="0"/>
          <w:iCs/>
          <w:color w:val="17365D" w:themeColor="text2" w:themeShade="BF"/>
          <w:sz w:val="22"/>
          <w:szCs w:val="22"/>
          <w:lang w:val="fr-FR"/>
        </w:rPr>
        <w:t>1. La pratique de la Cour et possibilités de développement ultérieur</w:t>
      </w:r>
      <w:bookmarkEnd w:id="83"/>
      <w:r w:rsidRPr="00720D91">
        <w:rPr>
          <w:rFonts w:cs="Arial"/>
          <w:bCs w:val="0"/>
          <w:iCs/>
          <w:color w:val="17365D" w:themeColor="text2" w:themeShade="BF"/>
          <w:sz w:val="22"/>
          <w:szCs w:val="22"/>
          <w:lang w:val="fr-FR"/>
        </w:rPr>
        <w:t xml:space="preserve"> </w:t>
      </w:r>
    </w:p>
    <w:p w14:paraId="2975B6D5" w14:textId="77777777" w:rsidR="00F331F8" w:rsidRPr="00720D91" w:rsidRDefault="00F331F8" w:rsidP="00971933">
      <w:pPr>
        <w:pStyle w:val="NoSpacing"/>
        <w:jc w:val="both"/>
        <w:rPr>
          <w:rFonts w:ascii="Arial" w:hAnsi="Arial" w:cs="Arial"/>
          <w:sz w:val="22"/>
          <w:szCs w:val="22"/>
        </w:rPr>
      </w:pPr>
    </w:p>
    <w:p w14:paraId="23F3E46B" w14:textId="7D3E7ED7" w:rsidR="00F331F8" w:rsidRPr="00720D91" w:rsidRDefault="00F331F8" w:rsidP="00971933">
      <w:pPr>
        <w:pStyle w:val="NoSpacing"/>
        <w:ind w:firstLine="284"/>
        <w:jc w:val="both"/>
        <w:rPr>
          <w:rFonts w:ascii="Arial" w:hAnsi="Arial" w:cs="Arial"/>
          <w:sz w:val="22"/>
          <w:szCs w:val="22"/>
        </w:rPr>
      </w:pPr>
      <w:r w:rsidRPr="00720D91">
        <w:rPr>
          <w:rFonts w:ascii="Arial" w:hAnsi="Arial" w:cs="Arial"/>
          <w:sz w:val="22"/>
          <w:szCs w:val="22"/>
        </w:rPr>
        <w:t>11</w:t>
      </w:r>
      <w:r w:rsidR="00F240BE">
        <w:rPr>
          <w:rFonts w:ascii="Arial" w:hAnsi="Arial" w:cs="Arial"/>
          <w:sz w:val="22"/>
          <w:szCs w:val="22"/>
        </w:rPr>
        <w:t>9</w:t>
      </w:r>
      <w:r w:rsidRPr="00720D91">
        <w:rPr>
          <w:rFonts w:ascii="Arial" w:hAnsi="Arial" w:cs="Arial"/>
          <w:sz w:val="22"/>
          <w:szCs w:val="22"/>
        </w:rPr>
        <w:t>. La Cour peut à tout moment de la procédure, en vertu de l'article 39 de la Convention, se mettre à la disposition des parties concernées en vue d'obtenir un règlement amiable de l'affaire sur la base du respect des droits de l'homme tels que définis dans la Convention et ses Protocoles. La Cour ne raye pas automatiquement une affaire du rôle lorsqu'un règlement amiable a été trouvé. Elle peut en effet décider, en vertu de l'article 37 § 1 de la Convention, de poursuivre l'examen de la requête si le respect des droits de l'homme tels que définis dans la Convention et ses Protocoles l'exige. Le système de la Convention a pour mission, outre le redressement individuel, de « trancher des questions d'ordre public dans l'intérêt commun, élevant ainsi le niveau général de protection des droits de l'homme et étendant la jurisprudence en matière de droits de l'homme à l'ensemble de la communauté des États parties à la Convention ».</w:t>
      </w:r>
      <w:r w:rsidRPr="00720D91">
        <w:rPr>
          <w:rStyle w:val="FootnoteReference"/>
          <w:rFonts w:ascii="Arial" w:hAnsi="Arial" w:cs="Arial"/>
          <w:sz w:val="22"/>
          <w:szCs w:val="22"/>
        </w:rPr>
        <w:footnoteReference w:id="227"/>
      </w:r>
      <w:r w:rsidRPr="00720D91">
        <w:rPr>
          <w:rFonts w:ascii="Arial" w:hAnsi="Arial" w:cs="Arial"/>
          <w:sz w:val="22"/>
          <w:szCs w:val="22"/>
        </w:rPr>
        <w:t xml:space="preserve"> La Cour peut toutefois se satisfaire du contenu d'un accord de règlement amiable, même lorsque l'État  défendeur ne reconnaît pas explicitement une violation de la Convention dans le cas d'espèce, si elle considère qu'elle a précisé la nature et la portée des obligations de l'État  défendeur dans des arrêts antérieurs concernant des questions similaires.</w:t>
      </w:r>
      <w:r w:rsidRPr="00720D91">
        <w:rPr>
          <w:rStyle w:val="FootnoteReference"/>
          <w:rFonts w:ascii="Arial" w:hAnsi="Arial" w:cs="Arial"/>
          <w:sz w:val="22"/>
          <w:szCs w:val="22"/>
        </w:rPr>
        <w:footnoteReference w:id="228"/>
      </w:r>
    </w:p>
    <w:p w14:paraId="5E8EAAF2" w14:textId="77777777" w:rsidR="00F331F8" w:rsidRPr="00720D91" w:rsidRDefault="00F331F8" w:rsidP="00971933">
      <w:pPr>
        <w:pStyle w:val="NoSpacing"/>
        <w:jc w:val="both"/>
        <w:rPr>
          <w:rFonts w:ascii="Arial" w:hAnsi="Arial" w:cs="Arial"/>
          <w:sz w:val="22"/>
          <w:szCs w:val="22"/>
        </w:rPr>
      </w:pPr>
    </w:p>
    <w:p w14:paraId="2240EA18" w14:textId="1DB49C12" w:rsidR="00F331F8" w:rsidRPr="00720D91" w:rsidRDefault="00F331F8" w:rsidP="00971933">
      <w:pPr>
        <w:pStyle w:val="NoSpacing"/>
        <w:ind w:firstLine="284"/>
        <w:jc w:val="both"/>
        <w:rPr>
          <w:rFonts w:ascii="Arial" w:hAnsi="Arial" w:cs="Arial"/>
          <w:sz w:val="22"/>
          <w:szCs w:val="22"/>
        </w:rPr>
      </w:pPr>
      <w:r w:rsidRPr="00720D91">
        <w:rPr>
          <w:rFonts w:ascii="Arial" w:hAnsi="Arial" w:cs="Arial"/>
          <w:sz w:val="22"/>
          <w:szCs w:val="22"/>
        </w:rPr>
        <w:t>1</w:t>
      </w:r>
      <w:r w:rsidR="00F240BE">
        <w:rPr>
          <w:rFonts w:ascii="Arial" w:hAnsi="Arial" w:cs="Arial"/>
          <w:sz w:val="22"/>
          <w:szCs w:val="22"/>
        </w:rPr>
        <w:t>20</w:t>
      </w:r>
      <w:r w:rsidRPr="00720D91">
        <w:rPr>
          <w:rFonts w:ascii="Arial" w:hAnsi="Arial" w:cs="Arial"/>
          <w:sz w:val="22"/>
          <w:szCs w:val="22"/>
        </w:rPr>
        <w:t xml:space="preserve">. Les procédures menées dans le cadre d'un règlement amiable sont confidentielles. Si un règlement amiable est conclu et que la Cour décide de rayer l'affaire du rôle par une décision, celle-ci se limite à un bref exposé des faits et de la solution trouvée. La décision est transmise au Comité des Ministres, qui surveille l'exécution des termes du règlement amiable tels qu'ils figurent dans la </w:t>
      </w:r>
      <w:r w:rsidRPr="00720D91">
        <w:rPr>
          <w:rFonts w:ascii="Arial" w:hAnsi="Arial" w:cs="Arial"/>
          <w:sz w:val="22"/>
          <w:szCs w:val="22"/>
          <w:shd w:val="clear" w:color="auto" w:fill="FFFFFF" w:themeFill="background1"/>
        </w:rPr>
        <w:t>décision. Normalement, dans les requêtes individuelles, le</w:t>
      </w:r>
      <w:r w:rsidRPr="00720D91">
        <w:rPr>
          <w:rFonts w:ascii="Arial" w:hAnsi="Arial" w:cs="Arial"/>
          <w:sz w:val="22"/>
          <w:szCs w:val="22"/>
        </w:rPr>
        <w:t xml:space="preserve"> greffier entre en contact avec les parties en vue d'obtenir un règlement amiable dès qu'une requête a été déclarée recevable. </w:t>
      </w:r>
      <w:r w:rsidRPr="00720D91">
        <w:rPr>
          <w:rFonts w:ascii="Arial" w:eastAsiaTheme="minorHAnsi" w:hAnsi="Arial" w:cs="Arial"/>
          <w:color w:val="000000"/>
          <w:sz w:val="22"/>
          <w:szCs w:val="22"/>
          <w:lang w:eastAsia="en-US"/>
        </w:rPr>
        <w:t>Les négociations de règlement amiable sont confidentielles et sans préjudice des arguments des parties dans la procédure contentieuse. Aucune communication écrite ou orale, aucune offre ou concession faite dans le cadre de la tentative de règlement amiable ne peut être mentionnée ou invoquée dans la procédure contentieuse.</w:t>
      </w:r>
      <w:r w:rsidRPr="00720D91">
        <w:rPr>
          <w:rStyle w:val="FootnoteReference"/>
          <w:rFonts w:ascii="Arial" w:eastAsiaTheme="minorHAnsi" w:hAnsi="Arial" w:cs="Arial"/>
          <w:color w:val="000000"/>
          <w:sz w:val="22"/>
          <w:szCs w:val="22"/>
          <w:lang w:val="en-US" w:eastAsia="en-US"/>
        </w:rPr>
        <w:footnoteReference w:id="229"/>
      </w:r>
      <w:r w:rsidRPr="00720D91">
        <w:rPr>
          <w:rFonts w:ascii="Arial" w:eastAsiaTheme="minorHAnsi" w:hAnsi="Arial" w:cs="Arial"/>
          <w:color w:val="000000"/>
          <w:sz w:val="22"/>
          <w:szCs w:val="22"/>
          <w:lang w:eastAsia="en-US"/>
        </w:rPr>
        <w:t xml:space="preserve"> </w:t>
      </w:r>
      <w:r w:rsidRPr="00720D91">
        <w:rPr>
          <w:rFonts w:ascii="Arial" w:hAnsi="Arial" w:cs="Arial"/>
          <w:sz w:val="22"/>
          <w:szCs w:val="22"/>
        </w:rPr>
        <w:t xml:space="preserve">Toute violation de la confidentialité de la part du demandeur peut entraîner l'irrecevabilité de l'affaire pour abus du droit de recours. </w:t>
      </w:r>
      <w:r w:rsidRPr="00720D91">
        <w:rPr>
          <w:rStyle w:val="FootnoteReference"/>
          <w:rFonts w:ascii="Arial" w:hAnsi="Arial" w:cs="Arial"/>
          <w:sz w:val="22"/>
          <w:szCs w:val="22"/>
        </w:rPr>
        <w:footnoteReference w:id="230"/>
      </w:r>
    </w:p>
    <w:p w14:paraId="2F616EF1" w14:textId="77777777" w:rsidR="00F331F8" w:rsidRPr="00720D91" w:rsidRDefault="00F331F8" w:rsidP="00971933">
      <w:pPr>
        <w:pStyle w:val="NoSpacing"/>
        <w:jc w:val="both"/>
        <w:rPr>
          <w:rFonts w:ascii="Arial" w:hAnsi="Arial" w:cs="Arial"/>
          <w:sz w:val="22"/>
          <w:szCs w:val="22"/>
        </w:rPr>
      </w:pPr>
    </w:p>
    <w:p w14:paraId="47E9CD52" w14:textId="47DAC895" w:rsidR="00F331F8" w:rsidRPr="00720D91" w:rsidRDefault="00F331F8" w:rsidP="00971933">
      <w:pPr>
        <w:pStyle w:val="NoSpacing"/>
        <w:ind w:firstLine="284"/>
        <w:jc w:val="both"/>
        <w:rPr>
          <w:rFonts w:ascii="Arial" w:hAnsi="Arial" w:cs="Arial"/>
          <w:sz w:val="22"/>
          <w:szCs w:val="22"/>
        </w:rPr>
      </w:pPr>
      <w:r w:rsidRPr="00720D91">
        <w:rPr>
          <w:rFonts w:ascii="Arial" w:hAnsi="Arial" w:cs="Arial"/>
          <w:sz w:val="22"/>
          <w:szCs w:val="22"/>
        </w:rPr>
        <w:t>1</w:t>
      </w:r>
      <w:r w:rsidR="00394753">
        <w:rPr>
          <w:rFonts w:ascii="Arial" w:hAnsi="Arial" w:cs="Arial"/>
          <w:sz w:val="22"/>
          <w:szCs w:val="22"/>
        </w:rPr>
        <w:t>2</w:t>
      </w:r>
      <w:r w:rsidR="00F240BE">
        <w:rPr>
          <w:rFonts w:ascii="Arial" w:hAnsi="Arial" w:cs="Arial"/>
          <w:sz w:val="22"/>
          <w:szCs w:val="22"/>
        </w:rPr>
        <w:t>1</w:t>
      </w:r>
      <w:r w:rsidRPr="00720D91">
        <w:rPr>
          <w:rFonts w:ascii="Arial" w:hAnsi="Arial" w:cs="Arial"/>
          <w:sz w:val="22"/>
          <w:szCs w:val="22"/>
        </w:rPr>
        <w:t xml:space="preserve">. En 2020, 1375 requêtes individuelles ont été rayées du rôle par une chambre ou un comité, dans une décision faisant suite à un règlement amiable ce qui représente une diminution de 19% par rapport à 2019 (1668). </w:t>
      </w:r>
      <w:r w:rsidRPr="00720D91">
        <w:rPr>
          <w:rStyle w:val="FootnoteReference"/>
          <w:rFonts w:ascii="Arial" w:hAnsi="Arial" w:cs="Arial"/>
          <w:sz w:val="22"/>
          <w:szCs w:val="22"/>
        </w:rPr>
        <w:footnoteReference w:id="231"/>
      </w:r>
    </w:p>
    <w:p w14:paraId="6F769E59" w14:textId="77777777" w:rsidR="00F331F8" w:rsidRPr="00720D91" w:rsidRDefault="00F331F8" w:rsidP="00971933">
      <w:pPr>
        <w:pStyle w:val="NoSpacing"/>
        <w:jc w:val="both"/>
        <w:rPr>
          <w:rFonts w:ascii="Arial" w:hAnsi="Arial" w:cs="Arial"/>
          <w:sz w:val="22"/>
          <w:szCs w:val="22"/>
        </w:rPr>
      </w:pPr>
    </w:p>
    <w:p w14:paraId="34A5BB30" w14:textId="559B1958" w:rsidR="00F331F8" w:rsidRPr="00720D91" w:rsidRDefault="00F331F8" w:rsidP="00971933">
      <w:pPr>
        <w:pStyle w:val="NoSpacing"/>
        <w:ind w:firstLine="284"/>
        <w:jc w:val="both"/>
        <w:rPr>
          <w:rFonts w:ascii="Arial" w:hAnsi="Arial" w:cs="Arial"/>
          <w:sz w:val="22"/>
          <w:szCs w:val="22"/>
        </w:rPr>
      </w:pPr>
      <w:r w:rsidRPr="00720D91">
        <w:rPr>
          <w:rFonts w:ascii="Arial" w:hAnsi="Arial" w:cs="Arial"/>
          <w:sz w:val="22"/>
          <w:szCs w:val="22"/>
        </w:rPr>
        <w:t>12</w:t>
      </w:r>
      <w:r w:rsidR="00F240BE">
        <w:rPr>
          <w:rFonts w:ascii="Arial" w:hAnsi="Arial" w:cs="Arial"/>
          <w:sz w:val="22"/>
          <w:szCs w:val="22"/>
        </w:rPr>
        <w:t>2</w:t>
      </w:r>
      <w:r w:rsidRPr="00720D91">
        <w:rPr>
          <w:rFonts w:ascii="Arial" w:hAnsi="Arial" w:cs="Arial"/>
          <w:sz w:val="22"/>
          <w:szCs w:val="22"/>
        </w:rPr>
        <w:t xml:space="preserve">. En ce qui concerne plus particulièrement les procédures interétatiques, il convient de noter qu'un certain nombre d'entre elles ont été clôturées à la suite d'accords politiques ou de règlements conclus par les parties. Ces affaires remontent à l'époque où la Commission opérait. Dans l'affaire </w:t>
      </w:r>
      <w:r w:rsidRPr="00720D91">
        <w:rPr>
          <w:rFonts w:ascii="Arial" w:hAnsi="Arial" w:cs="Arial"/>
          <w:i/>
          <w:sz w:val="22"/>
          <w:szCs w:val="22"/>
        </w:rPr>
        <w:t>Grèce c. Royaume-Uni (I)</w:t>
      </w:r>
      <w:r w:rsidRPr="00720D91">
        <w:rPr>
          <w:rFonts w:ascii="Arial" w:hAnsi="Arial" w:cs="Arial"/>
          <w:sz w:val="22"/>
          <w:szCs w:val="22"/>
        </w:rPr>
        <w:t xml:space="preserve">, la Sous-commission a invité les Parties à examiner les </w:t>
      </w:r>
      <w:r w:rsidRPr="00720D91">
        <w:rPr>
          <w:rFonts w:ascii="Arial" w:hAnsi="Arial" w:cs="Arial"/>
          <w:sz w:val="22"/>
          <w:szCs w:val="22"/>
        </w:rPr>
        <w:lastRenderedPageBreak/>
        <w:t>possibilités d'un règlement amiable, conformément à l'article 28 § b) (actuel article 39) de la Convention, mais ces efforts n'ont pas abouti.</w:t>
      </w:r>
      <w:r w:rsidRPr="00720D91">
        <w:rPr>
          <w:rStyle w:val="FootnoteReference"/>
          <w:rFonts w:ascii="Arial" w:hAnsi="Arial" w:cs="Arial"/>
          <w:sz w:val="22"/>
          <w:szCs w:val="22"/>
          <w:lang w:val="en-US"/>
        </w:rPr>
        <w:footnoteReference w:id="232"/>
      </w:r>
      <w:r w:rsidRPr="00720D91">
        <w:rPr>
          <w:rFonts w:ascii="Arial" w:hAnsi="Arial" w:cs="Arial"/>
          <w:sz w:val="22"/>
          <w:szCs w:val="22"/>
        </w:rPr>
        <w:t xml:space="preserve"> Dans son rapport établi en vertu de l'ancien article 31 § 3 de la Convention, la Commission a déclaré qu'à la suite de ses diverses décisions, la question de la formulation de propositions spécifiques en vue de remédier à toute violation de la Convention ne se pose pas dans le cas concret.</w:t>
      </w:r>
      <w:r w:rsidRPr="00720D91">
        <w:rPr>
          <w:rStyle w:val="FootnoteReference"/>
          <w:rFonts w:ascii="Arial" w:hAnsi="Arial" w:cs="Arial"/>
          <w:sz w:val="22"/>
          <w:szCs w:val="22"/>
          <w:lang w:val="en-US"/>
        </w:rPr>
        <w:footnoteReference w:id="233"/>
      </w:r>
      <w:r w:rsidRPr="00720D91">
        <w:rPr>
          <w:rFonts w:ascii="Arial" w:hAnsi="Arial" w:cs="Arial"/>
          <w:sz w:val="22"/>
          <w:szCs w:val="22"/>
        </w:rPr>
        <w:t xml:space="preserve"> La Commission a noté que la pleine jouissance des droits de l'homme à Chypre est étroitement liée à la solution des problèmes politiques plus larges relatifs au statut constitutionnel de l'île. Une fois ces problèmes politiques résolus, aucune raison ne devrait subsister pour ne pas donner effet aux droits de l'homme et à la liberté à Chypre. Certains des facteurs que la Commission a considérés comme constituant un danger public menaçant la vie de la nation au sens de l'article 15 de la Convention semblent également être à l'origine des divergences politiques plus larges. La Commission a conclu en exprimant la ferme conviction que le Comité des Ministres du Conseil de l'Europe ne pouvait pas contribuer davantage à rétablir la pleine et entière jouissance des droits de l'homme à Chypre qu'en prêtant son concours à la promotion d'un règlement du problème chypriote dans tous ses aspects, conformément à l'esprit d'une véritable démocratie. Le rapport a ensuite été transmis au </w:t>
      </w:r>
      <w:r w:rsidRPr="00720D91">
        <w:rPr>
          <w:rFonts w:ascii="Arial" w:hAnsi="Arial" w:cs="Arial"/>
          <w:color w:val="000000" w:themeColor="text1"/>
          <w:sz w:val="22"/>
          <w:szCs w:val="22"/>
        </w:rPr>
        <w:t xml:space="preserve">Comité des Ministres qui, ayant pris note du règlement définitif de la question chypriote intervenu depuis lors, a décidé qu'aucune autre action n'était nécessaire. </w:t>
      </w:r>
      <w:r w:rsidRPr="00720D91">
        <w:rPr>
          <w:rStyle w:val="FootnoteReference"/>
          <w:rFonts w:ascii="Arial" w:hAnsi="Arial" w:cs="Arial"/>
          <w:color w:val="000000" w:themeColor="text1"/>
          <w:sz w:val="22"/>
          <w:szCs w:val="22"/>
          <w:lang w:val="en-US"/>
        </w:rPr>
        <w:footnoteReference w:id="234"/>
      </w:r>
    </w:p>
    <w:p w14:paraId="550AE7D8" w14:textId="77777777" w:rsidR="00F331F8" w:rsidRPr="00720D91" w:rsidRDefault="00F331F8" w:rsidP="00971933">
      <w:pPr>
        <w:pStyle w:val="NoSpacing"/>
        <w:jc w:val="both"/>
        <w:rPr>
          <w:rFonts w:ascii="Arial" w:hAnsi="Arial" w:cs="Arial"/>
          <w:sz w:val="22"/>
          <w:szCs w:val="22"/>
        </w:rPr>
      </w:pPr>
    </w:p>
    <w:p w14:paraId="1E6D2748" w14:textId="3462ECA2" w:rsidR="00F331F8" w:rsidRPr="00720D91" w:rsidRDefault="00F331F8" w:rsidP="00971933">
      <w:pPr>
        <w:pStyle w:val="NoSpacing"/>
        <w:ind w:firstLine="284"/>
        <w:jc w:val="both"/>
        <w:rPr>
          <w:rFonts w:ascii="Arial" w:hAnsi="Arial"/>
          <w:sz w:val="22"/>
          <w:szCs w:val="22"/>
        </w:rPr>
      </w:pPr>
      <w:r w:rsidRPr="00720D91">
        <w:rPr>
          <w:rFonts w:ascii="Arial" w:hAnsi="Arial" w:cs="Arial"/>
          <w:sz w:val="22"/>
          <w:szCs w:val="22"/>
        </w:rPr>
        <w:t>12</w:t>
      </w:r>
      <w:r w:rsidR="00F240BE">
        <w:rPr>
          <w:rFonts w:ascii="Arial" w:hAnsi="Arial" w:cs="Arial"/>
          <w:sz w:val="22"/>
          <w:szCs w:val="22"/>
        </w:rPr>
        <w:t>3</w:t>
      </w:r>
      <w:r w:rsidRPr="00720D91">
        <w:rPr>
          <w:rFonts w:ascii="Arial" w:hAnsi="Arial" w:cs="Arial"/>
          <w:sz w:val="22"/>
          <w:szCs w:val="22"/>
        </w:rPr>
        <w:t xml:space="preserve">. Dans l'affaire </w:t>
      </w:r>
      <w:r w:rsidRPr="00720D91">
        <w:rPr>
          <w:rFonts w:ascii="Arial" w:hAnsi="Arial"/>
          <w:i/>
          <w:iCs/>
          <w:color w:val="000000" w:themeColor="text1"/>
          <w:sz w:val="22"/>
          <w:szCs w:val="22"/>
        </w:rPr>
        <w:t xml:space="preserve">Grèce c. Royaume-Uni </w:t>
      </w:r>
      <w:r w:rsidRPr="00720D91">
        <w:rPr>
          <w:rFonts w:ascii="Arial" w:hAnsi="Arial"/>
          <w:color w:val="000000" w:themeColor="text1"/>
          <w:sz w:val="22"/>
          <w:szCs w:val="22"/>
        </w:rPr>
        <w:t>(II)</w:t>
      </w:r>
      <w:r w:rsidRPr="00720D91">
        <w:rPr>
          <w:rStyle w:val="FootnoteReference"/>
          <w:rFonts w:ascii="Arial" w:hAnsi="Arial"/>
          <w:sz w:val="22"/>
          <w:szCs w:val="22"/>
          <w:lang w:val="en-US"/>
        </w:rPr>
        <w:footnoteReference w:id="235"/>
      </w:r>
      <w:r w:rsidRPr="00720D91">
        <w:rPr>
          <w:rFonts w:ascii="Arial" w:hAnsi="Arial"/>
          <w:color w:val="000000" w:themeColor="text1"/>
          <w:sz w:val="22"/>
          <w:szCs w:val="22"/>
        </w:rPr>
        <w:t xml:space="preserve"> </w:t>
      </w:r>
      <w:r w:rsidRPr="00720D91">
        <w:rPr>
          <w:rFonts w:ascii="Arial" w:hAnsi="Arial"/>
          <w:sz w:val="22"/>
          <w:szCs w:val="22"/>
        </w:rPr>
        <w:t>la Commission a finalisé son rapport en indiquant que l'affaire ne semblait pas relever exactement de l'ancien article 30 ou de l'article 31 de la Convention. Avant la fin de l'examen de la requête, la Grèce et le Royaume-Uni, agissant de concert, ont demandé à la Commission d'autoriser la clôture de la procédure en raison « d'un changement fondamental dans la situation de l'île par la conclusion de l'Accord de Zurich et de Londres pour le règlement définitif du problème de Chypre ». Eu égard à la demande des Parties et notamment à l'importance du règlement politique intervenu à Zurich et à Londres comme moyen de rendre au peuple chypriote la pleine et parfaite jouissance de ses droits et libertés, et eu égard aux informations reçues selon lesquelles les dispositions de la Convention sont à nouveau pleinement exécutées à Chypre, la Commission a décidé de clore la procédure et de faire rapport de cette décision au Comité des Ministres.</w:t>
      </w:r>
      <w:r w:rsidRPr="00720D91">
        <w:rPr>
          <w:rStyle w:val="FootnoteReference"/>
          <w:rFonts w:ascii="Arial" w:hAnsi="Arial"/>
          <w:sz w:val="22"/>
          <w:szCs w:val="22"/>
          <w:lang w:val="en-US"/>
        </w:rPr>
        <w:footnoteReference w:id="236"/>
      </w:r>
      <w:r w:rsidRPr="00720D91">
        <w:rPr>
          <w:rFonts w:ascii="Arial" w:hAnsi="Arial"/>
          <w:sz w:val="22"/>
          <w:szCs w:val="22"/>
        </w:rPr>
        <w:t xml:space="preserve"> Le rapport de la Commission a été rendu public par le Comité des Ministres en 2006.</w:t>
      </w:r>
      <w:r w:rsidRPr="00720D91">
        <w:rPr>
          <w:rStyle w:val="FootnoteReference"/>
          <w:rFonts w:ascii="Arial" w:hAnsi="Arial"/>
          <w:sz w:val="22"/>
          <w:szCs w:val="22"/>
          <w:lang w:val="en-US"/>
        </w:rPr>
        <w:footnoteReference w:id="237"/>
      </w:r>
      <w:r w:rsidRPr="00720D91">
        <w:rPr>
          <w:rFonts w:ascii="Arial" w:hAnsi="Arial"/>
          <w:sz w:val="22"/>
          <w:szCs w:val="22"/>
        </w:rPr>
        <w:t xml:space="preserve"> Le Comité des Ministres, ayant pris note des raisons pour lesquelles la Commission, à la demande des Parties, a décidé de clore la procédure sans entrer dans le fond de la demande, eu égard, en particulier, aux Accords de Zurich et de Londres pour le règlement définitif du problème de Chypre, a décidé qu'aucune autre action n'était requise. </w:t>
      </w:r>
      <w:r w:rsidRPr="00720D91">
        <w:rPr>
          <w:rStyle w:val="FootnoteReference"/>
          <w:rFonts w:ascii="Arial" w:hAnsi="Arial"/>
          <w:bCs/>
          <w:sz w:val="22"/>
          <w:szCs w:val="22"/>
        </w:rPr>
        <w:footnoteReference w:id="238"/>
      </w:r>
    </w:p>
    <w:p w14:paraId="5C88B884" w14:textId="77777777" w:rsidR="00F331F8" w:rsidRPr="00720D91" w:rsidRDefault="00F331F8" w:rsidP="00971933">
      <w:pPr>
        <w:pStyle w:val="NoSpacing"/>
        <w:rPr>
          <w:sz w:val="22"/>
          <w:szCs w:val="22"/>
        </w:rPr>
      </w:pPr>
    </w:p>
    <w:p w14:paraId="041B851C" w14:textId="37D56947" w:rsidR="00F331F8" w:rsidRPr="00720D91" w:rsidRDefault="00F331F8" w:rsidP="00971933">
      <w:pPr>
        <w:pStyle w:val="CommentText"/>
        <w:ind w:firstLine="284"/>
        <w:jc w:val="both"/>
        <w:rPr>
          <w:rFonts w:ascii="&amp;quot" w:eastAsia="Times New Roman" w:hAnsi="&amp;quot"/>
          <w:bCs/>
          <w:color w:val="333333"/>
          <w:sz w:val="22"/>
          <w:szCs w:val="22"/>
          <w:lang w:val="fr-FR"/>
        </w:rPr>
      </w:pPr>
      <w:r w:rsidRPr="00720D91">
        <w:rPr>
          <w:rFonts w:ascii="Arial" w:eastAsia="Times New Roman" w:hAnsi="Arial"/>
          <w:sz w:val="22"/>
          <w:szCs w:val="22"/>
          <w:lang w:val="fr-FR"/>
        </w:rPr>
        <w:t>12</w:t>
      </w:r>
      <w:r w:rsidR="00F240BE">
        <w:rPr>
          <w:rFonts w:ascii="Arial" w:eastAsia="Times New Roman" w:hAnsi="Arial"/>
          <w:sz w:val="22"/>
          <w:szCs w:val="22"/>
          <w:lang w:val="fr-FR"/>
        </w:rPr>
        <w:t>4</w:t>
      </w:r>
      <w:r w:rsidRPr="00720D91">
        <w:rPr>
          <w:rFonts w:ascii="Arial" w:eastAsia="Times New Roman" w:hAnsi="Arial"/>
          <w:sz w:val="22"/>
          <w:szCs w:val="22"/>
          <w:lang w:val="fr-FR"/>
        </w:rPr>
        <w:t xml:space="preserve">. Une </w:t>
      </w:r>
      <w:r w:rsidRPr="00720D91">
        <w:rPr>
          <w:rFonts w:ascii="Arial" w:hAnsi="Arial"/>
          <w:sz w:val="22"/>
          <w:szCs w:val="22"/>
          <w:lang w:val="fr-FR"/>
        </w:rPr>
        <w:t xml:space="preserve">autre affaire a été réglée par les Parties, à savoir la requête introduite par le </w:t>
      </w:r>
      <w:r w:rsidRPr="00720D91">
        <w:rPr>
          <w:rFonts w:ascii="Arial" w:hAnsi="Arial"/>
          <w:i/>
          <w:sz w:val="22"/>
          <w:szCs w:val="22"/>
          <w:lang w:val="fr-FR"/>
        </w:rPr>
        <w:t>Danemark, la Norvège, la Suède contre la Grèce (la deuxième affaire grecque)</w:t>
      </w:r>
      <w:r w:rsidRPr="00720D91">
        <w:rPr>
          <w:rFonts w:ascii="Arial" w:hAnsi="Arial"/>
          <w:sz w:val="22"/>
          <w:szCs w:val="22"/>
          <w:lang w:val="fr-FR"/>
        </w:rPr>
        <w:t xml:space="preserve">. Cette affaire concerne les poursuites pénales engagées contre 34 personnes accusées d'activités subversives et le procès subséquent devant la cour martiale extraordinaire, pendant la dictature militaire. Les gouvernements requérants alléguaient des violations des articles 3 et 6 de la </w:t>
      </w:r>
      <w:r w:rsidRPr="00720D91">
        <w:rPr>
          <w:rFonts w:ascii="Arial" w:hAnsi="Arial"/>
          <w:sz w:val="22"/>
          <w:szCs w:val="22"/>
          <w:lang w:val="fr-FR"/>
        </w:rPr>
        <w:lastRenderedPageBreak/>
        <w:t>Convention.</w:t>
      </w:r>
      <w:r w:rsidRPr="00720D91">
        <w:rPr>
          <w:rStyle w:val="FootnoteReference"/>
          <w:rFonts w:ascii="Arial" w:hAnsi="Arial"/>
          <w:sz w:val="22"/>
          <w:szCs w:val="22"/>
          <w:lang w:val="en-US"/>
        </w:rPr>
        <w:footnoteReference w:id="239"/>
      </w:r>
      <w:r w:rsidRPr="00720D91">
        <w:rPr>
          <w:rFonts w:ascii="Arial" w:hAnsi="Arial"/>
          <w:sz w:val="22"/>
          <w:szCs w:val="22"/>
          <w:lang w:val="fr-FR"/>
        </w:rPr>
        <w:t xml:space="preserve"> A la suite de la dénonciation de la Convection par la Grèce et de la cessation de sa qualité de Partie à la Convention le 13 juin 1970, la Commission a déclaré qu'elle ne pouvait poursuivre ses fonctions de manière adéquate. Le Comité des Ministres a pris note du rapport de la Commission en 1971. Toutefois, le 28 novembre 1974, après le rétablissement de la démocratie, la Grèce a réintégré le Conseil de l'Europe et est redevenue Partie contractante. Par la suite, toutes les Parties ont demandé à la Commission de clore la procédure. Les gouvernements requérants ont présumé que toutes les personnes concernées n'étaient plus détenues ou emprisonnées. La Commission a donc décidé d'accéder aux demandes concordantes des Parties de clore la procédure et de rayer la requête de son rôle. </w:t>
      </w:r>
      <w:r w:rsidRPr="00720D91">
        <w:rPr>
          <w:rStyle w:val="FootnoteReference"/>
          <w:rFonts w:ascii="Arial" w:hAnsi="Arial"/>
          <w:sz w:val="22"/>
          <w:szCs w:val="22"/>
          <w:lang w:val="en-US"/>
        </w:rPr>
        <w:footnoteReference w:id="240"/>
      </w:r>
    </w:p>
    <w:p w14:paraId="2ECE3EE4" w14:textId="27D1FABF" w:rsidR="00F331F8" w:rsidRPr="00720D91" w:rsidRDefault="00F331F8" w:rsidP="00971933">
      <w:pPr>
        <w:pStyle w:val="CommentText"/>
        <w:ind w:firstLine="284"/>
        <w:jc w:val="both"/>
        <w:rPr>
          <w:rFonts w:ascii="Arial" w:hAnsi="Arial"/>
          <w:sz w:val="22"/>
          <w:szCs w:val="22"/>
          <w:lang w:val="fr-FR"/>
        </w:rPr>
      </w:pPr>
      <w:r w:rsidRPr="00720D91">
        <w:rPr>
          <w:rFonts w:ascii="Arial" w:eastAsia="Times New Roman" w:hAnsi="Arial"/>
          <w:sz w:val="22"/>
          <w:szCs w:val="22"/>
          <w:lang w:val="fr-FR"/>
        </w:rPr>
        <w:t>12</w:t>
      </w:r>
      <w:r w:rsidR="00F240BE">
        <w:rPr>
          <w:rFonts w:ascii="Arial" w:eastAsia="Times New Roman" w:hAnsi="Arial"/>
          <w:sz w:val="22"/>
          <w:szCs w:val="22"/>
          <w:lang w:val="fr-FR"/>
        </w:rPr>
        <w:t>5</w:t>
      </w:r>
      <w:r w:rsidRPr="00720D91">
        <w:rPr>
          <w:rFonts w:ascii="Arial" w:eastAsia="Times New Roman" w:hAnsi="Arial"/>
          <w:sz w:val="22"/>
          <w:szCs w:val="22"/>
          <w:lang w:val="fr-FR"/>
        </w:rPr>
        <w:t xml:space="preserve">. </w:t>
      </w:r>
      <w:r w:rsidRPr="00720D91">
        <w:rPr>
          <w:rFonts w:ascii="Arial" w:hAnsi="Arial"/>
          <w:sz w:val="22"/>
          <w:szCs w:val="22"/>
          <w:lang w:val="fr-FR"/>
        </w:rPr>
        <w:t xml:space="preserve">En 1982, le premier règlement amiable a été conclu conformément à l'ex-article 28 § b) dans l'affaire </w:t>
      </w:r>
      <w:r w:rsidRPr="00720D91">
        <w:rPr>
          <w:rFonts w:ascii="Arial" w:hAnsi="Arial"/>
          <w:i/>
          <w:sz w:val="22"/>
          <w:szCs w:val="22"/>
          <w:lang w:val="fr-FR"/>
        </w:rPr>
        <w:t>Danemark, France, Norvège, Suède et Pays-Bas c. Turquie</w:t>
      </w:r>
      <w:r w:rsidRPr="00720D91">
        <w:rPr>
          <w:rFonts w:ascii="Arial" w:hAnsi="Arial"/>
          <w:sz w:val="22"/>
          <w:szCs w:val="22"/>
          <w:lang w:val="fr-FR"/>
        </w:rPr>
        <w:t>.</w:t>
      </w:r>
      <w:r w:rsidRPr="00720D91">
        <w:rPr>
          <w:rStyle w:val="FootnoteReference"/>
          <w:rFonts w:ascii="Arial" w:hAnsi="Arial"/>
          <w:sz w:val="22"/>
          <w:szCs w:val="22"/>
          <w:lang w:val="en-US"/>
        </w:rPr>
        <w:footnoteReference w:id="241"/>
      </w:r>
      <w:r w:rsidRPr="00720D91">
        <w:rPr>
          <w:rFonts w:ascii="Arial" w:hAnsi="Arial"/>
          <w:sz w:val="22"/>
          <w:szCs w:val="22"/>
          <w:lang w:val="fr-FR"/>
        </w:rPr>
        <w:t xml:space="preserve"> Les requêtes concernaient la situation en Turquie entre le 12 septembre 1980 et le 1er juillet 1982. Les gouvernements requérants alléguaient des violations des articles 3 de la Convention (torture et traitements inhumains et dégradants des détenus constituant une pratique systématique), 5 et 6 (détention et poursuites pénales sous la loi martiale) et 9, 10 et 11 (restrictions aux partis politiques, aux syndicats et à la presse).La Commission a déclaré la requête recevable en 1983.</w:t>
      </w:r>
      <w:r w:rsidRPr="00720D91">
        <w:rPr>
          <w:rStyle w:val="FootnoteReference"/>
          <w:rFonts w:ascii="Arial" w:hAnsi="Arial"/>
          <w:sz w:val="22"/>
          <w:szCs w:val="22"/>
          <w:lang w:val="en-US"/>
        </w:rPr>
        <w:footnoteReference w:id="242"/>
      </w:r>
      <w:r w:rsidRPr="00720D91">
        <w:rPr>
          <w:rFonts w:ascii="Arial" w:hAnsi="Arial"/>
          <w:sz w:val="22"/>
          <w:szCs w:val="22"/>
          <w:lang w:val="fr-FR"/>
        </w:rPr>
        <w:t xml:space="preserve"> En 1985, les Parties ont présenté, à la lumière de l'évolution de la situation en Turquie en vue de rétablir une démocratie effective et d'assurer le respect de la Convention, leur proposition conjointe de règlement de l'affaire et ont informé la Commission qu'elles étaient parvenues à un règlement amiable. La Commission a décidé de mettre fin à la procédure contentieuse au titre de l'ancien article 28 b).</w:t>
      </w:r>
      <w:r w:rsidRPr="00720D91">
        <w:rPr>
          <w:rStyle w:val="FootnoteReference"/>
          <w:rFonts w:ascii="Arial" w:hAnsi="Arial"/>
          <w:sz w:val="22"/>
          <w:szCs w:val="22"/>
          <w:lang w:val="en-US"/>
        </w:rPr>
        <w:footnoteReference w:id="243"/>
      </w:r>
      <w:r w:rsidRPr="00720D91">
        <w:rPr>
          <w:rFonts w:ascii="Arial" w:hAnsi="Arial"/>
          <w:sz w:val="22"/>
          <w:szCs w:val="22"/>
          <w:lang w:val="fr-FR"/>
        </w:rPr>
        <w:t xml:space="preserve"> Elle a noté en particulier un certain nombre de mesures prises par la Turquie en ce qui concerne les poursuites pénales et les condamnations dans des affaires de torture, la levée progressive de la loi martiale dans le pays et le fait que le règlement amiable prévoyait de nouveaux progrès en ce qui concerne les questions soulevées dans l'affaire, à savoir les conditions et les procédures de détention, la poursuite de la mise en œuvre des droits et libertés individuels et la question de l'amnistie. Notant la volonté des cinq gouvernements candidats, y compris les mesures prises par la Turquie en vue de rétablir une démocratie effective et d'assurer le respect des droits et libertés énoncés dans la Convention, et tenant compte en particulier du fait que les termes de l'accord prévoient de nouveaux progrès et une information continue de la Commission. Par conséquent, elle a conclu que le règlement obtenu était garanti, au sens de l'article 28 § b. </w:t>
      </w:r>
    </w:p>
    <w:p w14:paraId="3A31832F" w14:textId="6D1389B4" w:rsidR="00F331F8" w:rsidRPr="00720D91" w:rsidRDefault="00F331F8" w:rsidP="00971933">
      <w:pPr>
        <w:pStyle w:val="NoSpacing"/>
        <w:ind w:firstLine="284"/>
        <w:jc w:val="both"/>
        <w:rPr>
          <w:rFonts w:ascii="Arial" w:hAnsi="Arial" w:cs="Arial"/>
          <w:sz w:val="22"/>
          <w:szCs w:val="22"/>
        </w:rPr>
      </w:pPr>
      <w:r w:rsidRPr="00720D91">
        <w:rPr>
          <w:rFonts w:ascii="Arial" w:hAnsi="Arial" w:cs="Arial"/>
          <w:sz w:val="22"/>
          <w:szCs w:val="22"/>
        </w:rPr>
        <w:t>12</w:t>
      </w:r>
      <w:r w:rsidR="00F240BE">
        <w:rPr>
          <w:rFonts w:ascii="Arial" w:hAnsi="Arial" w:cs="Arial"/>
          <w:sz w:val="22"/>
          <w:szCs w:val="22"/>
        </w:rPr>
        <w:t>6</w:t>
      </w:r>
      <w:r w:rsidRPr="00720D91">
        <w:rPr>
          <w:rFonts w:ascii="Arial" w:hAnsi="Arial" w:cs="Arial"/>
          <w:sz w:val="22"/>
          <w:szCs w:val="22"/>
        </w:rPr>
        <w:t xml:space="preserve">. La Cour a accepté le règlement amiable conclu entre les Parties dans l'affaire interétatique </w:t>
      </w:r>
      <w:r w:rsidRPr="00720D91">
        <w:rPr>
          <w:rFonts w:ascii="Arial" w:hAnsi="Arial" w:cs="Arial"/>
          <w:i/>
          <w:sz w:val="22"/>
          <w:szCs w:val="22"/>
        </w:rPr>
        <w:t>Danemark c. Turquie</w:t>
      </w:r>
      <w:r w:rsidRPr="00720D91">
        <w:rPr>
          <w:rFonts w:ascii="Arial" w:hAnsi="Arial" w:cs="Arial"/>
          <w:sz w:val="22"/>
          <w:szCs w:val="22"/>
        </w:rPr>
        <w:t>.</w:t>
      </w:r>
      <w:r w:rsidRPr="00720D91">
        <w:rPr>
          <w:rFonts w:ascii="Arial" w:hAnsi="Arial" w:cs="Arial"/>
          <w:bCs/>
          <w:iCs/>
          <w:sz w:val="22"/>
          <w:szCs w:val="22"/>
        </w:rPr>
        <w:t xml:space="preserve"> </w:t>
      </w:r>
      <w:r w:rsidRPr="00720D91">
        <w:rPr>
          <w:rStyle w:val="FootnoteReference"/>
          <w:rFonts w:ascii="Arial" w:hAnsi="Arial" w:cs="Arial"/>
          <w:bCs/>
          <w:iCs/>
          <w:sz w:val="22"/>
          <w:szCs w:val="22"/>
        </w:rPr>
        <w:footnoteReference w:id="244"/>
      </w:r>
      <w:r w:rsidRPr="00720D91">
        <w:rPr>
          <w:rFonts w:ascii="Arial" w:hAnsi="Arial" w:cs="Arial"/>
          <w:sz w:val="22"/>
          <w:szCs w:val="22"/>
        </w:rPr>
        <w:t xml:space="preserve"> </w:t>
      </w:r>
      <w:r w:rsidRPr="00720D91">
        <w:rPr>
          <w:rFonts w:ascii="Arial" w:hAnsi="Arial" w:cs="Arial"/>
          <w:color w:val="000000" w:themeColor="text1"/>
          <w:sz w:val="22"/>
          <w:szCs w:val="22"/>
        </w:rPr>
        <w:t xml:space="preserve">Le Gouvernement requérant a introduit une requête interétatique contre la Turquie alléguant les mauvais traitements subis par un citoyen danois pendant sa détention en Turquie, en violation de l'article 3 de la Convention. En 1999, la Cour a déclaré la requête recevable. En 2000, les agents des gouvernements danois et turc ont soumis des déclarations formelles selon lesquelles ils étaient parvenus à un règlement amiable, en vertu de l'article 39 de la Convention. </w:t>
      </w:r>
      <w:r w:rsidRPr="00720D91">
        <w:rPr>
          <w:rFonts w:ascii="Arial" w:hAnsi="Arial" w:cs="Arial"/>
          <w:sz w:val="22"/>
          <w:szCs w:val="22"/>
        </w:rPr>
        <w:t xml:space="preserve">La Cour a pris note du règlement amiable intervenu entre les parties en observant que les parties avaient convenu du versement d'une somme d'argent au gouvernement requérant, qu'une déclaration de regret avait été faite par le gouvernement défendeur, que des modifications avaient été apportées au cadre juridique et administratif turc en réponse à la torture et aux mauvais traitements et que le gouvernement défendeur s'était </w:t>
      </w:r>
      <w:r w:rsidRPr="00720D91">
        <w:rPr>
          <w:rFonts w:ascii="Arial" w:hAnsi="Arial" w:cs="Arial"/>
          <w:sz w:val="22"/>
          <w:szCs w:val="22"/>
        </w:rPr>
        <w:lastRenderedPageBreak/>
        <w:t xml:space="preserve">engagé à apporter de nouvelles améliorations concernant la survenance d'incidents de torture et de mauvais traitements et à poursuivre sa coopération avec les organes internationaux de défense des droits de l'homme, en particulier le Comité européen pour la prévention de la torture et des peines ou traitements inhumains ou dégradants. </w:t>
      </w:r>
      <w:r w:rsidRPr="00720D91">
        <w:rPr>
          <w:rStyle w:val="FootnoteReference"/>
          <w:rFonts w:ascii="Arial" w:hAnsi="Arial" w:cs="Arial"/>
          <w:bCs/>
          <w:iCs/>
          <w:sz w:val="22"/>
          <w:szCs w:val="22"/>
        </w:rPr>
        <w:footnoteReference w:id="245"/>
      </w:r>
    </w:p>
    <w:p w14:paraId="18827326" w14:textId="77777777" w:rsidR="00F331F8" w:rsidRPr="00720D91" w:rsidRDefault="00F331F8" w:rsidP="00971933">
      <w:pPr>
        <w:pStyle w:val="NoSpacing"/>
        <w:ind w:firstLine="284"/>
        <w:jc w:val="both"/>
        <w:rPr>
          <w:rFonts w:ascii="Arial" w:hAnsi="Arial" w:cs="Arial"/>
          <w:sz w:val="22"/>
          <w:szCs w:val="22"/>
        </w:rPr>
      </w:pPr>
    </w:p>
    <w:p w14:paraId="5F8840CF" w14:textId="2A663514" w:rsidR="00F331F8" w:rsidRPr="00720D91" w:rsidRDefault="00F331F8" w:rsidP="00971933">
      <w:pPr>
        <w:pStyle w:val="NoSpacing"/>
        <w:ind w:firstLine="284"/>
        <w:jc w:val="both"/>
        <w:rPr>
          <w:rFonts w:ascii="Arial" w:hAnsi="Arial" w:cs="Arial"/>
          <w:sz w:val="22"/>
          <w:szCs w:val="22"/>
        </w:rPr>
      </w:pPr>
      <w:r w:rsidRPr="00720D91">
        <w:rPr>
          <w:rFonts w:ascii="Arial" w:hAnsi="Arial" w:cs="Arial"/>
          <w:sz w:val="22"/>
          <w:szCs w:val="22"/>
        </w:rPr>
        <w:t>12</w:t>
      </w:r>
      <w:r w:rsidR="00F240BE">
        <w:rPr>
          <w:rFonts w:ascii="Arial" w:hAnsi="Arial" w:cs="Arial"/>
          <w:sz w:val="22"/>
          <w:szCs w:val="22"/>
        </w:rPr>
        <w:t>7</w:t>
      </w:r>
      <w:r w:rsidRPr="00720D91">
        <w:rPr>
          <w:rFonts w:ascii="Arial" w:hAnsi="Arial" w:cs="Arial"/>
          <w:sz w:val="22"/>
          <w:szCs w:val="22"/>
        </w:rPr>
        <w:t>. Certains auteurs ont fait valoir que si la faisabilité des règlements amiables en tant que solution aux affaires interétatiques dépend de la nature de la requête et que la Cour n'est peut-être pas en mesure d'assumer un rôle de premier plan dans les négociations de règlements amiables, elle peut néanmoins apporter son aide en donnant l'impulsion initiale et en créant un cadre approprié pour les négociations.</w:t>
      </w:r>
      <w:r w:rsidRPr="00720D91">
        <w:rPr>
          <w:rStyle w:val="FootnoteReference"/>
          <w:rFonts w:ascii="Arial" w:hAnsi="Arial" w:cs="Arial"/>
          <w:bCs/>
          <w:iCs/>
          <w:sz w:val="22"/>
          <w:szCs w:val="22"/>
        </w:rPr>
        <w:footnoteReference w:id="246"/>
      </w:r>
      <w:r w:rsidRPr="00720D91">
        <w:rPr>
          <w:rFonts w:ascii="Arial" w:hAnsi="Arial" w:cs="Arial"/>
          <w:bCs/>
          <w:iCs/>
          <w:sz w:val="22"/>
          <w:szCs w:val="22"/>
        </w:rPr>
        <w:t xml:space="preserve"> </w:t>
      </w:r>
      <w:r w:rsidRPr="00720D91">
        <w:rPr>
          <w:rFonts w:ascii="Arial" w:hAnsi="Arial" w:cs="Arial"/>
          <w:sz w:val="22"/>
          <w:szCs w:val="22"/>
        </w:rPr>
        <w:t>Les caractéristiques les plus essentielles de l'assistance de la Cour seraient de fournir aux parties une stabilité procédurale et un cadre équilibré comme point de départ de leurs négociations. Pour ce faire, il faudrait établir une feuille de route définissant les éléments nécessaires et un calendrier clair pour les négociations. Cette feuille de route devrait être standardisée afin de pouvoir être adaptée aux différentes situations et d'alléger autant que possible la charge de travail de la Cour. La conduite des négociations incomberait aux États parties eux-mêmes.</w:t>
      </w:r>
      <w:r w:rsidRPr="00720D91">
        <w:rPr>
          <w:rFonts w:ascii="Arial" w:hAnsi="Arial" w:cs="Arial"/>
          <w:bCs/>
          <w:iCs/>
          <w:sz w:val="22"/>
          <w:szCs w:val="22"/>
        </w:rPr>
        <w:t xml:space="preserve"> </w:t>
      </w:r>
      <w:r w:rsidRPr="00720D91">
        <w:rPr>
          <w:rStyle w:val="FootnoteReference"/>
          <w:rFonts w:ascii="Arial" w:hAnsi="Arial" w:cs="Arial"/>
          <w:bCs/>
          <w:iCs/>
          <w:sz w:val="22"/>
          <w:szCs w:val="22"/>
        </w:rPr>
        <w:footnoteReference w:id="247"/>
      </w:r>
      <w:r w:rsidRPr="00720D91">
        <w:rPr>
          <w:rFonts w:ascii="Arial" w:hAnsi="Arial" w:cs="Arial"/>
          <w:sz w:val="22"/>
          <w:szCs w:val="22"/>
        </w:rPr>
        <w:t xml:space="preserve"> Dans cette optique, la feuille de route de la Cour pourrait également inclure des modèles de règlement amiable dans le cadre de requêtes individuelles relatives à des requêtes interétatiques, selon lesquels les requérants seraient incités à accepter un règlement amiable en se voyant proposer une somme d'argent légèrement supérieure à celle qu'offrirait un jugement de violation. Afin de rendre ce mécanisme aussi efficace que possible, il faudrait inclure dans le règlement amiable interétatique une clause selon laquelle les États parties devraient fortement encourager les personnes concernées à accepter le modèle de règlement amiable. </w:t>
      </w:r>
      <w:r w:rsidRPr="00720D91">
        <w:rPr>
          <w:rStyle w:val="FootnoteReference"/>
          <w:rFonts w:ascii="Arial" w:hAnsi="Arial" w:cs="Arial"/>
          <w:bCs/>
          <w:iCs/>
          <w:sz w:val="22"/>
          <w:szCs w:val="22"/>
        </w:rPr>
        <w:footnoteReference w:id="248"/>
      </w:r>
      <w:r w:rsidRPr="00720D91">
        <w:rPr>
          <w:rFonts w:ascii="Arial" w:hAnsi="Arial" w:cs="Arial"/>
          <w:bCs/>
          <w:iCs/>
          <w:sz w:val="22"/>
          <w:szCs w:val="22"/>
        </w:rPr>
        <w:t xml:space="preserve"> </w:t>
      </w:r>
      <w:r w:rsidRPr="00720D91">
        <w:rPr>
          <w:rFonts w:ascii="Arial" w:hAnsi="Arial" w:cs="Arial"/>
          <w:sz w:val="22"/>
          <w:szCs w:val="22"/>
        </w:rPr>
        <w:t xml:space="preserve">   </w:t>
      </w:r>
    </w:p>
    <w:p w14:paraId="092B3465" w14:textId="77777777" w:rsidR="00F331F8" w:rsidRPr="00EC6358" w:rsidRDefault="00F331F8" w:rsidP="00971933">
      <w:pPr>
        <w:pStyle w:val="Heading2"/>
        <w:spacing w:line="240" w:lineRule="auto"/>
        <w:ind w:firstLine="284"/>
        <w:rPr>
          <w:rFonts w:cs="Arial"/>
          <w:sz w:val="24"/>
          <w:szCs w:val="22"/>
          <w:lang w:val="fr-FR"/>
        </w:rPr>
      </w:pPr>
      <w:bookmarkStart w:id="84" w:name="_Toc73539135"/>
      <w:bookmarkStart w:id="85" w:name="_Toc86329795"/>
      <w:r w:rsidRPr="00EC6358">
        <w:rPr>
          <w:rFonts w:cs="Arial"/>
          <w:sz w:val="24"/>
          <w:szCs w:val="22"/>
          <w:lang w:val="fr-FR"/>
        </w:rPr>
        <w:t>2.  Autres aspects</w:t>
      </w:r>
      <w:bookmarkEnd w:id="84"/>
      <w:bookmarkEnd w:id="85"/>
      <w:r w:rsidRPr="00EC6358">
        <w:rPr>
          <w:rFonts w:cs="Arial"/>
          <w:sz w:val="24"/>
          <w:szCs w:val="22"/>
          <w:lang w:val="fr-FR"/>
        </w:rPr>
        <w:t xml:space="preserve"> </w:t>
      </w:r>
    </w:p>
    <w:p w14:paraId="5985CF72" w14:textId="77777777" w:rsidR="00F331F8" w:rsidRPr="00720D91" w:rsidRDefault="00F331F8" w:rsidP="00971933">
      <w:pPr>
        <w:pStyle w:val="NoSpacing"/>
        <w:jc w:val="both"/>
        <w:rPr>
          <w:rFonts w:ascii="Arial" w:hAnsi="Arial" w:cs="Arial"/>
          <w:bCs/>
          <w:iCs/>
          <w:sz w:val="22"/>
          <w:szCs w:val="22"/>
        </w:rPr>
      </w:pPr>
    </w:p>
    <w:p w14:paraId="7D743090" w14:textId="14666F9D" w:rsidR="00F331F8" w:rsidRPr="00720D91" w:rsidRDefault="00F331F8" w:rsidP="00971933">
      <w:pPr>
        <w:pStyle w:val="NoSpacing"/>
        <w:ind w:firstLine="284"/>
        <w:jc w:val="both"/>
        <w:rPr>
          <w:rFonts w:ascii="Arial" w:hAnsi="Arial" w:cs="Arial"/>
          <w:i/>
          <w:sz w:val="22"/>
          <w:szCs w:val="22"/>
        </w:rPr>
      </w:pPr>
      <w:r w:rsidRPr="00720D91">
        <w:rPr>
          <w:rFonts w:ascii="Arial" w:hAnsi="Arial" w:cs="Arial"/>
          <w:bCs/>
          <w:iCs/>
          <w:sz w:val="22"/>
          <w:szCs w:val="22"/>
        </w:rPr>
        <w:t>12</w:t>
      </w:r>
      <w:r w:rsidR="00F240BE">
        <w:rPr>
          <w:rFonts w:ascii="Arial" w:hAnsi="Arial" w:cs="Arial"/>
          <w:bCs/>
          <w:iCs/>
          <w:sz w:val="22"/>
          <w:szCs w:val="22"/>
        </w:rPr>
        <w:t>8</w:t>
      </w:r>
      <w:r w:rsidRPr="00720D91">
        <w:rPr>
          <w:rFonts w:ascii="Arial" w:hAnsi="Arial" w:cs="Arial"/>
          <w:bCs/>
          <w:iCs/>
          <w:sz w:val="22"/>
          <w:szCs w:val="22"/>
        </w:rPr>
        <w:t xml:space="preserve">. Lorsqu'un requérant a refusé les termes d'une proposition de règlement amiable conformément à l'article 52 du règlement de la Cour, la Partie concernée peut déposer auprès de la Cour une demande de radiation de la requête conformément à l'article 37 § 1 de la Convention. Cette demande doit être accompagnée d'une </w:t>
      </w:r>
      <w:r w:rsidRPr="00720D91">
        <w:rPr>
          <w:rFonts w:ascii="Arial" w:hAnsi="Arial" w:cs="Arial"/>
          <w:b/>
          <w:i/>
          <w:sz w:val="22"/>
          <w:szCs w:val="22"/>
        </w:rPr>
        <w:t>déclaration unilatérale</w:t>
      </w:r>
      <w:r w:rsidRPr="00720D91">
        <w:rPr>
          <w:rFonts w:ascii="Arial" w:hAnsi="Arial" w:cs="Arial"/>
          <w:bCs/>
          <w:iCs/>
          <w:sz w:val="22"/>
          <w:szCs w:val="22"/>
        </w:rPr>
        <w:t xml:space="preserve"> au titre de l'article 62 A du règlement de la Cour, reconnaissant qu'il y a eu violation de la Convention dans le cas du requérant, ainsi que d'un engagement à fournir une réparation adéquate et, le cas échéant, à prendre les mesures correctives nécessaires. La présentation d'une déclaration unilatérale est publique et la </w:t>
      </w:r>
      <w:r w:rsidRPr="00720D91">
        <w:rPr>
          <w:rFonts w:ascii="Arial" w:hAnsi="Arial" w:cs="Arial"/>
          <w:sz w:val="22"/>
          <w:szCs w:val="22"/>
        </w:rPr>
        <w:t>procédure contradictoire est menée séparément de toute procédure de règlement amiable et dans le respect de la confidentialité de celle-ci</w:t>
      </w:r>
      <w:r w:rsidRPr="00720D91">
        <w:rPr>
          <w:rFonts w:ascii="Arial" w:hAnsi="Arial" w:cs="Arial"/>
          <w:bCs/>
          <w:iCs/>
          <w:sz w:val="22"/>
          <w:szCs w:val="22"/>
        </w:rPr>
        <w:t xml:space="preserve">. Exceptionnellement, une requête et la déclaration qui l'accompagne peuvent être déposées auprès de la Cour même en l'absence de tentative préalable de règlement amiable. La Cour </w:t>
      </w:r>
      <w:r w:rsidRPr="00720D91">
        <w:rPr>
          <w:rFonts w:ascii="Arial" w:hAnsi="Arial" w:cs="Arial"/>
          <w:sz w:val="22"/>
          <w:szCs w:val="22"/>
        </w:rPr>
        <w:t xml:space="preserve">peut rayer une requête de son rôle </w:t>
      </w:r>
      <w:r w:rsidRPr="00720D91">
        <w:rPr>
          <w:rFonts w:ascii="Arial" w:hAnsi="Arial" w:cs="Arial"/>
          <w:bCs/>
          <w:iCs/>
          <w:sz w:val="22"/>
          <w:szCs w:val="22"/>
        </w:rPr>
        <w:t xml:space="preserve">si elle </w:t>
      </w:r>
      <w:r w:rsidRPr="00720D91">
        <w:rPr>
          <w:rFonts w:ascii="Arial" w:hAnsi="Arial" w:cs="Arial"/>
          <w:sz w:val="22"/>
          <w:szCs w:val="22"/>
        </w:rPr>
        <w:t xml:space="preserve">estime que la déclaration offre une base suffisante pour considérer que le respect des droits de l'homme tels que définis dans la Convention et ses Protocoles n'exige pas qu'elle poursuive l'examen de la requête. </w:t>
      </w:r>
    </w:p>
    <w:p w14:paraId="6D77F095" w14:textId="77777777" w:rsidR="00F331F8" w:rsidRPr="00720D91" w:rsidRDefault="00F331F8" w:rsidP="00971933">
      <w:pPr>
        <w:pStyle w:val="NoSpacing"/>
        <w:jc w:val="both"/>
        <w:rPr>
          <w:rFonts w:ascii="Arial" w:hAnsi="Arial" w:cs="Arial"/>
          <w:i/>
          <w:sz w:val="22"/>
          <w:szCs w:val="22"/>
        </w:rPr>
      </w:pPr>
    </w:p>
    <w:p w14:paraId="41BA658B" w14:textId="4DD285ED" w:rsidR="00F331F8" w:rsidRPr="00720D91" w:rsidRDefault="00F331F8" w:rsidP="00971933">
      <w:pPr>
        <w:pStyle w:val="NoSpacing"/>
        <w:ind w:firstLine="284"/>
        <w:jc w:val="both"/>
        <w:rPr>
          <w:rStyle w:val="sb8d990e2"/>
          <w:rFonts w:ascii="Arial" w:eastAsiaTheme="majorEastAsia" w:hAnsi="Arial" w:cs="Arial"/>
          <w:color w:val="000000"/>
          <w:sz w:val="22"/>
          <w:szCs w:val="22"/>
        </w:rPr>
      </w:pPr>
      <w:r w:rsidRPr="00720D91">
        <w:rPr>
          <w:rFonts w:ascii="Arial" w:hAnsi="Arial" w:cs="Arial"/>
          <w:sz w:val="22"/>
          <w:szCs w:val="22"/>
        </w:rPr>
        <w:t>12</w:t>
      </w:r>
      <w:r w:rsidR="00F240BE">
        <w:rPr>
          <w:rFonts w:ascii="Arial" w:hAnsi="Arial" w:cs="Arial"/>
          <w:sz w:val="22"/>
          <w:szCs w:val="22"/>
        </w:rPr>
        <w:t>9</w:t>
      </w:r>
      <w:r w:rsidRPr="00720D91">
        <w:rPr>
          <w:rFonts w:ascii="Arial" w:hAnsi="Arial" w:cs="Arial"/>
          <w:sz w:val="22"/>
          <w:szCs w:val="22"/>
        </w:rPr>
        <w:t xml:space="preserve">. </w:t>
      </w:r>
      <w:r w:rsidRPr="00720D91">
        <w:rPr>
          <w:rStyle w:val="sb8d990e2"/>
          <w:rFonts w:ascii="Arial" w:eastAsiaTheme="majorEastAsia" w:hAnsi="Arial" w:cs="Arial"/>
          <w:color w:val="000000"/>
          <w:sz w:val="22"/>
          <w:szCs w:val="22"/>
        </w:rPr>
        <w:t xml:space="preserve">Dans le cadre de requêtes individuelles, la Cour a considéré que, dans certaines circonstances, il peut être approprié de rejeter une requête au titre de l'article 37 § 1 c) de la Convention sur la base d'une déclaration unilatérale du gouvernement défendeur. À cet égard, pour déterminer si la déclaration unilatérale offre une base suffisante pour conclure au respect </w:t>
      </w:r>
      <w:r w:rsidRPr="00720D91">
        <w:rPr>
          <w:rStyle w:val="sb8d990e2"/>
          <w:rFonts w:ascii="Arial" w:eastAsiaTheme="majorEastAsia" w:hAnsi="Arial" w:cs="Arial"/>
          <w:color w:val="000000"/>
          <w:sz w:val="22"/>
          <w:szCs w:val="22"/>
        </w:rPr>
        <w:lastRenderedPageBreak/>
        <w:t>des droits de l'homme tels que définis dans la Convention, la Cour examinera un certain nombre de facteurs tels que le fait que les faits soient contestés entre les parties, l'existence d'une reconnaissance de responsabilité pour toute violation de la Convention alléguée par le requérant, la prise en compte adéquate des griefs du requérant au titre de la Convention.</w:t>
      </w:r>
      <w:r w:rsidRPr="00720D91">
        <w:rPr>
          <w:rStyle w:val="FootnoteReference"/>
          <w:rFonts w:ascii="Arial" w:hAnsi="Arial" w:cs="Arial"/>
          <w:color w:val="000000"/>
          <w:sz w:val="22"/>
          <w:szCs w:val="22"/>
          <w:lang w:val="en-US"/>
        </w:rPr>
        <w:footnoteReference w:id="249"/>
      </w:r>
      <w:r w:rsidRPr="00720D91">
        <w:rPr>
          <w:rStyle w:val="sb8d990e2"/>
          <w:rFonts w:ascii="Arial" w:eastAsiaTheme="majorEastAsia" w:hAnsi="Arial" w:cs="Arial"/>
          <w:color w:val="000000"/>
          <w:sz w:val="22"/>
          <w:szCs w:val="22"/>
        </w:rPr>
        <w:t xml:space="preserve"> En outre, la Cour rejette les demandes de radiation du rôle sur la base de déclarations unilatérales lorsqu'elle considère la nature sérieuse des allégations de violations des droits de l'homme </w:t>
      </w:r>
      <w:r w:rsidRPr="00720D91">
        <w:rPr>
          <w:rStyle w:val="FootnoteReference"/>
          <w:rFonts w:ascii="Arial" w:hAnsi="Arial" w:cs="Arial"/>
          <w:color w:val="000000"/>
          <w:sz w:val="22"/>
          <w:szCs w:val="22"/>
          <w:lang w:val="en-US"/>
        </w:rPr>
        <w:footnoteReference w:id="250"/>
      </w:r>
      <w:r w:rsidRPr="00720D91">
        <w:rPr>
          <w:rStyle w:val="sb8d990e2"/>
          <w:rFonts w:ascii="Arial" w:eastAsiaTheme="majorEastAsia" w:hAnsi="Arial" w:cs="Arial"/>
          <w:color w:val="000000"/>
          <w:sz w:val="22"/>
          <w:szCs w:val="22"/>
        </w:rPr>
        <w:t xml:space="preserve"> ou que l'acceptation de la demande contribuerait à maintenir la situation inchangée sans garantie qu'une solution soit trouvée dans un avenir proche, ce qui n'aiderait pas la Cour à remplir son rôle au titre de l'article 19 de la Convention, à savoir veiller au respect des engagements pris par les Hautes Parties contractantes dans la Convention et ses Protocoles. </w:t>
      </w:r>
      <w:r w:rsidRPr="00720D91">
        <w:rPr>
          <w:rStyle w:val="FootnoteReference"/>
          <w:rFonts w:ascii="Arial" w:hAnsi="Arial" w:cs="Arial"/>
          <w:color w:val="000000"/>
          <w:sz w:val="22"/>
          <w:szCs w:val="22"/>
          <w:lang w:val="en-US"/>
        </w:rPr>
        <w:footnoteReference w:id="251"/>
      </w:r>
    </w:p>
    <w:p w14:paraId="26D66601" w14:textId="5FABF9B2" w:rsidR="00F331F8" w:rsidRPr="00720D91" w:rsidRDefault="00F331F8" w:rsidP="00971933">
      <w:pPr>
        <w:pStyle w:val="NoSpacing"/>
        <w:ind w:firstLine="284"/>
        <w:jc w:val="both"/>
        <w:rPr>
          <w:rFonts w:ascii="Arial" w:hAnsi="Arial" w:cs="Arial"/>
          <w:sz w:val="22"/>
          <w:szCs w:val="22"/>
        </w:rPr>
      </w:pPr>
      <w:r w:rsidRPr="00720D91">
        <w:rPr>
          <w:rFonts w:ascii="Arial" w:hAnsi="Arial" w:cs="Arial"/>
          <w:sz w:val="22"/>
          <w:szCs w:val="22"/>
        </w:rPr>
        <w:t>1</w:t>
      </w:r>
      <w:r w:rsidR="00F240BE">
        <w:rPr>
          <w:rFonts w:ascii="Arial" w:hAnsi="Arial" w:cs="Arial"/>
          <w:sz w:val="22"/>
          <w:szCs w:val="22"/>
        </w:rPr>
        <w:t>30</w:t>
      </w:r>
      <w:r w:rsidRPr="00720D91">
        <w:rPr>
          <w:rFonts w:ascii="Arial" w:hAnsi="Arial" w:cs="Arial"/>
          <w:sz w:val="22"/>
          <w:szCs w:val="22"/>
        </w:rPr>
        <w:t xml:space="preserve">. Le nombre de déclarations unilatérales en 2020 était de 402, soit une diminution de 73% par rapport à 2019, avec 1 511 déclarations. </w:t>
      </w:r>
      <w:r w:rsidRPr="00720D91">
        <w:rPr>
          <w:rStyle w:val="FootnoteReference"/>
          <w:rFonts w:ascii="Arial" w:hAnsi="Arial" w:cs="Arial"/>
          <w:sz w:val="22"/>
          <w:szCs w:val="22"/>
        </w:rPr>
        <w:footnoteReference w:id="252"/>
      </w:r>
    </w:p>
    <w:p w14:paraId="0A140C68" w14:textId="77777777" w:rsidR="00F331F8" w:rsidRPr="00720D91" w:rsidRDefault="00F331F8" w:rsidP="00971933">
      <w:pPr>
        <w:pStyle w:val="NoSpacing"/>
        <w:jc w:val="both"/>
        <w:rPr>
          <w:rFonts w:ascii="Arial" w:hAnsi="Arial" w:cs="Arial"/>
          <w:sz w:val="22"/>
          <w:szCs w:val="22"/>
        </w:rPr>
      </w:pPr>
    </w:p>
    <w:p w14:paraId="3E2CB5AB" w14:textId="358B4F63" w:rsidR="00F331F8" w:rsidRPr="00720D91" w:rsidRDefault="00F331F8" w:rsidP="00971933">
      <w:pPr>
        <w:pStyle w:val="NoSpacing"/>
        <w:ind w:firstLine="284"/>
        <w:jc w:val="both"/>
        <w:rPr>
          <w:rFonts w:ascii="Arial" w:hAnsi="Arial" w:cs="Arial"/>
          <w:sz w:val="22"/>
          <w:szCs w:val="22"/>
        </w:rPr>
      </w:pPr>
      <w:r w:rsidRPr="00720D91">
        <w:rPr>
          <w:rFonts w:ascii="Arial" w:hAnsi="Arial" w:cs="Arial"/>
          <w:sz w:val="22"/>
          <w:szCs w:val="22"/>
        </w:rPr>
        <w:t>1</w:t>
      </w:r>
      <w:r w:rsidR="00394753">
        <w:rPr>
          <w:rFonts w:ascii="Arial" w:hAnsi="Arial" w:cs="Arial"/>
          <w:sz w:val="22"/>
          <w:szCs w:val="22"/>
        </w:rPr>
        <w:t>3</w:t>
      </w:r>
      <w:r w:rsidR="00F240BE">
        <w:rPr>
          <w:rFonts w:ascii="Arial" w:hAnsi="Arial" w:cs="Arial"/>
          <w:sz w:val="22"/>
          <w:szCs w:val="22"/>
        </w:rPr>
        <w:t>1</w:t>
      </w:r>
      <w:r w:rsidRPr="00720D91">
        <w:rPr>
          <w:rFonts w:ascii="Arial" w:hAnsi="Arial" w:cs="Arial"/>
          <w:sz w:val="22"/>
          <w:szCs w:val="22"/>
        </w:rPr>
        <w:t xml:space="preserve">. En ce qui concerne les requêtes individuelles relatives à des conflits interétatiques, on peut mentionner </w:t>
      </w:r>
      <w:r w:rsidRPr="00720D91">
        <w:rPr>
          <w:rFonts w:ascii="Arial" w:hAnsi="Arial" w:cs="Arial"/>
          <w:b/>
          <w:bCs/>
          <w:i/>
          <w:iCs/>
          <w:sz w:val="22"/>
          <w:szCs w:val="22"/>
        </w:rPr>
        <w:t>l'arrêt pilote</w:t>
      </w:r>
      <w:r w:rsidRPr="00720D91">
        <w:rPr>
          <w:rFonts w:ascii="Arial" w:hAnsi="Arial" w:cs="Arial"/>
          <w:sz w:val="22"/>
          <w:szCs w:val="22"/>
        </w:rPr>
        <w:t xml:space="preserve"> dans l'affaire </w:t>
      </w:r>
      <w:r w:rsidRPr="00720D91">
        <w:rPr>
          <w:rFonts w:ascii="Arial" w:hAnsi="Arial" w:cs="Arial"/>
          <w:i/>
          <w:iCs/>
          <w:sz w:val="22"/>
          <w:szCs w:val="22"/>
        </w:rPr>
        <w:t>Xenides-Arestis c. Turquie</w:t>
      </w:r>
      <w:r w:rsidRPr="00720D91">
        <w:rPr>
          <w:rFonts w:ascii="Arial" w:hAnsi="Arial" w:cs="Arial"/>
          <w:sz w:val="22"/>
          <w:szCs w:val="22"/>
        </w:rPr>
        <w:t>.</w:t>
      </w:r>
      <w:r w:rsidRPr="00720D91">
        <w:rPr>
          <w:rStyle w:val="FootnoteReference"/>
          <w:rFonts w:ascii="Arial" w:hAnsi="Arial" w:cs="Arial"/>
          <w:sz w:val="22"/>
          <w:szCs w:val="22"/>
          <w:lang w:val="en-US"/>
        </w:rPr>
        <w:footnoteReference w:id="253"/>
      </w:r>
      <w:r w:rsidRPr="00720D91">
        <w:rPr>
          <w:rFonts w:ascii="Arial" w:hAnsi="Arial" w:cs="Arial"/>
          <w:color w:val="000000"/>
          <w:sz w:val="22"/>
          <w:szCs w:val="22"/>
          <w:shd w:val="clear" w:color="auto" w:fill="FFFFFF"/>
        </w:rPr>
        <w:t xml:space="preserve"> La </w:t>
      </w:r>
      <w:r w:rsidRPr="00720D91">
        <w:rPr>
          <w:rFonts w:ascii="Arial" w:hAnsi="Arial" w:cs="Arial"/>
          <w:sz w:val="22"/>
          <w:szCs w:val="22"/>
        </w:rPr>
        <w:t xml:space="preserve">Cour a estimé que la </w:t>
      </w:r>
      <w:r w:rsidRPr="00720D91">
        <w:rPr>
          <w:rFonts w:ascii="Arial" w:hAnsi="Arial" w:cs="Arial"/>
          <w:color w:val="000000"/>
          <w:sz w:val="22"/>
          <w:szCs w:val="22"/>
          <w:shd w:val="clear" w:color="auto" w:fill="FFFFFF"/>
        </w:rPr>
        <w:t xml:space="preserve">violation des droits de la requérante au titre de l'article 8 de la Convention et de l'article 1 du Protocole n° 1 trouvait son origine dans un problème généralisé touchant un grand nombre de personnes, à savoir l'entrave injustifiée au « respect de son domicile » et à la « jouissance paisible de ses biens » dans le cadre de la politique de la « République turque de Chypre du Nord » («  RTCN »). </w:t>
      </w:r>
      <w:r w:rsidRPr="00720D91">
        <w:rPr>
          <w:rStyle w:val="FootnoteReference"/>
          <w:rFonts w:ascii="Arial" w:hAnsi="Arial" w:cs="Arial"/>
          <w:sz w:val="22"/>
          <w:szCs w:val="22"/>
          <w:lang w:val="en-US"/>
        </w:rPr>
        <w:footnoteReference w:id="254"/>
      </w:r>
      <w:r w:rsidRPr="00720D91">
        <w:rPr>
          <w:rFonts w:ascii="Arial" w:hAnsi="Arial" w:cs="Arial"/>
          <w:color w:val="000000"/>
          <w:sz w:val="22"/>
          <w:szCs w:val="22"/>
          <w:shd w:val="clear" w:color="auto" w:fill="FFFFFF"/>
        </w:rPr>
        <w:t xml:space="preserve"> À cet égard, elle a noté qu'environ 1 400 affaires sur les droits de propriété étaient pendantes devant elle, intentées principalement par des Chypriotes grecs contre la Turquie.</w:t>
      </w:r>
      <w:r w:rsidRPr="00720D91">
        <w:rPr>
          <w:rStyle w:val="FootnoteReference"/>
          <w:rFonts w:ascii="Arial" w:hAnsi="Arial" w:cs="Arial"/>
          <w:sz w:val="22"/>
          <w:szCs w:val="22"/>
          <w:lang w:val="en-US"/>
        </w:rPr>
        <w:footnoteReference w:id="255"/>
      </w:r>
      <w:r w:rsidRPr="00720D91">
        <w:rPr>
          <w:rFonts w:ascii="Arial" w:hAnsi="Arial" w:cs="Arial"/>
          <w:color w:val="000000"/>
          <w:sz w:val="22"/>
          <w:szCs w:val="22"/>
          <w:shd w:val="clear" w:color="auto" w:fill="FFFFFF"/>
        </w:rPr>
        <w:t xml:space="preserve">  La Cour estime que l'État défendeur doit mettre en place un recours qui assure une réparation réellement effective des violations de la Convention identifiées dans l'arrêt à l'égard du requérant actuel ainsi que de toutes les requêtes similaires pendantes devant lui, conformément aux principes de protection des droits énoncés à l'article 8 de la Convention et à l'article 1 du Protocole n° 1 et conformément à sa décision de recevabilité du 14 mars 2005. Ce recours devrait être ouvert dans un délai de trois mois à compter de la date du prononcé de l'arrêt et la réparation devrait être accordée trois mois plus tard. </w:t>
      </w:r>
      <w:r w:rsidRPr="00720D91">
        <w:rPr>
          <w:rStyle w:val="FootnoteReference"/>
          <w:rFonts w:ascii="Arial" w:hAnsi="Arial" w:cs="Arial"/>
          <w:sz w:val="22"/>
          <w:szCs w:val="22"/>
          <w:lang w:val="en-US"/>
        </w:rPr>
        <w:footnoteReference w:id="256"/>
      </w:r>
    </w:p>
    <w:p w14:paraId="54422A53" w14:textId="77777777" w:rsidR="00F331F8" w:rsidRPr="00720D91" w:rsidRDefault="00F331F8" w:rsidP="00971933">
      <w:pPr>
        <w:pStyle w:val="NoSpacing"/>
        <w:jc w:val="both"/>
        <w:rPr>
          <w:rFonts w:ascii="Arial" w:hAnsi="Arial" w:cs="Arial"/>
          <w:sz w:val="22"/>
          <w:szCs w:val="22"/>
        </w:rPr>
      </w:pPr>
    </w:p>
    <w:p w14:paraId="095E9DC1" w14:textId="60E058EF" w:rsidR="00F331F8" w:rsidRPr="00720D91" w:rsidRDefault="00F331F8" w:rsidP="00971933">
      <w:pPr>
        <w:pStyle w:val="NoSpacing"/>
        <w:ind w:firstLine="284"/>
        <w:jc w:val="both"/>
        <w:rPr>
          <w:rStyle w:val="sb8d990e2"/>
          <w:rFonts w:ascii="Arial" w:eastAsiaTheme="majorEastAsia" w:hAnsi="Arial" w:cs="Arial"/>
          <w:b/>
          <w:bCs/>
          <w:color w:val="FF0000"/>
          <w:sz w:val="22"/>
          <w:szCs w:val="22"/>
          <w:shd w:val="clear" w:color="auto" w:fill="D9D9D9" w:themeFill="background1" w:themeFillShade="D9"/>
        </w:rPr>
      </w:pPr>
      <w:r w:rsidRPr="00720D91">
        <w:rPr>
          <w:rFonts w:ascii="Arial" w:hAnsi="Arial" w:cs="Arial"/>
          <w:sz w:val="22"/>
          <w:szCs w:val="22"/>
        </w:rPr>
        <w:t>13</w:t>
      </w:r>
      <w:r w:rsidR="00F240BE">
        <w:rPr>
          <w:rFonts w:ascii="Arial" w:hAnsi="Arial" w:cs="Arial"/>
          <w:sz w:val="22"/>
          <w:szCs w:val="22"/>
        </w:rPr>
        <w:t>2</w:t>
      </w:r>
      <w:r w:rsidRPr="00720D91">
        <w:rPr>
          <w:rFonts w:ascii="Arial" w:hAnsi="Arial" w:cs="Arial"/>
          <w:sz w:val="22"/>
          <w:szCs w:val="22"/>
        </w:rPr>
        <w:t xml:space="preserve">. </w:t>
      </w:r>
      <w:r w:rsidRPr="00720D91">
        <w:rPr>
          <w:rFonts w:ascii="Arial" w:hAnsi="Arial" w:cs="Arial"/>
          <w:color w:val="000000" w:themeColor="text1"/>
          <w:sz w:val="22"/>
          <w:szCs w:val="22"/>
        </w:rPr>
        <w:t xml:space="preserve">Suite à l'arrêt pilote dans l'affaire </w:t>
      </w:r>
      <w:r w:rsidRPr="00720D91">
        <w:rPr>
          <w:rFonts w:ascii="Arial" w:hAnsi="Arial" w:cs="Arial"/>
          <w:i/>
          <w:iCs/>
          <w:color w:val="000000" w:themeColor="text1"/>
          <w:sz w:val="22"/>
          <w:szCs w:val="22"/>
        </w:rPr>
        <w:t>Xenides Arestis</w:t>
      </w:r>
      <w:r w:rsidRPr="00720D91">
        <w:rPr>
          <w:rFonts w:ascii="Arial" w:hAnsi="Arial" w:cs="Arial"/>
          <w:color w:val="000000" w:themeColor="text1"/>
          <w:sz w:val="22"/>
          <w:szCs w:val="22"/>
          <w:shd w:val="clear" w:color="auto" w:fill="FFFFFF"/>
        </w:rPr>
        <w:t xml:space="preserve">, une Commission des biens immobiliers (IPC) a été créée dans la partie nord de Chypre en vertu de la loi n° 67/2005 sur l'indemnisation, l'échange ou la restitution des biens immobiliers. </w:t>
      </w:r>
      <w:r w:rsidRPr="00720D91">
        <w:rPr>
          <w:rStyle w:val="sc916d4d3"/>
          <w:rFonts w:ascii="Arial" w:hAnsi="Arial" w:cs="Arial"/>
          <w:color w:val="000000" w:themeColor="text1"/>
          <w:sz w:val="22"/>
          <w:szCs w:val="22"/>
          <w:shd w:val="clear" w:color="auto" w:fill="FFFFFF"/>
        </w:rPr>
        <w:t xml:space="preserve">Dans sa décision d'irrecevabilité dans l'affaire </w:t>
      </w:r>
      <w:r w:rsidRPr="00720D91">
        <w:rPr>
          <w:rStyle w:val="s9e48bbcd"/>
          <w:rFonts w:ascii="Arial" w:hAnsi="Arial" w:cs="Arial"/>
          <w:i/>
          <w:iCs/>
          <w:color w:val="000000" w:themeColor="text1"/>
          <w:sz w:val="22"/>
          <w:szCs w:val="22"/>
          <w:shd w:val="clear" w:color="auto" w:fill="FFFFFF"/>
        </w:rPr>
        <w:t xml:space="preserve">Demopoulos et autres c. Turquie, la </w:t>
      </w:r>
      <w:r w:rsidRPr="00720D91">
        <w:rPr>
          <w:rStyle w:val="sc916d4d3"/>
          <w:rFonts w:ascii="Arial" w:hAnsi="Arial" w:cs="Arial"/>
          <w:color w:val="000000" w:themeColor="text1"/>
          <w:sz w:val="22"/>
          <w:szCs w:val="22"/>
          <w:shd w:val="clear" w:color="auto" w:fill="FFFFFF"/>
        </w:rPr>
        <w:t xml:space="preserve">Cour a estimé que la loi n° 67/2005 « fournit un cadre de recours accessible et efficace en ce qui concerne les plaintes pour ingérence dans les biens appartenant à des Chypriotes grecs ». </w:t>
      </w:r>
      <w:r w:rsidRPr="00720D91">
        <w:rPr>
          <w:rStyle w:val="FootnoteReference"/>
          <w:rFonts w:ascii="Arial" w:hAnsi="Arial" w:cs="Arial"/>
          <w:color w:val="000000" w:themeColor="text1"/>
          <w:sz w:val="22"/>
          <w:szCs w:val="22"/>
        </w:rPr>
        <w:footnoteReference w:id="257"/>
      </w:r>
      <w:r w:rsidRPr="00720D91">
        <w:rPr>
          <w:rStyle w:val="sb8d990e2"/>
          <w:rFonts w:ascii="Arial" w:eastAsiaTheme="majorEastAsia" w:hAnsi="Arial" w:cs="Arial"/>
          <w:color w:val="000000"/>
          <w:sz w:val="22"/>
          <w:szCs w:val="22"/>
          <w:shd w:val="clear" w:color="auto" w:fill="FFFFFF"/>
        </w:rPr>
        <w:t xml:space="preserve"> </w:t>
      </w:r>
      <w:r w:rsidRPr="00720D91">
        <w:rPr>
          <w:rFonts w:ascii="Arial" w:hAnsi="Arial" w:cs="Arial"/>
          <w:sz w:val="22"/>
          <w:szCs w:val="22"/>
          <w:lang w:eastAsia="en-US"/>
        </w:rPr>
        <w:t xml:space="preserve">Dans l'affaire interétatique </w:t>
      </w:r>
      <w:r w:rsidRPr="00720D91">
        <w:rPr>
          <w:rFonts w:ascii="Arial" w:hAnsi="Arial" w:cs="Arial"/>
          <w:i/>
          <w:sz w:val="22"/>
          <w:szCs w:val="22"/>
          <w:lang w:eastAsia="en-US"/>
        </w:rPr>
        <w:t xml:space="preserve">Chypre c. Turquie </w:t>
      </w:r>
      <w:r w:rsidRPr="00720D91">
        <w:rPr>
          <w:rFonts w:ascii="Arial" w:hAnsi="Arial" w:cs="Arial"/>
          <w:sz w:val="22"/>
          <w:szCs w:val="22"/>
          <w:lang w:eastAsia="en-US"/>
        </w:rPr>
        <w:t xml:space="preserve">le 12 </w:t>
      </w:r>
      <w:r w:rsidRPr="00720D91">
        <w:rPr>
          <w:rFonts w:ascii="Arial" w:hAnsi="Arial" w:cs="Arial"/>
          <w:sz w:val="22"/>
          <w:szCs w:val="22"/>
        </w:rPr>
        <w:t xml:space="preserve">mai </w:t>
      </w:r>
      <w:r w:rsidRPr="00720D91">
        <w:rPr>
          <w:rFonts w:ascii="Arial" w:hAnsi="Arial" w:cs="Arial"/>
          <w:sz w:val="22"/>
          <w:szCs w:val="22"/>
          <w:lang w:eastAsia="en-US"/>
        </w:rPr>
        <w:t>2014, l</w:t>
      </w:r>
      <w:r w:rsidRPr="00720D91">
        <w:rPr>
          <w:rStyle w:val="sb8d990e2"/>
          <w:rFonts w:ascii="Arial" w:eastAsiaTheme="majorEastAsia" w:hAnsi="Arial" w:cs="Arial"/>
          <w:color w:val="000000"/>
          <w:sz w:val="22"/>
          <w:szCs w:val="22"/>
          <w:shd w:val="clear" w:color="auto" w:fill="FFFFFF"/>
        </w:rPr>
        <w:t xml:space="preserve">a Cour a estimé que la décision dans l'affaire </w:t>
      </w:r>
      <w:r w:rsidRPr="00720D91">
        <w:rPr>
          <w:rStyle w:val="s6b621b36"/>
          <w:rFonts w:ascii="Arial" w:eastAsiaTheme="minorEastAsia" w:hAnsi="Arial" w:cs="Arial"/>
          <w:i/>
          <w:iCs/>
          <w:color w:val="000000"/>
          <w:sz w:val="22"/>
          <w:szCs w:val="22"/>
          <w:shd w:val="clear" w:color="auto" w:fill="FFFFFF"/>
        </w:rPr>
        <w:lastRenderedPageBreak/>
        <w:t>Demopoulos et autres</w:t>
      </w:r>
      <w:r w:rsidRPr="00720D91">
        <w:rPr>
          <w:rStyle w:val="sb8d990e2"/>
          <w:rFonts w:ascii="Arial" w:eastAsiaTheme="majorEastAsia" w:hAnsi="Arial" w:cs="Arial"/>
          <w:color w:val="000000"/>
          <w:sz w:val="22"/>
          <w:szCs w:val="22"/>
          <w:shd w:val="clear" w:color="auto" w:fill="FFFFFF"/>
        </w:rPr>
        <w:t>, précitée, selon laquelle les affaires présentées par des particuliers concernant des plaintes pour violation de propriété devaient être rejetées pour non-épuisement des voies de recours internes, ne peut être considérée, prise isolément, comme réglant la question du respect par la Turquie de la partie III du dispositif de l'arrêt principal dans l'affaire interétatique</w:t>
      </w:r>
      <w:r w:rsidRPr="00720D91">
        <w:rPr>
          <w:rStyle w:val="sb8d990e2"/>
          <w:rFonts w:ascii="Arial" w:eastAsiaTheme="majorEastAsia" w:hAnsi="Arial" w:cs="Arial"/>
          <w:sz w:val="22"/>
          <w:szCs w:val="22"/>
          <w:shd w:val="clear" w:color="auto" w:fill="FFFFFF" w:themeFill="background1"/>
        </w:rPr>
        <w:t xml:space="preserve">.» </w:t>
      </w:r>
      <w:r w:rsidRPr="00720D91">
        <w:rPr>
          <w:rStyle w:val="FootnoteReference"/>
          <w:rFonts w:ascii="Arial" w:hAnsi="Arial" w:cs="Arial"/>
          <w:sz w:val="22"/>
          <w:szCs w:val="22"/>
          <w:shd w:val="clear" w:color="auto" w:fill="FFFFFF" w:themeFill="background1"/>
        </w:rPr>
        <w:footnoteReference w:id="258"/>
      </w:r>
    </w:p>
    <w:p w14:paraId="0DD6A24C" w14:textId="77777777" w:rsidR="00F331F8" w:rsidRPr="00720D91" w:rsidRDefault="00F331F8" w:rsidP="00971933">
      <w:pPr>
        <w:pStyle w:val="NoSpacing"/>
        <w:jc w:val="both"/>
        <w:rPr>
          <w:rStyle w:val="sb8d990e2"/>
          <w:rFonts w:ascii="Arial" w:eastAsiaTheme="majorEastAsia" w:hAnsi="Arial" w:cs="Arial"/>
          <w:b/>
          <w:bCs/>
          <w:color w:val="FF0000"/>
          <w:sz w:val="22"/>
          <w:szCs w:val="22"/>
          <w:shd w:val="clear" w:color="auto" w:fill="D9D9D9" w:themeFill="background1" w:themeFillShade="D9"/>
        </w:rPr>
      </w:pPr>
    </w:p>
    <w:p w14:paraId="7E1D0563" w14:textId="115AA0D5" w:rsidR="00F331F8" w:rsidRPr="00720D91" w:rsidRDefault="00F331F8" w:rsidP="00971933">
      <w:pPr>
        <w:pStyle w:val="NoSpacing"/>
        <w:ind w:firstLine="284"/>
        <w:jc w:val="both"/>
        <w:rPr>
          <w:rFonts w:ascii="Arial" w:hAnsi="Arial" w:cs="Arial"/>
          <w:color w:val="000000" w:themeColor="text1"/>
          <w:sz w:val="22"/>
          <w:szCs w:val="22"/>
        </w:rPr>
      </w:pPr>
      <w:r w:rsidRPr="00720D91">
        <w:rPr>
          <w:rFonts w:ascii="Arial" w:hAnsi="Arial" w:cs="Arial"/>
          <w:color w:val="000000" w:themeColor="text1"/>
          <w:sz w:val="22"/>
          <w:szCs w:val="22"/>
        </w:rPr>
        <w:t>13</w:t>
      </w:r>
      <w:r w:rsidR="00F240BE">
        <w:rPr>
          <w:rFonts w:ascii="Arial" w:hAnsi="Arial" w:cs="Arial"/>
          <w:color w:val="000000" w:themeColor="text1"/>
          <w:sz w:val="22"/>
          <w:szCs w:val="22"/>
        </w:rPr>
        <w:t>3</w:t>
      </w:r>
      <w:r w:rsidRPr="00720D91">
        <w:rPr>
          <w:rFonts w:ascii="Arial" w:hAnsi="Arial" w:cs="Arial"/>
          <w:color w:val="000000" w:themeColor="text1"/>
          <w:sz w:val="22"/>
          <w:szCs w:val="22"/>
        </w:rPr>
        <w:t>. Le potentiel de la procédure d’arrêt pilote dans les affaires liées à des conflits interétatiques en tant que moyen de faciliter leur règlement amiable est une voie qui mérite d’être davantage explorée. La procédure d’arrêt pilote a été développée et est utilisée par la Cour lorsque les faits d’une requête révèlent l’existence d’un problème systémique ou structurel ou d’un autre dysfonctionnement similaire dans l’État concerné qui a donné lieu ou pourrait donner lieu à des requêtes similaires.</w:t>
      </w:r>
      <w:r w:rsidRPr="00720D91">
        <w:rPr>
          <w:rStyle w:val="FootnoteReference"/>
          <w:rFonts w:ascii="Arial" w:hAnsi="Arial" w:cs="Arial"/>
          <w:color w:val="000000" w:themeColor="text1"/>
          <w:sz w:val="22"/>
          <w:szCs w:val="22"/>
        </w:rPr>
        <w:footnoteReference w:id="259"/>
      </w:r>
      <w:r w:rsidRPr="00720D91">
        <w:rPr>
          <w:rFonts w:ascii="Arial" w:hAnsi="Arial" w:cs="Arial"/>
          <w:color w:val="000000" w:themeColor="text1"/>
          <w:sz w:val="22"/>
          <w:szCs w:val="22"/>
        </w:rPr>
        <w:t xml:space="preserve"> </w:t>
      </w:r>
    </w:p>
    <w:p w14:paraId="3A64A79E" w14:textId="77777777" w:rsidR="00F331F8" w:rsidRPr="00720D91" w:rsidRDefault="00F331F8" w:rsidP="00971933">
      <w:pPr>
        <w:pStyle w:val="NoSpacing"/>
        <w:jc w:val="both"/>
        <w:rPr>
          <w:rFonts w:ascii="Arial" w:hAnsi="Arial" w:cs="Arial"/>
          <w:color w:val="000000" w:themeColor="text1"/>
          <w:sz w:val="22"/>
          <w:szCs w:val="22"/>
        </w:rPr>
      </w:pPr>
    </w:p>
    <w:p w14:paraId="427F2D98" w14:textId="057FE24F" w:rsidR="00F331F8" w:rsidRPr="00720D91" w:rsidRDefault="00F331F8" w:rsidP="00971933">
      <w:pPr>
        <w:pStyle w:val="NoSpacing"/>
        <w:ind w:firstLine="284"/>
        <w:jc w:val="both"/>
        <w:rPr>
          <w:rFonts w:ascii="Arial" w:hAnsi="Arial" w:cs="Arial"/>
          <w:color w:val="000000" w:themeColor="text1"/>
          <w:sz w:val="22"/>
          <w:szCs w:val="22"/>
        </w:rPr>
      </w:pPr>
      <w:r w:rsidRPr="00720D91">
        <w:rPr>
          <w:rFonts w:ascii="Arial" w:hAnsi="Arial" w:cs="Arial"/>
          <w:color w:val="000000" w:themeColor="text1"/>
          <w:sz w:val="22"/>
          <w:szCs w:val="22"/>
        </w:rPr>
        <w:t>13</w:t>
      </w:r>
      <w:r w:rsidR="00F240BE">
        <w:rPr>
          <w:rFonts w:ascii="Arial" w:hAnsi="Arial" w:cs="Arial"/>
          <w:color w:val="000000" w:themeColor="text1"/>
          <w:sz w:val="22"/>
          <w:szCs w:val="22"/>
        </w:rPr>
        <w:t>4</w:t>
      </w:r>
      <w:r w:rsidRPr="00720D91">
        <w:rPr>
          <w:rFonts w:ascii="Arial" w:hAnsi="Arial" w:cs="Arial"/>
          <w:color w:val="000000" w:themeColor="text1"/>
          <w:sz w:val="22"/>
          <w:szCs w:val="22"/>
        </w:rPr>
        <w:t>. Certains auteurs font valoir que la méthode de l’arrêt pilote devrait être utilisée également dans le cadre de requêtes interétatiques, ce qui permettrait ainsi de remédier à des violations systémiques des droits de l’homme.</w:t>
      </w:r>
      <w:r w:rsidRPr="00720D91">
        <w:rPr>
          <w:rStyle w:val="FootnoteReference"/>
          <w:rFonts w:ascii="Arial" w:hAnsi="Arial" w:cs="Arial"/>
          <w:color w:val="000000" w:themeColor="text1"/>
          <w:sz w:val="22"/>
          <w:szCs w:val="22"/>
        </w:rPr>
        <w:footnoteReference w:id="260"/>
      </w:r>
      <w:r w:rsidRPr="00720D91">
        <w:rPr>
          <w:rFonts w:ascii="Arial" w:hAnsi="Arial" w:cs="Arial"/>
          <w:color w:val="000000" w:themeColor="text1"/>
          <w:sz w:val="22"/>
          <w:szCs w:val="22"/>
        </w:rPr>
        <w:t xml:space="preserve"> L’approche de l’arrêt pilote permet de remédier à des violations des droits de l’homme de grande ampleur par le biais de méthodes de gestion privilégiant la coopération et la préservation de la souveraineté plutôt que par le biais de sanctions. Il est avancé qu’un dialogue juridique constructif est une solution valable et devrait donc être ouverte à la Cour dans les affaires interétatiques. Cette méthodologie ne devrait pas être le seul moyen à la disposition de la Cour pour résoudre le conflit. Jusqu’ici, aucun arrêt pilote n’a été adopté dans une affaire interétatique. </w:t>
      </w:r>
    </w:p>
    <w:p w14:paraId="2404E7DA" w14:textId="77777777" w:rsidR="00F331F8" w:rsidRPr="00F240BE" w:rsidRDefault="00F331F8" w:rsidP="00971933">
      <w:pPr>
        <w:pStyle w:val="Heading1"/>
        <w:spacing w:line="240" w:lineRule="auto"/>
        <w:ind w:left="720"/>
        <w:rPr>
          <w:rFonts w:ascii="Arial" w:hAnsi="Arial" w:cs="Arial"/>
          <w:lang w:val="fr-FR"/>
        </w:rPr>
      </w:pPr>
      <w:bookmarkStart w:id="87" w:name="_Toc86329796"/>
      <w:r w:rsidRPr="00F240BE">
        <w:rPr>
          <w:rFonts w:ascii="Arial" w:hAnsi="Arial" w:cs="Arial"/>
          <w:lang w:val="fr-FR"/>
        </w:rPr>
        <w:t>IX. CONCLUSIONS</w:t>
      </w:r>
      <w:bookmarkEnd w:id="87"/>
      <w:r w:rsidRPr="00F240BE">
        <w:rPr>
          <w:rFonts w:ascii="Arial" w:hAnsi="Arial" w:cs="Arial"/>
          <w:lang w:val="fr-FR"/>
        </w:rPr>
        <w:t xml:space="preserve"> </w:t>
      </w:r>
    </w:p>
    <w:p w14:paraId="6B3F628C" w14:textId="77777777" w:rsidR="00F331F8" w:rsidRPr="00F331F8" w:rsidRDefault="00F331F8" w:rsidP="00971933">
      <w:pPr>
        <w:autoSpaceDE w:val="0"/>
        <w:autoSpaceDN w:val="0"/>
        <w:adjustRightInd w:val="0"/>
        <w:spacing w:line="240" w:lineRule="auto"/>
        <w:jc w:val="both"/>
        <w:outlineLvl w:val="0"/>
        <w:rPr>
          <w:rFonts w:ascii="Arial" w:hAnsi="Arial" w:cs="Arial"/>
          <w:b/>
          <w:lang w:val="fr-FR"/>
        </w:rPr>
      </w:pPr>
    </w:p>
    <w:p w14:paraId="79B47238" w14:textId="6EBF5AE8" w:rsidR="00F331F8" w:rsidRPr="00720D91" w:rsidRDefault="00F331F8" w:rsidP="00971933">
      <w:pPr>
        <w:pStyle w:val="NoSpacing"/>
        <w:ind w:firstLine="426"/>
        <w:jc w:val="both"/>
        <w:rPr>
          <w:rFonts w:ascii="Arial" w:hAnsi="Arial" w:cs="Arial"/>
          <w:sz w:val="22"/>
          <w:szCs w:val="22"/>
        </w:rPr>
      </w:pPr>
      <w:r w:rsidRPr="00720D91">
        <w:rPr>
          <w:rFonts w:ascii="Arial" w:hAnsi="Arial" w:cs="Arial"/>
          <w:sz w:val="22"/>
          <w:szCs w:val="22"/>
        </w:rPr>
        <w:t>13</w:t>
      </w:r>
      <w:r w:rsidR="00F240BE">
        <w:rPr>
          <w:rFonts w:ascii="Arial" w:hAnsi="Arial" w:cs="Arial"/>
          <w:sz w:val="22"/>
          <w:szCs w:val="22"/>
        </w:rPr>
        <w:t>5</w:t>
      </w:r>
      <w:r w:rsidRPr="00946EDC">
        <w:rPr>
          <w:rFonts w:ascii="Arial" w:hAnsi="Arial" w:cs="Arial"/>
          <w:sz w:val="22"/>
          <w:szCs w:val="22"/>
        </w:rPr>
        <w:t xml:space="preserve">. </w:t>
      </w:r>
      <w:r w:rsidRPr="00720D91">
        <w:rPr>
          <w:rFonts w:ascii="Arial" w:hAnsi="Arial" w:cs="Arial"/>
          <w:sz w:val="22"/>
          <w:szCs w:val="22"/>
        </w:rPr>
        <w:t xml:space="preserve">Le traitement des affaires interétatiques et du nombre élevé de requêtes individuelles lorsqu'elles concernent des affaires ou conflits interétatiques pose des défis exceptionnels à la Cour et aux États parties au différend, car ces affaires sont particulièrement longues et complexes en raison de leur nature et de leur dimension. Bien que la Convention ne traite pas spécifiquement de la relation entre les affaires interétatiques et les requêtes individuelles qui y sont liées, les pratiques de la Cour visent à assurer l'efficacité du traitement de ces requêtes. Par exemple, </w:t>
      </w:r>
      <w:r w:rsidRPr="00720D91">
        <w:rPr>
          <w:rFonts w:ascii="Arial" w:hAnsi="Arial" w:cs="Arial"/>
          <w:color w:val="000000"/>
          <w:sz w:val="22"/>
          <w:szCs w:val="22"/>
          <w:lang w:eastAsia="en-US"/>
        </w:rPr>
        <w:t xml:space="preserve">lorsqu’une affaire interétatique est pendante, est que les requêtes individuelles soulevant les mêmes questions ou dérivant des mêmes circonstances ne font pas en principe, et dans la mesure où cela est possible, l’objet d’une décision avant que les questions de nature plus générale résultant des procédures interétatiques aient été déterminées dans l’affaire interétatique. </w:t>
      </w:r>
      <w:r w:rsidRPr="00720D91">
        <w:rPr>
          <w:rFonts w:ascii="Arial" w:hAnsi="Arial" w:cs="Arial"/>
          <w:sz w:val="22"/>
          <w:szCs w:val="22"/>
        </w:rPr>
        <w:t xml:space="preserve">La Cour ajuste également le traitement des affaires interétatiques en fonction de </w:t>
      </w:r>
      <w:r w:rsidRPr="00720D91">
        <w:rPr>
          <w:rFonts w:ascii="Arial" w:hAnsi="Arial" w:cs="Arial"/>
          <w:sz w:val="22"/>
          <w:szCs w:val="22"/>
        </w:rPr>
        <w:lastRenderedPageBreak/>
        <w:t>critères géographiques ou temporels ou des questions juridiques soulevées. Le DH-SYSC continuera à examiner l'opportunité et la faisabilité de soutenir la formalisation de telles pratiques et s'engagera dans les questions soulevées, en particulier l'échange de positions concernant les requêtes individuelles avant d'une décision sur la recevabilité ou d'un arrêt sur le fond de l'affaire interétatique correspondante.</w:t>
      </w:r>
    </w:p>
    <w:p w14:paraId="1A8EB4C6" w14:textId="77777777" w:rsidR="00F331F8" w:rsidRPr="00720D91" w:rsidRDefault="00F331F8" w:rsidP="00971933">
      <w:pPr>
        <w:pStyle w:val="NoSpacing"/>
        <w:ind w:firstLine="284"/>
        <w:jc w:val="both"/>
        <w:rPr>
          <w:rFonts w:ascii="Arial" w:hAnsi="Arial" w:cs="Arial"/>
          <w:sz w:val="22"/>
          <w:szCs w:val="22"/>
        </w:rPr>
      </w:pPr>
    </w:p>
    <w:p w14:paraId="6FB9CF17" w14:textId="72442496" w:rsidR="00F331F8" w:rsidRPr="00720D91" w:rsidRDefault="00F331F8" w:rsidP="00971933">
      <w:pPr>
        <w:pStyle w:val="NoSpacing"/>
        <w:ind w:firstLine="284"/>
        <w:jc w:val="both"/>
        <w:rPr>
          <w:rFonts w:ascii="Arial" w:hAnsi="Arial" w:cs="Arial"/>
          <w:sz w:val="22"/>
          <w:szCs w:val="22"/>
        </w:rPr>
      </w:pPr>
      <w:r w:rsidRPr="00720D91">
        <w:rPr>
          <w:rFonts w:ascii="Arial" w:hAnsi="Arial" w:cs="Arial"/>
          <w:sz w:val="22"/>
          <w:szCs w:val="22"/>
        </w:rPr>
        <w:t>13</w:t>
      </w:r>
      <w:r w:rsidR="00F240BE">
        <w:rPr>
          <w:rFonts w:ascii="Arial" w:hAnsi="Arial" w:cs="Arial"/>
          <w:sz w:val="22"/>
          <w:szCs w:val="22"/>
        </w:rPr>
        <w:t>6</w:t>
      </w:r>
      <w:r w:rsidRPr="00720D91">
        <w:rPr>
          <w:rFonts w:ascii="Arial" w:hAnsi="Arial" w:cs="Arial"/>
          <w:sz w:val="22"/>
          <w:szCs w:val="22"/>
        </w:rPr>
        <w:t>. Le DH-SYSC note que, selon un point de vue, il est suggéré d'introduire un nouveau critère de recevabilité pour les requêtes interétatiques, selon lequel une requête interétatique ne peut être introduite qu'à condition que l'État requérant ait raisonnablement expliqué pourquoi les personnes physiques ou morales concernées ne peuvent pas saisir la Cour de manière indépendante. Dans cette optique, une requête interétatique ou une partie de celle-ci devrait être déclarée irrecevable si au moins une requête similaire émanant d'une personne concrète est pendante devant la Cour. Notant le fait que ce point de vue impliquerait des amendements à la Convention, le DH-SYSC continuera à examiner si un nouveau critère de recevabilité est nécessaire.</w:t>
      </w:r>
    </w:p>
    <w:p w14:paraId="464AAA47" w14:textId="77777777" w:rsidR="00F331F8" w:rsidRPr="00720D91" w:rsidRDefault="00F331F8" w:rsidP="00971933">
      <w:pPr>
        <w:pStyle w:val="NoSpacing"/>
        <w:ind w:firstLine="284"/>
        <w:jc w:val="both"/>
        <w:rPr>
          <w:rFonts w:ascii="Arial" w:hAnsi="Arial" w:cs="Arial"/>
          <w:sz w:val="22"/>
          <w:szCs w:val="22"/>
        </w:rPr>
      </w:pPr>
    </w:p>
    <w:p w14:paraId="397348A0" w14:textId="1C8BBC61" w:rsidR="00F331F8" w:rsidRPr="00720D91" w:rsidRDefault="00F331F8" w:rsidP="00971933">
      <w:pPr>
        <w:pStyle w:val="NoSpacing"/>
        <w:ind w:firstLine="284"/>
        <w:jc w:val="both"/>
        <w:rPr>
          <w:rFonts w:ascii="Arial" w:hAnsi="Arial" w:cs="Arial"/>
          <w:sz w:val="22"/>
          <w:szCs w:val="22"/>
        </w:rPr>
      </w:pPr>
      <w:r w:rsidRPr="00720D91">
        <w:rPr>
          <w:rFonts w:ascii="Arial" w:hAnsi="Arial" w:cs="Arial"/>
          <w:sz w:val="22"/>
          <w:szCs w:val="22"/>
        </w:rPr>
        <w:t>13</w:t>
      </w:r>
      <w:r w:rsidR="00F240BE">
        <w:rPr>
          <w:rFonts w:ascii="Arial" w:hAnsi="Arial" w:cs="Arial"/>
          <w:sz w:val="22"/>
          <w:szCs w:val="22"/>
        </w:rPr>
        <w:t>7</w:t>
      </w:r>
      <w:r w:rsidRPr="00720D91">
        <w:rPr>
          <w:rFonts w:ascii="Arial" w:hAnsi="Arial" w:cs="Arial"/>
          <w:sz w:val="22"/>
          <w:szCs w:val="22"/>
        </w:rPr>
        <w:t xml:space="preserve">. Dans la pratique, peu d'affaires interétatiques portant sur les mêmes événements ou le même sujet ont été portées en parallèle devant la Cour et d'autres instances internationales ou ont soulevé des questions quant à la possibilité de décisions divergentes ou contradictoires. Toutefois, de tels risques ne doivent pas être exclus à l'avenir et, lorsqu'ils se présentent, ils doivent être atténués. Des situations de jurisprudence divergente ou conflictuelle entre la Cour et d'autres organes internationaux, notamment le Conseil des droits de l'homme, dans des affaires impliquant les mêmes faits, les mêmes parties et le même objet, se sont produites dans la pratique en ce qui concerne les requêtes individuelles. Cela a suscité des inquiétudes quant à la sécurité juridique pour les États parties sur la manière de respecter leurs obligations en matière de droits de l’homme, pour les individus en ce qui concerne l'étendue de leurs droits, et sapant potentiellement la cohérence du droit des droits de l'homme et/ou la crédibilité des institutions des droits de l'homme. Par conséquent, la Cour devrait continuer à assurer, dans la mesure du possible, une interprétation harmonieuse des droits substantiels de la Convention avec les autres régimes internationaux de protection des droits de l'homme et poursuivre son dialogue judiciaire avec les autres organes internationaux. Le DH-SYSC note que le rapport du CDDH sur la place de la Convention européenne des droits de l'homme dans l'ordre juridique européen et international constituera, dans son intégralité, la base de tout examen futur éventuel des questions soulevées concernant l'interprétation et l'application de la Convention par la Cour d'une manière qui soit conforme au droit international.  </w:t>
      </w:r>
    </w:p>
    <w:p w14:paraId="16B5EC02" w14:textId="77777777" w:rsidR="00F331F8" w:rsidRPr="00720D91" w:rsidRDefault="00F331F8" w:rsidP="00971933">
      <w:pPr>
        <w:pStyle w:val="NoSpacing"/>
        <w:jc w:val="both"/>
        <w:rPr>
          <w:rFonts w:ascii="Arial" w:hAnsi="Arial" w:cs="Arial"/>
          <w:sz w:val="22"/>
          <w:szCs w:val="22"/>
        </w:rPr>
      </w:pPr>
    </w:p>
    <w:p w14:paraId="5C2BBFF3" w14:textId="55EACC7D" w:rsidR="00F331F8" w:rsidRPr="00720D91" w:rsidRDefault="00F331F8" w:rsidP="00971933">
      <w:pPr>
        <w:pStyle w:val="NoSpacing"/>
        <w:ind w:firstLine="284"/>
        <w:jc w:val="both"/>
        <w:rPr>
          <w:rFonts w:ascii="Arial" w:hAnsi="Arial" w:cs="Arial"/>
          <w:sz w:val="22"/>
          <w:szCs w:val="22"/>
        </w:rPr>
      </w:pPr>
      <w:r w:rsidRPr="00720D91">
        <w:rPr>
          <w:rFonts w:ascii="Arial" w:hAnsi="Arial" w:cs="Arial"/>
          <w:sz w:val="22"/>
          <w:szCs w:val="22"/>
        </w:rPr>
        <w:t>13</w:t>
      </w:r>
      <w:r w:rsidR="00F240BE">
        <w:rPr>
          <w:rFonts w:ascii="Arial" w:hAnsi="Arial" w:cs="Arial"/>
          <w:sz w:val="22"/>
          <w:szCs w:val="22"/>
        </w:rPr>
        <w:t>8</w:t>
      </w:r>
      <w:r w:rsidRPr="00720D91">
        <w:rPr>
          <w:rFonts w:ascii="Arial" w:hAnsi="Arial" w:cs="Arial"/>
          <w:sz w:val="22"/>
          <w:szCs w:val="22"/>
        </w:rPr>
        <w:t>. L'une des difficultés liées à l'établissement des faits dans les affaires interétatiques est qu'un certain nombre de témoins cités à comparaître ne se présentent pas à l'audience. Alors que la Cour aborde cette question en évaluant si l'État défendeur a rempli ses obligations de coopération et en tirant, le cas échéant, des conclusions défavorables, les États membres devraient examiner la question des mesures qu'ils doivent prendre pour assurer la présence des témoins aux audiences de la Cour conformément à l'article 38 de la Convention. Le DH-SYSC continuera d'examiner cette question du point de vue des obligations des États parties en vertu de l'article 38 et s'intéressera de plus près à la question de l'opportunité et de la faisabilité d'organiser des auditions de témoins au moyen des technologies de l'information.</w:t>
      </w:r>
    </w:p>
    <w:p w14:paraId="156FA219" w14:textId="77777777" w:rsidR="00F331F8" w:rsidRPr="00720D91" w:rsidRDefault="00F331F8" w:rsidP="00971933">
      <w:pPr>
        <w:pStyle w:val="NoSpacing"/>
        <w:ind w:firstLine="284"/>
        <w:jc w:val="both"/>
        <w:rPr>
          <w:rFonts w:ascii="Arial" w:hAnsi="Arial" w:cs="Arial"/>
          <w:sz w:val="22"/>
          <w:szCs w:val="22"/>
        </w:rPr>
      </w:pPr>
    </w:p>
    <w:p w14:paraId="76AA643B" w14:textId="2916853E" w:rsidR="00F331F8" w:rsidRPr="00720D91" w:rsidRDefault="00F331F8" w:rsidP="00971933">
      <w:pPr>
        <w:pStyle w:val="NoSpacing"/>
        <w:ind w:firstLine="284"/>
        <w:jc w:val="both"/>
        <w:rPr>
          <w:rFonts w:ascii="Arial" w:hAnsi="Arial" w:cs="Arial"/>
          <w:sz w:val="22"/>
          <w:szCs w:val="22"/>
        </w:rPr>
      </w:pPr>
      <w:r w:rsidRPr="00720D91">
        <w:rPr>
          <w:rFonts w:ascii="Arial" w:hAnsi="Arial" w:cs="Arial"/>
          <w:sz w:val="22"/>
          <w:szCs w:val="22"/>
        </w:rPr>
        <w:t>13</w:t>
      </w:r>
      <w:r w:rsidR="00F240BE">
        <w:rPr>
          <w:rFonts w:ascii="Arial" w:hAnsi="Arial" w:cs="Arial"/>
          <w:sz w:val="22"/>
          <w:szCs w:val="22"/>
        </w:rPr>
        <w:t>9</w:t>
      </w:r>
      <w:r w:rsidRPr="00720D91">
        <w:rPr>
          <w:rFonts w:ascii="Arial" w:hAnsi="Arial" w:cs="Arial"/>
          <w:sz w:val="22"/>
          <w:szCs w:val="22"/>
        </w:rPr>
        <w:t xml:space="preserve">. L'approche de la Cour aujourd'hui n'est pas de mener des enquêtes sur place en raison du fait qu'elles sont longues et coûteuses. En outre, dans certains cas, il existe des difficultés pratiques qui peuvent influencer la capacité de la Cour à garantir que ses procédures sont équitables pour toutes les parties. En ce qui concerne en particulier les enquêtes sur place, des défis surviennent en raison de la potentielle réticence des autorités nationales à soutenir et à </w:t>
      </w:r>
      <w:r w:rsidRPr="00720D91">
        <w:rPr>
          <w:rFonts w:ascii="Arial" w:hAnsi="Arial" w:cs="Arial"/>
          <w:sz w:val="22"/>
          <w:szCs w:val="22"/>
        </w:rPr>
        <w:lastRenderedPageBreak/>
        <w:t>faciliter les activités de la délégation de la Cour. Le DH-SYS</w:t>
      </w:r>
      <w:r w:rsidR="00B41728">
        <w:rPr>
          <w:rFonts w:ascii="Arial" w:hAnsi="Arial" w:cs="Arial"/>
          <w:sz w:val="22"/>
          <w:szCs w:val="22"/>
        </w:rPr>
        <w:t>C</w:t>
      </w:r>
      <w:r w:rsidRPr="00720D91">
        <w:rPr>
          <w:rFonts w:ascii="Arial" w:hAnsi="Arial" w:cs="Arial"/>
          <w:sz w:val="22"/>
          <w:szCs w:val="22"/>
        </w:rPr>
        <w:t xml:space="preserve"> continuera de se pencher sur la question de savoir s'il est possible et/ou souhaitable que des missions d'enquête soient organisées par la Cour dans les affaires interétatiques et sur l'application des obligations des États parties au titre de l'article 38 dans ce contexte.</w:t>
      </w:r>
    </w:p>
    <w:p w14:paraId="01D432C2" w14:textId="77777777" w:rsidR="00F331F8" w:rsidRPr="00720D91" w:rsidRDefault="00F331F8" w:rsidP="00971933">
      <w:pPr>
        <w:pStyle w:val="NoSpacing"/>
        <w:ind w:firstLine="284"/>
        <w:jc w:val="both"/>
        <w:rPr>
          <w:rFonts w:ascii="Arial" w:hAnsi="Arial" w:cs="Arial"/>
          <w:sz w:val="22"/>
          <w:szCs w:val="22"/>
        </w:rPr>
      </w:pPr>
    </w:p>
    <w:p w14:paraId="44ABF1C0" w14:textId="24CDFB05" w:rsidR="00F331F8" w:rsidRPr="00720D91" w:rsidRDefault="00F331F8" w:rsidP="00971933">
      <w:pPr>
        <w:pStyle w:val="NoSpacing"/>
        <w:ind w:firstLine="284"/>
        <w:jc w:val="both"/>
        <w:rPr>
          <w:rFonts w:ascii="Arial" w:hAnsi="Arial" w:cs="Arial"/>
          <w:sz w:val="22"/>
          <w:szCs w:val="22"/>
        </w:rPr>
      </w:pPr>
      <w:r w:rsidRPr="00720D91">
        <w:rPr>
          <w:rFonts w:ascii="Arial" w:hAnsi="Arial" w:cs="Arial"/>
          <w:sz w:val="22"/>
          <w:szCs w:val="22"/>
        </w:rPr>
        <w:t>1</w:t>
      </w:r>
      <w:r w:rsidR="00F240BE">
        <w:rPr>
          <w:rFonts w:ascii="Arial" w:hAnsi="Arial" w:cs="Arial"/>
          <w:sz w:val="22"/>
          <w:szCs w:val="22"/>
        </w:rPr>
        <w:t>40</w:t>
      </w:r>
      <w:r w:rsidRPr="00720D91">
        <w:rPr>
          <w:rFonts w:ascii="Arial" w:hAnsi="Arial" w:cs="Arial"/>
          <w:sz w:val="22"/>
          <w:szCs w:val="22"/>
        </w:rPr>
        <w:t xml:space="preserve">. Lorsqu'elle applique l'article 41 de la Convention aux affaires interétatiques, la Cour se fonde sur la détermination d'un groupe suffisamment précis et objectivement identifiable de personnes dont les droits ont été violés aux fins d'accorder une satisfaction équitable pour les violations constatées. En pratique, la Cour invite le gouvernement requérant à soumettre une liste d'individus identifiables qui sont les victimes des violations lors de la phase de satisfaction équitable de la procédure. Le DH-SYSC note que, selon un certain point de vue, la liste devrait être soumise dès le début de la procédure interétatique. Le </w:t>
      </w:r>
      <w:r w:rsidR="00872A89">
        <w:rPr>
          <w:rStyle w:val="Hyperlink"/>
          <w:rFonts w:ascii="Arial" w:eastAsiaTheme="majorEastAsia" w:hAnsi="Arial" w:cs="Arial"/>
          <w:color w:val="auto"/>
          <w:sz w:val="22"/>
          <w:szCs w:val="22"/>
          <w:u w:val="none"/>
        </w:rPr>
        <w:t xml:space="preserve">DH-SYSC </w:t>
      </w:r>
      <w:r w:rsidRPr="00720D91">
        <w:rPr>
          <w:rFonts w:ascii="Arial" w:hAnsi="Arial" w:cs="Arial"/>
          <w:sz w:val="22"/>
          <w:szCs w:val="22"/>
        </w:rPr>
        <w:t>discutera</w:t>
      </w:r>
      <w:r w:rsidR="00872A89" w:rsidRPr="00971933">
        <w:rPr>
          <w:rStyle w:val="Hyperlink"/>
          <w:rFonts w:ascii="Arial" w:eastAsiaTheme="majorEastAsia" w:hAnsi="Arial" w:cs="Arial"/>
          <w:color w:val="auto"/>
          <w:sz w:val="22"/>
          <w:szCs w:val="22"/>
          <w:u w:val="none"/>
        </w:rPr>
        <w:t xml:space="preserve"> </w:t>
      </w:r>
      <w:r w:rsidRPr="00720D91">
        <w:rPr>
          <w:rFonts w:ascii="Arial" w:hAnsi="Arial" w:cs="Arial"/>
          <w:sz w:val="22"/>
          <w:szCs w:val="22"/>
        </w:rPr>
        <w:t>plus avant de ce point en liaison avec sa discussion sur l'opportunité et la faisabilité d'une formalisation des pratiques actuelles de la Cour, notamment dans le Règlement de la Cour. Une attention particulière sera accordée à l'acquittement des obligations des États parties en vertu de l'article 38 comme moyen d'atténuer les risques d'accorder une satisfaction équitable à des individus qui ne sont pas éligibles pour une telle sentence pour diverses raisons. La soumission des observations sur la satisfaction équitable par les États parties concernés dans les délais fixés par l'arrêt sur le fond pour l'échange de ces observations par les parties, peut aider à traiter les affaires interétatiques de manière plus efficace et à éviter les retards excessifs entre l'arrêt sur le fond et l'arrêt de satisfaction équitable.</w:t>
      </w:r>
    </w:p>
    <w:p w14:paraId="13663237" w14:textId="77777777" w:rsidR="00F331F8" w:rsidRPr="00720D91" w:rsidRDefault="00F331F8" w:rsidP="00971933">
      <w:pPr>
        <w:pStyle w:val="NoSpacing"/>
        <w:ind w:firstLine="284"/>
        <w:jc w:val="both"/>
        <w:rPr>
          <w:b/>
          <w:sz w:val="22"/>
          <w:szCs w:val="22"/>
          <w:highlight w:val="yellow"/>
          <w:lang w:bidi="en-US"/>
        </w:rPr>
      </w:pPr>
    </w:p>
    <w:p w14:paraId="52A11BD4" w14:textId="16469AE4" w:rsidR="00F331F8" w:rsidRPr="00946EDC" w:rsidRDefault="00F331F8" w:rsidP="00971933">
      <w:pPr>
        <w:autoSpaceDE w:val="0"/>
        <w:autoSpaceDN w:val="0"/>
        <w:adjustRightInd w:val="0"/>
        <w:spacing w:after="240" w:line="240" w:lineRule="auto"/>
        <w:ind w:firstLine="284"/>
        <w:jc w:val="both"/>
        <w:rPr>
          <w:rFonts w:ascii="Arial" w:hAnsi="Arial" w:cs="Arial"/>
          <w:lang w:val="fr-FR"/>
        </w:rPr>
      </w:pPr>
      <w:r w:rsidRPr="00F331F8">
        <w:rPr>
          <w:rFonts w:ascii="Arial" w:hAnsi="Arial" w:cs="Arial"/>
          <w:lang w:val="fr-FR"/>
        </w:rPr>
        <w:t>1</w:t>
      </w:r>
      <w:r w:rsidR="00394753">
        <w:rPr>
          <w:rFonts w:ascii="Arial" w:hAnsi="Arial" w:cs="Arial"/>
          <w:lang w:val="fr-FR"/>
        </w:rPr>
        <w:t>4</w:t>
      </w:r>
      <w:r w:rsidR="00F240BE">
        <w:rPr>
          <w:rFonts w:ascii="Arial" w:hAnsi="Arial" w:cs="Arial"/>
          <w:lang w:val="fr-FR"/>
        </w:rPr>
        <w:t>1</w:t>
      </w:r>
      <w:r w:rsidRPr="00F331F8">
        <w:rPr>
          <w:rFonts w:ascii="Arial" w:hAnsi="Arial" w:cs="Arial"/>
          <w:lang w:val="fr-FR"/>
        </w:rPr>
        <w:t xml:space="preserve">. L'analyse de la pratique de la Cour révèle que le mécanisme de règlement amiable prévu par l'article 39 de la Convention offre la possibilité aux États parties, dans les affaires liées à des conflits interétatiques, d'engager un dialogue et d'entreprendre des négociations en vue de parvenir à un règlement amiable de la question. Le respect des droits de l'homme est garanti par l'intervention de la Cour. La procédure de règlement amiable, qui est mise en œuvre avec le consentement des deux parties et qui doit rester totalement confidentielle, permet d'adopter diverses mesures pour remédier aux violations alléguées de la Convention. De même, l'application de la procédure de jugement pilote dans le cadre de requêtes individuelles relatives à des litiges interétatiques peut permettre de faciliter leur résolution par un règlement amiable. En plus d'offrir une réparation aux victimes, les règlements amiables peuvent prévoir des mesures qui ont un large impact sur la société en termes de changement par la protection et la promotion du respect de la Convention. Par conséquent, le DH-SYSC poursuivra ses réflexions sur la manière de promouvoir le recours au mécanisme de règlement amiable de la </w:t>
      </w:r>
      <w:r w:rsidRPr="00946EDC">
        <w:rPr>
          <w:rFonts w:ascii="Arial" w:hAnsi="Arial" w:cs="Arial"/>
          <w:lang w:val="fr-FR"/>
        </w:rPr>
        <w:t xml:space="preserve">Convention. </w:t>
      </w:r>
    </w:p>
    <w:p w14:paraId="19D0F855" w14:textId="04E11B39" w:rsidR="00F331F8" w:rsidRPr="00B22052" w:rsidRDefault="00946EDC" w:rsidP="00B22052">
      <w:pPr>
        <w:autoSpaceDE w:val="0"/>
        <w:autoSpaceDN w:val="0"/>
        <w:adjustRightInd w:val="0"/>
        <w:spacing w:after="240" w:line="240" w:lineRule="auto"/>
        <w:ind w:firstLine="284"/>
        <w:jc w:val="both"/>
        <w:rPr>
          <w:lang w:val="fr-FR"/>
        </w:rPr>
      </w:pPr>
      <w:r w:rsidRPr="00946EDC">
        <w:rPr>
          <w:rFonts w:ascii="Arial" w:hAnsi="Arial" w:cs="Arial"/>
          <w:lang w:val="fr-FR"/>
        </w:rPr>
        <w:t>14</w:t>
      </w:r>
      <w:r w:rsidR="00F240BE">
        <w:rPr>
          <w:rFonts w:ascii="Arial" w:hAnsi="Arial" w:cs="Arial"/>
          <w:lang w:val="fr-FR"/>
        </w:rPr>
        <w:t>2</w:t>
      </w:r>
      <w:r w:rsidRPr="00946EDC">
        <w:rPr>
          <w:rFonts w:ascii="Arial" w:hAnsi="Arial" w:cs="Arial"/>
          <w:lang w:val="fr-FR"/>
        </w:rPr>
        <w:t xml:space="preserve">. </w:t>
      </w:r>
      <w:r w:rsidR="00B41728">
        <w:rPr>
          <w:rFonts w:ascii="Arial" w:hAnsi="Arial" w:cs="Arial"/>
          <w:lang w:val="fr-FR"/>
        </w:rPr>
        <w:t>Le</w:t>
      </w:r>
      <w:r w:rsidR="00B41728" w:rsidRPr="00946EDC">
        <w:rPr>
          <w:rFonts w:ascii="Arial" w:hAnsi="Arial" w:cs="Arial"/>
          <w:lang w:val="fr-FR"/>
        </w:rPr>
        <w:t xml:space="preserve"> présent rapport constitue une base pour un examen plus approfondi des questions relevant du mandat du DH-SYSC, sous réserve de l'adoption finale </w:t>
      </w:r>
      <w:r w:rsidR="00A70562">
        <w:rPr>
          <w:rFonts w:ascii="Arial" w:hAnsi="Arial" w:cs="Arial"/>
          <w:lang w:val="fr-FR"/>
        </w:rPr>
        <w:t>de son mandat pour l</w:t>
      </w:r>
      <w:r w:rsidR="00754513">
        <w:rPr>
          <w:rFonts w:ascii="Arial" w:hAnsi="Arial" w:cs="Arial"/>
          <w:lang w:val="fr-FR"/>
        </w:rPr>
        <w:t xml:space="preserve">e </w:t>
      </w:r>
      <w:r w:rsidR="00A70562">
        <w:rPr>
          <w:rFonts w:ascii="Arial" w:hAnsi="Arial" w:cs="Arial"/>
          <w:lang w:val="fr-FR"/>
        </w:rPr>
        <w:t>quadrienn</w:t>
      </w:r>
      <w:r w:rsidR="00754513">
        <w:rPr>
          <w:rFonts w:ascii="Arial" w:hAnsi="Arial" w:cs="Arial"/>
          <w:lang w:val="fr-FR"/>
        </w:rPr>
        <w:t xml:space="preserve">ium </w:t>
      </w:r>
      <w:r w:rsidR="00A70562">
        <w:rPr>
          <w:rFonts w:ascii="Arial" w:hAnsi="Arial" w:cs="Arial"/>
          <w:lang w:val="fr-FR"/>
        </w:rPr>
        <w:t xml:space="preserve">2022-2025 </w:t>
      </w:r>
      <w:r w:rsidR="00B41728" w:rsidRPr="00946EDC">
        <w:rPr>
          <w:rFonts w:ascii="Arial" w:hAnsi="Arial" w:cs="Arial"/>
          <w:lang w:val="fr-FR"/>
        </w:rPr>
        <w:t xml:space="preserve">par le Comité des Ministres, </w:t>
      </w:r>
      <w:r w:rsidR="00A70562" w:rsidRPr="00A70562">
        <w:rPr>
          <w:rFonts w:ascii="Arial" w:hAnsi="Arial" w:cs="Arial"/>
          <w:lang w:val="fr-FR"/>
        </w:rPr>
        <w:t>et ne limite pas les discussions ultérieures au sein du DH-SYSC et/ou du DH-SYSC-IV.</w:t>
      </w:r>
      <w:r w:rsidR="00A70562">
        <w:rPr>
          <w:rFonts w:ascii="Arial" w:hAnsi="Arial" w:cs="Arial"/>
          <w:lang w:val="fr-FR"/>
        </w:rPr>
        <w:t xml:space="preserve"> </w:t>
      </w:r>
    </w:p>
    <w:p w14:paraId="00D3982B" w14:textId="77777777" w:rsidR="00F331F8" w:rsidRPr="00F331F8" w:rsidRDefault="00F331F8" w:rsidP="00EC6358">
      <w:pPr>
        <w:spacing w:line="240" w:lineRule="auto"/>
        <w:rPr>
          <w:lang w:val="fr-FR"/>
        </w:rPr>
      </w:pPr>
    </w:p>
    <w:sectPr w:rsidR="00F331F8" w:rsidRPr="00F331F8" w:rsidSect="00F331F8">
      <w:foot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394C6" w14:textId="77777777" w:rsidR="00B41728" w:rsidRDefault="00B41728" w:rsidP="00F331F8">
      <w:pPr>
        <w:spacing w:after="0" w:line="240" w:lineRule="auto"/>
      </w:pPr>
      <w:r>
        <w:separator/>
      </w:r>
    </w:p>
  </w:endnote>
  <w:endnote w:type="continuationSeparator" w:id="0">
    <w:p w14:paraId="6D51AEB7" w14:textId="77777777" w:rsidR="00B41728" w:rsidRDefault="00B41728" w:rsidP="00F33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Roman">
    <w:altName w:val="Times New Roman"/>
    <w:charset w:val="01"/>
    <w:family w:val="roman"/>
    <w:pitch w:val="variable"/>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5042073"/>
      <w:docPartObj>
        <w:docPartGallery w:val="Page Numbers (Bottom of Page)"/>
        <w:docPartUnique/>
      </w:docPartObj>
    </w:sdtPr>
    <w:sdtEndPr/>
    <w:sdtContent>
      <w:p w14:paraId="500F0252" w14:textId="1C034371" w:rsidR="00BC1A89" w:rsidRDefault="00BC1A89">
        <w:pPr>
          <w:pStyle w:val="Footer"/>
          <w:jc w:val="center"/>
        </w:pPr>
        <w:r>
          <w:fldChar w:fldCharType="begin"/>
        </w:r>
        <w:r>
          <w:instrText>PAGE   \* MERGEFORMAT</w:instrText>
        </w:r>
        <w:r>
          <w:fldChar w:fldCharType="separate"/>
        </w:r>
        <w:r>
          <w:t>2</w:t>
        </w:r>
        <w:r>
          <w:fldChar w:fldCharType="end"/>
        </w:r>
      </w:p>
    </w:sdtContent>
  </w:sdt>
  <w:p w14:paraId="0E24AD3D" w14:textId="77777777" w:rsidR="00BC1A89" w:rsidRDefault="00BC1A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1674B" w14:textId="77777777" w:rsidR="00B41728" w:rsidRDefault="00B41728" w:rsidP="00F331F8">
      <w:pPr>
        <w:spacing w:after="0" w:line="240" w:lineRule="auto"/>
      </w:pPr>
      <w:r>
        <w:separator/>
      </w:r>
    </w:p>
  </w:footnote>
  <w:footnote w:type="continuationSeparator" w:id="0">
    <w:p w14:paraId="19F7ECE0" w14:textId="77777777" w:rsidR="00B41728" w:rsidRDefault="00B41728" w:rsidP="00F331F8">
      <w:pPr>
        <w:spacing w:after="0" w:line="240" w:lineRule="auto"/>
      </w:pPr>
      <w:r>
        <w:continuationSeparator/>
      </w:r>
    </w:p>
  </w:footnote>
  <w:footnote w:id="1">
    <w:p w14:paraId="6FECF548" w14:textId="77777777" w:rsidR="00B41728" w:rsidRPr="002D305B" w:rsidRDefault="00B41728" w:rsidP="00F331F8">
      <w:pPr>
        <w:pStyle w:val="NoSpacing"/>
        <w:jc w:val="both"/>
        <w:rPr>
          <w:rFonts w:ascii="Arial" w:hAnsi="Arial" w:cs="Arial"/>
          <w:sz w:val="18"/>
          <w:szCs w:val="18"/>
        </w:rPr>
      </w:pPr>
      <w:r w:rsidRPr="002D305B">
        <w:rPr>
          <w:rStyle w:val="FootnoteReference"/>
        </w:rPr>
        <w:footnoteRef/>
      </w:r>
      <w:r w:rsidRPr="002D305B">
        <w:t xml:space="preserve"> </w:t>
      </w:r>
      <w:r w:rsidRPr="002D305B">
        <w:rPr>
          <w:rFonts w:ascii="Arial" w:hAnsi="Arial" w:cs="Arial"/>
          <w:sz w:val="18"/>
          <w:szCs w:val="18"/>
        </w:rPr>
        <w:t>Voir</w:t>
      </w:r>
      <w:r w:rsidRPr="002D305B">
        <w:rPr>
          <w:sz w:val="18"/>
          <w:szCs w:val="18"/>
        </w:rPr>
        <w:t xml:space="preserve"> </w:t>
      </w:r>
      <w:r w:rsidRPr="002D305B">
        <w:rPr>
          <w:rFonts w:ascii="Arial" w:hAnsi="Arial" w:cs="Arial"/>
          <w:sz w:val="18"/>
          <w:szCs w:val="18"/>
        </w:rPr>
        <w:t xml:space="preserve">document </w:t>
      </w:r>
      <w:hyperlink r:id="rId1" w:history="1">
        <w:r w:rsidRPr="002D305B">
          <w:rPr>
            <w:rStyle w:val="Hyperlink"/>
            <w:rFonts w:ascii="Arial" w:eastAsiaTheme="majorEastAsia" w:hAnsi="Arial" w:cs="Arial"/>
            <w:sz w:val="18"/>
            <w:szCs w:val="18"/>
          </w:rPr>
          <w:t>CDDH(2019)R92Addendum2</w:t>
        </w:r>
      </w:hyperlink>
      <w:r w:rsidRPr="002D305B">
        <w:rPr>
          <w:rFonts w:ascii="Arial" w:hAnsi="Arial" w:cs="Arial"/>
          <w:sz w:val="18"/>
          <w:szCs w:val="18"/>
        </w:rPr>
        <w:t>.</w:t>
      </w:r>
    </w:p>
  </w:footnote>
  <w:footnote w:id="2">
    <w:p w14:paraId="708AB52D" w14:textId="77777777" w:rsidR="00B41728" w:rsidRPr="00720D91" w:rsidRDefault="00B41728" w:rsidP="00F331F8">
      <w:pPr>
        <w:pStyle w:val="FootnoteText"/>
        <w:rPr>
          <w:lang w:val="fr-FR"/>
        </w:rPr>
      </w:pPr>
      <w:r w:rsidRPr="002D305B">
        <w:rPr>
          <w:rStyle w:val="FootnoteReference"/>
        </w:rPr>
        <w:footnoteRef/>
      </w:r>
      <w:r w:rsidRPr="00720D91">
        <w:rPr>
          <w:lang w:val="fr-FR"/>
        </w:rPr>
        <w:t xml:space="preserve"> </w:t>
      </w:r>
      <w:r w:rsidRPr="00720D91">
        <w:rPr>
          <w:rFonts w:ascii="Arial" w:hAnsi="Arial" w:cs="Arial"/>
          <w:sz w:val="18"/>
          <w:szCs w:val="18"/>
          <w:lang w:val="fr-FR"/>
        </w:rPr>
        <w:t>Voir</w:t>
      </w:r>
      <w:r w:rsidRPr="00720D91">
        <w:rPr>
          <w:sz w:val="18"/>
          <w:szCs w:val="18"/>
          <w:lang w:val="fr-FR"/>
        </w:rPr>
        <w:t xml:space="preserve"> </w:t>
      </w:r>
      <w:hyperlink r:id="rId2" w:history="1">
        <w:r w:rsidRPr="00720D91">
          <w:rPr>
            <w:rStyle w:val="Hyperlink"/>
            <w:rFonts w:ascii="Arial" w:hAnsi="Arial" w:cs="Arial"/>
            <w:sz w:val="18"/>
            <w:szCs w:val="18"/>
            <w:lang w:val="fr-FR"/>
          </w:rPr>
          <w:t>CM/Del/Dec(2018)1317/1.5</w:t>
        </w:r>
      </w:hyperlink>
      <w:r w:rsidRPr="00720D91">
        <w:rPr>
          <w:rFonts w:ascii="Arial" w:hAnsi="Arial" w:cs="Arial"/>
          <w:sz w:val="18"/>
          <w:szCs w:val="18"/>
          <w:lang w:val="fr-FR"/>
        </w:rPr>
        <w:t xml:space="preserve">. </w:t>
      </w:r>
    </w:p>
  </w:footnote>
  <w:footnote w:id="3">
    <w:p w14:paraId="14558074" w14:textId="77777777" w:rsidR="00B41728" w:rsidRPr="002D305B" w:rsidRDefault="00B41728" w:rsidP="00F331F8">
      <w:pPr>
        <w:pStyle w:val="NoSpacing"/>
        <w:jc w:val="both"/>
        <w:rPr>
          <w:rFonts w:ascii="Arial" w:hAnsi="Arial" w:cs="Arial"/>
          <w:sz w:val="18"/>
          <w:szCs w:val="18"/>
        </w:rPr>
      </w:pPr>
      <w:r w:rsidRPr="002D305B">
        <w:rPr>
          <w:rStyle w:val="FootnoteReference"/>
          <w:rFonts w:ascii="Arial" w:hAnsi="Arial" w:cs="Arial"/>
          <w:sz w:val="18"/>
          <w:szCs w:val="18"/>
        </w:rPr>
        <w:footnoteRef/>
      </w:r>
      <w:r w:rsidRPr="002D305B">
        <w:rPr>
          <w:rFonts w:ascii="Arial" w:hAnsi="Arial" w:cs="Arial"/>
          <w:sz w:val="18"/>
          <w:szCs w:val="18"/>
        </w:rPr>
        <w:t xml:space="preserve"> Voir </w:t>
      </w:r>
      <w:hyperlink r:id="rId3" w:history="1">
        <w:r w:rsidRPr="002D305B">
          <w:rPr>
            <w:rStyle w:val="Hyperlink"/>
            <w:rFonts w:ascii="Arial" w:eastAsiaTheme="majorEastAsia" w:hAnsi="Arial" w:cs="Arial"/>
            <w:sz w:val="18"/>
            <w:szCs w:val="18"/>
          </w:rPr>
          <w:t>CDDH(2019)R91</w:t>
        </w:r>
      </w:hyperlink>
      <w:r w:rsidRPr="002D305B">
        <w:rPr>
          <w:rFonts w:ascii="Arial" w:hAnsi="Arial" w:cs="Arial"/>
          <w:sz w:val="18"/>
          <w:szCs w:val="18"/>
        </w:rPr>
        <w:t>, para. 25 à 28.</w:t>
      </w:r>
    </w:p>
  </w:footnote>
  <w:footnote w:id="4">
    <w:p w14:paraId="2F2D946B" w14:textId="77777777" w:rsidR="00B41728" w:rsidRPr="002D305B" w:rsidRDefault="00B41728" w:rsidP="00F331F8">
      <w:pPr>
        <w:pStyle w:val="NoSpacing"/>
        <w:jc w:val="both"/>
        <w:rPr>
          <w:rFonts w:ascii="Arial" w:hAnsi="Arial" w:cs="Arial"/>
          <w:sz w:val="18"/>
          <w:szCs w:val="18"/>
        </w:rPr>
      </w:pPr>
      <w:r w:rsidRPr="002D305B">
        <w:rPr>
          <w:rStyle w:val="FootnoteReference"/>
          <w:rFonts w:ascii="Arial" w:hAnsi="Arial" w:cs="Arial"/>
          <w:sz w:val="18"/>
          <w:szCs w:val="18"/>
        </w:rPr>
        <w:footnoteRef/>
      </w:r>
      <w:r w:rsidRPr="002D305B">
        <w:rPr>
          <w:rFonts w:ascii="Arial" w:hAnsi="Arial" w:cs="Arial"/>
          <w:sz w:val="18"/>
          <w:szCs w:val="18"/>
        </w:rPr>
        <w:t xml:space="preserve"> Voir le document </w:t>
      </w:r>
      <w:hyperlink r:id="rId4" w:history="1">
        <w:r w:rsidRPr="002D305B">
          <w:rPr>
            <w:rStyle w:val="Hyperlink"/>
            <w:rFonts w:ascii="Arial" w:eastAsiaTheme="majorEastAsia" w:hAnsi="Arial" w:cs="Arial"/>
            <w:sz w:val="18"/>
            <w:szCs w:val="18"/>
          </w:rPr>
          <w:t>CDDH-BU(2019)R101 Addendum</w:t>
        </w:r>
      </w:hyperlink>
      <w:r w:rsidRPr="002D305B">
        <w:rPr>
          <w:rFonts w:ascii="Arial" w:hAnsi="Arial" w:cs="Arial"/>
          <w:sz w:val="18"/>
          <w:szCs w:val="18"/>
        </w:rPr>
        <w:t xml:space="preserve"> du 12 juin 2019, §§ 61-91 et Annexes I et II.</w:t>
      </w:r>
    </w:p>
  </w:footnote>
  <w:footnote w:id="5">
    <w:p w14:paraId="02A3A225" w14:textId="77777777" w:rsidR="00B41728" w:rsidRPr="002D305B" w:rsidRDefault="00B41728" w:rsidP="00F331F8">
      <w:pPr>
        <w:pStyle w:val="NoSpacing"/>
        <w:jc w:val="both"/>
        <w:rPr>
          <w:rFonts w:ascii="Arial" w:hAnsi="Arial" w:cs="Arial"/>
          <w:sz w:val="18"/>
          <w:szCs w:val="18"/>
        </w:rPr>
      </w:pPr>
      <w:r w:rsidRPr="002D305B">
        <w:rPr>
          <w:rStyle w:val="FootnoteReference"/>
          <w:rFonts w:ascii="Arial" w:hAnsi="Arial" w:cs="Arial"/>
          <w:sz w:val="18"/>
          <w:szCs w:val="18"/>
        </w:rPr>
        <w:footnoteRef/>
      </w:r>
      <w:r w:rsidRPr="002D305B">
        <w:rPr>
          <w:rFonts w:ascii="Arial" w:hAnsi="Arial" w:cs="Arial"/>
          <w:sz w:val="18"/>
          <w:szCs w:val="18"/>
        </w:rPr>
        <w:t xml:space="preserve"> Voir le document </w:t>
      </w:r>
      <w:hyperlink r:id="rId5" w:history="1">
        <w:r w:rsidRPr="002D305B">
          <w:rPr>
            <w:rStyle w:val="Hyperlink"/>
            <w:rFonts w:ascii="Arial" w:eastAsiaTheme="majorEastAsia" w:hAnsi="Arial" w:cs="Arial"/>
            <w:sz w:val="18"/>
            <w:szCs w:val="18"/>
          </w:rPr>
          <w:t>CDDH(2019)12</w:t>
        </w:r>
      </w:hyperlink>
      <w:r w:rsidRPr="002D305B">
        <w:rPr>
          <w:rFonts w:ascii="Arial" w:hAnsi="Arial" w:cs="Arial"/>
          <w:sz w:val="18"/>
          <w:szCs w:val="18"/>
        </w:rPr>
        <w:t>.</w:t>
      </w:r>
    </w:p>
  </w:footnote>
  <w:footnote w:id="6">
    <w:p w14:paraId="5A900DAD" w14:textId="77777777" w:rsidR="00B41728" w:rsidRPr="002D305B" w:rsidRDefault="00B41728" w:rsidP="00F331F8">
      <w:pPr>
        <w:pStyle w:val="NoSpacing"/>
        <w:jc w:val="both"/>
        <w:rPr>
          <w:rFonts w:ascii="Arial" w:hAnsi="Arial" w:cs="Arial"/>
          <w:sz w:val="18"/>
          <w:szCs w:val="18"/>
        </w:rPr>
      </w:pPr>
      <w:r w:rsidRPr="002D305B">
        <w:rPr>
          <w:rStyle w:val="FootnoteReference"/>
          <w:rFonts w:ascii="Arial" w:hAnsi="Arial" w:cs="Arial"/>
          <w:sz w:val="18"/>
          <w:szCs w:val="18"/>
        </w:rPr>
        <w:footnoteRef/>
      </w:r>
      <w:r w:rsidRPr="002D305B">
        <w:rPr>
          <w:rFonts w:ascii="Arial" w:hAnsi="Arial" w:cs="Arial"/>
          <w:sz w:val="18"/>
          <w:szCs w:val="18"/>
        </w:rPr>
        <w:t xml:space="preserve"> Voir pour la version complète du rapport </w:t>
      </w:r>
      <w:r w:rsidRPr="002D305B">
        <w:rPr>
          <w:rFonts w:ascii="Arial" w:hAnsi="Arial" w:cs="Arial"/>
          <w:iCs/>
          <w:sz w:val="18"/>
          <w:szCs w:val="18"/>
        </w:rPr>
        <w:t xml:space="preserve">adopté par la plénière de la Cour le 18 juin 2018, </w:t>
      </w:r>
      <w:r w:rsidRPr="002D305B">
        <w:rPr>
          <w:rFonts w:ascii="Arial" w:hAnsi="Arial" w:cs="Arial"/>
          <w:sz w:val="18"/>
          <w:szCs w:val="18"/>
        </w:rPr>
        <w:t xml:space="preserve">document </w:t>
      </w:r>
      <w:hyperlink r:id="rId6" w:history="1">
        <w:r w:rsidRPr="002D305B">
          <w:rPr>
            <w:rStyle w:val="Hyperlink"/>
            <w:rFonts w:ascii="Arial" w:eastAsiaTheme="majorEastAsia" w:hAnsi="Arial" w:cs="Arial"/>
            <w:sz w:val="18"/>
            <w:szCs w:val="18"/>
          </w:rPr>
          <w:t>CDDH(2019)22</w:t>
        </w:r>
      </w:hyperlink>
      <w:r w:rsidRPr="002D305B">
        <w:rPr>
          <w:rFonts w:ascii="Arial" w:hAnsi="Arial" w:cs="Arial"/>
          <w:sz w:val="18"/>
          <w:szCs w:val="18"/>
        </w:rPr>
        <w:t>.</w:t>
      </w:r>
    </w:p>
  </w:footnote>
  <w:footnote w:id="7">
    <w:p w14:paraId="63699471" w14:textId="77777777" w:rsidR="00B41728" w:rsidRPr="002D305B" w:rsidRDefault="00B41728" w:rsidP="00F331F8">
      <w:pPr>
        <w:pStyle w:val="NoSpacing"/>
        <w:jc w:val="both"/>
        <w:rPr>
          <w:rFonts w:ascii="Arial" w:hAnsi="Arial" w:cs="Arial"/>
          <w:sz w:val="18"/>
          <w:szCs w:val="18"/>
        </w:rPr>
      </w:pPr>
      <w:r w:rsidRPr="002D305B">
        <w:rPr>
          <w:rStyle w:val="FootnoteReference"/>
          <w:rFonts w:ascii="Arial" w:hAnsi="Arial" w:cs="Arial"/>
          <w:sz w:val="18"/>
          <w:szCs w:val="18"/>
        </w:rPr>
        <w:footnoteRef/>
      </w:r>
      <w:r w:rsidRPr="002D305B">
        <w:rPr>
          <w:rFonts w:ascii="Arial" w:hAnsi="Arial" w:cs="Arial"/>
          <w:iCs/>
          <w:sz w:val="18"/>
          <w:szCs w:val="18"/>
        </w:rPr>
        <w:t xml:space="preserve"> Les paragraphes 61-91 du document </w:t>
      </w:r>
      <w:hyperlink r:id="rId7" w:history="1">
        <w:r w:rsidRPr="002D305B">
          <w:rPr>
            <w:rStyle w:val="Hyperlink"/>
            <w:rFonts w:ascii="Arial" w:eastAsiaTheme="majorEastAsia" w:hAnsi="Arial" w:cs="Arial"/>
            <w:sz w:val="18"/>
            <w:szCs w:val="18"/>
          </w:rPr>
          <w:t xml:space="preserve">CDDH-BU(2019)R101 Addendum </w:t>
        </w:r>
      </w:hyperlink>
      <w:r w:rsidRPr="002D305B">
        <w:rPr>
          <w:rFonts w:ascii="Arial" w:hAnsi="Arial" w:cs="Arial"/>
          <w:iCs/>
          <w:sz w:val="18"/>
          <w:szCs w:val="18"/>
        </w:rPr>
        <w:t xml:space="preserve">n'ont pas été adoptés provisoirement, voir document </w:t>
      </w:r>
      <w:hyperlink r:id="rId8" w:history="1">
        <w:r w:rsidRPr="002D305B">
          <w:rPr>
            <w:rStyle w:val="Hyperlink"/>
            <w:rFonts w:ascii="Arial" w:eastAsiaTheme="majorEastAsia" w:hAnsi="Arial" w:cs="Arial"/>
            <w:sz w:val="18"/>
            <w:szCs w:val="18"/>
          </w:rPr>
          <w:t>CDDH(2019)R91</w:t>
        </w:r>
      </w:hyperlink>
      <w:r w:rsidRPr="002D305B">
        <w:rPr>
          <w:rStyle w:val="Hyperlink"/>
          <w:rFonts w:ascii="Arial" w:eastAsiaTheme="majorEastAsia" w:hAnsi="Arial" w:cs="Arial"/>
          <w:sz w:val="18"/>
          <w:szCs w:val="18"/>
        </w:rPr>
        <w:t xml:space="preserve">, </w:t>
      </w:r>
      <w:r w:rsidRPr="002D305B">
        <w:rPr>
          <w:rFonts w:ascii="Arial" w:hAnsi="Arial" w:cs="Arial"/>
          <w:iCs/>
          <w:sz w:val="18"/>
          <w:szCs w:val="18"/>
        </w:rPr>
        <w:t>§§ 25-28.</w:t>
      </w:r>
    </w:p>
  </w:footnote>
  <w:footnote w:id="8">
    <w:p w14:paraId="6470A7CA" w14:textId="77777777" w:rsidR="00B41728" w:rsidRPr="002D305B" w:rsidRDefault="00B41728" w:rsidP="00F331F8">
      <w:pPr>
        <w:pStyle w:val="NoSpacing"/>
        <w:jc w:val="both"/>
        <w:rPr>
          <w:rFonts w:ascii="Arial" w:hAnsi="Arial" w:cs="Arial"/>
          <w:sz w:val="18"/>
          <w:szCs w:val="18"/>
        </w:rPr>
      </w:pPr>
      <w:r w:rsidRPr="002D305B">
        <w:rPr>
          <w:rStyle w:val="FootnoteReference"/>
          <w:rFonts w:ascii="Arial" w:hAnsi="Arial" w:cs="Arial"/>
          <w:sz w:val="18"/>
          <w:szCs w:val="18"/>
        </w:rPr>
        <w:footnoteRef/>
      </w:r>
      <w:r w:rsidRPr="002D305B">
        <w:rPr>
          <w:rFonts w:ascii="Arial" w:hAnsi="Arial" w:cs="Arial"/>
          <w:sz w:val="18"/>
          <w:szCs w:val="18"/>
        </w:rPr>
        <w:t xml:space="preserve">  Ibid, document </w:t>
      </w:r>
      <w:hyperlink r:id="rId9" w:history="1">
        <w:r w:rsidRPr="002D305B">
          <w:rPr>
            <w:rStyle w:val="Hyperlink"/>
            <w:rFonts w:ascii="Arial" w:eastAsiaTheme="majorEastAsia" w:hAnsi="Arial" w:cs="Arial"/>
            <w:sz w:val="18"/>
            <w:szCs w:val="18"/>
          </w:rPr>
          <w:t>CDDH(2019)R91</w:t>
        </w:r>
      </w:hyperlink>
      <w:r w:rsidRPr="002D305B">
        <w:rPr>
          <w:rFonts w:ascii="Arial" w:hAnsi="Arial" w:cs="Arial"/>
          <w:sz w:val="18"/>
          <w:szCs w:val="18"/>
        </w:rPr>
        <w:t>, §§ 25-28.</w:t>
      </w:r>
    </w:p>
  </w:footnote>
  <w:footnote w:id="9">
    <w:p w14:paraId="50E1CA12" w14:textId="77777777" w:rsidR="00B41728" w:rsidRPr="002D305B" w:rsidRDefault="00B41728" w:rsidP="00F331F8">
      <w:pPr>
        <w:pStyle w:val="NoSpacing"/>
        <w:jc w:val="both"/>
        <w:rPr>
          <w:rFonts w:ascii="Arial" w:hAnsi="Arial" w:cs="Arial"/>
          <w:sz w:val="18"/>
          <w:szCs w:val="18"/>
        </w:rPr>
      </w:pPr>
      <w:r w:rsidRPr="002D305B">
        <w:rPr>
          <w:rStyle w:val="FootnoteReference"/>
          <w:rFonts w:ascii="Arial" w:hAnsi="Arial" w:cs="Arial"/>
          <w:sz w:val="18"/>
          <w:szCs w:val="18"/>
        </w:rPr>
        <w:footnoteRef/>
      </w:r>
      <w:hyperlink r:id="rId10" w:history="1">
        <w:r w:rsidRPr="002D305B">
          <w:rPr>
            <w:rStyle w:val="Hyperlink"/>
            <w:rFonts w:ascii="Arial" w:eastAsiaTheme="majorEastAsia" w:hAnsi="Arial" w:cs="Arial"/>
            <w:iCs/>
            <w:sz w:val="18"/>
            <w:szCs w:val="18"/>
          </w:rPr>
          <w:t xml:space="preserve"> </w:t>
        </w:r>
      </w:hyperlink>
      <w:r w:rsidRPr="002D305B">
        <w:rPr>
          <w:rFonts w:ascii="Arial" w:hAnsi="Arial" w:cs="Arial"/>
          <w:sz w:val="18"/>
          <w:szCs w:val="18"/>
        </w:rPr>
        <w:t xml:space="preserve">Voir le document </w:t>
      </w:r>
      <w:hyperlink r:id="rId11" w:history="1">
        <w:r w:rsidRPr="002D305B">
          <w:rPr>
            <w:rStyle w:val="Hyperlink"/>
            <w:rFonts w:ascii="Arial" w:eastAsiaTheme="majorEastAsia" w:hAnsi="Arial" w:cs="Arial"/>
            <w:iCs/>
            <w:sz w:val="18"/>
            <w:szCs w:val="18"/>
          </w:rPr>
          <w:t>DH-SYSC-IV(2020)01</w:t>
        </w:r>
      </w:hyperlink>
      <w:r w:rsidRPr="002D305B">
        <w:rPr>
          <w:rFonts w:ascii="Arial" w:hAnsi="Arial" w:cs="Arial"/>
          <w:iCs/>
          <w:sz w:val="18"/>
          <w:szCs w:val="18"/>
        </w:rPr>
        <w:t xml:space="preserve">. </w:t>
      </w:r>
    </w:p>
  </w:footnote>
  <w:footnote w:id="10">
    <w:p w14:paraId="0111FEA4" w14:textId="77777777" w:rsidR="00B41728" w:rsidRPr="002D305B" w:rsidRDefault="00B41728" w:rsidP="00F331F8">
      <w:pPr>
        <w:pStyle w:val="NoSpacing"/>
        <w:jc w:val="both"/>
        <w:rPr>
          <w:rFonts w:ascii="Arial" w:hAnsi="Arial" w:cs="Arial"/>
          <w:sz w:val="18"/>
          <w:szCs w:val="18"/>
        </w:rPr>
      </w:pPr>
      <w:r w:rsidRPr="002D305B">
        <w:rPr>
          <w:rStyle w:val="FootnoteReference"/>
          <w:rFonts w:ascii="Arial" w:hAnsi="Arial" w:cs="Arial"/>
          <w:sz w:val="18"/>
          <w:szCs w:val="18"/>
        </w:rPr>
        <w:footnoteRef/>
      </w:r>
      <w:r w:rsidRPr="002D305B">
        <w:rPr>
          <w:rFonts w:ascii="Arial" w:hAnsi="Arial" w:cs="Arial"/>
          <w:sz w:val="18"/>
          <w:szCs w:val="18"/>
        </w:rPr>
        <w:t xml:space="preserve"> Voir le document </w:t>
      </w:r>
      <w:hyperlink r:id="rId12" w:history="1">
        <w:r w:rsidRPr="002D305B">
          <w:rPr>
            <w:rStyle w:val="Hyperlink"/>
            <w:rFonts w:ascii="Arial" w:eastAsiaTheme="majorEastAsia" w:hAnsi="Arial" w:cs="Arial"/>
            <w:sz w:val="18"/>
            <w:szCs w:val="18"/>
          </w:rPr>
          <w:t>CDDH(2019)R92</w:t>
        </w:r>
      </w:hyperlink>
      <w:r w:rsidRPr="002D305B">
        <w:rPr>
          <w:rFonts w:ascii="Arial" w:hAnsi="Arial" w:cs="Arial"/>
          <w:sz w:val="18"/>
          <w:szCs w:val="18"/>
        </w:rPr>
        <w:t xml:space="preserve">. </w:t>
      </w:r>
    </w:p>
  </w:footnote>
  <w:footnote w:id="11">
    <w:p w14:paraId="2A6294D9" w14:textId="77777777" w:rsidR="00B41728" w:rsidRPr="002D305B" w:rsidRDefault="00B41728" w:rsidP="00F331F8">
      <w:pPr>
        <w:pStyle w:val="NoSpacing"/>
        <w:jc w:val="both"/>
        <w:rPr>
          <w:rFonts w:ascii="Arial" w:hAnsi="Arial" w:cs="Arial"/>
          <w:sz w:val="18"/>
          <w:szCs w:val="18"/>
        </w:rPr>
      </w:pPr>
      <w:r w:rsidRPr="002D305B">
        <w:rPr>
          <w:rStyle w:val="FootnoteReference"/>
          <w:rFonts w:ascii="Arial" w:hAnsi="Arial" w:cs="Arial"/>
          <w:sz w:val="18"/>
          <w:szCs w:val="18"/>
        </w:rPr>
        <w:footnoteRef/>
      </w:r>
      <w:r w:rsidRPr="002D305B">
        <w:rPr>
          <w:rFonts w:ascii="Arial" w:hAnsi="Arial" w:cs="Arial"/>
          <w:sz w:val="18"/>
          <w:szCs w:val="18"/>
        </w:rPr>
        <w:t xml:space="preserve"> Voir le document </w:t>
      </w:r>
      <w:hyperlink r:id="rId13" w:history="1">
        <w:r w:rsidRPr="002D305B">
          <w:rPr>
            <w:rStyle w:val="Hyperlink"/>
            <w:rFonts w:ascii="Arial" w:eastAsiaTheme="majorEastAsia" w:hAnsi="Arial" w:cs="Arial"/>
            <w:sz w:val="18"/>
            <w:szCs w:val="18"/>
          </w:rPr>
          <w:t>CDDH(2019)R92Addendum2</w:t>
        </w:r>
      </w:hyperlink>
    </w:p>
  </w:footnote>
  <w:footnote w:id="12">
    <w:p w14:paraId="22F51650" w14:textId="77777777" w:rsidR="00B41728" w:rsidRPr="002D305B" w:rsidRDefault="00B41728" w:rsidP="00F331F8">
      <w:pPr>
        <w:pStyle w:val="NoSpacing"/>
        <w:jc w:val="both"/>
        <w:rPr>
          <w:rFonts w:ascii="Arial" w:hAnsi="Arial" w:cs="Arial"/>
          <w:sz w:val="18"/>
          <w:szCs w:val="18"/>
        </w:rPr>
      </w:pPr>
      <w:r w:rsidRPr="002D305B">
        <w:rPr>
          <w:rStyle w:val="FootnoteReference"/>
          <w:rFonts w:ascii="Arial" w:hAnsi="Arial" w:cs="Arial"/>
          <w:sz w:val="18"/>
          <w:szCs w:val="18"/>
        </w:rPr>
        <w:footnoteRef/>
      </w:r>
      <w:r w:rsidRPr="002D305B">
        <w:rPr>
          <w:rFonts w:ascii="Arial" w:hAnsi="Arial" w:cs="Arial"/>
          <w:sz w:val="18"/>
          <w:szCs w:val="18"/>
        </w:rPr>
        <w:t xml:space="preserve"> Voir le document </w:t>
      </w:r>
      <w:hyperlink r:id="rId14" w:history="1">
        <w:r w:rsidRPr="002D305B">
          <w:rPr>
            <w:rStyle w:val="Hyperlink"/>
            <w:rFonts w:ascii="Arial" w:eastAsiaTheme="majorEastAsia" w:hAnsi="Arial" w:cs="Arial"/>
            <w:sz w:val="18"/>
            <w:szCs w:val="18"/>
          </w:rPr>
          <w:t>CDDH(2019)R92Addendum1</w:t>
        </w:r>
      </w:hyperlink>
      <w:r w:rsidRPr="002D305B">
        <w:rPr>
          <w:rStyle w:val="Hyperlink"/>
          <w:rFonts w:ascii="Arial" w:eastAsiaTheme="majorEastAsia" w:hAnsi="Arial" w:cs="Arial"/>
          <w:color w:val="161616"/>
          <w:sz w:val="18"/>
          <w:szCs w:val="18"/>
        </w:rPr>
        <w:t xml:space="preserve">. </w:t>
      </w:r>
    </w:p>
  </w:footnote>
  <w:footnote w:id="13">
    <w:p w14:paraId="2F65B2FF" w14:textId="77777777" w:rsidR="00B41728" w:rsidRPr="002D305B" w:rsidRDefault="00B41728" w:rsidP="00F331F8">
      <w:pPr>
        <w:pStyle w:val="NoSpacing"/>
        <w:jc w:val="both"/>
        <w:rPr>
          <w:rFonts w:ascii="Arial" w:hAnsi="Arial" w:cs="Arial"/>
          <w:sz w:val="18"/>
          <w:szCs w:val="18"/>
        </w:rPr>
      </w:pPr>
      <w:r w:rsidRPr="002D305B">
        <w:rPr>
          <w:rStyle w:val="FootnoteReference"/>
          <w:rFonts w:ascii="Arial" w:hAnsi="Arial" w:cs="Arial"/>
          <w:sz w:val="18"/>
          <w:szCs w:val="18"/>
        </w:rPr>
        <w:footnoteRef/>
      </w:r>
      <w:r w:rsidRPr="002D305B">
        <w:rPr>
          <w:rFonts w:ascii="Arial" w:hAnsi="Arial" w:cs="Arial"/>
          <w:sz w:val="18"/>
          <w:szCs w:val="18"/>
        </w:rPr>
        <w:t xml:space="preserve"> Voir la décision des Délégués des Ministres lors de la </w:t>
      </w:r>
      <w:r w:rsidRPr="002D305B">
        <w:rPr>
          <w:rStyle w:val="Strong"/>
          <w:rFonts w:ascii="Arial" w:hAnsi="Arial" w:cs="Arial"/>
          <w:b w:val="0"/>
          <w:sz w:val="18"/>
          <w:szCs w:val="18"/>
        </w:rPr>
        <w:t>1363</w:t>
      </w:r>
      <w:r w:rsidRPr="002D305B">
        <w:rPr>
          <w:rStyle w:val="Strong"/>
          <w:rFonts w:ascii="Arial" w:hAnsi="Arial" w:cs="Arial"/>
          <w:b w:val="0"/>
          <w:sz w:val="18"/>
          <w:szCs w:val="18"/>
          <w:vertAlign w:val="superscript"/>
        </w:rPr>
        <w:t>e</w:t>
      </w:r>
      <w:r w:rsidRPr="002D305B">
        <w:rPr>
          <w:rStyle w:val="Strong"/>
          <w:rFonts w:ascii="Arial" w:hAnsi="Arial" w:cs="Arial"/>
          <w:b w:val="0"/>
          <w:sz w:val="18"/>
          <w:szCs w:val="18"/>
        </w:rPr>
        <w:t xml:space="preserve"> réunion, le 11 décembre 2019, document </w:t>
      </w:r>
      <w:hyperlink r:id="rId15" w:history="1">
        <w:r w:rsidRPr="002D305B">
          <w:rPr>
            <w:rStyle w:val="Hyperlink"/>
            <w:rFonts w:ascii="Arial" w:eastAsiaTheme="majorEastAsia" w:hAnsi="Arial" w:cs="Arial"/>
            <w:sz w:val="18"/>
            <w:szCs w:val="18"/>
          </w:rPr>
          <w:t>CM/Del/Dec(2019)1363/4.2b</w:t>
        </w:r>
      </w:hyperlink>
      <w:r w:rsidRPr="002D305B">
        <w:rPr>
          <w:rStyle w:val="Hyperlink"/>
          <w:rFonts w:ascii="Arial" w:eastAsiaTheme="majorEastAsia" w:hAnsi="Arial" w:cs="Arial"/>
          <w:sz w:val="18"/>
          <w:szCs w:val="18"/>
        </w:rPr>
        <w:t xml:space="preserve">. </w:t>
      </w:r>
    </w:p>
  </w:footnote>
  <w:footnote w:id="14">
    <w:p w14:paraId="6B90BE1C" w14:textId="77777777" w:rsidR="00B41728" w:rsidRPr="00720D91" w:rsidRDefault="00B41728" w:rsidP="00F331F8">
      <w:pPr>
        <w:pStyle w:val="SingleTxtG"/>
        <w:spacing w:after="0" w:line="180" w:lineRule="exact"/>
        <w:ind w:left="0"/>
        <w:rPr>
          <w:rFonts w:ascii="Arial" w:hAnsi="Arial" w:cs="Arial"/>
          <w:sz w:val="18"/>
          <w:szCs w:val="18"/>
          <w:lang w:val="fr-FR"/>
        </w:rPr>
      </w:pPr>
      <w:r w:rsidRPr="00560F13">
        <w:rPr>
          <w:rStyle w:val="FootnoteReference"/>
          <w:rFonts w:ascii="Arial" w:hAnsi="Arial" w:cs="Arial"/>
          <w:sz w:val="18"/>
          <w:szCs w:val="18"/>
        </w:rPr>
        <w:footnoteRef/>
      </w:r>
      <w:r w:rsidRPr="00720D91">
        <w:rPr>
          <w:rFonts w:ascii="Arial" w:hAnsi="Arial" w:cs="Arial"/>
          <w:sz w:val="18"/>
          <w:szCs w:val="18"/>
          <w:lang w:val="fr-FR"/>
        </w:rPr>
        <w:t xml:space="preserve"> Voir document </w:t>
      </w:r>
      <w:hyperlink r:id="rId16" w:history="1">
        <w:r w:rsidRPr="00720D91">
          <w:rPr>
            <w:rStyle w:val="Hyperlink"/>
            <w:rFonts w:ascii="Arial" w:eastAsiaTheme="minorHAnsi" w:hAnsi="Arial" w:cs="Arial"/>
            <w:sz w:val="18"/>
            <w:szCs w:val="18"/>
            <w:lang w:val="fr-FR" w:eastAsia="en-US"/>
          </w:rPr>
          <w:t>DD(2020)34E</w:t>
        </w:r>
      </w:hyperlink>
      <w:r w:rsidRPr="00720D91">
        <w:rPr>
          <w:rFonts w:ascii="Arial" w:hAnsi="Arial" w:cs="Arial"/>
          <w:sz w:val="18"/>
          <w:szCs w:val="18"/>
          <w:lang w:val="fr-FR"/>
        </w:rPr>
        <w:t>.</w:t>
      </w:r>
    </w:p>
  </w:footnote>
  <w:footnote w:id="15">
    <w:p w14:paraId="2ADA15B9" w14:textId="77777777" w:rsidR="00B41728" w:rsidRPr="00720D91" w:rsidRDefault="00B41728" w:rsidP="00F331F8">
      <w:pPr>
        <w:pStyle w:val="SingleTxtG"/>
        <w:spacing w:after="0" w:line="180" w:lineRule="exact"/>
        <w:ind w:left="0"/>
        <w:rPr>
          <w:rFonts w:ascii="Arial" w:hAnsi="Arial" w:cs="Arial"/>
          <w:sz w:val="18"/>
          <w:szCs w:val="18"/>
          <w:lang w:val="fr-FR"/>
        </w:rPr>
      </w:pPr>
      <w:r w:rsidRPr="00560F13">
        <w:rPr>
          <w:rStyle w:val="FootnoteReference"/>
          <w:rFonts w:ascii="Arial" w:hAnsi="Arial" w:cs="Arial"/>
          <w:sz w:val="18"/>
          <w:szCs w:val="18"/>
        </w:rPr>
        <w:footnoteRef/>
      </w:r>
      <w:r w:rsidRPr="00720D91">
        <w:rPr>
          <w:rFonts w:ascii="Arial" w:hAnsi="Arial" w:cs="Arial"/>
          <w:sz w:val="18"/>
          <w:szCs w:val="18"/>
          <w:lang w:val="fr-FR"/>
        </w:rPr>
        <w:t xml:space="preserve"> Voir document </w:t>
      </w:r>
      <w:hyperlink r:id="rId17" w:history="1">
        <w:r w:rsidRPr="00720D91">
          <w:rPr>
            <w:rStyle w:val="Hyperlink"/>
            <w:rFonts w:ascii="Arial" w:hAnsi="Arial" w:cs="Arial"/>
            <w:sz w:val="18"/>
            <w:szCs w:val="18"/>
            <w:lang w:val="fr-FR"/>
          </w:rPr>
          <w:t>CM/Del/Dec(2020)130/4</w:t>
        </w:r>
      </w:hyperlink>
      <w:r w:rsidRPr="00720D91">
        <w:rPr>
          <w:rFonts w:ascii="Arial" w:hAnsi="Arial" w:cs="Arial"/>
          <w:sz w:val="18"/>
          <w:szCs w:val="18"/>
          <w:lang w:val="fr-FR"/>
        </w:rPr>
        <w:t>.</w:t>
      </w:r>
    </w:p>
  </w:footnote>
  <w:footnote w:id="16">
    <w:p w14:paraId="0B80187A" w14:textId="77777777" w:rsidR="00B41728" w:rsidRPr="00720D91" w:rsidRDefault="00B41728" w:rsidP="00F331F8">
      <w:pPr>
        <w:pStyle w:val="SingleTxtG"/>
        <w:spacing w:after="0" w:line="180" w:lineRule="exact"/>
        <w:ind w:left="0"/>
        <w:rPr>
          <w:rFonts w:ascii="Arial" w:hAnsi="Arial" w:cs="Arial"/>
          <w:sz w:val="18"/>
          <w:szCs w:val="18"/>
          <w:lang w:val="fr-FR"/>
        </w:rPr>
      </w:pPr>
      <w:r w:rsidRPr="00560F13">
        <w:rPr>
          <w:rStyle w:val="FootnoteReference"/>
          <w:rFonts w:ascii="Arial" w:hAnsi="Arial" w:cs="Arial"/>
          <w:sz w:val="18"/>
          <w:szCs w:val="18"/>
        </w:rPr>
        <w:footnoteRef/>
      </w:r>
      <w:r w:rsidRPr="00720D91">
        <w:rPr>
          <w:rFonts w:ascii="Arial" w:hAnsi="Arial" w:cs="Arial"/>
          <w:sz w:val="18"/>
          <w:szCs w:val="18"/>
          <w:lang w:val="fr-FR"/>
        </w:rPr>
        <w:t xml:space="preserve"> Voir document </w:t>
      </w:r>
      <w:hyperlink r:id="rId18" w:history="1">
        <w:r w:rsidRPr="00720D91">
          <w:rPr>
            <w:rStyle w:val="Hyperlink"/>
            <w:rFonts w:ascii="Arial" w:hAnsi="Arial" w:cs="Arial"/>
            <w:sz w:val="18"/>
            <w:szCs w:val="18"/>
            <w:lang w:val="fr-FR"/>
          </w:rPr>
          <w:t>CM/Del/Dec(2020)130/4</w:t>
        </w:r>
      </w:hyperlink>
      <w:r w:rsidRPr="00720D91">
        <w:rPr>
          <w:rFonts w:ascii="Arial" w:hAnsi="Arial" w:cs="Arial"/>
          <w:sz w:val="18"/>
          <w:szCs w:val="18"/>
          <w:lang w:val="fr-FR"/>
        </w:rPr>
        <w:t xml:space="preserve">, paragraphe 1. </w:t>
      </w:r>
    </w:p>
  </w:footnote>
  <w:footnote w:id="17">
    <w:p w14:paraId="4C37B19F" w14:textId="77777777" w:rsidR="00B41728" w:rsidRPr="00F00546" w:rsidRDefault="00B41728" w:rsidP="00F331F8">
      <w:pPr>
        <w:pStyle w:val="NoSpacing"/>
        <w:jc w:val="both"/>
        <w:rPr>
          <w:rFonts w:ascii="Arial" w:hAnsi="Arial" w:cs="Arial"/>
          <w:color w:val="0000FF" w:themeColor="hyperlink"/>
          <w:sz w:val="18"/>
          <w:szCs w:val="18"/>
          <w:u w:val="single"/>
        </w:rPr>
      </w:pPr>
      <w:r w:rsidRPr="00F00546">
        <w:rPr>
          <w:rStyle w:val="FootnoteReference"/>
          <w:rFonts w:ascii="Arial" w:hAnsi="Arial" w:cs="Arial"/>
          <w:sz w:val="18"/>
          <w:szCs w:val="18"/>
        </w:rPr>
        <w:footnoteRef/>
      </w:r>
      <w:r w:rsidRPr="00F00546">
        <w:rPr>
          <w:rFonts w:ascii="Arial" w:hAnsi="Arial" w:cs="Arial"/>
          <w:sz w:val="18"/>
          <w:szCs w:val="18"/>
        </w:rPr>
        <w:t xml:space="preserve">La liste complète des </w:t>
      </w:r>
      <w:r>
        <w:rPr>
          <w:rFonts w:ascii="Arial" w:hAnsi="Arial" w:cs="Arial"/>
          <w:sz w:val="18"/>
          <w:szCs w:val="18"/>
        </w:rPr>
        <w:t>requêtes</w:t>
      </w:r>
      <w:r w:rsidRPr="00F00546">
        <w:rPr>
          <w:rFonts w:ascii="Arial" w:hAnsi="Arial" w:cs="Arial"/>
          <w:sz w:val="18"/>
          <w:szCs w:val="18"/>
        </w:rPr>
        <w:t xml:space="preserve"> interétatiques est disponible sur le site </w:t>
      </w:r>
      <w:hyperlink r:id="rId19" w:history="1">
        <w:r w:rsidRPr="00D318FE">
          <w:rPr>
            <w:rStyle w:val="Hyperlink"/>
            <w:rFonts w:ascii="Arial" w:eastAsiaTheme="majorEastAsia" w:hAnsi="Arial" w:cs="Arial"/>
            <w:sz w:val="18"/>
            <w:szCs w:val="18"/>
          </w:rPr>
          <w:t>https://echr.coe.int/Documents/InterState_applications_ENG.pdf.</w:t>
        </w:r>
      </w:hyperlink>
      <w:r>
        <w:rPr>
          <w:rStyle w:val="Hyperlink"/>
          <w:rFonts w:ascii="Arial" w:eastAsiaTheme="majorEastAsia" w:hAnsi="Arial" w:cs="Arial"/>
          <w:sz w:val="18"/>
          <w:szCs w:val="18"/>
        </w:rPr>
        <w:t xml:space="preserve"> </w:t>
      </w:r>
    </w:p>
  </w:footnote>
  <w:footnote w:id="18">
    <w:p w14:paraId="0B170DCC" w14:textId="0157B5C6" w:rsidR="00B22052" w:rsidRPr="00CD554B" w:rsidRDefault="00B22052" w:rsidP="00B22052">
      <w:pPr>
        <w:spacing w:line="240" w:lineRule="auto"/>
        <w:jc w:val="both"/>
        <w:rPr>
          <w:rFonts w:ascii="Arial" w:hAnsi="Arial" w:cs="Arial"/>
          <w:sz w:val="18"/>
          <w:szCs w:val="18"/>
          <w:lang w:val="fr-FR"/>
        </w:rPr>
      </w:pPr>
      <w:r>
        <w:rPr>
          <w:rStyle w:val="FootnoteReference"/>
        </w:rPr>
        <w:footnoteRef/>
      </w:r>
      <w:r w:rsidRPr="00B22052">
        <w:rPr>
          <w:rFonts w:ascii="Arial" w:hAnsi="Arial" w:cs="Arial"/>
          <w:sz w:val="18"/>
          <w:szCs w:val="18"/>
          <w:lang w:val="fr-FR"/>
        </w:rPr>
        <w:t xml:space="preserve"> Rapport statistique sur</w:t>
      </w:r>
      <w:r>
        <w:rPr>
          <w:rFonts w:ascii="Arial" w:hAnsi="Arial" w:cs="Arial"/>
          <w:sz w:val="18"/>
          <w:szCs w:val="18"/>
          <w:lang w:val="fr-FR"/>
        </w:rPr>
        <w:t xml:space="preserve"> les requêtes liées aux conflits</w:t>
      </w:r>
      <w:r w:rsidRPr="00B22052">
        <w:rPr>
          <w:rFonts w:ascii="Arial" w:hAnsi="Arial" w:cs="Arial"/>
          <w:sz w:val="18"/>
          <w:szCs w:val="18"/>
          <w:lang w:val="fr-FR"/>
        </w:rPr>
        <w:t xml:space="preserve">, </w:t>
      </w:r>
      <w:r>
        <w:rPr>
          <w:rFonts w:ascii="Arial" w:hAnsi="Arial" w:cs="Arial"/>
          <w:sz w:val="18"/>
          <w:szCs w:val="18"/>
          <w:lang w:val="fr-FR"/>
        </w:rPr>
        <w:t>dernière mise à jour le</w:t>
      </w:r>
      <w:r w:rsidRPr="00B22052">
        <w:rPr>
          <w:rFonts w:ascii="Arial" w:hAnsi="Arial" w:cs="Arial"/>
          <w:sz w:val="18"/>
          <w:szCs w:val="18"/>
          <w:lang w:val="fr-FR"/>
        </w:rPr>
        <w:t xml:space="preserve"> 20.10.2021, </w:t>
      </w:r>
      <w:r>
        <w:rPr>
          <w:rFonts w:ascii="Arial" w:hAnsi="Arial" w:cs="Arial"/>
          <w:sz w:val="18"/>
          <w:szCs w:val="18"/>
          <w:lang w:val="fr-FR"/>
        </w:rPr>
        <w:t>voir</w:t>
      </w:r>
      <w:r w:rsidRPr="00B22052">
        <w:rPr>
          <w:rFonts w:ascii="Arial" w:hAnsi="Arial" w:cs="Arial"/>
          <w:sz w:val="18"/>
          <w:szCs w:val="18"/>
          <w:lang w:val="fr-FR"/>
        </w:rPr>
        <w:t xml:space="preserve"> document CDDH(2021)21.</w:t>
      </w:r>
    </w:p>
  </w:footnote>
  <w:footnote w:id="19">
    <w:p w14:paraId="4D34EA1E" w14:textId="1E1E1AFD" w:rsidR="00B41728" w:rsidRPr="00D27AB6" w:rsidRDefault="00B41728">
      <w:pPr>
        <w:pStyle w:val="FootnoteText"/>
        <w:rPr>
          <w:lang w:val="fr-FR"/>
        </w:rPr>
      </w:pPr>
      <w:r>
        <w:rPr>
          <w:rStyle w:val="FootnoteReference"/>
        </w:rPr>
        <w:footnoteRef/>
      </w:r>
      <w:r w:rsidRPr="00D27AB6">
        <w:rPr>
          <w:lang w:val="fr-FR"/>
        </w:rPr>
        <w:t xml:space="preserve"> </w:t>
      </w:r>
      <w:r w:rsidRPr="00D27AB6">
        <w:rPr>
          <w:rFonts w:ascii="Arial" w:hAnsi="Arial" w:cs="Arial"/>
          <w:sz w:val="18"/>
          <w:szCs w:val="18"/>
          <w:lang w:val="fr-FR"/>
        </w:rPr>
        <w:t xml:space="preserve">Voir le document </w:t>
      </w:r>
      <w:hyperlink r:id="rId20" w:history="1">
        <w:hyperlink r:id="rId21" w:history="1">
          <w:r w:rsidRPr="00D27AB6">
            <w:rPr>
              <w:rStyle w:val="Hyperlink"/>
              <w:rFonts w:ascii="Arial" w:eastAsiaTheme="majorEastAsia" w:hAnsi="Arial" w:cs="Arial"/>
              <w:sz w:val="18"/>
              <w:szCs w:val="18"/>
              <w:lang w:val="fr-FR"/>
            </w:rPr>
            <w:t>CDDH(2019)22</w:t>
          </w:r>
        </w:hyperlink>
        <w:r w:rsidRPr="00D27AB6">
          <w:rPr>
            <w:rFonts w:ascii="Arial" w:hAnsi="Arial" w:cs="Arial"/>
            <w:sz w:val="18"/>
            <w:szCs w:val="18"/>
            <w:lang w:val="fr-FR"/>
          </w:rPr>
          <w:t xml:space="preserve">, </w:t>
        </w:r>
      </w:hyperlink>
      <w:r w:rsidRPr="00D27AB6">
        <w:rPr>
          <w:rFonts w:ascii="Arial" w:hAnsi="Arial" w:cs="Arial"/>
          <w:sz w:val="18"/>
          <w:szCs w:val="18"/>
          <w:lang w:val="fr-FR"/>
        </w:rPr>
        <w:t xml:space="preserve"> paragraphe 4. Voir document </w:t>
      </w:r>
      <w:hyperlink r:id="rId22" w:history="1">
        <w:r w:rsidRPr="00D27AB6">
          <w:rPr>
            <w:rStyle w:val="Hyperlink"/>
            <w:rFonts w:ascii="Arial" w:eastAsiaTheme="minorHAnsi" w:hAnsi="Arial" w:cs="Arial"/>
            <w:sz w:val="18"/>
            <w:szCs w:val="18"/>
            <w:lang w:val="fr-FR" w:eastAsia="en-US"/>
          </w:rPr>
          <w:t>DD(2020)34E</w:t>
        </w:r>
      </w:hyperlink>
      <w:r w:rsidRPr="00D27AB6">
        <w:rPr>
          <w:rStyle w:val="Hyperlink"/>
          <w:rFonts w:ascii="Arial" w:eastAsiaTheme="minorHAnsi" w:hAnsi="Arial" w:cs="Arial"/>
          <w:sz w:val="18"/>
          <w:szCs w:val="18"/>
          <w:lang w:val="fr-FR" w:eastAsia="en-US"/>
        </w:rPr>
        <w:t>, § 18.</w:t>
      </w:r>
      <w:r>
        <w:rPr>
          <w:rStyle w:val="Hyperlink"/>
          <w:rFonts w:ascii="Arial" w:eastAsiaTheme="minorHAnsi" w:hAnsi="Arial" w:cs="Arial"/>
          <w:sz w:val="18"/>
          <w:szCs w:val="18"/>
          <w:lang w:val="fr-FR" w:eastAsia="en-US"/>
        </w:rPr>
        <w:t xml:space="preserve"> </w:t>
      </w:r>
    </w:p>
  </w:footnote>
  <w:footnote w:id="20">
    <w:p w14:paraId="393A08B4" w14:textId="77777777" w:rsidR="00B41728" w:rsidRPr="002D305B" w:rsidRDefault="00B41728" w:rsidP="00F331F8">
      <w:pPr>
        <w:pStyle w:val="NoSpacing"/>
        <w:jc w:val="both"/>
        <w:rPr>
          <w:rFonts w:ascii="Arial" w:hAnsi="Arial" w:cs="Arial"/>
          <w:sz w:val="18"/>
          <w:szCs w:val="18"/>
        </w:rPr>
      </w:pPr>
      <w:r w:rsidRPr="002D305B">
        <w:rPr>
          <w:rStyle w:val="FootnoteReference"/>
          <w:rFonts w:ascii="Arial" w:hAnsi="Arial" w:cs="Arial"/>
          <w:sz w:val="18"/>
          <w:szCs w:val="18"/>
        </w:rPr>
        <w:footnoteRef/>
      </w:r>
      <w:hyperlink r:id="rId23" w:history="1">
        <w:r w:rsidRPr="002D305B">
          <w:rPr>
            <w:rStyle w:val="Hyperlink"/>
            <w:rFonts w:ascii="Arial" w:eastAsiaTheme="majorEastAsia" w:hAnsi="Arial" w:cs="Arial"/>
            <w:sz w:val="18"/>
            <w:szCs w:val="18"/>
          </w:rPr>
          <w:t xml:space="preserve"> </w:t>
        </w:r>
      </w:hyperlink>
      <w:r w:rsidRPr="002D305B">
        <w:rPr>
          <w:rFonts w:ascii="Arial" w:hAnsi="Arial" w:cs="Arial"/>
          <w:sz w:val="18"/>
          <w:szCs w:val="18"/>
        </w:rPr>
        <w:t xml:space="preserve">Voir la </w:t>
      </w:r>
      <w:hyperlink r:id="rId24" w:history="1">
        <w:r w:rsidRPr="002D305B">
          <w:rPr>
            <w:rStyle w:val="Hyperlink"/>
            <w:rFonts w:ascii="Arial" w:eastAsiaTheme="majorEastAsia" w:hAnsi="Arial" w:cs="Arial"/>
            <w:sz w:val="18"/>
            <w:szCs w:val="18"/>
          </w:rPr>
          <w:t>Déclaration de Copenhague</w:t>
        </w:r>
      </w:hyperlink>
      <w:r>
        <w:rPr>
          <w:rFonts w:ascii="Arial" w:hAnsi="Arial" w:cs="Arial"/>
          <w:sz w:val="18"/>
          <w:szCs w:val="18"/>
        </w:rPr>
        <w:t xml:space="preserve">, </w:t>
      </w:r>
      <w:r w:rsidRPr="002D305B">
        <w:rPr>
          <w:rFonts w:ascii="Arial" w:hAnsi="Arial" w:cs="Arial"/>
          <w:sz w:val="18"/>
          <w:szCs w:val="18"/>
        </w:rPr>
        <w:t>paragraphe 45.</w:t>
      </w:r>
    </w:p>
  </w:footnote>
  <w:footnote w:id="21">
    <w:p w14:paraId="026CC69F" w14:textId="77777777" w:rsidR="00B41728" w:rsidRPr="002D305B" w:rsidRDefault="00B41728" w:rsidP="00F331F8">
      <w:pPr>
        <w:pStyle w:val="NoSpacing"/>
        <w:jc w:val="both"/>
        <w:rPr>
          <w:rFonts w:ascii="Arial" w:hAnsi="Arial" w:cs="Arial"/>
          <w:sz w:val="18"/>
          <w:szCs w:val="18"/>
        </w:rPr>
      </w:pPr>
      <w:r w:rsidRPr="002D305B">
        <w:rPr>
          <w:rStyle w:val="FootnoteReference"/>
          <w:rFonts w:ascii="Arial" w:hAnsi="Arial" w:cs="Arial"/>
          <w:sz w:val="18"/>
          <w:szCs w:val="18"/>
        </w:rPr>
        <w:footnoteRef/>
      </w:r>
      <w:r w:rsidRPr="002D305B">
        <w:rPr>
          <w:rFonts w:ascii="Arial" w:hAnsi="Arial" w:cs="Arial"/>
          <w:sz w:val="18"/>
          <w:szCs w:val="18"/>
        </w:rPr>
        <w:t xml:space="preserve"> Voir également le document </w:t>
      </w:r>
      <w:hyperlink r:id="rId25" w:history="1">
        <w:r w:rsidRPr="002D305B">
          <w:rPr>
            <w:rStyle w:val="Hyperlink"/>
            <w:rFonts w:ascii="Arial" w:eastAsiaTheme="majorEastAsia" w:hAnsi="Arial" w:cs="Arial"/>
            <w:sz w:val="18"/>
            <w:szCs w:val="18"/>
          </w:rPr>
          <w:t>CDDH(2019)22</w:t>
        </w:r>
      </w:hyperlink>
      <w:r w:rsidRPr="002D305B">
        <w:rPr>
          <w:rFonts w:ascii="Arial" w:hAnsi="Arial" w:cs="Arial"/>
          <w:sz w:val="18"/>
          <w:szCs w:val="18"/>
        </w:rPr>
        <w:t>, paragraphe 20.</w:t>
      </w:r>
    </w:p>
  </w:footnote>
  <w:footnote w:id="22">
    <w:p w14:paraId="220C8473" w14:textId="77777777" w:rsidR="00B41728" w:rsidRPr="002D305B" w:rsidRDefault="00B41728" w:rsidP="00F331F8">
      <w:pPr>
        <w:pStyle w:val="NoSpacing"/>
        <w:jc w:val="both"/>
        <w:rPr>
          <w:rFonts w:ascii="Arial" w:hAnsi="Arial" w:cs="Arial"/>
          <w:sz w:val="18"/>
          <w:szCs w:val="18"/>
        </w:rPr>
      </w:pPr>
      <w:r w:rsidRPr="002D305B">
        <w:rPr>
          <w:rStyle w:val="FootnoteReference"/>
          <w:rFonts w:ascii="Arial" w:hAnsi="Arial" w:cs="Arial"/>
          <w:sz w:val="18"/>
          <w:szCs w:val="18"/>
        </w:rPr>
        <w:footnoteRef/>
      </w:r>
      <w:hyperlink r:id="rId26" w:history="1">
        <w:r w:rsidRPr="002D305B">
          <w:rPr>
            <w:rStyle w:val="Hyperlink"/>
            <w:rFonts w:ascii="Arial" w:eastAsiaTheme="majorEastAsia" w:hAnsi="Arial" w:cs="Arial"/>
            <w:sz w:val="18"/>
            <w:szCs w:val="18"/>
          </w:rPr>
          <w:t xml:space="preserve"> </w:t>
        </w:r>
      </w:hyperlink>
      <w:r w:rsidRPr="002D305B">
        <w:rPr>
          <w:rFonts w:ascii="Arial" w:hAnsi="Arial" w:cs="Arial"/>
          <w:sz w:val="18"/>
          <w:szCs w:val="18"/>
        </w:rPr>
        <w:t xml:space="preserve">Voir le document </w:t>
      </w:r>
      <w:hyperlink r:id="rId27" w:history="1">
        <w:r w:rsidRPr="002D305B">
          <w:rPr>
            <w:rStyle w:val="Hyperlink"/>
            <w:rFonts w:ascii="Arial" w:eastAsiaTheme="majorEastAsia" w:hAnsi="Arial" w:cs="Arial"/>
            <w:sz w:val="18"/>
            <w:szCs w:val="18"/>
          </w:rPr>
          <w:t>CDDH-BU(2019)R101 Addendum</w:t>
        </w:r>
      </w:hyperlink>
      <w:r w:rsidRPr="002D305B">
        <w:rPr>
          <w:rFonts w:ascii="Arial" w:hAnsi="Arial" w:cs="Arial"/>
          <w:sz w:val="18"/>
          <w:szCs w:val="18"/>
        </w:rPr>
        <w:t xml:space="preserve">, paragraphe 87. </w:t>
      </w:r>
    </w:p>
  </w:footnote>
  <w:footnote w:id="23">
    <w:p w14:paraId="5541FC95" w14:textId="77777777" w:rsidR="00B41728" w:rsidRPr="00720D91" w:rsidRDefault="00B41728" w:rsidP="00F331F8">
      <w:pPr>
        <w:pStyle w:val="SingleTxtG"/>
        <w:spacing w:after="0" w:line="180" w:lineRule="exact"/>
        <w:ind w:left="0"/>
        <w:rPr>
          <w:rFonts w:ascii="Arial" w:hAnsi="Arial" w:cs="Arial"/>
          <w:sz w:val="18"/>
          <w:szCs w:val="18"/>
          <w:lang w:val="fr-FR"/>
        </w:rPr>
      </w:pPr>
      <w:r w:rsidRPr="00560F13">
        <w:rPr>
          <w:rStyle w:val="FootnoteReference"/>
          <w:rFonts w:ascii="Arial" w:hAnsi="Arial" w:cs="Arial"/>
          <w:sz w:val="18"/>
          <w:szCs w:val="18"/>
        </w:rPr>
        <w:footnoteRef/>
      </w:r>
      <w:r w:rsidRPr="00720D91">
        <w:rPr>
          <w:rFonts w:ascii="Arial" w:hAnsi="Arial" w:cs="Arial"/>
          <w:sz w:val="18"/>
          <w:szCs w:val="18"/>
          <w:lang w:val="fr-FR"/>
        </w:rPr>
        <w:t xml:space="preserve"> Voir document </w:t>
      </w:r>
      <w:hyperlink r:id="rId28" w:history="1">
        <w:r w:rsidRPr="00720D91">
          <w:rPr>
            <w:rStyle w:val="Hyperlink"/>
            <w:rFonts w:ascii="Arial" w:hAnsi="Arial" w:cs="Arial"/>
            <w:sz w:val="18"/>
            <w:szCs w:val="18"/>
            <w:lang w:val="fr-FR"/>
          </w:rPr>
          <w:t>CDDH(2019)22</w:t>
        </w:r>
      </w:hyperlink>
      <w:r w:rsidRPr="00720D91">
        <w:rPr>
          <w:rFonts w:ascii="Arial" w:hAnsi="Arial" w:cs="Arial"/>
          <w:sz w:val="18"/>
          <w:szCs w:val="18"/>
          <w:lang w:val="fr-FR"/>
        </w:rPr>
        <w:t>, paragraphe 31.</w:t>
      </w:r>
    </w:p>
  </w:footnote>
  <w:footnote w:id="24">
    <w:p w14:paraId="5A403F40" w14:textId="112A6548" w:rsidR="00B41728" w:rsidRPr="00720D91" w:rsidRDefault="00B41728" w:rsidP="00F331F8">
      <w:pPr>
        <w:pStyle w:val="FootnoteText"/>
        <w:rPr>
          <w:rFonts w:ascii="Arial" w:hAnsi="Arial" w:cs="Arial"/>
          <w:b/>
          <w:lang w:val="fr-FR"/>
        </w:rPr>
      </w:pPr>
      <w:r w:rsidRPr="00751CF3">
        <w:rPr>
          <w:rStyle w:val="FootnoteReference"/>
          <w:rFonts w:ascii="Arial" w:hAnsi="Arial" w:cs="Arial"/>
          <w:bCs/>
          <w:sz w:val="18"/>
        </w:rPr>
        <w:footnoteRef/>
      </w:r>
      <w:r w:rsidRPr="00720D91">
        <w:rPr>
          <w:rFonts w:ascii="Arial" w:hAnsi="Arial" w:cs="Arial"/>
          <w:bCs/>
          <w:sz w:val="18"/>
          <w:lang w:val="fr-FR"/>
        </w:rPr>
        <w:t xml:space="preserve"> Voir la compilation des commentaires, document DH-SYSC-IV(2020)06REV.</w:t>
      </w:r>
    </w:p>
  </w:footnote>
  <w:footnote w:id="25">
    <w:p w14:paraId="6DC754D6" w14:textId="77777777" w:rsidR="00B41728" w:rsidRPr="00720D91" w:rsidRDefault="00B41728" w:rsidP="00F331F8">
      <w:pPr>
        <w:pStyle w:val="FootnoteText"/>
        <w:rPr>
          <w:rFonts w:ascii="Arial" w:hAnsi="Arial" w:cs="Arial"/>
          <w:sz w:val="18"/>
          <w:szCs w:val="18"/>
          <w:lang w:val="fr-FR"/>
        </w:rPr>
      </w:pPr>
      <w:r w:rsidRPr="00751CF3">
        <w:rPr>
          <w:rStyle w:val="FootnoteReference"/>
          <w:rFonts w:ascii="Arial" w:hAnsi="Arial" w:cs="Arial"/>
          <w:sz w:val="18"/>
          <w:szCs w:val="18"/>
        </w:rPr>
        <w:footnoteRef/>
      </w:r>
      <w:r w:rsidRPr="00720D91">
        <w:rPr>
          <w:rFonts w:ascii="Arial" w:hAnsi="Arial" w:cs="Arial"/>
          <w:sz w:val="18"/>
          <w:szCs w:val="18"/>
          <w:lang w:val="fr-FR"/>
        </w:rPr>
        <w:t xml:space="preserve"> Voir document CDDH(2020)R93.</w:t>
      </w:r>
    </w:p>
  </w:footnote>
  <w:footnote w:id="26">
    <w:p w14:paraId="130E86BD" w14:textId="77777777" w:rsidR="00B41728" w:rsidRPr="002D305B" w:rsidRDefault="00B41728" w:rsidP="00F331F8">
      <w:pPr>
        <w:pStyle w:val="NoSpacing"/>
        <w:jc w:val="both"/>
        <w:rPr>
          <w:rFonts w:ascii="Arial" w:hAnsi="Arial" w:cs="Arial"/>
          <w:sz w:val="18"/>
          <w:szCs w:val="18"/>
        </w:rPr>
      </w:pPr>
      <w:r w:rsidRPr="002D305B">
        <w:rPr>
          <w:rStyle w:val="FootnoteReference"/>
          <w:rFonts w:ascii="Arial" w:hAnsi="Arial" w:cs="Arial"/>
          <w:sz w:val="18"/>
          <w:szCs w:val="18"/>
        </w:rPr>
        <w:footnoteRef/>
      </w:r>
      <w:r w:rsidRPr="002D305B">
        <w:rPr>
          <w:rFonts w:ascii="Arial" w:hAnsi="Arial" w:cs="Arial"/>
          <w:sz w:val="18"/>
          <w:szCs w:val="18"/>
        </w:rPr>
        <w:t xml:space="preserve"> </w:t>
      </w:r>
      <w:hyperlink r:id="rId29" w:history="1">
        <w:r w:rsidRPr="002D305B">
          <w:rPr>
            <w:rStyle w:val="Hyperlink"/>
            <w:rFonts w:ascii="Arial" w:eastAsiaTheme="majorEastAsia" w:hAnsi="Arial" w:cs="Arial"/>
            <w:i/>
            <w:sz w:val="18"/>
            <w:szCs w:val="18"/>
          </w:rPr>
          <w:t>Autriche c. Italie</w:t>
        </w:r>
      </w:hyperlink>
      <w:r w:rsidRPr="002D305B">
        <w:rPr>
          <w:rFonts w:ascii="Arial" w:hAnsi="Arial" w:cs="Arial"/>
          <w:sz w:val="18"/>
          <w:szCs w:val="18"/>
        </w:rPr>
        <w:t>, n</w:t>
      </w:r>
      <w:r>
        <w:rPr>
          <w:rFonts w:ascii="Arial" w:hAnsi="Arial" w:cs="Arial"/>
          <w:sz w:val="18"/>
          <w:szCs w:val="18"/>
        </w:rPr>
        <w:t xml:space="preserve">° </w:t>
      </w:r>
      <w:r w:rsidRPr="002D305B">
        <w:rPr>
          <w:rFonts w:ascii="Arial" w:hAnsi="Arial" w:cs="Arial"/>
          <w:sz w:val="18"/>
          <w:szCs w:val="18"/>
        </w:rPr>
        <w:t>788/60, décision du 11 janvier 1961, page 20.</w:t>
      </w:r>
    </w:p>
  </w:footnote>
  <w:footnote w:id="27">
    <w:p w14:paraId="2F53B0D7" w14:textId="77777777" w:rsidR="00B41728" w:rsidRPr="002D305B" w:rsidRDefault="00B41728" w:rsidP="00F331F8">
      <w:pPr>
        <w:pStyle w:val="NoSpacing"/>
        <w:jc w:val="both"/>
        <w:rPr>
          <w:rFonts w:ascii="Arial" w:hAnsi="Arial" w:cs="Arial"/>
          <w:sz w:val="18"/>
          <w:szCs w:val="18"/>
        </w:rPr>
      </w:pPr>
      <w:r w:rsidRPr="002D305B">
        <w:rPr>
          <w:rStyle w:val="FootnoteReference"/>
          <w:rFonts w:ascii="Arial" w:hAnsi="Arial" w:cs="Arial"/>
          <w:sz w:val="18"/>
          <w:szCs w:val="18"/>
        </w:rPr>
        <w:footnoteRef/>
      </w:r>
      <w:r w:rsidRPr="002D305B">
        <w:rPr>
          <w:rFonts w:ascii="Arial" w:hAnsi="Arial" w:cs="Arial"/>
          <w:sz w:val="18"/>
          <w:szCs w:val="18"/>
        </w:rPr>
        <w:t xml:space="preserve"> Ibid.</w:t>
      </w:r>
    </w:p>
  </w:footnote>
  <w:footnote w:id="28">
    <w:p w14:paraId="38B3FA14" w14:textId="77777777" w:rsidR="00B41728" w:rsidRPr="002D305B" w:rsidRDefault="00B41728" w:rsidP="00F331F8">
      <w:pPr>
        <w:pStyle w:val="NoSpacing"/>
        <w:jc w:val="both"/>
        <w:rPr>
          <w:rFonts w:ascii="Arial" w:hAnsi="Arial" w:cs="Arial"/>
          <w:sz w:val="18"/>
          <w:szCs w:val="18"/>
        </w:rPr>
      </w:pPr>
      <w:r w:rsidRPr="002D305B">
        <w:rPr>
          <w:rStyle w:val="FootnoteReference"/>
          <w:rFonts w:ascii="Arial" w:hAnsi="Arial" w:cs="Arial"/>
          <w:sz w:val="18"/>
          <w:szCs w:val="18"/>
        </w:rPr>
        <w:footnoteRef/>
      </w:r>
      <w:r w:rsidRPr="002D305B">
        <w:rPr>
          <w:rFonts w:ascii="Arial" w:hAnsi="Arial" w:cs="Arial"/>
          <w:sz w:val="18"/>
          <w:szCs w:val="18"/>
        </w:rPr>
        <w:t xml:space="preserve"> Ibid. page 19.</w:t>
      </w:r>
    </w:p>
  </w:footnote>
  <w:footnote w:id="29">
    <w:p w14:paraId="6B8DA02A" w14:textId="77777777" w:rsidR="00B41728" w:rsidRPr="002D305B" w:rsidRDefault="00B41728" w:rsidP="00F331F8">
      <w:pPr>
        <w:pStyle w:val="NoSpacing"/>
        <w:jc w:val="both"/>
        <w:rPr>
          <w:rFonts w:ascii="Arial" w:hAnsi="Arial" w:cs="Arial"/>
          <w:sz w:val="18"/>
          <w:szCs w:val="18"/>
        </w:rPr>
      </w:pPr>
      <w:r w:rsidRPr="002D305B">
        <w:rPr>
          <w:rStyle w:val="FootnoteReference"/>
          <w:rFonts w:ascii="Arial" w:hAnsi="Arial" w:cs="Arial"/>
          <w:sz w:val="18"/>
          <w:szCs w:val="18"/>
        </w:rPr>
        <w:footnoteRef/>
      </w:r>
      <w:r w:rsidRPr="002D305B">
        <w:rPr>
          <w:rFonts w:ascii="Arial" w:hAnsi="Arial" w:cs="Arial"/>
          <w:sz w:val="18"/>
          <w:szCs w:val="18"/>
        </w:rPr>
        <w:t xml:space="preserve"> Ibid.</w:t>
      </w:r>
    </w:p>
  </w:footnote>
  <w:footnote w:id="30">
    <w:p w14:paraId="33464F5D" w14:textId="77777777" w:rsidR="00B41728" w:rsidRPr="002D305B" w:rsidRDefault="00B41728" w:rsidP="00F331F8">
      <w:pPr>
        <w:pStyle w:val="NoSpacing"/>
        <w:jc w:val="both"/>
        <w:rPr>
          <w:rFonts w:ascii="Arial" w:hAnsi="Arial" w:cs="Arial"/>
          <w:sz w:val="18"/>
          <w:szCs w:val="18"/>
        </w:rPr>
      </w:pPr>
      <w:r w:rsidRPr="002D305B">
        <w:rPr>
          <w:rStyle w:val="FootnoteReference"/>
          <w:rFonts w:ascii="Arial" w:hAnsi="Arial" w:cs="Arial"/>
          <w:sz w:val="18"/>
          <w:szCs w:val="18"/>
        </w:rPr>
        <w:footnoteRef/>
      </w:r>
      <w:r w:rsidRPr="002D305B">
        <w:rPr>
          <w:rFonts w:ascii="Arial" w:hAnsi="Arial" w:cs="Arial"/>
          <w:sz w:val="18"/>
          <w:szCs w:val="18"/>
        </w:rPr>
        <w:t xml:space="preserve"> Voir la </w:t>
      </w:r>
      <w:hyperlink r:id="rId30" w:history="1">
        <w:r w:rsidRPr="002D305B">
          <w:rPr>
            <w:rStyle w:val="Hyperlink"/>
            <w:rFonts w:ascii="Arial" w:eastAsiaTheme="majorEastAsia" w:hAnsi="Arial" w:cs="Arial"/>
            <w:sz w:val="18"/>
            <w:szCs w:val="18"/>
          </w:rPr>
          <w:t>Déclaration de Copenhague</w:t>
        </w:r>
      </w:hyperlink>
      <w:r w:rsidRPr="002D305B">
        <w:rPr>
          <w:rFonts w:ascii="Arial" w:hAnsi="Arial" w:cs="Arial"/>
          <w:sz w:val="18"/>
          <w:szCs w:val="18"/>
        </w:rPr>
        <w:t xml:space="preserve">, §1. Voir également le discours prononcé par Jean-Paul Costa (Président de la Cour du 19 janvier 2007 au 3 novembre 2011) lors de la Conférence de haut niveau d'Interlaken (18-19 février 2010), disponible dans les </w:t>
      </w:r>
      <w:hyperlink r:id="rId31" w:history="1">
        <w:r w:rsidRPr="002D305B">
          <w:rPr>
            <w:rStyle w:val="Hyperlink"/>
            <w:rFonts w:ascii="Arial" w:eastAsiaTheme="majorEastAsia" w:hAnsi="Arial" w:cs="Arial"/>
            <w:sz w:val="18"/>
            <w:szCs w:val="18"/>
          </w:rPr>
          <w:t>actes</w:t>
        </w:r>
      </w:hyperlink>
      <w:r w:rsidRPr="002D305B">
        <w:rPr>
          <w:rFonts w:ascii="Arial" w:hAnsi="Arial" w:cs="Arial"/>
          <w:sz w:val="18"/>
          <w:szCs w:val="18"/>
        </w:rPr>
        <w:t xml:space="preserve"> de la Conférence, page 21.</w:t>
      </w:r>
    </w:p>
  </w:footnote>
  <w:footnote w:id="31">
    <w:p w14:paraId="2B5F700A" w14:textId="77777777" w:rsidR="00B41728" w:rsidRPr="00720D91" w:rsidRDefault="00B41728" w:rsidP="00F331F8">
      <w:pPr>
        <w:pStyle w:val="FootnoteText"/>
        <w:shd w:val="clear" w:color="auto" w:fill="FFFFFF" w:themeFill="background1"/>
        <w:rPr>
          <w:lang w:val="fr-FR"/>
        </w:rPr>
      </w:pPr>
      <w:r w:rsidRPr="00A863E6">
        <w:rPr>
          <w:rStyle w:val="FootnoteReference"/>
          <w:shd w:val="clear" w:color="auto" w:fill="FFFFFF" w:themeFill="background1"/>
        </w:rPr>
        <w:footnoteRef/>
      </w:r>
      <w:r w:rsidRPr="00720D91">
        <w:rPr>
          <w:rFonts w:ascii="Arial" w:hAnsi="Arial" w:cs="Arial"/>
          <w:sz w:val="18"/>
          <w:szCs w:val="18"/>
          <w:shd w:val="clear" w:color="auto" w:fill="FFFFFF" w:themeFill="background1"/>
          <w:lang w:val="fr-FR"/>
        </w:rPr>
        <w:t xml:space="preserve"> </w:t>
      </w:r>
      <w:bookmarkStart w:id="14" w:name="_Hlk62804374"/>
      <w:r w:rsidRPr="00A863E6">
        <w:fldChar w:fldCharType="begin"/>
      </w:r>
      <w:r w:rsidRPr="00720D91">
        <w:rPr>
          <w:shd w:val="clear" w:color="auto" w:fill="FFFFFF" w:themeFill="background1"/>
          <w:lang w:val="fr-FR"/>
        </w:rPr>
        <w:instrText>HYPERLINK "http://hudoc.echr.coe.int/eng?i=001-207626"</w:instrText>
      </w:r>
      <w:r w:rsidRPr="00A863E6">
        <w:fldChar w:fldCharType="separate"/>
      </w:r>
      <w:r w:rsidRPr="00720D91">
        <w:rPr>
          <w:rStyle w:val="Hyperlink"/>
          <w:rFonts w:ascii="Arial" w:hAnsi="Arial" w:cs="Arial"/>
          <w:i/>
          <w:iCs/>
          <w:color w:val="auto"/>
          <w:sz w:val="18"/>
          <w:szCs w:val="18"/>
          <w:shd w:val="clear" w:color="auto" w:fill="FFFFFF" w:themeFill="background1"/>
          <w:lang w:val="fr-FR"/>
        </w:rPr>
        <w:t xml:space="preserve">Ukraine c. Russie </w:t>
      </w:r>
      <w:r w:rsidRPr="00A863E6">
        <w:rPr>
          <w:rStyle w:val="Hyperlink"/>
          <w:rFonts w:ascii="Arial" w:hAnsi="Arial" w:cs="Arial"/>
          <w:i/>
          <w:iCs/>
          <w:color w:val="auto"/>
          <w:sz w:val="18"/>
          <w:szCs w:val="18"/>
          <w:shd w:val="clear" w:color="auto" w:fill="FFFFFF" w:themeFill="background1"/>
        </w:rPr>
        <w:fldChar w:fldCharType="end"/>
      </w:r>
      <w:r w:rsidRPr="00720D91">
        <w:rPr>
          <w:rFonts w:ascii="Arial" w:hAnsi="Arial" w:cs="Arial"/>
          <w:i/>
          <w:iCs/>
          <w:sz w:val="18"/>
          <w:szCs w:val="18"/>
          <w:shd w:val="clear" w:color="auto" w:fill="FFFFFF" w:themeFill="background1"/>
          <w:lang w:val="fr-FR"/>
        </w:rPr>
        <w:t>(déc) [GC]</w:t>
      </w:r>
      <w:r w:rsidRPr="00720D91">
        <w:rPr>
          <w:rFonts w:ascii="Arial" w:hAnsi="Arial" w:cs="Arial"/>
          <w:sz w:val="18"/>
          <w:szCs w:val="18"/>
          <w:shd w:val="clear" w:color="auto" w:fill="FFFFFF" w:themeFill="background1"/>
          <w:lang w:val="fr-FR"/>
        </w:rPr>
        <w:t>, n° 20958/14 et 38334/18, § 235, 16 décembre 2020.</w:t>
      </w:r>
    </w:p>
    <w:bookmarkEnd w:id="14"/>
  </w:footnote>
  <w:footnote w:id="32">
    <w:p w14:paraId="0759ED87" w14:textId="77777777" w:rsidR="00B41728" w:rsidRPr="00720D91" w:rsidRDefault="00B41728" w:rsidP="00F331F8">
      <w:pPr>
        <w:pStyle w:val="FootnoteText"/>
        <w:shd w:val="clear" w:color="auto" w:fill="FFFFFF" w:themeFill="background1"/>
        <w:rPr>
          <w:lang w:val="fr-FR"/>
        </w:rPr>
      </w:pPr>
      <w:r w:rsidRPr="00A863E6">
        <w:rPr>
          <w:rStyle w:val="FootnoteReference"/>
          <w:shd w:val="clear" w:color="auto" w:fill="FFFFFF" w:themeFill="background1"/>
        </w:rPr>
        <w:footnoteRef/>
      </w:r>
      <w:r w:rsidRPr="00720D91">
        <w:rPr>
          <w:rFonts w:ascii="Arial" w:hAnsi="Arial" w:cs="Arial"/>
          <w:sz w:val="18"/>
          <w:szCs w:val="18"/>
          <w:shd w:val="clear" w:color="auto" w:fill="FFFFFF" w:themeFill="background1"/>
          <w:lang w:val="fr-FR"/>
        </w:rPr>
        <w:t xml:space="preserve"> </w:t>
      </w:r>
      <w:hyperlink r:id="rId32" w:history="1">
        <w:r w:rsidRPr="00720D91">
          <w:rPr>
            <w:rStyle w:val="Hyperlink"/>
            <w:rFonts w:ascii="Arial" w:hAnsi="Arial" w:cs="Arial"/>
            <w:i/>
            <w:iCs/>
            <w:color w:val="auto"/>
            <w:sz w:val="18"/>
            <w:szCs w:val="18"/>
            <w:shd w:val="clear" w:color="auto" w:fill="FFFFFF" w:themeFill="background1"/>
            <w:lang w:val="fr-FR"/>
          </w:rPr>
          <w:t xml:space="preserve">Ukraine c. Russie </w:t>
        </w:r>
      </w:hyperlink>
      <w:r w:rsidRPr="00720D91">
        <w:rPr>
          <w:rFonts w:ascii="Arial" w:hAnsi="Arial" w:cs="Arial"/>
          <w:i/>
          <w:iCs/>
          <w:sz w:val="18"/>
          <w:szCs w:val="18"/>
          <w:shd w:val="clear" w:color="auto" w:fill="FFFFFF" w:themeFill="background1"/>
          <w:lang w:val="fr-FR"/>
        </w:rPr>
        <w:t>(déc) [GC]</w:t>
      </w:r>
      <w:r w:rsidRPr="00720D91">
        <w:rPr>
          <w:rFonts w:ascii="Arial" w:hAnsi="Arial" w:cs="Arial"/>
          <w:sz w:val="18"/>
          <w:szCs w:val="18"/>
          <w:shd w:val="clear" w:color="auto" w:fill="FFFFFF" w:themeFill="background1"/>
          <w:lang w:val="fr-FR"/>
        </w:rPr>
        <w:t>, n° 20958/14 et 38334/18, § 238, 16 décembre 2020.</w:t>
      </w:r>
    </w:p>
  </w:footnote>
  <w:footnote w:id="33">
    <w:p w14:paraId="1FFA08DF" w14:textId="77777777" w:rsidR="00B41728" w:rsidRPr="00720D91" w:rsidRDefault="00B41728" w:rsidP="00F331F8">
      <w:pPr>
        <w:pStyle w:val="FootnoteText"/>
        <w:shd w:val="clear" w:color="auto" w:fill="FFFFFF" w:themeFill="background1"/>
        <w:rPr>
          <w:lang w:val="fr-FR"/>
        </w:rPr>
      </w:pPr>
      <w:r w:rsidRPr="00A863E6">
        <w:rPr>
          <w:rStyle w:val="FootnoteReference"/>
        </w:rPr>
        <w:footnoteRef/>
      </w:r>
      <w:r w:rsidRPr="00720D91">
        <w:rPr>
          <w:rFonts w:ascii="Arial" w:hAnsi="Arial" w:cs="Arial"/>
          <w:sz w:val="18"/>
          <w:szCs w:val="18"/>
          <w:lang w:val="fr-FR"/>
        </w:rPr>
        <w:t xml:space="preserve"> </w:t>
      </w:r>
      <w:bookmarkStart w:id="15" w:name="_Hlk62738402"/>
      <w:r w:rsidRPr="00A863E6">
        <w:fldChar w:fldCharType="begin"/>
      </w:r>
      <w:r w:rsidRPr="00720D91">
        <w:rPr>
          <w:lang w:val="fr-FR"/>
        </w:rPr>
        <w:instrText>HYPERLINK "http://hudoc.echr.coe.int/eng?i=001-207758"</w:instrText>
      </w:r>
      <w:r w:rsidRPr="00A863E6">
        <w:fldChar w:fldCharType="separate"/>
      </w:r>
      <w:r w:rsidRPr="00720D91">
        <w:rPr>
          <w:rStyle w:val="Hyperlink"/>
          <w:rFonts w:ascii="Arial" w:hAnsi="Arial" w:cs="Arial"/>
          <w:i/>
          <w:iCs/>
          <w:color w:val="auto"/>
          <w:sz w:val="18"/>
          <w:szCs w:val="18"/>
          <w:lang w:val="fr-FR"/>
        </w:rPr>
        <w:t xml:space="preserve">Géorgie c. Russie </w:t>
      </w:r>
      <w:r w:rsidRPr="00A863E6">
        <w:rPr>
          <w:rStyle w:val="Hyperlink"/>
          <w:rFonts w:ascii="Arial" w:hAnsi="Arial" w:cs="Arial"/>
          <w:i/>
          <w:iCs/>
          <w:color w:val="auto"/>
          <w:sz w:val="18"/>
          <w:szCs w:val="18"/>
        </w:rPr>
        <w:fldChar w:fldCharType="end"/>
      </w:r>
      <w:r w:rsidRPr="00720D91">
        <w:rPr>
          <w:rFonts w:ascii="Arial" w:hAnsi="Arial" w:cs="Arial"/>
          <w:sz w:val="18"/>
          <w:szCs w:val="18"/>
          <w:lang w:val="fr-FR"/>
        </w:rPr>
        <w:t>(II) (fond</w:t>
      </w:r>
      <w:r w:rsidRPr="00720D91">
        <w:rPr>
          <w:rFonts w:ascii="Arial" w:hAnsi="Arial" w:cs="Arial"/>
          <w:sz w:val="18"/>
          <w:szCs w:val="18"/>
          <w:shd w:val="clear" w:color="auto" w:fill="FFFFFF" w:themeFill="background1"/>
          <w:lang w:val="fr-FR"/>
        </w:rPr>
        <w:t xml:space="preserve">) </w:t>
      </w:r>
      <w:r w:rsidRPr="00720D91">
        <w:rPr>
          <w:rFonts w:ascii="Arial" w:hAnsi="Arial" w:cs="Arial"/>
          <w:i/>
          <w:iCs/>
          <w:sz w:val="18"/>
          <w:szCs w:val="18"/>
          <w:shd w:val="clear" w:color="auto" w:fill="FFFFFF" w:themeFill="background1"/>
          <w:lang w:val="fr-FR"/>
        </w:rPr>
        <w:t>[GC</w:t>
      </w:r>
      <w:r w:rsidRPr="00720D91">
        <w:rPr>
          <w:rFonts w:ascii="Arial" w:hAnsi="Arial" w:cs="Arial"/>
          <w:i/>
          <w:sz w:val="18"/>
          <w:szCs w:val="18"/>
          <w:shd w:val="clear" w:color="auto" w:fill="FFFFFF" w:themeFill="background1"/>
          <w:lang w:val="fr-FR"/>
        </w:rPr>
        <w:t>]</w:t>
      </w:r>
      <w:r w:rsidRPr="00720D91">
        <w:rPr>
          <w:rFonts w:ascii="Arial" w:hAnsi="Arial" w:cs="Arial"/>
          <w:i/>
          <w:iCs/>
          <w:sz w:val="18"/>
          <w:szCs w:val="18"/>
          <w:shd w:val="clear" w:color="auto" w:fill="FFFFFF" w:themeFill="background1"/>
          <w:lang w:val="fr-FR"/>
        </w:rPr>
        <w:t xml:space="preserve"> </w:t>
      </w:r>
      <w:r w:rsidRPr="00720D91">
        <w:rPr>
          <w:rFonts w:ascii="Arial" w:hAnsi="Arial" w:cs="Arial"/>
          <w:sz w:val="18"/>
          <w:szCs w:val="18"/>
          <w:lang w:val="fr-FR"/>
        </w:rPr>
        <w:t xml:space="preserve">n° 38263/08, § 100, 21 janvier 2021. </w:t>
      </w:r>
      <w:bookmarkEnd w:id="15"/>
    </w:p>
  </w:footnote>
  <w:footnote w:id="34">
    <w:p w14:paraId="563308A9" w14:textId="77777777" w:rsidR="00B41728" w:rsidRPr="00720D91" w:rsidRDefault="00B41728" w:rsidP="00F331F8">
      <w:pPr>
        <w:pStyle w:val="FootnoteText"/>
        <w:shd w:val="clear" w:color="auto" w:fill="FFFFFF" w:themeFill="background1"/>
        <w:rPr>
          <w:lang w:val="fr-FR"/>
        </w:rPr>
      </w:pPr>
      <w:r w:rsidRPr="00A863E6">
        <w:rPr>
          <w:rStyle w:val="FootnoteReference"/>
        </w:rPr>
        <w:footnoteRef/>
      </w:r>
      <w:r w:rsidRPr="00720D91">
        <w:rPr>
          <w:rFonts w:ascii="Arial" w:hAnsi="Arial" w:cs="Arial"/>
          <w:sz w:val="18"/>
          <w:szCs w:val="18"/>
          <w:lang w:val="fr-FR"/>
        </w:rPr>
        <w:t xml:space="preserve"> </w:t>
      </w:r>
      <w:hyperlink r:id="rId33" w:history="1">
        <w:r w:rsidRPr="00720D91">
          <w:rPr>
            <w:rStyle w:val="Hyperlink"/>
            <w:rFonts w:ascii="Arial" w:hAnsi="Arial" w:cs="Arial"/>
            <w:i/>
            <w:iCs/>
            <w:color w:val="auto"/>
            <w:sz w:val="18"/>
            <w:szCs w:val="18"/>
            <w:lang w:val="fr-FR"/>
          </w:rPr>
          <w:t xml:space="preserve">Géorgie c. Russie </w:t>
        </w:r>
      </w:hyperlink>
      <w:r w:rsidRPr="00720D91">
        <w:rPr>
          <w:rFonts w:ascii="Arial" w:hAnsi="Arial" w:cs="Arial"/>
          <w:sz w:val="18"/>
          <w:szCs w:val="18"/>
          <w:lang w:val="fr-FR"/>
        </w:rPr>
        <w:t>(II) (fond</w:t>
      </w:r>
      <w:r w:rsidRPr="00720D91">
        <w:rPr>
          <w:rFonts w:ascii="Arial" w:hAnsi="Arial" w:cs="Arial"/>
          <w:sz w:val="18"/>
          <w:szCs w:val="18"/>
          <w:shd w:val="clear" w:color="auto" w:fill="FFFFFF" w:themeFill="background1"/>
          <w:lang w:val="fr-FR"/>
        </w:rPr>
        <w:t xml:space="preserve">) </w:t>
      </w:r>
      <w:r w:rsidRPr="00720D91">
        <w:rPr>
          <w:rFonts w:ascii="Arial" w:hAnsi="Arial" w:cs="Arial"/>
          <w:i/>
          <w:iCs/>
          <w:sz w:val="18"/>
          <w:szCs w:val="18"/>
          <w:shd w:val="clear" w:color="auto" w:fill="FFFFFF" w:themeFill="background1"/>
          <w:lang w:val="fr-FR"/>
        </w:rPr>
        <w:t>[GC</w:t>
      </w:r>
      <w:r w:rsidRPr="00720D91">
        <w:rPr>
          <w:rFonts w:ascii="Arial" w:hAnsi="Arial" w:cs="Arial"/>
          <w:i/>
          <w:sz w:val="18"/>
          <w:szCs w:val="18"/>
          <w:shd w:val="clear" w:color="auto" w:fill="FFFFFF" w:themeFill="background1"/>
          <w:lang w:val="fr-FR"/>
        </w:rPr>
        <w:t xml:space="preserve">] </w:t>
      </w:r>
      <w:r w:rsidRPr="00720D91">
        <w:rPr>
          <w:rFonts w:ascii="Arial" w:hAnsi="Arial" w:cs="Arial"/>
          <w:sz w:val="18"/>
          <w:szCs w:val="18"/>
          <w:shd w:val="clear" w:color="auto" w:fill="FFFFFF" w:themeFill="background1"/>
          <w:lang w:val="fr-FR"/>
        </w:rPr>
        <w:t>n°</w:t>
      </w:r>
      <w:r w:rsidRPr="00720D91">
        <w:rPr>
          <w:rFonts w:ascii="Arial" w:hAnsi="Arial" w:cs="Arial"/>
          <w:sz w:val="18"/>
          <w:szCs w:val="18"/>
          <w:lang w:val="fr-FR"/>
        </w:rPr>
        <w:t xml:space="preserve"> 38263/08, § 101, 21 janvier 2021.</w:t>
      </w:r>
    </w:p>
  </w:footnote>
  <w:footnote w:id="35">
    <w:p w14:paraId="7EE01754" w14:textId="77777777" w:rsidR="00B41728" w:rsidRPr="00720D91" w:rsidRDefault="00B41728" w:rsidP="00F331F8">
      <w:pPr>
        <w:pStyle w:val="FootnoteText"/>
        <w:shd w:val="clear" w:color="auto" w:fill="FFFFFF" w:themeFill="background1"/>
        <w:jc w:val="both"/>
        <w:rPr>
          <w:lang w:val="fr-FR"/>
        </w:rPr>
      </w:pPr>
      <w:r w:rsidRPr="00A863E6">
        <w:rPr>
          <w:rStyle w:val="FootnoteReference"/>
        </w:rPr>
        <w:footnoteRef/>
      </w:r>
      <w:r w:rsidRPr="00720D91">
        <w:rPr>
          <w:rFonts w:ascii="Arial" w:hAnsi="Arial" w:cs="Arial"/>
          <w:sz w:val="18"/>
          <w:szCs w:val="18"/>
          <w:lang w:val="fr-FR"/>
        </w:rPr>
        <w:t xml:space="preserve"> </w:t>
      </w:r>
      <w:hyperlink r:id="rId34" w:history="1">
        <w:r w:rsidRPr="00720D91">
          <w:rPr>
            <w:rStyle w:val="Hyperlink"/>
            <w:rFonts w:ascii="Arial" w:hAnsi="Arial" w:cs="Arial"/>
            <w:i/>
            <w:iCs/>
            <w:color w:val="auto"/>
            <w:sz w:val="18"/>
            <w:szCs w:val="18"/>
            <w:lang w:val="fr-FR"/>
          </w:rPr>
          <w:t>France, Norvège, Danemark, Suède et Pays-Bas c. Turquie</w:t>
        </w:r>
      </w:hyperlink>
      <w:r w:rsidRPr="00720D91">
        <w:rPr>
          <w:rFonts w:ascii="Arial" w:hAnsi="Arial" w:cs="Arial"/>
          <w:sz w:val="18"/>
          <w:szCs w:val="18"/>
          <w:lang w:val="fr-FR"/>
        </w:rPr>
        <w:t xml:space="preserve">, nos 9940-9944/82, décision de la Commission du 6 décembre 1983, Décisions et rapports 35, p. 163, § 19 </w:t>
      </w:r>
      <w:r w:rsidRPr="00720D91">
        <w:rPr>
          <w:lang w:val="fr-FR"/>
        </w:rPr>
        <w:t xml:space="preserve">; </w:t>
      </w:r>
      <w:hyperlink r:id="rId35" w:anchor="{%22itemid%22:[%22001-62064%22]}" w:history="1">
        <w:r w:rsidRPr="00720D91">
          <w:rPr>
            <w:rStyle w:val="Hyperlink"/>
            <w:rFonts w:ascii="Arial" w:hAnsi="Arial" w:cs="Arial"/>
            <w:i/>
            <w:color w:val="auto"/>
            <w:sz w:val="18"/>
            <w:szCs w:val="18"/>
            <w:shd w:val="clear" w:color="auto" w:fill="FFFFFF" w:themeFill="background1"/>
            <w:lang w:val="fr-FR"/>
          </w:rPr>
          <w:t>Irlande c. Royaume-Uni</w:t>
        </w:r>
      </w:hyperlink>
      <w:r w:rsidRPr="00720D91">
        <w:rPr>
          <w:rFonts w:ascii="Arial" w:hAnsi="Arial" w:cs="Arial"/>
          <w:sz w:val="18"/>
          <w:szCs w:val="18"/>
          <w:shd w:val="clear" w:color="auto" w:fill="FFFFFF" w:themeFill="background1"/>
          <w:lang w:val="fr-FR"/>
        </w:rPr>
        <w:t xml:space="preserve">, n° 5310/71, § 159, 18 janvier 1978 ; </w:t>
      </w:r>
      <w:hyperlink r:id="rId36" w:history="1">
        <w:r w:rsidRPr="00720D91">
          <w:rPr>
            <w:rStyle w:val="Hyperlink"/>
            <w:rFonts w:ascii="Arial" w:hAnsi="Arial" w:cs="Arial"/>
            <w:i/>
            <w:iCs/>
            <w:color w:val="auto"/>
            <w:sz w:val="18"/>
            <w:szCs w:val="18"/>
            <w:shd w:val="clear" w:color="auto" w:fill="FFFFFF" w:themeFill="background1"/>
            <w:lang w:val="fr-FR"/>
          </w:rPr>
          <w:t>Chypre c. Turquie (fond) [GC]</w:t>
        </w:r>
      </w:hyperlink>
      <w:r w:rsidRPr="00720D91">
        <w:rPr>
          <w:rFonts w:ascii="Arial" w:hAnsi="Arial" w:cs="Arial"/>
          <w:sz w:val="18"/>
          <w:szCs w:val="18"/>
          <w:shd w:val="clear" w:color="auto" w:fill="FFFFFF" w:themeFill="background1"/>
          <w:lang w:val="fr-FR"/>
        </w:rPr>
        <w:t xml:space="preserve">, n° 25781/94, § 99, 10 mai 2001 ; </w:t>
      </w:r>
      <w:hyperlink r:id="rId37" w:history="1">
        <w:r w:rsidRPr="00720D91">
          <w:rPr>
            <w:rStyle w:val="Hyperlink"/>
            <w:rFonts w:ascii="Arial" w:hAnsi="Arial" w:cs="Arial"/>
            <w:i/>
            <w:iCs/>
            <w:color w:val="auto"/>
            <w:sz w:val="18"/>
            <w:szCs w:val="18"/>
            <w:shd w:val="clear" w:color="auto" w:fill="FFFFFF" w:themeFill="background1"/>
            <w:lang w:val="fr-FR"/>
          </w:rPr>
          <w:t>Géorgie c. Russie (I) [GC]</w:t>
        </w:r>
      </w:hyperlink>
      <w:r w:rsidRPr="00720D91">
        <w:rPr>
          <w:rFonts w:ascii="Arial" w:hAnsi="Arial" w:cs="Arial"/>
          <w:sz w:val="18"/>
          <w:szCs w:val="18"/>
          <w:shd w:val="clear" w:color="auto" w:fill="FFFFFF" w:themeFill="background1"/>
          <w:lang w:val="fr-FR"/>
        </w:rPr>
        <w:t xml:space="preserve">, n° 13255/07, 3 juillet 2014, §§ 122-124 ; Voir aussi </w:t>
      </w:r>
      <w:hyperlink r:id="rId38" w:history="1">
        <w:r w:rsidRPr="00720D91">
          <w:rPr>
            <w:rStyle w:val="Hyperlink"/>
            <w:rFonts w:ascii="Arial" w:hAnsi="Arial" w:cs="Arial"/>
            <w:i/>
            <w:iCs/>
            <w:color w:val="auto"/>
            <w:sz w:val="18"/>
            <w:szCs w:val="18"/>
            <w:shd w:val="clear" w:color="auto" w:fill="FFFFFF" w:themeFill="background1"/>
            <w:lang w:val="fr-FR"/>
          </w:rPr>
          <w:t xml:space="preserve">Ukraine c. Russie </w:t>
        </w:r>
      </w:hyperlink>
      <w:r w:rsidRPr="00720D91">
        <w:rPr>
          <w:rFonts w:ascii="Arial" w:hAnsi="Arial" w:cs="Arial"/>
          <w:i/>
          <w:iCs/>
          <w:sz w:val="18"/>
          <w:szCs w:val="18"/>
          <w:shd w:val="clear" w:color="auto" w:fill="FFFFFF" w:themeFill="background1"/>
          <w:lang w:val="fr-FR"/>
        </w:rPr>
        <w:t>(déc)</w:t>
      </w:r>
      <w:r w:rsidRPr="00720D91">
        <w:rPr>
          <w:rFonts w:ascii="Arial" w:hAnsi="Arial" w:cs="Arial"/>
          <w:sz w:val="18"/>
          <w:szCs w:val="18"/>
          <w:shd w:val="clear" w:color="auto" w:fill="FFFFFF" w:themeFill="background1"/>
          <w:lang w:val="fr-FR"/>
        </w:rPr>
        <w:t xml:space="preserve">, n° 20958/14 et 38334/18 § 363, 14 janvier 2021 ; </w:t>
      </w:r>
      <w:hyperlink r:id="rId39" w:history="1">
        <w:r w:rsidRPr="00720D91">
          <w:rPr>
            <w:shd w:val="clear" w:color="auto" w:fill="FFFFFF" w:themeFill="background1"/>
            <w:lang w:val="fr-FR"/>
          </w:rPr>
          <w:t xml:space="preserve"> </w:t>
        </w:r>
        <w:r w:rsidRPr="00720D91">
          <w:rPr>
            <w:rStyle w:val="Hyperlink"/>
            <w:rFonts w:ascii="Arial" w:hAnsi="Arial" w:cs="Arial"/>
            <w:i/>
            <w:iCs/>
            <w:color w:val="auto"/>
            <w:sz w:val="18"/>
            <w:szCs w:val="18"/>
            <w:shd w:val="clear" w:color="auto" w:fill="FFFFFF" w:themeFill="background1"/>
            <w:lang w:val="fr-FR"/>
          </w:rPr>
          <w:t xml:space="preserve">Géorgie c. Russie </w:t>
        </w:r>
      </w:hyperlink>
      <w:r w:rsidRPr="00720D91">
        <w:rPr>
          <w:rFonts w:ascii="Arial" w:hAnsi="Arial" w:cs="Arial"/>
          <w:sz w:val="18"/>
          <w:szCs w:val="18"/>
          <w:shd w:val="clear" w:color="auto" w:fill="FFFFFF" w:themeFill="background1"/>
          <w:lang w:val="fr-FR"/>
        </w:rPr>
        <w:t xml:space="preserve">(II) (fond) </w:t>
      </w:r>
      <w:r w:rsidRPr="00720D91">
        <w:rPr>
          <w:rFonts w:ascii="Arial" w:hAnsi="Arial" w:cs="Arial"/>
          <w:i/>
          <w:iCs/>
          <w:sz w:val="18"/>
          <w:szCs w:val="18"/>
          <w:shd w:val="clear" w:color="auto" w:fill="FFFFFF" w:themeFill="background1"/>
          <w:lang w:val="fr-FR"/>
        </w:rPr>
        <w:t xml:space="preserve">[GC] </w:t>
      </w:r>
      <w:r w:rsidRPr="00720D91">
        <w:rPr>
          <w:rFonts w:ascii="Arial" w:hAnsi="Arial" w:cs="Arial"/>
          <w:sz w:val="18"/>
          <w:szCs w:val="18"/>
          <w:shd w:val="clear" w:color="auto" w:fill="FFFFFF" w:themeFill="background1"/>
          <w:lang w:val="fr-FR"/>
        </w:rPr>
        <w:t>n°38263/08, § 102, 21 janvier 2021</w:t>
      </w:r>
      <w:r w:rsidRPr="00720D91">
        <w:rPr>
          <w:rFonts w:ascii="Arial" w:hAnsi="Arial" w:cs="Arial"/>
          <w:sz w:val="18"/>
          <w:szCs w:val="18"/>
          <w:lang w:val="fr-FR"/>
        </w:rPr>
        <w:t>.</w:t>
      </w:r>
    </w:p>
  </w:footnote>
  <w:footnote w:id="36">
    <w:p w14:paraId="75EBECD8" w14:textId="77777777" w:rsidR="00B41728" w:rsidRPr="00720D91" w:rsidRDefault="00B41728" w:rsidP="00F331F8">
      <w:pPr>
        <w:pStyle w:val="FootnoteText"/>
        <w:shd w:val="clear" w:color="auto" w:fill="FFFFFF" w:themeFill="background1"/>
        <w:rPr>
          <w:lang w:val="fr-FR"/>
        </w:rPr>
      </w:pPr>
      <w:r w:rsidRPr="00A863E6">
        <w:rPr>
          <w:rStyle w:val="FootnoteReference"/>
        </w:rPr>
        <w:footnoteRef/>
      </w:r>
      <w:hyperlink r:id="rId40" w:history="1">
        <w:r w:rsidRPr="00720D91">
          <w:rPr>
            <w:lang w:val="fr-FR"/>
          </w:rPr>
          <w:t xml:space="preserve"> </w:t>
        </w:r>
        <w:r w:rsidRPr="00720D91">
          <w:rPr>
            <w:rStyle w:val="Hyperlink"/>
            <w:rFonts w:ascii="Arial" w:hAnsi="Arial" w:cs="Arial"/>
            <w:i/>
            <w:iCs/>
            <w:color w:val="auto"/>
            <w:sz w:val="18"/>
            <w:szCs w:val="18"/>
            <w:lang w:val="fr-FR"/>
          </w:rPr>
          <w:t xml:space="preserve">Géorgie c. Russie </w:t>
        </w:r>
      </w:hyperlink>
      <w:r w:rsidRPr="00720D91">
        <w:rPr>
          <w:rFonts w:ascii="Arial" w:hAnsi="Arial" w:cs="Arial"/>
          <w:sz w:val="18"/>
          <w:szCs w:val="18"/>
          <w:lang w:val="fr-FR"/>
        </w:rPr>
        <w:t xml:space="preserve">(II) (fond) </w:t>
      </w:r>
      <w:r w:rsidRPr="00720D91">
        <w:rPr>
          <w:rFonts w:ascii="Arial" w:hAnsi="Arial" w:cs="Arial"/>
          <w:i/>
          <w:iCs/>
          <w:sz w:val="18"/>
          <w:szCs w:val="18"/>
          <w:shd w:val="clear" w:color="auto" w:fill="FFFFFF" w:themeFill="background1"/>
          <w:lang w:val="fr-FR"/>
        </w:rPr>
        <w:t xml:space="preserve">[GC] </w:t>
      </w:r>
      <w:r w:rsidRPr="00720D91">
        <w:rPr>
          <w:rFonts w:ascii="Arial" w:hAnsi="Arial" w:cs="Arial"/>
          <w:sz w:val="18"/>
          <w:szCs w:val="18"/>
          <w:shd w:val="clear" w:color="auto" w:fill="FFFFFF" w:themeFill="background1"/>
          <w:lang w:val="fr-FR"/>
        </w:rPr>
        <w:t>n° 38263</w:t>
      </w:r>
      <w:r w:rsidRPr="00720D91">
        <w:rPr>
          <w:rFonts w:ascii="Arial" w:hAnsi="Arial" w:cs="Arial"/>
          <w:sz w:val="18"/>
          <w:szCs w:val="18"/>
          <w:lang w:val="fr-FR"/>
        </w:rPr>
        <w:t>/08, § 103, 21 janvier 2021.</w:t>
      </w:r>
      <w:r w:rsidRPr="00720D91">
        <w:rPr>
          <w:rFonts w:ascii="Arial" w:hAnsi="Arial" w:cs="Arial"/>
          <w:b/>
          <w:bCs/>
          <w:sz w:val="18"/>
          <w:szCs w:val="18"/>
          <w:lang w:val="fr-FR"/>
        </w:rPr>
        <w:t xml:space="preserve"> </w:t>
      </w:r>
    </w:p>
  </w:footnote>
  <w:footnote w:id="37">
    <w:p w14:paraId="76EA1A12" w14:textId="77777777" w:rsidR="00B41728" w:rsidRPr="00720D91" w:rsidRDefault="00B41728" w:rsidP="00F331F8">
      <w:pPr>
        <w:pStyle w:val="FootnoteText"/>
        <w:shd w:val="clear" w:color="auto" w:fill="FFFFFF" w:themeFill="background1"/>
        <w:rPr>
          <w:lang w:val="fr-FR"/>
        </w:rPr>
      </w:pPr>
      <w:r w:rsidRPr="00A863E6">
        <w:rPr>
          <w:rStyle w:val="FootnoteReference"/>
          <w:shd w:val="clear" w:color="auto" w:fill="FFFFFF" w:themeFill="background1"/>
        </w:rPr>
        <w:footnoteRef/>
      </w:r>
      <w:r w:rsidRPr="00720D91">
        <w:rPr>
          <w:rFonts w:ascii="Arial" w:hAnsi="Arial" w:cs="Arial"/>
          <w:sz w:val="18"/>
          <w:szCs w:val="18"/>
          <w:shd w:val="clear" w:color="auto" w:fill="FFFFFF" w:themeFill="background1"/>
          <w:lang w:val="fr-FR"/>
        </w:rPr>
        <w:t xml:space="preserve"> </w:t>
      </w:r>
      <w:hyperlink r:id="rId41" w:history="1">
        <w:r w:rsidRPr="00720D91">
          <w:rPr>
            <w:rStyle w:val="Hyperlink"/>
            <w:rFonts w:ascii="Arial" w:hAnsi="Arial" w:cs="Arial"/>
            <w:i/>
            <w:iCs/>
            <w:color w:val="auto"/>
            <w:sz w:val="18"/>
            <w:szCs w:val="18"/>
            <w:shd w:val="clear" w:color="auto" w:fill="FFFFFF" w:themeFill="background1"/>
            <w:lang w:val="fr-FR"/>
          </w:rPr>
          <w:t xml:space="preserve">Ukraine c. Russie </w:t>
        </w:r>
      </w:hyperlink>
      <w:r w:rsidRPr="00720D91">
        <w:rPr>
          <w:rFonts w:ascii="Arial" w:hAnsi="Arial" w:cs="Arial"/>
          <w:i/>
          <w:iCs/>
          <w:sz w:val="18"/>
          <w:szCs w:val="18"/>
          <w:shd w:val="clear" w:color="auto" w:fill="FFFFFF" w:themeFill="background1"/>
          <w:lang w:val="fr-FR"/>
        </w:rPr>
        <w:t>(déc) [GC]</w:t>
      </w:r>
      <w:r w:rsidRPr="00720D91">
        <w:rPr>
          <w:rFonts w:ascii="Arial" w:hAnsi="Arial" w:cs="Arial"/>
          <w:sz w:val="18"/>
          <w:szCs w:val="18"/>
          <w:shd w:val="clear" w:color="auto" w:fill="FFFFFF" w:themeFill="background1"/>
          <w:lang w:val="fr-FR"/>
        </w:rPr>
        <w:t>, nos 20958/14 et 38334/18, § 260, 16 décembre 2020.</w:t>
      </w:r>
    </w:p>
  </w:footnote>
  <w:footnote w:id="38">
    <w:p w14:paraId="0DF70B45" w14:textId="77777777" w:rsidR="00B41728" w:rsidRPr="002D305B" w:rsidRDefault="00B41728" w:rsidP="00F331F8">
      <w:pPr>
        <w:pStyle w:val="NoSpacing"/>
        <w:jc w:val="both"/>
        <w:rPr>
          <w:rFonts w:ascii="Arial" w:hAnsi="Arial" w:cs="Arial"/>
          <w:sz w:val="18"/>
          <w:szCs w:val="18"/>
        </w:rPr>
      </w:pPr>
      <w:r w:rsidRPr="002D305B">
        <w:rPr>
          <w:rStyle w:val="FootnoteReference"/>
          <w:rFonts w:ascii="Arial" w:hAnsi="Arial" w:cs="Arial"/>
          <w:sz w:val="18"/>
          <w:szCs w:val="18"/>
        </w:rPr>
        <w:footnoteRef/>
      </w:r>
      <w:r>
        <w:rPr>
          <w:rFonts w:ascii="Arial" w:hAnsi="Arial" w:cs="Arial"/>
          <w:sz w:val="18"/>
          <w:szCs w:val="18"/>
        </w:rPr>
        <w:t xml:space="preserve"> </w:t>
      </w:r>
      <w:r w:rsidRPr="002D305B">
        <w:rPr>
          <w:rFonts w:ascii="Arial" w:hAnsi="Arial" w:cs="Arial"/>
          <w:sz w:val="18"/>
          <w:szCs w:val="18"/>
        </w:rPr>
        <w:t xml:space="preserve">Voir aussi </w:t>
      </w:r>
      <w:hyperlink r:id="rId42" w:anchor="{%22itemid%22:[%22001-27972%22]}" w:history="1">
        <w:r w:rsidRPr="002D305B">
          <w:rPr>
            <w:rStyle w:val="Hyperlink"/>
            <w:rFonts w:ascii="Arial" w:eastAsiaTheme="majorEastAsia" w:hAnsi="Arial" w:cs="Arial"/>
            <w:i/>
            <w:sz w:val="18"/>
            <w:szCs w:val="18"/>
          </w:rPr>
          <w:t>Autriche c. Italie</w:t>
        </w:r>
      </w:hyperlink>
      <w:r w:rsidRPr="002D305B">
        <w:rPr>
          <w:rFonts w:ascii="Arial" w:hAnsi="Arial" w:cs="Arial"/>
          <w:sz w:val="18"/>
          <w:szCs w:val="18"/>
        </w:rPr>
        <w:t xml:space="preserve">, précité, page 19. </w:t>
      </w:r>
    </w:p>
  </w:footnote>
  <w:footnote w:id="39">
    <w:p w14:paraId="59780ABD" w14:textId="77777777" w:rsidR="00B41728" w:rsidRPr="002D305B" w:rsidRDefault="00B41728" w:rsidP="00F331F8">
      <w:pPr>
        <w:pStyle w:val="NoSpacing"/>
        <w:jc w:val="both"/>
        <w:rPr>
          <w:rFonts w:ascii="Arial" w:hAnsi="Arial" w:cs="Arial"/>
          <w:sz w:val="18"/>
          <w:szCs w:val="18"/>
        </w:rPr>
      </w:pPr>
      <w:r w:rsidRPr="002D305B">
        <w:rPr>
          <w:rStyle w:val="FootnoteReference"/>
          <w:rFonts w:ascii="Arial" w:hAnsi="Arial" w:cs="Arial"/>
          <w:sz w:val="18"/>
          <w:szCs w:val="18"/>
        </w:rPr>
        <w:footnoteRef/>
      </w:r>
      <w:hyperlink r:id="rId43" w:history="1">
        <w:r w:rsidRPr="002D305B">
          <w:rPr>
            <w:rStyle w:val="Hyperlink"/>
            <w:rFonts w:ascii="Arial" w:eastAsiaTheme="majorEastAsia" w:hAnsi="Arial" w:cs="Arial"/>
            <w:i/>
            <w:sz w:val="18"/>
            <w:szCs w:val="18"/>
          </w:rPr>
          <w:t xml:space="preserve"> Chypre c. Turquie (satisfaction équitable) [GC]</w:t>
        </w:r>
      </w:hyperlink>
      <w:r w:rsidRPr="002D305B">
        <w:rPr>
          <w:rFonts w:ascii="Arial" w:hAnsi="Arial" w:cs="Arial"/>
          <w:sz w:val="18"/>
          <w:szCs w:val="18"/>
        </w:rPr>
        <w:t>, n° 25781/94, § 44, 12 mai 2014.</w:t>
      </w:r>
    </w:p>
  </w:footnote>
  <w:footnote w:id="40">
    <w:p w14:paraId="6D40E919" w14:textId="77777777" w:rsidR="00B41728" w:rsidRPr="002D305B" w:rsidRDefault="00B41728" w:rsidP="00F331F8">
      <w:pPr>
        <w:pStyle w:val="NoSpacing"/>
        <w:jc w:val="both"/>
        <w:rPr>
          <w:rFonts w:ascii="Arial" w:hAnsi="Arial" w:cs="Arial"/>
          <w:sz w:val="18"/>
          <w:szCs w:val="18"/>
        </w:rPr>
      </w:pPr>
      <w:r w:rsidRPr="002D305B">
        <w:rPr>
          <w:rStyle w:val="FootnoteReference"/>
          <w:rFonts w:ascii="Arial" w:hAnsi="Arial" w:cs="Arial"/>
          <w:sz w:val="18"/>
          <w:szCs w:val="18"/>
        </w:rPr>
        <w:footnoteRef/>
      </w:r>
      <w:hyperlink r:id="rId44" w:anchor="{%22itemid%22:[%22001-62064%22]}" w:history="1">
        <w:r w:rsidRPr="002D305B">
          <w:rPr>
            <w:rStyle w:val="Hyperlink"/>
            <w:rFonts w:ascii="Arial" w:eastAsiaTheme="majorEastAsia" w:hAnsi="Arial" w:cs="Arial"/>
            <w:i/>
            <w:sz w:val="18"/>
            <w:szCs w:val="18"/>
          </w:rPr>
          <w:t xml:space="preserve"> Irlande c. Royaume-Uni</w:t>
        </w:r>
      </w:hyperlink>
      <w:r w:rsidRPr="002D305B">
        <w:rPr>
          <w:rFonts w:ascii="Arial" w:hAnsi="Arial" w:cs="Arial"/>
          <w:sz w:val="18"/>
          <w:szCs w:val="18"/>
        </w:rPr>
        <w:t>, n</w:t>
      </w:r>
      <w:r>
        <w:rPr>
          <w:rFonts w:ascii="Arial" w:hAnsi="Arial" w:cs="Arial"/>
          <w:sz w:val="18"/>
          <w:szCs w:val="18"/>
        </w:rPr>
        <w:t>°</w:t>
      </w:r>
      <w:r w:rsidRPr="002D305B">
        <w:rPr>
          <w:rFonts w:ascii="Arial" w:hAnsi="Arial" w:cs="Arial"/>
          <w:sz w:val="18"/>
          <w:szCs w:val="18"/>
        </w:rPr>
        <w:t xml:space="preserve"> 5310/71, § 154, 18 janvier 1978.</w:t>
      </w:r>
    </w:p>
  </w:footnote>
  <w:footnote w:id="41">
    <w:p w14:paraId="6E3B4842" w14:textId="4B0608BF" w:rsidR="00B41728" w:rsidRPr="002D305B" w:rsidRDefault="00B41728" w:rsidP="00754513">
      <w:pPr>
        <w:pStyle w:val="NoSpacing"/>
        <w:jc w:val="both"/>
        <w:rPr>
          <w:rFonts w:ascii="Arial" w:hAnsi="Arial" w:cs="Arial"/>
          <w:sz w:val="18"/>
          <w:szCs w:val="18"/>
        </w:rPr>
      </w:pPr>
      <w:r w:rsidRPr="002D305B">
        <w:rPr>
          <w:rStyle w:val="FootnoteReference"/>
          <w:rFonts w:ascii="Arial" w:hAnsi="Arial" w:cs="Arial"/>
          <w:sz w:val="18"/>
          <w:szCs w:val="18"/>
        </w:rPr>
        <w:footnoteRef/>
      </w:r>
      <w:hyperlink r:id="rId45" w:history="1">
        <w:r w:rsidRPr="002D305B">
          <w:rPr>
            <w:rStyle w:val="Hyperlink"/>
            <w:rFonts w:ascii="Arial" w:eastAsiaTheme="majorEastAsia" w:hAnsi="Arial" w:cs="Arial"/>
            <w:i/>
            <w:sz w:val="18"/>
            <w:szCs w:val="18"/>
          </w:rPr>
          <w:t xml:space="preserve"> Chypre c. Turquie (satisfaction équitable) [GC]</w:t>
        </w:r>
      </w:hyperlink>
      <w:r w:rsidRPr="002D305B">
        <w:rPr>
          <w:rFonts w:ascii="Arial" w:hAnsi="Arial" w:cs="Arial"/>
          <w:sz w:val="18"/>
          <w:szCs w:val="18"/>
        </w:rPr>
        <w:t xml:space="preserve">, n° 25781/94, § 45, 12 mai 2014. </w:t>
      </w:r>
      <w:r>
        <w:rPr>
          <w:rFonts w:ascii="Arial" w:hAnsi="Arial" w:cs="Arial"/>
          <w:sz w:val="18"/>
          <w:szCs w:val="18"/>
        </w:rPr>
        <w:t>Voir également para</w:t>
      </w:r>
      <w:r w:rsidR="00754513">
        <w:rPr>
          <w:rFonts w:ascii="Arial" w:hAnsi="Arial" w:cs="Arial"/>
          <w:sz w:val="18"/>
          <w:szCs w:val="18"/>
        </w:rPr>
        <w:t>.</w:t>
      </w:r>
      <w:r>
        <w:rPr>
          <w:rFonts w:ascii="Arial" w:hAnsi="Arial" w:cs="Arial"/>
          <w:sz w:val="18"/>
          <w:szCs w:val="18"/>
        </w:rPr>
        <w:t>11</w:t>
      </w:r>
      <w:r w:rsidR="00962267">
        <w:rPr>
          <w:rFonts w:ascii="Arial" w:hAnsi="Arial" w:cs="Arial"/>
          <w:sz w:val="18"/>
          <w:szCs w:val="18"/>
        </w:rPr>
        <w:t>1</w:t>
      </w:r>
      <w:r>
        <w:rPr>
          <w:rFonts w:ascii="Arial" w:hAnsi="Arial" w:cs="Arial"/>
          <w:sz w:val="18"/>
          <w:szCs w:val="18"/>
        </w:rPr>
        <w:t xml:space="preserve"> du présent rapport. </w:t>
      </w:r>
    </w:p>
  </w:footnote>
  <w:footnote w:id="42">
    <w:p w14:paraId="735006A2" w14:textId="77777777" w:rsidR="00B41728" w:rsidRPr="00720D91" w:rsidRDefault="00B41728" w:rsidP="00F331F8">
      <w:pPr>
        <w:pStyle w:val="FootnoteText"/>
        <w:rPr>
          <w:lang w:val="fr-FR"/>
        </w:rPr>
      </w:pPr>
      <w:r>
        <w:rPr>
          <w:rStyle w:val="FootnoteReference"/>
        </w:rPr>
        <w:footnoteRef/>
      </w:r>
      <w:r w:rsidRPr="00720D91">
        <w:rPr>
          <w:lang w:val="fr-FR"/>
        </w:rPr>
        <w:t xml:space="preserve"> </w:t>
      </w:r>
      <w:hyperlink r:id="rId46" w:history="1">
        <w:r w:rsidRPr="00720D91">
          <w:rPr>
            <w:rStyle w:val="Hyperlink"/>
            <w:rFonts w:ascii="Arial" w:hAnsi="Arial" w:cs="Arial"/>
            <w:i/>
            <w:iCs/>
            <w:sz w:val="18"/>
            <w:szCs w:val="18"/>
            <w:lang w:val="fr-FR"/>
          </w:rPr>
          <w:t>Slovénie c. Croatie</w:t>
        </w:r>
      </w:hyperlink>
      <w:r w:rsidRPr="00720D91">
        <w:rPr>
          <w:rStyle w:val="Hyperlink"/>
          <w:rFonts w:ascii="Arial" w:hAnsi="Arial" w:cs="Arial"/>
          <w:i/>
          <w:iCs/>
          <w:sz w:val="18"/>
          <w:szCs w:val="18"/>
          <w:lang w:val="fr-FR"/>
        </w:rPr>
        <w:t xml:space="preserve"> </w:t>
      </w:r>
      <w:r w:rsidRPr="00720D91">
        <w:rPr>
          <w:rFonts w:ascii="Arial" w:hAnsi="Arial" w:cs="Arial"/>
          <w:i/>
          <w:iCs/>
          <w:sz w:val="18"/>
          <w:szCs w:val="18"/>
          <w:lang w:val="fr-FR"/>
        </w:rPr>
        <w:t>(dec)</w:t>
      </w:r>
      <w:r w:rsidRPr="00720D91">
        <w:rPr>
          <w:rFonts w:ascii="Arial" w:hAnsi="Arial" w:cs="Arial"/>
          <w:sz w:val="18"/>
          <w:szCs w:val="18"/>
          <w:lang w:val="fr-FR"/>
        </w:rPr>
        <w:t xml:space="preserve">, n° 54155/16, § 67, 18 novembre 2020. </w:t>
      </w:r>
    </w:p>
  </w:footnote>
  <w:footnote w:id="43">
    <w:p w14:paraId="601B5C07" w14:textId="77777777" w:rsidR="00B41728" w:rsidRPr="0059774E" w:rsidRDefault="00B41728" w:rsidP="00F331F8">
      <w:pPr>
        <w:pStyle w:val="NoSpacing"/>
        <w:jc w:val="both"/>
        <w:rPr>
          <w:rFonts w:ascii="Arial" w:hAnsi="Arial" w:cs="Arial"/>
          <w:sz w:val="18"/>
          <w:szCs w:val="18"/>
        </w:rPr>
      </w:pPr>
      <w:r w:rsidRPr="002D305B">
        <w:rPr>
          <w:rStyle w:val="FootnoteReference"/>
          <w:rFonts w:ascii="Arial" w:hAnsi="Arial" w:cs="Arial"/>
          <w:sz w:val="18"/>
          <w:szCs w:val="18"/>
        </w:rPr>
        <w:footnoteRef/>
      </w:r>
      <w:r w:rsidRPr="0059774E">
        <w:rPr>
          <w:rFonts w:ascii="Arial" w:hAnsi="Arial" w:cs="Arial"/>
          <w:sz w:val="18"/>
          <w:szCs w:val="18"/>
        </w:rPr>
        <w:t xml:space="preserve"> Voir document </w:t>
      </w:r>
      <w:bookmarkStart w:id="19" w:name="_Hlk71277567"/>
      <w:r w:rsidRPr="00560F13">
        <w:fldChar w:fldCharType="begin"/>
      </w:r>
      <w:r w:rsidRPr="0059774E">
        <w:rPr>
          <w:rFonts w:ascii="Arial" w:hAnsi="Arial" w:cs="Arial"/>
          <w:sz w:val="18"/>
          <w:szCs w:val="18"/>
        </w:rPr>
        <w:instrText xml:space="preserve"> </w:instrText>
      </w:r>
      <w:r>
        <w:rPr>
          <w:rFonts w:ascii="Arial" w:hAnsi="Arial" w:cs="Arial"/>
          <w:sz w:val="18"/>
          <w:szCs w:val="18"/>
        </w:rPr>
        <w:instrText>HYPERLINK</w:instrText>
      </w:r>
      <w:r w:rsidRPr="0059774E">
        <w:rPr>
          <w:rFonts w:ascii="Arial" w:hAnsi="Arial" w:cs="Arial"/>
          <w:sz w:val="18"/>
          <w:szCs w:val="18"/>
        </w:rPr>
        <w:instrText xml:space="preserve"> "https://rm.coe.int/steering-committee-for-human-rights-cddh-proposals-for-a-more-efficien/168094e6e1" </w:instrText>
      </w:r>
      <w:r w:rsidRPr="00560F13">
        <w:fldChar w:fldCharType="separate"/>
      </w:r>
      <w:r w:rsidRPr="0059774E">
        <w:rPr>
          <w:rStyle w:val="Hyperlink"/>
          <w:rFonts w:ascii="Arial" w:eastAsiaTheme="majorEastAsia" w:hAnsi="Arial" w:cs="Arial"/>
          <w:sz w:val="18"/>
          <w:szCs w:val="18"/>
        </w:rPr>
        <w:t>CDDH(2019)22</w:t>
      </w:r>
      <w:r w:rsidRPr="00560F13">
        <w:rPr>
          <w:rStyle w:val="Hyperlink"/>
          <w:rFonts w:ascii="Arial" w:eastAsiaTheme="majorEastAsia" w:hAnsi="Arial" w:cs="Arial"/>
          <w:sz w:val="18"/>
          <w:szCs w:val="18"/>
        </w:rPr>
        <w:fldChar w:fldCharType="end"/>
      </w:r>
      <w:r w:rsidRPr="0059774E">
        <w:rPr>
          <w:rFonts w:ascii="Arial" w:hAnsi="Arial" w:cs="Arial"/>
          <w:sz w:val="18"/>
          <w:szCs w:val="18"/>
        </w:rPr>
        <w:t>, § 9</w:t>
      </w:r>
      <w:bookmarkEnd w:id="19"/>
      <w:r w:rsidRPr="0059774E">
        <w:rPr>
          <w:rFonts w:ascii="Arial" w:hAnsi="Arial" w:cs="Arial"/>
          <w:sz w:val="18"/>
          <w:szCs w:val="18"/>
        </w:rPr>
        <w:t>.</w:t>
      </w:r>
    </w:p>
  </w:footnote>
  <w:footnote w:id="44">
    <w:p w14:paraId="14A65708" w14:textId="77777777" w:rsidR="00B41728" w:rsidRPr="00720D91" w:rsidRDefault="00B41728" w:rsidP="00F331F8">
      <w:pPr>
        <w:pStyle w:val="FootnoteText"/>
        <w:rPr>
          <w:lang w:val="fr-FR"/>
        </w:rPr>
      </w:pPr>
      <w:r>
        <w:rPr>
          <w:rStyle w:val="FootnoteReference"/>
        </w:rPr>
        <w:footnoteRef/>
      </w:r>
      <w:r w:rsidRPr="00720D91">
        <w:rPr>
          <w:lang w:val="fr-FR"/>
        </w:rPr>
        <w:t xml:space="preserve"> </w:t>
      </w:r>
      <w:r w:rsidRPr="00720D91">
        <w:rPr>
          <w:rFonts w:ascii="Arial" w:hAnsi="Arial" w:cs="Arial"/>
          <w:sz w:val="18"/>
          <w:szCs w:val="18"/>
          <w:lang w:val="fr-FR"/>
        </w:rPr>
        <w:t xml:space="preserve">Voir document </w:t>
      </w:r>
      <w:hyperlink r:id="rId47" w:history="1">
        <w:r w:rsidRPr="00720D91">
          <w:rPr>
            <w:rStyle w:val="Hyperlink"/>
            <w:rFonts w:ascii="Arial" w:hAnsi="Arial" w:cs="Arial"/>
            <w:sz w:val="18"/>
            <w:szCs w:val="18"/>
            <w:lang w:val="fr-FR"/>
          </w:rPr>
          <w:t>CDDH(2019)22</w:t>
        </w:r>
      </w:hyperlink>
      <w:r w:rsidRPr="00720D91">
        <w:rPr>
          <w:rFonts w:ascii="Arial" w:hAnsi="Arial" w:cs="Arial"/>
          <w:sz w:val="18"/>
          <w:szCs w:val="18"/>
          <w:lang w:val="fr-FR"/>
        </w:rPr>
        <w:t xml:space="preserve">, § 10. </w:t>
      </w:r>
    </w:p>
  </w:footnote>
  <w:footnote w:id="45">
    <w:p w14:paraId="4C658341" w14:textId="77777777" w:rsidR="00B41728" w:rsidRPr="00720D91" w:rsidRDefault="00B41728" w:rsidP="00F331F8">
      <w:pPr>
        <w:pStyle w:val="SingleTxtG"/>
        <w:spacing w:after="0" w:line="180" w:lineRule="exact"/>
        <w:ind w:left="0"/>
        <w:rPr>
          <w:rFonts w:ascii="Arial" w:hAnsi="Arial" w:cs="Arial"/>
          <w:sz w:val="18"/>
          <w:szCs w:val="18"/>
          <w:lang w:val="fr-FR"/>
        </w:rPr>
      </w:pPr>
      <w:r w:rsidRPr="00560F13">
        <w:rPr>
          <w:rStyle w:val="FootnoteReference"/>
          <w:rFonts w:ascii="Arial" w:hAnsi="Arial" w:cs="Arial"/>
          <w:sz w:val="18"/>
          <w:szCs w:val="18"/>
        </w:rPr>
        <w:footnoteRef/>
      </w:r>
      <w:r w:rsidRPr="00720D91">
        <w:rPr>
          <w:rFonts w:ascii="Arial" w:hAnsi="Arial" w:cs="Arial"/>
          <w:sz w:val="18"/>
          <w:szCs w:val="18"/>
          <w:lang w:val="fr-FR"/>
        </w:rPr>
        <w:t xml:space="preserve"> Voir document </w:t>
      </w:r>
      <w:hyperlink r:id="rId48" w:history="1">
        <w:r w:rsidRPr="00720D91">
          <w:rPr>
            <w:rStyle w:val="Hyperlink"/>
            <w:rFonts w:ascii="Arial" w:eastAsiaTheme="minorHAnsi" w:hAnsi="Arial" w:cs="Arial"/>
            <w:sz w:val="18"/>
            <w:szCs w:val="18"/>
            <w:lang w:val="fr-FR" w:eastAsia="en-US"/>
          </w:rPr>
          <w:t>DD(2020)34E</w:t>
        </w:r>
      </w:hyperlink>
      <w:r w:rsidRPr="00720D91">
        <w:rPr>
          <w:rStyle w:val="Hyperlink"/>
          <w:rFonts w:ascii="Arial" w:eastAsiaTheme="minorHAnsi" w:hAnsi="Arial" w:cs="Arial"/>
          <w:sz w:val="18"/>
          <w:szCs w:val="18"/>
          <w:lang w:val="fr-FR" w:eastAsia="en-US"/>
        </w:rPr>
        <w:t>, § 18.</w:t>
      </w:r>
    </w:p>
  </w:footnote>
  <w:footnote w:id="46">
    <w:p w14:paraId="6D693B0A" w14:textId="77777777" w:rsidR="00B41728" w:rsidRPr="00720D91" w:rsidRDefault="00B41728" w:rsidP="00F331F8">
      <w:pPr>
        <w:pStyle w:val="FootnoteText"/>
        <w:rPr>
          <w:lang w:val="fr-FR"/>
        </w:rPr>
      </w:pPr>
      <w:r>
        <w:rPr>
          <w:rStyle w:val="FootnoteReference"/>
        </w:rPr>
        <w:footnoteRef/>
      </w:r>
      <w:r w:rsidRPr="00720D91">
        <w:rPr>
          <w:lang w:val="fr-FR"/>
        </w:rPr>
        <w:t xml:space="preserve"> </w:t>
      </w:r>
      <w:r w:rsidRPr="00720D91">
        <w:rPr>
          <w:rFonts w:ascii="Arial" w:hAnsi="Arial" w:cs="Arial"/>
          <w:iCs/>
          <w:sz w:val="18"/>
          <w:szCs w:val="18"/>
          <w:lang w:val="fr-FR"/>
        </w:rPr>
        <w:t>Géorgie c. Russie (II), n°</w:t>
      </w:r>
      <w:hyperlink r:id="rId49" w:history="1">
        <w:r w:rsidRPr="00720D91">
          <w:rPr>
            <w:rStyle w:val="Hyperlink"/>
            <w:rFonts w:ascii="Arial" w:hAnsi="Arial" w:cs="Arial"/>
            <w:iCs/>
            <w:sz w:val="18"/>
            <w:szCs w:val="18"/>
            <w:lang w:val="fr-FR"/>
          </w:rPr>
          <w:t>38263/08</w:t>
        </w:r>
      </w:hyperlink>
      <w:r w:rsidRPr="00720D91">
        <w:rPr>
          <w:rFonts w:ascii="Arial" w:hAnsi="Arial" w:cs="Arial"/>
          <w:iCs/>
          <w:sz w:val="18"/>
          <w:szCs w:val="18"/>
          <w:lang w:val="fr-FR"/>
        </w:rPr>
        <w:t xml:space="preserve">, 21 janvier 2021 ; Géorgie c. Russie (III), déc, n° </w:t>
      </w:r>
      <w:hyperlink r:id="rId50" w:history="1">
        <w:r w:rsidRPr="00720D91">
          <w:rPr>
            <w:rStyle w:val="Hyperlink"/>
            <w:rFonts w:ascii="Arial" w:hAnsi="Arial" w:cs="Arial"/>
            <w:iCs/>
            <w:sz w:val="18"/>
            <w:szCs w:val="18"/>
            <w:lang w:val="fr-FR"/>
          </w:rPr>
          <w:t>61186/09,</w:t>
        </w:r>
      </w:hyperlink>
      <w:r w:rsidRPr="00720D91">
        <w:rPr>
          <w:rFonts w:ascii="Arial" w:hAnsi="Arial" w:cs="Arial"/>
          <w:iCs/>
          <w:sz w:val="18"/>
          <w:szCs w:val="18"/>
          <w:lang w:val="fr-FR"/>
        </w:rPr>
        <w:t xml:space="preserve"> 16 mars 2010 ; Ukraine c. Russie (Crimée), [GC], déc, n° </w:t>
      </w:r>
      <w:hyperlink r:id="rId51" w:history="1">
        <w:r w:rsidRPr="00720D91">
          <w:rPr>
            <w:rStyle w:val="Hyperlink"/>
            <w:rFonts w:ascii="Arial" w:hAnsi="Arial" w:cs="Arial"/>
            <w:iCs/>
            <w:sz w:val="18"/>
            <w:szCs w:val="18"/>
            <w:lang w:val="fr-FR"/>
          </w:rPr>
          <w:t>20958/14</w:t>
        </w:r>
      </w:hyperlink>
      <w:r w:rsidRPr="00720D91">
        <w:rPr>
          <w:rFonts w:ascii="Arial" w:hAnsi="Arial" w:cs="Arial"/>
          <w:iCs/>
          <w:sz w:val="18"/>
          <w:szCs w:val="18"/>
          <w:lang w:val="fr-FR"/>
        </w:rPr>
        <w:t xml:space="preserve"> et 38334/18, 16 décembre 2020 ; Ukraine c. Russie (III), déc, n° </w:t>
      </w:r>
      <w:hyperlink r:id="rId52" w:history="1">
        <w:r w:rsidRPr="00720D91">
          <w:rPr>
            <w:rStyle w:val="Hyperlink"/>
            <w:rFonts w:ascii="Arial" w:hAnsi="Arial" w:cs="Arial"/>
            <w:iCs/>
            <w:sz w:val="18"/>
            <w:szCs w:val="18"/>
            <w:lang w:val="fr-FR"/>
          </w:rPr>
          <w:t>49537/14</w:t>
        </w:r>
      </w:hyperlink>
      <w:r w:rsidRPr="00720D91">
        <w:rPr>
          <w:rFonts w:ascii="Arial" w:hAnsi="Arial" w:cs="Arial"/>
          <w:iCs/>
          <w:sz w:val="18"/>
          <w:szCs w:val="18"/>
          <w:lang w:val="fr-FR"/>
        </w:rPr>
        <w:t xml:space="preserve">, 1 septembre 2015 ; Ukraine c. Russie (VIII), n° 55855/18, introduite le </w:t>
      </w:r>
      <w:r w:rsidRPr="00720D91">
        <w:rPr>
          <w:rFonts w:ascii="Arial" w:hAnsi="Arial" w:cs="Arial"/>
          <w:sz w:val="18"/>
          <w:szCs w:val="18"/>
          <w:lang w:val="fr-FR"/>
        </w:rPr>
        <w:t>29 novembre 2018 ;</w:t>
      </w:r>
      <w:r w:rsidRPr="00720D91">
        <w:rPr>
          <w:rFonts w:ascii="Arial" w:hAnsi="Arial" w:cs="Arial"/>
          <w:iCs/>
          <w:sz w:val="18"/>
          <w:szCs w:val="18"/>
          <w:lang w:val="fr-FR"/>
        </w:rPr>
        <w:t xml:space="preserve"> Arménie c. Azerbaïdjan, n° 42521/20, introduite le 27 septembre 2020 ; Arménie c. Turquie, n° 43517/20, introduite le 4 octobre 2020 ; Azerbaïdjan c. Arménie, n° 47319/20, introduite le 27 octobre 2020.</w:t>
      </w:r>
    </w:p>
  </w:footnote>
  <w:footnote w:id="47">
    <w:p w14:paraId="790AD415" w14:textId="1E3D36B8" w:rsidR="00B41728" w:rsidRPr="00F331F8" w:rsidRDefault="00B41728" w:rsidP="00F331F8">
      <w:pPr>
        <w:jc w:val="both"/>
        <w:rPr>
          <w:rFonts w:ascii="Arial" w:hAnsi="Arial" w:cs="Arial"/>
          <w:lang w:val="fr-FR"/>
        </w:rPr>
      </w:pPr>
      <w:r w:rsidRPr="00FE6712">
        <w:rPr>
          <w:rStyle w:val="FootnoteReference"/>
          <w:rFonts w:ascii="Arial" w:hAnsi="Arial" w:cs="Arial"/>
          <w:sz w:val="18"/>
          <w:szCs w:val="18"/>
        </w:rPr>
        <w:footnoteRef/>
      </w:r>
      <w:r w:rsidRPr="00F331F8">
        <w:rPr>
          <w:rFonts w:ascii="Arial" w:hAnsi="Arial" w:cs="Arial"/>
          <w:sz w:val="18"/>
          <w:szCs w:val="18"/>
          <w:lang w:val="fr-FR"/>
        </w:rPr>
        <w:t xml:space="preserve"> Le délai de quatre mois a été introduit par le Protocole n°15 qui est entré en vigueur le 1</w:t>
      </w:r>
      <w:r w:rsidRPr="00F331F8">
        <w:rPr>
          <w:rFonts w:ascii="Arial" w:hAnsi="Arial" w:cs="Arial"/>
          <w:sz w:val="18"/>
          <w:szCs w:val="18"/>
          <w:vertAlign w:val="superscript"/>
          <w:lang w:val="fr-FR"/>
        </w:rPr>
        <w:t>er</w:t>
      </w:r>
      <w:r w:rsidRPr="00F331F8">
        <w:rPr>
          <w:rFonts w:ascii="Arial" w:hAnsi="Arial" w:cs="Arial"/>
          <w:sz w:val="18"/>
          <w:szCs w:val="18"/>
          <w:lang w:val="fr-FR"/>
        </w:rPr>
        <w:t xml:space="preserve"> aout 2021. Selon l’article 8, p</w:t>
      </w:r>
      <w:r>
        <w:rPr>
          <w:rFonts w:ascii="Arial" w:hAnsi="Arial" w:cs="Arial"/>
          <w:sz w:val="18"/>
          <w:szCs w:val="18"/>
          <w:lang w:val="fr-FR"/>
        </w:rPr>
        <w:t>aragraphe 3, du Protocole n°15, cette disposition</w:t>
      </w:r>
      <w:r w:rsidRPr="00F331F8">
        <w:rPr>
          <w:rFonts w:ascii="Arial" w:hAnsi="Arial" w:cs="Arial"/>
          <w:sz w:val="18"/>
          <w:szCs w:val="18"/>
          <w:lang w:val="fr-FR"/>
        </w:rPr>
        <w:t xml:space="preserve"> entrera en vigueur à l’expiration d’une période de six mois après la date d’entrée en vigueur du présent Protocole. </w:t>
      </w:r>
    </w:p>
  </w:footnote>
  <w:footnote w:id="48">
    <w:p w14:paraId="2F7727BC" w14:textId="77777777" w:rsidR="00B41728" w:rsidRPr="00720D91" w:rsidRDefault="00B41728" w:rsidP="00F331F8">
      <w:pPr>
        <w:pStyle w:val="FootnoteText"/>
        <w:jc w:val="both"/>
        <w:rPr>
          <w:rFonts w:ascii="Arial" w:hAnsi="Arial" w:cs="Arial"/>
          <w:color w:val="FF0000"/>
          <w:sz w:val="18"/>
          <w:szCs w:val="18"/>
          <w:lang w:val="fr-FR"/>
        </w:rPr>
      </w:pPr>
      <w:r w:rsidRPr="00034695">
        <w:rPr>
          <w:rStyle w:val="FootnoteReference"/>
        </w:rPr>
        <w:footnoteRef/>
      </w:r>
      <w:r w:rsidRPr="00720D91">
        <w:rPr>
          <w:rFonts w:ascii="Arial" w:hAnsi="Arial" w:cs="Arial"/>
          <w:sz w:val="18"/>
          <w:szCs w:val="18"/>
          <w:lang w:val="fr-FR"/>
        </w:rPr>
        <w:t xml:space="preserve"> </w:t>
      </w:r>
      <w:hyperlink r:id="rId53" w:anchor="{%22itemid%22:[%22001-62064%22]}" w:history="1">
        <w:r w:rsidRPr="00720D91">
          <w:rPr>
            <w:rStyle w:val="Hyperlink"/>
            <w:rFonts w:ascii="Arial" w:hAnsi="Arial" w:cs="Arial"/>
            <w:i/>
            <w:color w:val="auto"/>
            <w:sz w:val="18"/>
            <w:szCs w:val="18"/>
            <w:lang w:val="fr-FR"/>
          </w:rPr>
          <w:t>Irlande c. Royaume-Uni</w:t>
        </w:r>
      </w:hyperlink>
      <w:r w:rsidRPr="00720D91">
        <w:rPr>
          <w:rFonts w:ascii="Arial" w:hAnsi="Arial" w:cs="Arial"/>
          <w:sz w:val="18"/>
          <w:szCs w:val="18"/>
          <w:lang w:val="fr-FR"/>
        </w:rPr>
        <w:t xml:space="preserve">, n° 5310/71, § 159, 18 janvier 1978 ; </w:t>
      </w:r>
      <w:hyperlink r:id="rId54" w:history="1">
        <w:r w:rsidRPr="00720D91">
          <w:rPr>
            <w:rStyle w:val="Hyperlink"/>
            <w:rFonts w:ascii="Arial" w:hAnsi="Arial" w:cs="Arial"/>
            <w:i/>
            <w:iCs/>
            <w:color w:val="auto"/>
            <w:sz w:val="18"/>
            <w:szCs w:val="18"/>
            <w:lang w:val="fr-FR"/>
          </w:rPr>
          <w:t xml:space="preserve">Ukraine c. Russie </w:t>
        </w:r>
      </w:hyperlink>
      <w:r w:rsidRPr="00720D91">
        <w:rPr>
          <w:rFonts w:ascii="Arial" w:hAnsi="Arial" w:cs="Arial"/>
          <w:i/>
          <w:iCs/>
          <w:sz w:val="18"/>
          <w:szCs w:val="18"/>
          <w:lang w:val="fr-FR"/>
        </w:rPr>
        <w:t>(déc) [GC]</w:t>
      </w:r>
      <w:r w:rsidRPr="00720D91">
        <w:rPr>
          <w:rFonts w:ascii="Arial" w:hAnsi="Arial" w:cs="Arial"/>
          <w:sz w:val="18"/>
          <w:szCs w:val="18"/>
          <w:lang w:val="fr-FR"/>
        </w:rPr>
        <w:t>, nos 20958/14 et 38334/18, § 363, 16 décembre 2020.</w:t>
      </w:r>
    </w:p>
  </w:footnote>
  <w:footnote w:id="49">
    <w:p w14:paraId="093C25C0" w14:textId="77777777" w:rsidR="00B41728" w:rsidRPr="00720D91" w:rsidRDefault="00B41728" w:rsidP="00F331F8">
      <w:pPr>
        <w:pStyle w:val="FootnoteText"/>
        <w:rPr>
          <w:rFonts w:ascii="Arial" w:hAnsi="Arial" w:cs="Arial"/>
          <w:sz w:val="18"/>
          <w:szCs w:val="18"/>
          <w:lang w:val="fr-FR"/>
        </w:rPr>
      </w:pPr>
      <w:r w:rsidRPr="002D305B">
        <w:rPr>
          <w:rStyle w:val="FootnoteReference"/>
          <w:rFonts w:ascii="Arial" w:hAnsi="Arial" w:cs="Arial"/>
          <w:sz w:val="18"/>
          <w:szCs w:val="18"/>
        </w:rPr>
        <w:footnoteRef/>
      </w:r>
      <w:hyperlink r:id="rId55" w:anchor="{%22itemid%22:[%22001-64012%22]}" w:history="1">
        <w:r w:rsidRPr="00720D91">
          <w:rPr>
            <w:rStyle w:val="Hyperlink"/>
            <w:rFonts w:ascii="Arial" w:hAnsi="Arial" w:cs="Arial"/>
            <w:i/>
            <w:iCs/>
            <w:sz w:val="18"/>
            <w:szCs w:val="18"/>
            <w:lang w:val="fr-FR"/>
          </w:rPr>
          <w:t xml:space="preserve"> Chypre c. Turquie (fond) [GC]</w:t>
        </w:r>
      </w:hyperlink>
      <w:r w:rsidRPr="00720D91">
        <w:rPr>
          <w:rFonts w:ascii="Arial" w:hAnsi="Arial" w:cs="Arial"/>
          <w:sz w:val="18"/>
          <w:szCs w:val="18"/>
          <w:lang w:val="fr-FR"/>
        </w:rPr>
        <w:t xml:space="preserve">, n° 25781/94, § 99, 10 mai 2001. </w:t>
      </w:r>
    </w:p>
  </w:footnote>
  <w:footnote w:id="50">
    <w:p w14:paraId="6380F10B" w14:textId="77777777" w:rsidR="00B41728" w:rsidRPr="00034695" w:rsidRDefault="00B41728" w:rsidP="00F331F8">
      <w:pPr>
        <w:pStyle w:val="NoSpacing"/>
        <w:shd w:val="clear" w:color="auto" w:fill="FFFFFF" w:themeFill="background1"/>
        <w:jc w:val="both"/>
        <w:rPr>
          <w:rFonts w:asciiTheme="minorBidi" w:hAnsiTheme="minorBidi"/>
        </w:rPr>
      </w:pPr>
      <w:r w:rsidRPr="00034695">
        <w:rPr>
          <w:rStyle w:val="FootnoteReference"/>
          <w:rFonts w:ascii="Arial" w:hAnsi="Arial" w:cs="Arial"/>
          <w:sz w:val="18"/>
          <w:szCs w:val="18"/>
        </w:rPr>
        <w:footnoteRef/>
      </w:r>
      <w:r w:rsidRPr="00034695">
        <w:rPr>
          <w:rFonts w:ascii="Arial" w:hAnsi="Arial" w:cs="Arial"/>
          <w:sz w:val="18"/>
          <w:szCs w:val="18"/>
        </w:rPr>
        <w:t xml:space="preserve"> </w:t>
      </w:r>
      <w:hyperlink r:id="rId56" w:anchor="{%22itemid%22:[%22001-62064%22]}" w:history="1">
        <w:r w:rsidRPr="00034695">
          <w:rPr>
            <w:rStyle w:val="Hyperlink"/>
            <w:rFonts w:ascii="Arial" w:eastAsiaTheme="majorEastAsia" w:hAnsi="Arial" w:cs="Arial"/>
            <w:i/>
            <w:color w:val="auto"/>
            <w:sz w:val="18"/>
            <w:szCs w:val="18"/>
          </w:rPr>
          <w:t>Irlande c. Royaume-Uni</w:t>
        </w:r>
      </w:hyperlink>
      <w:r w:rsidRPr="00034695">
        <w:rPr>
          <w:rFonts w:ascii="Arial" w:hAnsi="Arial" w:cs="Arial"/>
          <w:sz w:val="18"/>
          <w:szCs w:val="18"/>
        </w:rPr>
        <w:t xml:space="preserve">, n° 5310/71, § 159, 18 janvier 1978 ; </w:t>
      </w:r>
      <w:hyperlink r:id="rId57" w:anchor="{%22itemid%22:[%22001-64012%22]}" w:history="1">
        <w:r w:rsidRPr="00034695">
          <w:rPr>
            <w:rStyle w:val="Hyperlink"/>
            <w:rFonts w:ascii="Arial" w:eastAsiaTheme="majorEastAsia" w:hAnsi="Arial" w:cs="Arial"/>
            <w:i/>
            <w:iCs/>
            <w:color w:val="auto"/>
            <w:sz w:val="18"/>
            <w:szCs w:val="18"/>
          </w:rPr>
          <w:t>Chypre c. Turquie (fond) [GC]</w:t>
        </w:r>
      </w:hyperlink>
      <w:r w:rsidRPr="00034695">
        <w:rPr>
          <w:rFonts w:ascii="Arial" w:hAnsi="Arial" w:cs="Arial"/>
          <w:sz w:val="18"/>
          <w:szCs w:val="18"/>
        </w:rPr>
        <w:t xml:space="preserve">, n° 25781/94, § 99, 10 mai 2001 ; </w:t>
      </w:r>
      <w:hyperlink r:id="rId58" w:history="1">
        <w:r w:rsidRPr="00034695">
          <w:rPr>
            <w:rStyle w:val="Hyperlink"/>
            <w:rFonts w:ascii="Arial" w:eastAsiaTheme="majorEastAsia" w:hAnsi="Arial" w:cs="Arial"/>
            <w:i/>
            <w:iCs/>
            <w:color w:val="auto"/>
            <w:sz w:val="18"/>
            <w:szCs w:val="18"/>
          </w:rPr>
          <w:t>Géorgie c. Russie (I) [GC]</w:t>
        </w:r>
      </w:hyperlink>
      <w:r w:rsidRPr="00034695">
        <w:rPr>
          <w:rFonts w:ascii="Arial" w:hAnsi="Arial" w:cs="Arial"/>
          <w:sz w:val="18"/>
          <w:szCs w:val="18"/>
        </w:rPr>
        <w:t>, n° 13255/07, 3 juillet 2014</w:t>
      </w:r>
      <w:r w:rsidRPr="00034695">
        <w:rPr>
          <w:rFonts w:asciiTheme="minorBidi" w:hAnsiTheme="minorBidi"/>
          <w:sz w:val="18"/>
          <w:szCs w:val="18"/>
        </w:rPr>
        <w:t xml:space="preserve">, §. 125 ; </w:t>
      </w:r>
      <w:hyperlink r:id="rId59" w:history="1">
        <w:r w:rsidRPr="002B739A">
          <w:rPr>
            <w:rFonts w:asciiTheme="minorBidi" w:hAnsiTheme="minorBidi"/>
            <w:sz w:val="18"/>
            <w:szCs w:val="18"/>
            <w:u w:val="single"/>
          </w:rPr>
          <w:t>Ukraine c. Russie</w:t>
        </w:r>
        <w:r w:rsidRPr="002B739A">
          <w:rPr>
            <w:rFonts w:asciiTheme="minorBidi" w:hAnsiTheme="minorBidi"/>
            <w:sz w:val="18"/>
            <w:szCs w:val="18"/>
          </w:rPr>
          <w:t xml:space="preserve"> </w:t>
        </w:r>
      </w:hyperlink>
      <w:r w:rsidRPr="00034695">
        <w:rPr>
          <w:rFonts w:asciiTheme="minorBidi" w:hAnsiTheme="minorBidi"/>
          <w:sz w:val="18"/>
          <w:szCs w:val="18"/>
        </w:rPr>
        <w:t>(déc) [GC], n° 20958/14 et 38334/18, § 363, 16 décembre 2020.</w:t>
      </w:r>
    </w:p>
  </w:footnote>
  <w:footnote w:id="51">
    <w:p w14:paraId="64AC18F9" w14:textId="77777777" w:rsidR="00B41728" w:rsidRPr="00034695" w:rsidRDefault="00B41728" w:rsidP="00F331F8">
      <w:pPr>
        <w:pStyle w:val="NoSpacing"/>
        <w:jc w:val="both"/>
        <w:rPr>
          <w:rFonts w:ascii="Arial" w:hAnsi="Arial" w:cs="Arial"/>
          <w:strike/>
          <w:sz w:val="18"/>
          <w:szCs w:val="18"/>
        </w:rPr>
      </w:pPr>
      <w:r w:rsidRPr="00034695">
        <w:rPr>
          <w:rStyle w:val="FootnoteReference"/>
          <w:rFonts w:ascii="Arial" w:hAnsi="Arial" w:cs="Arial"/>
          <w:sz w:val="18"/>
          <w:szCs w:val="18"/>
        </w:rPr>
        <w:footnoteRef/>
      </w:r>
      <w:r w:rsidRPr="00034695">
        <w:rPr>
          <w:rFonts w:ascii="Arial" w:hAnsi="Arial" w:cs="Arial"/>
          <w:sz w:val="18"/>
          <w:szCs w:val="18"/>
        </w:rPr>
        <w:t xml:space="preserve"> </w:t>
      </w:r>
      <w:hyperlink r:id="rId60" w:history="1">
        <w:r w:rsidRPr="00034695">
          <w:rPr>
            <w:rStyle w:val="Hyperlink"/>
            <w:rFonts w:ascii="Arial" w:eastAsiaTheme="majorEastAsia" w:hAnsi="Arial" w:cs="Arial"/>
            <w:i/>
            <w:color w:val="auto"/>
            <w:sz w:val="18"/>
            <w:szCs w:val="18"/>
          </w:rPr>
          <w:t>Irlande c. Royaume-Uni</w:t>
        </w:r>
      </w:hyperlink>
      <w:r w:rsidRPr="00034695">
        <w:rPr>
          <w:rFonts w:ascii="Arial" w:hAnsi="Arial" w:cs="Arial"/>
          <w:sz w:val="18"/>
          <w:szCs w:val="18"/>
        </w:rPr>
        <w:t xml:space="preserve">, n° 5310/71, § 159, 18 janvier 1978 ; </w:t>
      </w:r>
      <w:hyperlink r:id="rId61" w:history="1">
        <w:r w:rsidRPr="00034695">
          <w:rPr>
            <w:rStyle w:val="Hyperlink"/>
            <w:rFonts w:ascii="Arial" w:eastAsiaTheme="majorEastAsia" w:hAnsi="Arial" w:cs="Arial"/>
            <w:i/>
            <w:iCs/>
            <w:color w:val="auto"/>
            <w:sz w:val="18"/>
            <w:szCs w:val="18"/>
          </w:rPr>
          <w:t>Chypre c. Turquie (fond) [GC]</w:t>
        </w:r>
      </w:hyperlink>
      <w:r w:rsidRPr="00034695">
        <w:rPr>
          <w:rFonts w:ascii="Arial" w:hAnsi="Arial" w:cs="Arial"/>
          <w:sz w:val="18"/>
          <w:szCs w:val="18"/>
        </w:rPr>
        <w:t xml:space="preserve">, n° 25781/94, § 99, 10 mai 2001 ; </w:t>
      </w:r>
      <w:hyperlink r:id="rId62" w:history="1">
        <w:r w:rsidRPr="00034695">
          <w:rPr>
            <w:rStyle w:val="Hyperlink"/>
            <w:rFonts w:ascii="Arial" w:eastAsiaTheme="majorEastAsia" w:hAnsi="Arial" w:cs="Arial"/>
            <w:i/>
            <w:iCs/>
            <w:color w:val="auto"/>
            <w:sz w:val="18"/>
            <w:szCs w:val="18"/>
          </w:rPr>
          <w:t>Géorgie c. Russie (I) [GC]</w:t>
        </w:r>
      </w:hyperlink>
      <w:r w:rsidRPr="00034695">
        <w:rPr>
          <w:rFonts w:ascii="Arial" w:hAnsi="Arial" w:cs="Arial"/>
          <w:sz w:val="18"/>
          <w:szCs w:val="18"/>
        </w:rPr>
        <w:t>, no.13255/07, 3 juillet 2014, §. 125.</w:t>
      </w:r>
      <w:r w:rsidRPr="00034695">
        <w:rPr>
          <w:rFonts w:ascii="Arial" w:hAnsi="Arial" w:cs="Arial"/>
          <w:strike/>
          <w:sz w:val="18"/>
          <w:szCs w:val="18"/>
        </w:rPr>
        <w:t xml:space="preserve"> </w:t>
      </w:r>
    </w:p>
  </w:footnote>
  <w:footnote w:id="52">
    <w:p w14:paraId="3946EA77" w14:textId="77777777" w:rsidR="00B41728" w:rsidRPr="002D305B" w:rsidRDefault="00B41728" w:rsidP="00F331F8">
      <w:pPr>
        <w:pStyle w:val="NoSpacing"/>
        <w:jc w:val="both"/>
        <w:rPr>
          <w:rFonts w:ascii="Arial" w:hAnsi="Arial" w:cs="Arial"/>
          <w:sz w:val="18"/>
          <w:szCs w:val="18"/>
        </w:rPr>
      </w:pPr>
      <w:r w:rsidRPr="002D305B">
        <w:rPr>
          <w:rStyle w:val="FootnoteReference"/>
          <w:rFonts w:ascii="Arial" w:hAnsi="Arial" w:cs="Arial"/>
          <w:sz w:val="18"/>
          <w:szCs w:val="18"/>
        </w:rPr>
        <w:footnoteRef/>
      </w:r>
      <w:r w:rsidRPr="002D305B">
        <w:rPr>
          <w:rStyle w:val="column"/>
          <w:rFonts w:ascii="Arial" w:eastAsiaTheme="majorEastAsia" w:hAnsi="Arial" w:cs="Arial"/>
          <w:sz w:val="18"/>
          <w:szCs w:val="18"/>
        </w:rPr>
        <w:t xml:space="preserve"> </w:t>
      </w:r>
      <w:hyperlink r:id="rId63" w:history="1">
        <w:r w:rsidRPr="002D305B">
          <w:rPr>
            <w:rStyle w:val="Hyperlink"/>
            <w:rFonts w:ascii="Arial" w:eastAsiaTheme="majorEastAsia" w:hAnsi="Arial" w:cs="Arial"/>
            <w:i/>
            <w:sz w:val="18"/>
            <w:szCs w:val="18"/>
          </w:rPr>
          <w:t>Donnelly et autres c. Royaume-Uni</w:t>
        </w:r>
      </w:hyperlink>
      <w:r w:rsidRPr="002D305B">
        <w:rPr>
          <w:rFonts w:ascii="Arial" w:hAnsi="Arial" w:cs="Arial"/>
          <w:sz w:val="18"/>
          <w:szCs w:val="18"/>
        </w:rPr>
        <w:t xml:space="preserve">, nos </w:t>
      </w:r>
      <w:r w:rsidRPr="002D305B">
        <w:rPr>
          <w:rStyle w:val="column"/>
          <w:rFonts w:ascii="Arial" w:eastAsiaTheme="majorEastAsia" w:hAnsi="Arial" w:cs="Arial"/>
          <w:sz w:val="18"/>
          <w:szCs w:val="18"/>
        </w:rPr>
        <w:t xml:space="preserve">5577-83/72, deuxième décision sur la recevabilité, </w:t>
      </w:r>
      <w:r w:rsidRPr="002D305B">
        <w:rPr>
          <w:rFonts w:ascii="Arial" w:hAnsi="Arial" w:cs="Arial"/>
          <w:sz w:val="18"/>
          <w:szCs w:val="18"/>
        </w:rPr>
        <w:t xml:space="preserve">§ 3, </w:t>
      </w:r>
      <w:r w:rsidRPr="002D305B">
        <w:rPr>
          <w:rStyle w:val="column"/>
          <w:rFonts w:ascii="Arial" w:eastAsiaTheme="majorEastAsia" w:hAnsi="Arial" w:cs="Arial"/>
          <w:sz w:val="18"/>
          <w:szCs w:val="18"/>
        </w:rPr>
        <w:t xml:space="preserve">15 décembre 1975 ; </w:t>
      </w:r>
      <w:hyperlink r:id="rId64" w:anchor="{%22itemid%22:[%22001-62621%22]}" w:history="1">
        <w:r w:rsidRPr="002D305B">
          <w:rPr>
            <w:rStyle w:val="Hyperlink"/>
            <w:rFonts w:ascii="Arial" w:eastAsiaTheme="majorEastAsia" w:hAnsi="Arial" w:cs="Arial"/>
            <w:i/>
            <w:sz w:val="18"/>
            <w:szCs w:val="18"/>
          </w:rPr>
          <w:t xml:space="preserve">Akdivar et autres c. Turquie </w:t>
        </w:r>
      </w:hyperlink>
      <w:r w:rsidRPr="002D305B">
        <w:rPr>
          <w:rStyle w:val="column"/>
          <w:rFonts w:ascii="Arial" w:eastAsiaTheme="majorEastAsia" w:hAnsi="Arial" w:cs="Arial"/>
          <w:sz w:val="18"/>
          <w:szCs w:val="18"/>
        </w:rPr>
        <w:t>n</w:t>
      </w:r>
      <w:r>
        <w:rPr>
          <w:rStyle w:val="column"/>
          <w:rFonts w:ascii="Arial" w:eastAsiaTheme="majorEastAsia" w:hAnsi="Arial" w:cs="Arial"/>
          <w:sz w:val="18"/>
          <w:szCs w:val="18"/>
        </w:rPr>
        <w:t xml:space="preserve">° </w:t>
      </w:r>
      <w:r w:rsidRPr="002D305B">
        <w:rPr>
          <w:rStyle w:val="column"/>
          <w:rFonts w:ascii="Arial" w:eastAsiaTheme="majorEastAsia" w:hAnsi="Arial" w:cs="Arial"/>
          <w:color w:val="000000"/>
          <w:sz w:val="18"/>
          <w:szCs w:val="18"/>
        </w:rPr>
        <w:t>21893/93</w:t>
      </w:r>
      <w:r w:rsidRPr="002D305B">
        <w:rPr>
          <w:rFonts w:ascii="Arial" w:hAnsi="Arial" w:cs="Arial"/>
          <w:color w:val="000000"/>
          <w:sz w:val="18"/>
          <w:szCs w:val="18"/>
        </w:rPr>
        <w:t xml:space="preserve">, </w:t>
      </w:r>
      <w:r w:rsidRPr="002D305B">
        <w:rPr>
          <w:rFonts w:ascii="Arial" w:hAnsi="Arial" w:cs="Arial"/>
          <w:sz w:val="18"/>
          <w:szCs w:val="18"/>
        </w:rPr>
        <w:t>§ 67 et 68</w:t>
      </w:r>
      <w:r w:rsidRPr="002D305B">
        <w:rPr>
          <w:rFonts w:ascii="Arial" w:hAnsi="Arial" w:cs="Arial"/>
          <w:color w:val="000000"/>
          <w:sz w:val="18"/>
          <w:szCs w:val="18"/>
        </w:rPr>
        <w:t xml:space="preserve">, 16 octobre 1996 ; </w:t>
      </w:r>
      <w:hyperlink r:id="rId65" w:anchor="{%22itemid%22:[%22001-62563%22]}" w:history="1">
        <w:r w:rsidRPr="002D305B">
          <w:rPr>
            <w:rStyle w:val="Hyperlink"/>
            <w:rFonts w:ascii="Arial" w:eastAsiaTheme="majorEastAsia" w:hAnsi="Arial" w:cs="Arial"/>
            <w:i/>
            <w:iCs/>
            <w:sz w:val="18"/>
            <w:szCs w:val="18"/>
          </w:rPr>
          <w:t xml:space="preserve">Aksoy c. Turquie </w:t>
        </w:r>
      </w:hyperlink>
      <w:r w:rsidRPr="002D305B">
        <w:rPr>
          <w:rFonts w:ascii="Arial" w:hAnsi="Arial" w:cs="Arial"/>
          <w:sz w:val="18"/>
          <w:szCs w:val="18"/>
        </w:rPr>
        <w:t>n</w:t>
      </w:r>
      <w:r>
        <w:rPr>
          <w:rFonts w:ascii="Arial" w:hAnsi="Arial" w:cs="Arial"/>
          <w:sz w:val="18"/>
          <w:szCs w:val="18"/>
        </w:rPr>
        <w:t>°</w:t>
      </w:r>
      <w:r w:rsidRPr="002D305B">
        <w:rPr>
          <w:rFonts w:ascii="Arial" w:hAnsi="Arial" w:cs="Arial"/>
          <w:sz w:val="18"/>
          <w:szCs w:val="18"/>
        </w:rPr>
        <w:t xml:space="preserve"> </w:t>
      </w:r>
      <w:r w:rsidRPr="002D305B">
        <w:rPr>
          <w:rStyle w:val="column"/>
          <w:rFonts w:ascii="Arial" w:eastAsiaTheme="majorEastAsia" w:hAnsi="Arial" w:cs="Arial"/>
          <w:sz w:val="18"/>
          <w:szCs w:val="18"/>
        </w:rPr>
        <w:t>21987/93</w:t>
      </w:r>
      <w:r w:rsidRPr="002D305B">
        <w:rPr>
          <w:rFonts w:ascii="Arial" w:hAnsi="Arial" w:cs="Arial"/>
          <w:sz w:val="18"/>
          <w:szCs w:val="18"/>
        </w:rPr>
        <w:t>, § 52, 18 décembre 1996.</w:t>
      </w:r>
    </w:p>
  </w:footnote>
  <w:footnote w:id="53">
    <w:p w14:paraId="709DA12F" w14:textId="77777777" w:rsidR="00B41728" w:rsidRPr="002D305B" w:rsidRDefault="00B41728" w:rsidP="00F331F8">
      <w:pPr>
        <w:pStyle w:val="NoSpacing"/>
        <w:jc w:val="both"/>
        <w:rPr>
          <w:rFonts w:ascii="Arial" w:hAnsi="Arial" w:cs="Arial"/>
          <w:sz w:val="18"/>
          <w:szCs w:val="18"/>
        </w:rPr>
      </w:pPr>
      <w:r w:rsidRPr="002D305B">
        <w:rPr>
          <w:rStyle w:val="FootnoteReference"/>
          <w:rFonts w:ascii="Arial" w:hAnsi="Arial" w:cs="Arial"/>
          <w:sz w:val="18"/>
          <w:szCs w:val="18"/>
        </w:rPr>
        <w:footnoteRef/>
      </w:r>
      <w:r w:rsidRPr="002D305B">
        <w:rPr>
          <w:rFonts w:ascii="Arial" w:hAnsi="Arial" w:cs="Arial"/>
          <w:sz w:val="18"/>
          <w:szCs w:val="18"/>
        </w:rPr>
        <w:t xml:space="preserve"> L'appréciation de l'épuisement des voies de recours internes s'effectue normalement par rapport à l'état de la procédure à la date d'introduction de la requête devant la Cour. Cette règle est toutefois assortie d'exceptions suite à la création de nouvelles voies de recours. La Cour a appliqué cette exception dans des affaires concernant la durée de la procédure (</w:t>
      </w:r>
      <w:hyperlink r:id="rId66" w:history="1">
        <w:r w:rsidRPr="002D305B">
          <w:rPr>
            <w:rStyle w:val="Hyperlink"/>
            <w:rFonts w:ascii="Arial" w:eastAsiaTheme="majorEastAsia" w:hAnsi="Arial" w:cs="Arial"/>
            <w:i/>
            <w:sz w:val="18"/>
            <w:szCs w:val="18"/>
          </w:rPr>
          <w:t xml:space="preserve">Predil Anstalt c. Italie </w:t>
        </w:r>
      </w:hyperlink>
      <w:r w:rsidRPr="002D305B">
        <w:rPr>
          <w:rFonts w:ascii="Arial" w:hAnsi="Arial" w:cs="Arial"/>
          <w:sz w:val="18"/>
          <w:szCs w:val="18"/>
        </w:rPr>
        <w:t>(déc.) n</w:t>
      </w:r>
      <w:r>
        <w:rPr>
          <w:rFonts w:ascii="Arial" w:hAnsi="Arial" w:cs="Arial"/>
          <w:sz w:val="18"/>
          <w:szCs w:val="18"/>
        </w:rPr>
        <w:t>°</w:t>
      </w:r>
      <w:r w:rsidRPr="002D305B">
        <w:rPr>
          <w:rFonts w:ascii="Arial" w:hAnsi="Arial" w:cs="Arial"/>
          <w:sz w:val="18"/>
          <w:szCs w:val="18"/>
        </w:rPr>
        <w:t xml:space="preserve"> 31993/96 (français uniquement) ; </w:t>
      </w:r>
      <w:hyperlink r:id="rId67" w:history="1">
        <w:r w:rsidRPr="002D305B">
          <w:rPr>
            <w:rStyle w:val="Hyperlink"/>
            <w:rFonts w:ascii="Arial" w:eastAsiaTheme="majorEastAsia" w:hAnsi="Arial" w:cs="Arial"/>
            <w:i/>
            <w:iCs/>
            <w:sz w:val="18"/>
            <w:szCs w:val="18"/>
          </w:rPr>
          <w:t xml:space="preserve">Bottaro c. Italie </w:t>
        </w:r>
      </w:hyperlink>
      <w:r w:rsidRPr="002D305B">
        <w:rPr>
          <w:rFonts w:ascii="Arial" w:hAnsi="Arial" w:cs="Arial"/>
          <w:sz w:val="18"/>
          <w:szCs w:val="18"/>
        </w:rPr>
        <w:t>(déc.), n</w:t>
      </w:r>
      <w:r>
        <w:rPr>
          <w:rFonts w:ascii="Arial" w:hAnsi="Arial" w:cs="Arial"/>
          <w:sz w:val="18"/>
          <w:szCs w:val="18"/>
        </w:rPr>
        <w:t>°</w:t>
      </w:r>
      <w:r w:rsidRPr="002D305B">
        <w:rPr>
          <w:rFonts w:ascii="Arial" w:hAnsi="Arial" w:cs="Arial"/>
          <w:sz w:val="18"/>
          <w:szCs w:val="18"/>
        </w:rPr>
        <w:t xml:space="preserve"> 56298/00 (français uniquement) ; </w:t>
      </w:r>
      <w:hyperlink r:id="rId68" w:history="1">
        <w:r w:rsidRPr="002D305B">
          <w:rPr>
            <w:rStyle w:val="Hyperlink"/>
            <w:rFonts w:ascii="Arial" w:eastAsiaTheme="majorEastAsia" w:hAnsi="Arial" w:cs="Arial"/>
            <w:i/>
            <w:iCs/>
            <w:sz w:val="18"/>
            <w:szCs w:val="18"/>
          </w:rPr>
          <w:t xml:space="preserve">Andrášik et autres c. Slovaquie </w:t>
        </w:r>
      </w:hyperlink>
      <w:r w:rsidRPr="002D305B">
        <w:rPr>
          <w:rFonts w:ascii="Arial" w:hAnsi="Arial" w:cs="Arial"/>
          <w:sz w:val="18"/>
          <w:szCs w:val="18"/>
        </w:rPr>
        <w:t>(déc.), n</w:t>
      </w:r>
      <w:r>
        <w:rPr>
          <w:rFonts w:ascii="Arial" w:hAnsi="Arial" w:cs="Arial"/>
          <w:sz w:val="18"/>
          <w:szCs w:val="18"/>
        </w:rPr>
        <w:t>°</w:t>
      </w:r>
      <w:r w:rsidRPr="002D305B">
        <w:rPr>
          <w:rFonts w:ascii="Arial" w:hAnsi="Arial" w:cs="Arial"/>
          <w:sz w:val="18"/>
          <w:szCs w:val="18"/>
        </w:rPr>
        <w:t xml:space="preserve"> 57984/00 ; </w:t>
      </w:r>
      <w:hyperlink r:id="rId69" w:history="1">
        <w:r w:rsidRPr="002D305B">
          <w:rPr>
            <w:rStyle w:val="Hyperlink"/>
            <w:rFonts w:ascii="Arial" w:eastAsiaTheme="majorEastAsia" w:hAnsi="Arial" w:cs="Arial"/>
            <w:i/>
            <w:iCs/>
            <w:sz w:val="18"/>
            <w:szCs w:val="18"/>
          </w:rPr>
          <w:t xml:space="preserve">Nogolica c. Croatie </w:t>
        </w:r>
      </w:hyperlink>
      <w:r w:rsidRPr="002D305B">
        <w:rPr>
          <w:rFonts w:ascii="Arial" w:hAnsi="Arial" w:cs="Arial"/>
          <w:sz w:val="18"/>
          <w:szCs w:val="18"/>
        </w:rPr>
        <w:t>(déc.), n</w:t>
      </w:r>
      <w:r>
        <w:rPr>
          <w:rFonts w:ascii="Arial" w:hAnsi="Arial" w:cs="Arial"/>
          <w:sz w:val="18"/>
          <w:szCs w:val="18"/>
        </w:rPr>
        <w:t>°</w:t>
      </w:r>
      <w:r w:rsidRPr="002D305B">
        <w:rPr>
          <w:rFonts w:ascii="Arial" w:hAnsi="Arial" w:cs="Arial"/>
          <w:sz w:val="18"/>
          <w:szCs w:val="18"/>
        </w:rPr>
        <w:t xml:space="preserve"> 77784/01 ; </w:t>
      </w:r>
      <w:hyperlink r:id="rId70" w:history="1">
        <w:r w:rsidRPr="002D305B">
          <w:rPr>
            <w:rStyle w:val="Hyperlink"/>
            <w:rFonts w:ascii="Arial" w:eastAsiaTheme="majorEastAsia" w:hAnsi="Arial" w:cs="Arial"/>
            <w:i/>
            <w:iCs/>
            <w:sz w:val="18"/>
            <w:szCs w:val="18"/>
          </w:rPr>
          <w:t xml:space="preserve">Brusco c. Italie </w:t>
        </w:r>
      </w:hyperlink>
      <w:r w:rsidRPr="002D305B">
        <w:rPr>
          <w:rFonts w:ascii="Arial" w:hAnsi="Arial" w:cs="Arial"/>
          <w:sz w:val="18"/>
          <w:szCs w:val="18"/>
        </w:rPr>
        <w:t>(déc.), n</w:t>
      </w:r>
      <w:r>
        <w:rPr>
          <w:rFonts w:ascii="Arial" w:hAnsi="Arial" w:cs="Arial"/>
          <w:sz w:val="18"/>
          <w:szCs w:val="18"/>
        </w:rPr>
        <w:t>°</w:t>
      </w:r>
      <w:r w:rsidRPr="002D305B">
        <w:rPr>
          <w:rFonts w:ascii="Arial" w:hAnsi="Arial" w:cs="Arial"/>
          <w:sz w:val="18"/>
          <w:szCs w:val="18"/>
        </w:rPr>
        <w:t xml:space="preserve"> 1466/07 ; </w:t>
      </w:r>
      <w:hyperlink r:id="rId71" w:history="1">
        <w:r w:rsidRPr="002D305B">
          <w:rPr>
            <w:rStyle w:val="Hyperlink"/>
            <w:rFonts w:ascii="Arial" w:eastAsiaTheme="majorEastAsia" w:hAnsi="Arial" w:cs="Arial"/>
            <w:i/>
            <w:iCs/>
            <w:sz w:val="18"/>
            <w:szCs w:val="18"/>
          </w:rPr>
          <w:t xml:space="preserve">Korenjak c. Slovénie </w:t>
        </w:r>
      </w:hyperlink>
      <w:r w:rsidRPr="002D305B">
        <w:rPr>
          <w:rFonts w:ascii="Arial" w:hAnsi="Arial" w:cs="Arial"/>
          <w:sz w:val="18"/>
          <w:szCs w:val="18"/>
        </w:rPr>
        <w:t xml:space="preserve">(déc.), §§ 66-71 ; </w:t>
      </w:r>
      <w:hyperlink r:id="rId72" w:history="1">
        <w:r w:rsidRPr="002D305B">
          <w:rPr>
            <w:rStyle w:val="Hyperlink"/>
            <w:rFonts w:ascii="Arial" w:eastAsiaTheme="majorEastAsia" w:hAnsi="Arial" w:cs="Arial"/>
            <w:i/>
            <w:iCs/>
            <w:sz w:val="18"/>
            <w:szCs w:val="18"/>
          </w:rPr>
          <w:t xml:space="preserve">Techniki Olympiaki A.E. c. Grèce </w:t>
        </w:r>
      </w:hyperlink>
      <w:r w:rsidRPr="002D305B">
        <w:rPr>
          <w:rFonts w:ascii="Arial" w:hAnsi="Arial" w:cs="Arial"/>
          <w:sz w:val="18"/>
          <w:szCs w:val="18"/>
        </w:rPr>
        <w:t>(déc.) ; dans les affaires relatives à un nouveau recours indemnitaire en cas d'ingérence dans le droit de propriété (</w:t>
      </w:r>
      <w:hyperlink r:id="rId73" w:history="1">
        <w:r w:rsidRPr="002D305B">
          <w:rPr>
            <w:rStyle w:val="Hyperlink"/>
            <w:rFonts w:ascii="Arial" w:eastAsiaTheme="majorEastAsia" w:hAnsi="Arial" w:cs="Arial"/>
            <w:i/>
            <w:sz w:val="18"/>
            <w:szCs w:val="18"/>
          </w:rPr>
          <w:t xml:space="preserve">Charzyński c. Pologne </w:t>
        </w:r>
      </w:hyperlink>
      <w:r w:rsidRPr="002D305B">
        <w:rPr>
          <w:rFonts w:ascii="Arial" w:hAnsi="Arial" w:cs="Arial"/>
          <w:sz w:val="18"/>
          <w:szCs w:val="18"/>
        </w:rPr>
        <w:t xml:space="preserve">(déc.) ; </w:t>
      </w:r>
      <w:hyperlink r:id="rId74" w:history="1">
        <w:r w:rsidRPr="002D305B">
          <w:rPr>
            <w:rStyle w:val="Hyperlink"/>
            <w:rFonts w:ascii="Arial" w:eastAsiaTheme="majorEastAsia" w:hAnsi="Arial" w:cs="Arial"/>
            <w:i/>
            <w:iCs/>
            <w:sz w:val="18"/>
            <w:szCs w:val="18"/>
          </w:rPr>
          <w:t xml:space="preserve">Michalak c. Pologne (déc.) </w:t>
        </w:r>
      </w:hyperlink>
      <w:r w:rsidRPr="002D305B">
        <w:rPr>
          <w:rFonts w:ascii="Arial" w:hAnsi="Arial" w:cs="Arial"/>
          <w:sz w:val="18"/>
          <w:szCs w:val="18"/>
        </w:rPr>
        <w:t xml:space="preserve">; </w:t>
      </w:r>
      <w:hyperlink r:id="rId75" w:history="1">
        <w:r w:rsidRPr="002D305B">
          <w:rPr>
            <w:rStyle w:val="Hyperlink"/>
            <w:rFonts w:ascii="Arial" w:eastAsiaTheme="majorEastAsia" w:hAnsi="Arial" w:cs="Arial"/>
            <w:i/>
            <w:iCs/>
            <w:sz w:val="18"/>
            <w:szCs w:val="18"/>
          </w:rPr>
          <w:t xml:space="preserve">Demopoulos et autres c. Turquie </w:t>
        </w:r>
      </w:hyperlink>
      <w:r w:rsidRPr="002D305B">
        <w:rPr>
          <w:rFonts w:ascii="Arial" w:hAnsi="Arial" w:cs="Arial"/>
          <w:sz w:val="18"/>
          <w:szCs w:val="18"/>
        </w:rPr>
        <w:t>(déc.) [GC]) ; dans des affaires concernant la non-exécution de décisions internes (</w:t>
      </w:r>
      <w:hyperlink r:id="rId76" w:history="1">
        <w:r w:rsidRPr="002D305B">
          <w:rPr>
            <w:rStyle w:val="Hyperlink"/>
            <w:rFonts w:ascii="Arial" w:eastAsiaTheme="majorEastAsia" w:hAnsi="Arial" w:cs="Arial"/>
            <w:i/>
            <w:sz w:val="18"/>
            <w:szCs w:val="18"/>
          </w:rPr>
          <w:t xml:space="preserve">Nagovitsyn et Nalgiyev c. Russie </w:t>
        </w:r>
      </w:hyperlink>
      <w:r w:rsidRPr="002D305B">
        <w:rPr>
          <w:rFonts w:ascii="Arial" w:hAnsi="Arial" w:cs="Arial"/>
          <w:sz w:val="18"/>
          <w:szCs w:val="18"/>
        </w:rPr>
        <w:t xml:space="preserve">(déc.), §§ 36-40 ; </w:t>
      </w:r>
      <w:hyperlink r:id="rId77" w:history="1">
        <w:r w:rsidRPr="002D305B">
          <w:rPr>
            <w:rStyle w:val="Hyperlink"/>
            <w:rFonts w:ascii="Arial" w:eastAsiaTheme="majorEastAsia" w:hAnsi="Arial" w:cs="Arial"/>
            <w:i/>
            <w:iCs/>
            <w:sz w:val="18"/>
            <w:szCs w:val="18"/>
          </w:rPr>
          <w:t xml:space="preserve">Balan c. Moldova </w:t>
        </w:r>
      </w:hyperlink>
      <w:r w:rsidRPr="002D305B">
        <w:rPr>
          <w:rFonts w:ascii="Arial" w:hAnsi="Arial" w:cs="Arial"/>
          <w:sz w:val="18"/>
          <w:szCs w:val="18"/>
        </w:rPr>
        <w:t xml:space="preserve">(déc.)) ; dans des affaires concernant la surpopulation carcérale </w:t>
      </w:r>
      <w:hyperlink r:id="rId78" w:history="1">
        <w:r w:rsidRPr="002D305B">
          <w:rPr>
            <w:rStyle w:val="Hyperlink"/>
            <w:rFonts w:ascii="Arial" w:eastAsiaTheme="majorEastAsia" w:hAnsi="Arial" w:cs="Arial"/>
            <w:sz w:val="18"/>
            <w:szCs w:val="18"/>
          </w:rPr>
          <w:t xml:space="preserve">(Łatak c. Pologne </w:t>
        </w:r>
      </w:hyperlink>
      <w:r w:rsidRPr="002D305B">
        <w:rPr>
          <w:rFonts w:ascii="Arial" w:hAnsi="Arial" w:cs="Arial"/>
          <w:sz w:val="18"/>
          <w:szCs w:val="18"/>
        </w:rPr>
        <w:t xml:space="preserve">(déc.) ; </w:t>
      </w:r>
      <w:hyperlink r:id="rId79" w:history="1">
        <w:r w:rsidRPr="002D305B">
          <w:rPr>
            <w:rStyle w:val="Hyperlink"/>
            <w:rFonts w:ascii="Arial" w:eastAsiaTheme="majorEastAsia" w:hAnsi="Arial" w:cs="Arial"/>
            <w:sz w:val="18"/>
            <w:szCs w:val="18"/>
          </w:rPr>
          <w:t xml:space="preserve">Stella et autres c. Italie </w:t>
        </w:r>
      </w:hyperlink>
      <w:r w:rsidRPr="002D305B">
        <w:rPr>
          <w:rFonts w:ascii="Arial" w:hAnsi="Arial" w:cs="Arial"/>
          <w:sz w:val="18"/>
          <w:szCs w:val="18"/>
        </w:rPr>
        <w:t>(déc.), §§ 42-45).</w:t>
      </w:r>
    </w:p>
  </w:footnote>
  <w:footnote w:id="54">
    <w:p w14:paraId="6A3D6CA0" w14:textId="77777777" w:rsidR="00B41728" w:rsidRPr="00720D91" w:rsidRDefault="00B41728" w:rsidP="00F331F8">
      <w:pPr>
        <w:pStyle w:val="FootnoteText"/>
        <w:shd w:val="clear" w:color="auto" w:fill="FFFFFF" w:themeFill="background1"/>
        <w:rPr>
          <w:lang w:val="fr-FR"/>
        </w:rPr>
      </w:pPr>
      <w:r w:rsidRPr="00644BCB">
        <w:rPr>
          <w:rStyle w:val="FootnoteReference"/>
          <w:shd w:val="clear" w:color="auto" w:fill="FFFFFF" w:themeFill="background1"/>
        </w:rPr>
        <w:footnoteRef/>
      </w:r>
      <w:r w:rsidRPr="00720D91">
        <w:rPr>
          <w:rFonts w:ascii="Arial" w:hAnsi="Arial" w:cs="Arial"/>
          <w:sz w:val="18"/>
          <w:szCs w:val="18"/>
          <w:shd w:val="clear" w:color="auto" w:fill="FFFFFF" w:themeFill="background1"/>
          <w:lang w:val="fr-FR"/>
        </w:rPr>
        <w:t xml:space="preserve"> </w:t>
      </w:r>
      <w:hyperlink r:id="rId80" w:history="1">
        <w:r w:rsidRPr="00720D91">
          <w:rPr>
            <w:rStyle w:val="Hyperlink"/>
            <w:rFonts w:ascii="Arial" w:hAnsi="Arial" w:cs="Arial"/>
            <w:i/>
            <w:iCs/>
            <w:color w:val="auto"/>
            <w:sz w:val="18"/>
            <w:szCs w:val="18"/>
            <w:shd w:val="clear" w:color="auto" w:fill="FFFFFF" w:themeFill="background1"/>
            <w:lang w:val="fr-FR"/>
          </w:rPr>
          <w:t xml:space="preserve">Ukraine c. Russie </w:t>
        </w:r>
      </w:hyperlink>
      <w:r w:rsidRPr="00720D91">
        <w:rPr>
          <w:rFonts w:ascii="Arial" w:hAnsi="Arial" w:cs="Arial"/>
          <w:i/>
          <w:iCs/>
          <w:sz w:val="18"/>
          <w:szCs w:val="18"/>
          <w:shd w:val="clear" w:color="auto" w:fill="FFFFFF" w:themeFill="background1"/>
          <w:lang w:val="fr-FR"/>
        </w:rPr>
        <w:t>(déc) [GC]</w:t>
      </w:r>
      <w:r w:rsidRPr="00720D91">
        <w:rPr>
          <w:rFonts w:ascii="Arial" w:hAnsi="Arial" w:cs="Arial"/>
          <w:sz w:val="18"/>
          <w:szCs w:val="18"/>
          <w:shd w:val="clear" w:color="auto" w:fill="FFFFFF" w:themeFill="background1"/>
          <w:lang w:val="fr-FR"/>
        </w:rPr>
        <w:t>, nos 20958/14 et 38334/18, § 260, 16 décembre 2020.</w:t>
      </w:r>
    </w:p>
  </w:footnote>
  <w:footnote w:id="55">
    <w:p w14:paraId="517D2D56" w14:textId="77777777" w:rsidR="00B41728" w:rsidRPr="00644BCB" w:rsidRDefault="00B41728" w:rsidP="00F331F8">
      <w:pPr>
        <w:pStyle w:val="NoSpacing"/>
        <w:shd w:val="clear" w:color="auto" w:fill="FFFFFF" w:themeFill="background1"/>
        <w:jc w:val="both"/>
        <w:rPr>
          <w:rFonts w:ascii="Arial" w:hAnsi="Arial" w:cs="Arial"/>
          <w:sz w:val="18"/>
          <w:szCs w:val="18"/>
        </w:rPr>
      </w:pPr>
      <w:r w:rsidRPr="00644BCB">
        <w:rPr>
          <w:rStyle w:val="FootnoteReference"/>
          <w:rFonts w:ascii="Arial" w:hAnsi="Arial" w:cs="Arial"/>
          <w:sz w:val="18"/>
          <w:szCs w:val="18"/>
        </w:rPr>
        <w:footnoteRef/>
      </w:r>
      <w:bookmarkStart w:id="21" w:name="_Hlk63173159"/>
      <w:r w:rsidRPr="00644BCB">
        <w:fldChar w:fldCharType="begin"/>
      </w:r>
      <w:r>
        <w:instrText>HYPERLINK</w:instrText>
      </w:r>
      <w:r w:rsidRPr="00644BCB">
        <w:instrText xml:space="preserve"> "http://hudoc.echr.coe.int/eng?i=001-108100"</w:instrText>
      </w:r>
      <w:r w:rsidRPr="00644BCB">
        <w:fldChar w:fldCharType="separate"/>
      </w:r>
      <w:r w:rsidRPr="00644BCB">
        <w:rPr>
          <w:rStyle w:val="Hyperlink"/>
          <w:rFonts w:ascii="Arial" w:eastAsiaTheme="majorEastAsia" w:hAnsi="Arial" w:cs="Arial"/>
          <w:i/>
          <w:color w:val="auto"/>
          <w:sz w:val="18"/>
          <w:szCs w:val="18"/>
        </w:rPr>
        <w:t>Géorgie c. Russie</w:t>
      </w:r>
      <w:r w:rsidRPr="00644BCB">
        <w:rPr>
          <w:rStyle w:val="Hyperlink"/>
          <w:rFonts w:ascii="Arial" w:eastAsiaTheme="majorEastAsia" w:hAnsi="Arial" w:cs="Arial"/>
          <w:color w:val="auto"/>
          <w:sz w:val="18"/>
          <w:szCs w:val="18"/>
        </w:rPr>
        <w:t xml:space="preserve"> (II) (dec)</w:t>
      </w:r>
      <w:r w:rsidRPr="00644BCB">
        <w:rPr>
          <w:rStyle w:val="Hyperlink"/>
          <w:rFonts w:ascii="Arial" w:eastAsiaTheme="majorEastAsia" w:hAnsi="Arial" w:cs="Arial"/>
          <w:color w:val="auto"/>
          <w:sz w:val="18"/>
          <w:szCs w:val="18"/>
        </w:rPr>
        <w:fldChar w:fldCharType="end"/>
      </w:r>
      <w:r w:rsidRPr="00644BCB">
        <w:rPr>
          <w:rFonts w:ascii="Arial" w:hAnsi="Arial" w:cs="Arial"/>
          <w:sz w:val="18"/>
          <w:szCs w:val="18"/>
        </w:rPr>
        <w:t>, n° 38263/08</w:t>
      </w:r>
      <w:bookmarkEnd w:id="21"/>
      <w:r w:rsidRPr="00644BCB">
        <w:rPr>
          <w:rFonts w:ascii="Arial" w:hAnsi="Arial" w:cs="Arial"/>
          <w:sz w:val="18"/>
          <w:szCs w:val="18"/>
        </w:rPr>
        <w:t xml:space="preserve"> , § 64, 13 décembre 201</w:t>
      </w:r>
      <w:r w:rsidRPr="00644BCB">
        <w:rPr>
          <w:rFonts w:ascii="Arial" w:hAnsi="Arial" w:cs="Arial"/>
          <w:sz w:val="18"/>
          <w:szCs w:val="18"/>
          <w:shd w:val="clear" w:color="auto" w:fill="FFFFFF" w:themeFill="background1"/>
        </w:rPr>
        <w:t xml:space="preserve">1 ; </w:t>
      </w:r>
      <w:hyperlink r:id="rId81" w:history="1">
        <w:r w:rsidRPr="00644BCB">
          <w:rPr>
            <w:rStyle w:val="Hyperlink"/>
            <w:rFonts w:ascii="Arial" w:eastAsiaTheme="majorEastAsia" w:hAnsi="Arial" w:cs="Arial"/>
            <w:i/>
            <w:iCs/>
            <w:color w:val="auto"/>
            <w:sz w:val="18"/>
            <w:szCs w:val="18"/>
            <w:shd w:val="clear" w:color="auto" w:fill="FFFFFF" w:themeFill="background1"/>
          </w:rPr>
          <w:t xml:space="preserve">Ukraine c. Russie </w:t>
        </w:r>
      </w:hyperlink>
      <w:r w:rsidRPr="00644BCB">
        <w:rPr>
          <w:rFonts w:ascii="Arial" w:hAnsi="Arial" w:cs="Arial"/>
          <w:i/>
          <w:iCs/>
          <w:sz w:val="18"/>
          <w:szCs w:val="18"/>
          <w:shd w:val="clear" w:color="auto" w:fill="FFFFFF" w:themeFill="background1"/>
        </w:rPr>
        <w:t>(déc) [GC]</w:t>
      </w:r>
      <w:r w:rsidRPr="00644BCB">
        <w:rPr>
          <w:rFonts w:ascii="Arial" w:hAnsi="Arial" w:cs="Arial"/>
          <w:sz w:val="18"/>
          <w:szCs w:val="18"/>
          <w:shd w:val="clear" w:color="auto" w:fill="FFFFFF" w:themeFill="background1"/>
        </w:rPr>
        <w:t xml:space="preserve">, n° 20958/14 et 38334/18 § 265, 16 décembre 2020 ; </w:t>
      </w:r>
      <w:hyperlink r:id="rId82" w:history="1">
        <w:r w:rsidRPr="00644BCB">
          <w:rPr>
            <w:rStyle w:val="Hyperlink"/>
            <w:rFonts w:ascii="Arial" w:eastAsiaTheme="majorEastAsia" w:hAnsi="Arial" w:cs="Arial"/>
            <w:i/>
            <w:iCs/>
            <w:color w:val="auto"/>
            <w:sz w:val="18"/>
            <w:szCs w:val="18"/>
            <w:shd w:val="clear" w:color="auto" w:fill="FFFFFF" w:themeFill="background1"/>
          </w:rPr>
          <w:t xml:space="preserve">Slovénie c. Croatie </w:t>
        </w:r>
      </w:hyperlink>
      <w:r w:rsidRPr="00644BCB">
        <w:rPr>
          <w:rFonts w:ascii="Arial" w:hAnsi="Arial" w:cs="Arial"/>
          <w:i/>
          <w:iCs/>
          <w:sz w:val="18"/>
          <w:szCs w:val="18"/>
          <w:shd w:val="clear" w:color="auto" w:fill="FFFFFF" w:themeFill="background1"/>
        </w:rPr>
        <w:t>(déc)</w:t>
      </w:r>
      <w:r w:rsidRPr="00644BCB">
        <w:rPr>
          <w:rFonts w:ascii="Arial" w:hAnsi="Arial" w:cs="Arial"/>
          <w:sz w:val="18"/>
          <w:szCs w:val="18"/>
          <w:shd w:val="clear" w:color="auto" w:fill="FFFFFF" w:themeFill="background1"/>
        </w:rPr>
        <w:t>, n° 54155/16, §§ 41, 18 novembre 2020.</w:t>
      </w:r>
    </w:p>
  </w:footnote>
  <w:footnote w:id="56">
    <w:p w14:paraId="4A4115B5" w14:textId="77777777" w:rsidR="00B41728" w:rsidRPr="00720D91" w:rsidRDefault="00B41728" w:rsidP="00F331F8">
      <w:pPr>
        <w:pStyle w:val="FootnoteText"/>
        <w:shd w:val="clear" w:color="auto" w:fill="FFFFFF" w:themeFill="background1"/>
        <w:jc w:val="both"/>
        <w:rPr>
          <w:lang w:val="fr-FR"/>
        </w:rPr>
      </w:pPr>
      <w:r w:rsidRPr="00644BCB">
        <w:rPr>
          <w:rStyle w:val="FootnoteReference"/>
          <w:shd w:val="clear" w:color="auto" w:fill="FFFFFF" w:themeFill="background1"/>
        </w:rPr>
        <w:footnoteRef/>
      </w:r>
      <w:r w:rsidRPr="00720D91">
        <w:rPr>
          <w:rFonts w:ascii="Arial" w:hAnsi="Arial" w:cs="Arial"/>
          <w:sz w:val="18"/>
          <w:szCs w:val="18"/>
          <w:shd w:val="clear" w:color="auto" w:fill="FFFFFF" w:themeFill="background1"/>
          <w:lang w:val="fr-FR"/>
        </w:rPr>
        <w:t xml:space="preserve"> </w:t>
      </w:r>
      <w:hyperlink r:id="rId83" w:history="1">
        <w:r w:rsidRPr="00720D91">
          <w:rPr>
            <w:rStyle w:val="Hyperlink"/>
            <w:rFonts w:ascii="Arial" w:hAnsi="Arial" w:cs="Arial"/>
            <w:i/>
            <w:iCs/>
            <w:color w:val="auto"/>
            <w:sz w:val="18"/>
            <w:szCs w:val="18"/>
            <w:shd w:val="clear" w:color="auto" w:fill="FFFFFF" w:themeFill="background1"/>
            <w:lang w:val="fr-FR"/>
          </w:rPr>
          <w:t xml:space="preserve">Slovénie c. Croatie </w:t>
        </w:r>
      </w:hyperlink>
      <w:r w:rsidRPr="00720D91">
        <w:rPr>
          <w:rFonts w:ascii="Arial" w:hAnsi="Arial" w:cs="Arial"/>
          <w:i/>
          <w:iCs/>
          <w:sz w:val="18"/>
          <w:szCs w:val="18"/>
          <w:shd w:val="clear" w:color="auto" w:fill="FFFFFF" w:themeFill="background1"/>
          <w:lang w:val="fr-FR"/>
        </w:rPr>
        <w:t>(déc)</w:t>
      </w:r>
      <w:r w:rsidRPr="00720D91">
        <w:rPr>
          <w:rFonts w:ascii="Arial" w:hAnsi="Arial" w:cs="Arial"/>
          <w:sz w:val="18"/>
          <w:szCs w:val="18"/>
          <w:shd w:val="clear" w:color="auto" w:fill="FFFFFF" w:themeFill="background1"/>
          <w:lang w:val="fr-FR"/>
        </w:rPr>
        <w:t xml:space="preserve">, n° 54155/16, § 41, 18 novembre 2020. </w:t>
      </w:r>
      <w:r w:rsidRPr="00720D91">
        <w:rPr>
          <w:rFonts w:ascii="Arial" w:hAnsi="Arial" w:cs="Arial"/>
          <w:sz w:val="18"/>
          <w:szCs w:val="18"/>
          <w:lang w:val="fr-FR"/>
        </w:rPr>
        <w:t xml:space="preserve">Voir également </w:t>
      </w:r>
      <w:r w:rsidRPr="00720D91">
        <w:rPr>
          <w:rStyle w:val="s6b621b36"/>
          <w:rFonts w:ascii="Arial" w:hAnsi="Arial" w:cs="Arial"/>
          <w:i/>
          <w:iCs/>
          <w:color w:val="000000"/>
          <w:sz w:val="18"/>
          <w:szCs w:val="18"/>
          <w:lang w:val="fr-FR"/>
        </w:rPr>
        <w:t>France</w:t>
      </w:r>
      <w:r w:rsidRPr="00720D91">
        <w:rPr>
          <w:rStyle w:val="s6b621b36"/>
          <w:rFonts w:ascii="Arial" w:hAnsi="Arial" w:cs="Arial"/>
          <w:i/>
          <w:iCs/>
          <w:color w:val="000000"/>
          <w:sz w:val="18"/>
          <w:szCs w:val="18"/>
          <w:shd w:val="clear" w:color="auto" w:fill="FFFFFF"/>
          <w:lang w:val="fr-FR"/>
        </w:rPr>
        <w:t>, Norvège, Danemark, Suède et les Pays-Bas c. Turquie</w:t>
      </w:r>
      <w:r w:rsidRPr="00720D91">
        <w:rPr>
          <w:rStyle w:val="sb8d990e2"/>
          <w:rFonts w:ascii="Arial" w:hAnsi="Arial" w:cs="Arial"/>
          <w:color w:val="000000"/>
          <w:sz w:val="18"/>
          <w:szCs w:val="18"/>
          <w:shd w:val="clear" w:color="auto" w:fill="FFFFFF"/>
          <w:lang w:val="fr-FR"/>
        </w:rPr>
        <w:t xml:space="preserve">, pp. 161-162. </w:t>
      </w:r>
    </w:p>
  </w:footnote>
  <w:footnote w:id="57">
    <w:p w14:paraId="3DEA95F3" w14:textId="77777777" w:rsidR="00B41728" w:rsidRPr="00720D91" w:rsidRDefault="00B41728" w:rsidP="00F331F8">
      <w:pPr>
        <w:pStyle w:val="FootnoteText"/>
        <w:shd w:val="clear" w:color="auto" w:fill="FFFFFF" w:themeFill="background1"/>
        <w:rPr>
          <w:lang w:val="fr-FR"/>
        </w:rPr>
      </w:pPr>
      <w:r w:rsidRPr="00644BCB">
        <w:rPr>
          <w:rStyle w:val="FootnoteReference"/>
          <w:shd w:val="clear" w:color="auto" w:fill="FFFFFF" w:themeFill="background1"/>
        </w:rPr>
        <w:footnoteRef/>
      </w:r>
      <w:r w:rsidRPr="00720D91">
        <w:rPr>
          <w:rFonts w:ascii="Arial" w:hAnsi="Arial" w:cs="Arial"/>
          <w:sz w:val="18"/>
          <w:szCs w:val="18"/>
          <w:shd w:val="clear" w:color="auto" w:fill="FFFFFF" w:themeFill="background1"/>
          <w:lang w:val="fr-FR"/>
        </w:rPr>
        <w:t xml:space="preserve"> </w:t>
      </w:r>
      <w:hyperlink r:id="rId84" w:history="1">
        <w:hyperlink r:id="rId85" w:history="1">
          <w:r w:rsidRPr="00720D91">
            <w:rPr>
              <w:rStyle w:val="Hyperlink"/>
              <w:rFonts w:ascii="Arial" w:hAnsi="Arial" w:cs="Arial"/>
              <w:i/>
              <w:iCs/>
              <w:color w:val="auto"/>
              <w:sz w:val="18"/>
              <w:szCs w:val="18"/>
              <w:shd w:val="clear" w:color="auto" w:fill="FFFFFF" w:themeFill="background1"/>
              <w:lang w:val="fr-FR"/>
            </w:rPr>
            <w:t xml:space="preserve">Slovénie c. Croatie </w:t>
          </w:r>
        </w:hyperlink>
        <w:r w:rsidRPr="00720D91">
          <w:rPr>
            <w:rStyle w:val="Hyperlink"/>
            <w:rFonts w:ascii="Arial" w:hAnsi="Arial" w:cs="Arial"/>
            <w:i/>
            <w:iCs/>
            <w:color w:val="auto"/>
            <w:sz w:val="18"/>
            <w:szCs w:val="18"/>
            <w:shd w:val="clear" w:color="auto" w:fill="FFFFFF" w:themeFill="background1"/>
            <w:lang w:val="fr-FR"/>
          </w:rPr>
          <w:t xml:space="preserve"> </w:t>
        </w:r>
      </w:hyperlink>
      <w:r w:rsidRPr="00720D91">
        <w:rPr>
          <w:rFonts w:ascii="Arial" w:hAnsi="Arial" w:cs="Arial"/>
          <w:i/>
          <w:iCs/>
          <w:sz w:val="18"/>
          <w:szCs w:val="18"/>
          <w:shd w:val="clear" w:color="auto" w:fill="FFFFFF" w:themeFill="background1"/>
          <w:lang w:val="fr-FR"/>
        </w:rPr>
        <w:t>(déc)</w:t>
      </w:r>
      <w:r w:rsidRPr="00720D91">
        <w:rPr>
          <w:rFonts w:ascii="Arial" w:hAnsi="Arial" w:cs="Arial"/>
          <w:sz w:val="18"/>
          <w:szCs w:val="18"/>
          <w:shd w:val="clear" w:color="auto" w:fill="FFFFFF" w:themeFill="background1"/>
          <w:lang w:val="fr-FR"/>
        </w:rPr>
        <w:t>, n° 54155/16, § 41, 18 novembre 2020.</w:t>
      </w:r>
      <w:r w:rsidRPr="00720D91">
        <w:rPr>
          <w:rFonts w:ascii="Arial" w:hAnsi="Arial" w:cs="Arial"/>
          <w:sz w:val="18"/>
          <w:szCs w:val="18"/>
          <w:shd w:val="clear" w:color="auto" w:fill="D9D9D9" w:themeFill="background1" w:themeFillShade="D9"/>
          <w:lang w:val="fr-FR"/>
        </w:rPr>
        <w:t xml:space="preserve"> </w:t>
      </w:r>
    </w:p>
  </w:footnote>
  <w:footnote w:id="58">
    <w:p w14:paraId="6B8752E8" w14:textId="77777777" w:rsidR="00B41728" w:rsidRPr="00720D91" w:rsidRDefault="00B41728" w:rsidP="00F331F8">
      <w:pPr>
        <w:pStyle w:val="FootnoteText"/>
        <w:shd w:val="clear" w:color="auto" w:fill="FFFFFF" w:themeFill="background1"/>
        <w:rPr>
          <w:lang w:val="fr-FR"/>
        </w:rPr>
      </w:pPr>
      <w:r w:rsidRPr="00644BCB">
        <w:rPr>
          <w:rStyle w:val="FootnoteReference"/>
          <w:shd w:val="clear" w:color="auto" w:fill="FFFFFF" w:themeFill="background1"/>
        </w:rPr>
        <w:footnoteRef/>
      </w:r>
      <w:r w:rsidRPr="00720D91">
        <w:rPr>
          <w:rFonts w:ascii="Arial" w:hAnsi="Arial" w:cs="Arial"/>
          <w:sz w:val="18"/>
          <w:szCs w:val="18"/>
          <w:shd w:val="clear" w:color="auto" w:fill="FFFFFF" w:themeFill="background1"/>
          <w:lang w:val="fr-FR"/>
        </w:rPr>
        <w:t xml:space="preserve"> </w:t>
      </w:r>
      <w:hyperlink r:id="rId86" w:history="1">
        <w:r w:rsidRPr="00720D91">
          <w:rPr>
            <w:rStyle w:val="Hyperlink"/>
            <w:rFonts w:ascii="Arial" w:hAnsi="Arial" w:cs="Arial"/>
            <w:i/>
            <w:iCs/>
            <w:color w:val="auto"/>
            <w:sz w:val="18"/>
            <w:szCs w:val="18"/>
            <w:shd w:val="clear" w:color="auto" w:fill="FFFFFF" w:themeFill="background1"/>
            <w:lang w:val="fr-FR"/>
          </w:rPr>
          <w:t xml:space="preserve">Slovénie c. Croatie </w:t>
        </w:r>
      </w:hyperlink>
      <w:r w:rsidRPr="00720D91">
        <w:rPr>
          <w:rFonts w:ascii="Arial" w:hAnsi="Arial" w:cs="Arial"/>
          <w:i/>
          <w:iCs/>
          <w:sz w:val="18"/>
          <w:szCs w:val="18"/>
          <w:shd w:val="clear" w:color="auto" w:fill="FFFFFF" w:themeFill="background1"/>
          <w:lang w:val="fr-FR"/>
        </w:rPr>
        <w:t xml:space="preserve"> (déc)</w:t>
      </w:r>
      <w:r w:rsidRPr="00720D91">
        <w:rPr>
          <w:rFonts w:ascii="Arial" w:hAnsi="Arial" w:cs="Arial"/>
          <w:sz w:val="18"/>
          <w:szCs w:val="18"/>
          <w:shd w:val="clear" w:color="auto" w:fill="FFFFFF" w:themeFill="background1"/>
          <w:lang w:val="fr-FR"/>
        </w:rPr>
        <w:t>, n° 54155/16, § 41, 18 novembre 2020.</w:t>
      </w:r>
    </w:p>
  </w:footnote>
  <w:footnote w:id="59">
    <w:p w14:paraId="418480FF" w14:textId="77777777" w:rsidR="00B41728" w:rsidRPr="002D305B" w:rsidRDefault="00B41728" w:rsidP="00F331F8">
      <w:pPr>
        <w:pStyle w:val="NoSpacing"/>
        <w:shd w:val="clear" w:color="auto" w:fill="FFFFFF" w:themeFill="background1"/>
        <w:jc w:val="both"/>
        <w:rPr>
          <w:rFonts w:ascii="Arial" w:hAnsi="Arial" w:cs="Arial"/>
          <w:b/>
          <w:bCs/>
          <w:color w:val="FF0000"/>
          <w:sz w:val="18"/>
          <w:szCs w:val="18"/>
        </w:rPr>
      </w:pPr>
      <w:r w:rsidRPr="00644BCB">
        <w:rPr>
          <w:rStyle w:val="FootnoteReference"/>
          <w:rFonts w:ascii="Arial" w:hAnsi="Arial" w:cs="Arial"/>
          <w:sz w:val="18"/>
          <w:szCs w:val="18"/>
        </w:rPr>
        <w:footnoteRef/>
      </w:r>
      <w:r w:rsidRPr="00644BCB">
        <w:rPr>
          <w:rFonts w:ascii="Arial" w:hAnsi="Arial" w:cs="Arial"/>
          <w:sz w:val="18"/>
          <w:szCs w:val="18"/>
        </w:rPr>
        <w:t xml:space="preserve"> </w:t>
      </w:r>
      <w:hyperlink r:id="rId87" w:anchor="{%22itemid%22:[%22001-108100%22]}" w:history="1">
        <w:r w:rsidRPr="00644BCB">
          <w:rPr>
            <w:rStyle w:val="Hyperlink"/>
            <w:rFonts w:ascii="Arial" w:eastAsiaTheme="majorEastAsia" w:hAnsi="Arial" w:cs="Arial"/>
            <w:i/>
            <w:color w:val="auto"/>
            <w:sz w:val="18"/>
            <w:szCs w:val="18"/>
          </w:rPr>
          <w:t xml:space="preserve">Géorgie c. Russie </w:t>
        </w:r>
        <w:r w:rsidRPr="00644BCB">
          <w:rPr>
            <w:rStyle w:val="Hyperlink"/>
            <w:rFonts w:ascii="Arial" w:eastAsiaTheme="majorEastAsia" w:hAnsi="Arial" w:cs="Arial"/>
            <w:color w:val="auto"/>
            <w:sz w:val="18"/>
            <w:szCs w:val="18"/>
          </w:rPr>
          <w:t>(II) (déc)</w:t>
        </w:r>
      </w:hyperlink>
      <w:r w:rsidRPr="00644BCB">
        <w:rPr>
          <w:rFonts w:ascii="Arial" w:hAnsi="Arial" w:cs="Arial"/>
          <w:sz w:val="18"/>
          <w:szCs w:val="18"/>
        </w:rPr>
        <w:t>, n° 38263/08</w:t>
      </w:r>
      <w:r w:rsidRPr="00644BCB">
        <w:rPr>
          <w:rFonts w:ascii="Arial" w:hAnsi="Arial" w:cs="Arial"/>
          <w:sz w:val="18"/>
          <w:szCs w:val="18"/>
          <w:shd w:val="clear" w:color="auto" w:fill="FFFFFF" w:themeFill="background1"/>
        </w:rPr>
        <w:t xml:space="preserve">, § 65, 13 décembre 2011 ; </w:t>
      </w:r>
      <w:hyperlink r:id="rId88" w:history="1">
        <w:r w:rsidRPr="00644BCB">
          <w:rPr>
            <w:rStyle w:val="Hyperlink"/>
            <w:rFonts w:ascii="Arial" w:eastAsiaTheme="majorEastAsia" w:hAnsi="Arial" w:cs="Arial"/>
            <w:i/>
            <w:iCs/>
            <w:color w:val="auto"/>
            <w:sz w:val="18"/>
            <w:szCs w:val="18"/>
            <w:shd w:val="clear" w:color="auto" w:fill="FFFFFF" w:themeFill="background1"/>
          </w:rPr>
          <w:t xml:space="preserve">Ukraine c. Russie </w:t>
        </w:r>
      </w:hyperlink>
      <w:r w:rsidRPr="00644BCB">
        <w:rPr>
          <w:rFonts w:ascii="Arial" w:hAnsi="Arial" w:cs="Arial"/>
          <w:i/>
          <w:iCs/>
          <w:sz w:val="18"/>
          <w:szCs w:val="18"/>
          <w:shd w:val="clear" w:color="auto" w:fill="FFFFFF" w:themeFill="background1"/>
        </w:rPr>
        <w:t>(déc) [GC]</w:t>
      </w:r>
      <w:r w:rsidRPr="00644BCB">
        <w:rPr>
          <w:rFonts w:ascii="Arial" w:hAnsi="Arial" w:cs="Arial"/>
          <w:sz w:val="18"/>
          <w:szCs w:val="18"/>
          <w:shd w:val="clear" w:color="auto" w:fill="FFFFFF" w:themeFill="background1"/>
        </w:rPr>
        <w:t>, nos 20958/14 et 38334/18, § 265, 16 décembre 2020.</w:t>
      </w:r>
    </w:p>
  </w:footnote>
  <w:footnote w:id="60">
    <w:p w14:paraId="13559413" w14:textId="77777777" w:rsidR="00B41728" w:rsidRPr="00720D91" w:rsidRDefault="00B41728" w:rsidP="00F331F8">
      <w:pPr>
        <w:pStyle w:val="FootnoteText"/>
        <w:shd w:val="clear" w:color="auto" w:fill="FFFFFF" w:themeFill="background1"/>
        <w:jc w:val="both"/>
        <w:rPr>
          <w:rFonts w:ascii="Arial" w:hAnsi="Arial" w:cs="Arial"/>
          <w:sz w:val="18"/>
          <w:szCs w:val="18"/>
          <w:lang w:val="fr-FR"/>
        </w:rPr>
      </w:pPr>
      <w:r w:rsidRPr="00B94A1A">
        <w:rPr>
          <w:rFonts w:ascii="Arial" w:hAnsi="Arial" w:cs="Arial"/>
          <w:sz w:val="18"/>
          <w:szCs w:val="18"/>
          <w:vertAlign w:val="superscript"/>
        </w:rPr>
        <w:footnoteRef/>
      </w:r>
      <w:r w:rsidRPr="00720D91">
        <w:rPr>
          <w:rFonts w:ascii="Arial" w:hAnsi="Arial" w:cs="Arial"/>
          <w:sz w:val="18"/>
          <w:szCs w:val="18"/>
          <w:vertAlign w:val="superscript"/>
          <w:lang w:val="fr-FR"/>
        </w:rPr>
        <w:t xml:space="preserve"> </w:t>
      </w:r>
      <w:hyperlink r:id="rId89" w:history="1">
        <w:r w:rsidRPr="00720D91">
          <w:rPr>
            <w:rFonts w:ascii="Arial" w:hAnsi="Arial" w:cs="Arial"/>
            <w:sz w:val="18"/>
            <w:szCs w:val="18"/>
            <w:u w:val="single"/>
            <w:lang w:val="fr-FR"/>
          </w:rPr>
          <w:t>Ukraine c. Russie</w:t>
        </w:r>
        <w:r w:rsidRPr="00720D91">
          <w:rPr>
            <w:rFonts w:ascii="Arial" w:hAnsi="Arial" w:cs="Arial"/>
            <w:sz w:val="18"/>
            <w:szCs w:val="18"/>
            <w:lang w:val="fr-FR"/>
          </w:rPr>
          <w:t xml:space="preserve"> </w:t>
        </w:r>
      </w:hyperlink>
      <w:r w:rsidRPr="00720D91">
        <w:rPr>
          <w:rFonts w:ascii="Arial" w:hAnsi="Arial" w:cs="Arial"/>
          <w:sz w:val="18"/>
          <w:szCs w:val="18"/>
          <w:lang w:val="fr-FR"/>
        </w:rPr>
        <w:t>(déc) [GC], nos 20958/14 et 38334/18, §§ 265, 352, 16 décembre 2020.</w:t>
      </w:r>
    </w:p>
  </w:footnote>
  <w:footnote w:id="61">
    <w:p w14:paraId="551E63C9" w14:textId="77777777" w:rsidR="00B41728" w:rsidRPr="00720D91" w:rsidRDefault="00B41728" w:rsidP="00F331F8">
      <w:pPr>
        <w:pStyle w:val="FootnoteText"/>
        <w:shd w:val="clear" w:color="auto" w:fill="FFFFFF" w:themeFill="background1"/>
        <w:jc w:val="both"/>
        <w:rPr>
          <w:rFonts w:ascii="Arial" w:hAnsi="Arial" w:cs="Arial"/>
          <w:sz w:val="18"/>
          <w:szCs w:val="18"/>
          <w:lang w:val="fr-FR"/>
        </w:rPr>
      </w:pPr>
      <w:r w:rsidRPr="00B94A1A">
        <w:rPr>
          <w:rFonts w:ascii="Arial" w:hAnsi="Arial" w:cs="Arial"/>
          <w:sz w:val="18"/>
          <w:szCs w:val="18"/>
          <w:vertAlign w:val="superscript"/>
        </w:rPr>
        <w:footnoteRef/>
      </w:r>
      <w:r w:rsidRPr="00720D91">
        <w:rPr>
          <w:rFonts w:ascii="Arial" w:hAnsi="Arial" w:cs="Arial"/>
          <w:sz w:val="18"/>
          <w:szCs w:val="18"/>
          <w:lang w:val="fr-FR"/>
        </w:rPr>
        <w:t xml:space="preserve"> </w:t>
      </w:r>
      <w:hyperlink r:id="rId90" w:history="1">
        <w:r w:rsidRPr="00720D91">
          <w:rPr>
            <w:rFonts w:ascii="Arial" w:hAnsi="Arial" w:cs="Arial"/>
            <w:sz w:val="18"/>
            <w:szCs w:val="18"/>
            <w:u w:val="single"/>
            <w:lang w:val="fr-FR"/>
          </w:rPr>
          <w:t>Ukraine c. Russie</w:t>
        </w:r>
        <w:r w:rsidRPr="00720D91">
          <w:rPr>
            <w:rFonts w:ascii="Arial" w:hAnsi="Arial" w:cs="Arial"/>
            <w:sz w:val="18"/>
            <w:szCs w:val="18"/>
            <w:lang w:val="fr-FR"/>
          </w:rPr>
          <w:t xml:space="preserve"> </w:t>
        </w:r>
      </w:hyperlink>
      <w:r w:rsidRPr="00720D91">
        <w:rPr>
          <w:rFonts w:ascii="Arial" w:hAnsi="Arial" w:cs="Arial"/>
          <w:sz w:val="18"/>
          <w:szCs w:val="18"/>
          <w:lang w:val="fr-FR"/>
        </w:rPr>
        <w:t>(déc) [GC], nos 20958/14 et 38334/18, §§ 265, 352, 16 décembre 2020.</w:t>
      </w:r>
    </w:p>
  </w:footnote>
  <w:footnote w:id="62">
    <w:p w14:paraId="09E6E96B" w14:textId="77777777" w:rsidR="00B41728" w:rsidRPr="00720D91" w:rsidRDefault="00B41728" w:rsidP="00F331F8">
      <w:pPr>
        <w:pStyle w:val="FootnoteText"/>
        <w:shd w:val="clear" w:color="auto" w:fill="FFFFFF" w:themeFill="background1"/>
        <w:jc w:val="both"/>
        <w:rPr>
          <w:rFonts w:ascii="Arial" w:hAnsi="Arial" w:cs="Arial"/>
          <w:sz w:val="18"/>
          <w:szCs w:val="18"/>
          <w:lang w:val="fr-FR"/>
        </w:rPr>
      </w:pPr>
      <w:r w:rsidRPr="00B94A1A">
        <w:rPr>
          <w:rFonts w:ascii="Arial" w:hAnsi="Arial" w:cs="Arial"/>
          <w:sz w:val="18"/>
          <w:szCs w:val="18"/>
          <w:vertAlign w:val="superscript"/>
        </w:rPr>
        <w:footnoteRef/>
      </w:r>
      <w:r w:rsidRPr="00720D91">
        <w:rPr>
          <w:rFonts w:ascii="Arial" w:hAnsi="Arial" w:cs="Arial"/>
          <w:sz w:val="18"/>
          <w:szCs w:val="18"/>
          <w:lang w:val="fr-FR"/>
        </w:rPr>
        <w:t xml:space="preserve"> </w:t>
      </w:r>
      <w:hyperlink r:id="rId91" w:history="1">
        <w:r w:rsidRPr="00720D91">
          <w:rPr>
            <w:rFonts w:ascii="Arial" w:hAnsi="Arial" w:cs="Arial"/>
            <w:sz w:val="18"/>
            <w:szCs w:val="18"/>
            <w:u w:val="single"/>
            <w:lang w:val="fr-FR"/>
          </w:rPr>
          <w:t>France, Norvège, Danemark, Suède et Pays-Bas c. Turquie</w:t>
        </w:r>
      </w:hyperlink>
      <w:r w:rsidRPr="00720D91">
        <w:rPr>
          <w:rFonts w:ascii="Arial" w:hAnsi="Arial" w:cs="Arial"/>
          <w:sz w:val="18"/>
          <w:szCs w:val="18"/>
          <w:lang w:val="fr-FR"/>
        </w:rPr>
        <w:t xml:space="preserve">, n° 9940-9944/82, décision de la Commission du 6 décembre 1983, Décisions et rapports 35, p. 162. </w:t>
      </w:r>
    </w:p>
  </w:footnote>
  <w:footnote w:id="63">
    <w:p w14:paraId="7A9567B6" w14:textId="77777777" w:rsidR="00B41728" w:rsidRPr="00720D91" w:rsidRDefault="00B41728" w:rsidP="00F331F8">
      <w:pPr>
        <w:pStyle w:val="FootnoteText"/>
        <w:shd w:val="clear" w:color="auto" w:fill="FFFFFF" w:themeFill="background1"/>
        <w:jc w:val="both"/>
        <w:rPr>
          <w:rFonts w:ascii="Arial" w:hAnsi="Arial" w:cs="Arial"/>
          <w:sz w:val="18"/>
          <w:szCs w:val="18"/>
          <w:lang w:val="fr-FR"/>
        </w:rPr>
      </w:pPr>
      <w:r w:rsidRPr="00B94A1A">
        <w:rPr>
          <w:rFonts w:ascii="Arial" w:hAnsi="Arial" w:cs="Arial"/>
          <w:sz w:val="18"/>
          <w:szCs w:val="18"/>
          <w:vertAlign w:val="superscript"/>
        </w:rPr>
        <w:footnoteRef/>
      </w:r>
      <w:r w:rsidRPr="00720D91">
        <w:rPr>
          <w:rFonts w:ascii="Arial" w:hAnsi="Arial" w:cs="Arial"/>
          <w:sz w:val="18"/>
          <w:szCs w:val="18"/>
          <w:lang w:val="fr-FR"/>
        </w:rPr>
        <w:t xml:space="preserve"> </w:t>
      </w:r>
      <w:hyperlink r:id="rId92" w:history="1">
        <w:r w:rsidRPr="00720D91">
          <w:rPr>
            <w:rFonts w:ascii="Arial" w:hAnsi="Arial" w:cs="Arial"/>
            <w:sz w:val="18"/>
            <w:szCs w:val="18"/>
            <w:u w:val="single"/>
            <w:lang w:val="fr-FR"/>
          </w:rPr>
          <w:t>Ukraine c. Russie</w:t>
        </w:r>
        <w:r w:rsidRPr="00720D91">
          <w:rPr>
            <w:rFonts w:ascii="Arial" w:hAnsi="Arial" w:cs="Arial"/>
            <w:sz w:val="18"/>
            <w:szCs w:val="18"/>
            <w:lang w:val="fr-FR"/>
          </w:rPr>
          <w:t xml:space="preserve"> </w:t>
        </w:r>
      </w:hyperlink>
      <w:r w:rsidRPr="00720D91">
        <w:rPr>
          <w:rFonts w:ascii="Arial" w:hAnsi="Arial" w:cs="Arial"/>
          <w:sz w:val="18"/>
          <w:szCs w:val="18"/>
          <w:lang w:val="fr-FR"/>
        </w:rPr>
        <w:t xml:space="preserve"> (déc) [GC], nos 20958/14 et 38334/18, § 367, 16 décembre 2020.</w:t>
      </w:r>
    </w:p>
  </w:footnote>
  <w:footnote w:id="64">
    <w:p w14:paraId="50B8BA03" w14:textId="77777777" w:rsidR="00B41728" w:rsidRPr="00720D91" w:rsidRDefault="00B41728" w:rsidP="00F331F8">
      <w:pPr>
        <w:pStyle w:val="FootnoteText"/>
        <w:shd w:val="clear" w:color="auto" w:fill="FFFFFF" w:themeFill="background1"/>
        <w:jc w:val="both"/>
        <w:rPr>
          <w:rFonts w:ascii="Arial" w:hAnsi="Arial" w:cs="Arial"/>
          <w:sz w:val="18"/>
          <w:szCs w:val="18"/>
          <w:lang w:val="fr-FR"/>
        </w:rPr>
      </w:pPr>
      <w:r w:rsidRPr="00B94A1A">
        <w:rPr>
          <w:rFonts w:ascii="Arial" w:hAnsi="Arial" w:cs="Arial"/>
          <w:sz w:val="18"/>
          <w:szCs w:val="18"/>
          <w:vertAlign w:val="superscript"/>
        </w:rPr>
        <w:footnoteRef/>
      </w:r>
      <w:r w:rsidRPr="00720D91">
        <w:rPr>
          <w:rFonts w:ascii="Arial" w:hAnsi="Arial" w:cs="Arial"/>
          <w:sz w:val="18"/>
          <w:szCs w:val="18"/>
          <w:lang w:val="fr-FR"/>
        </w:rPr>
        <w:t xml:space="preserve"> </w:t>
      </w:r>
      <w:hyperlink r:id="rId93" w:history="1">
        <w:r w:rsidRPr="00720D91">
          <w:rPr>
            <w:rFonts w:ascii="Arial" w:hAnsi="Arial" w:cs="Arial"/>
            <w:sz w:val="18"/>
            <w:szCs w:val="18"/>
            <w:u w:val="single"/>
            <w:lang w:val="fr-FR"/>
          </w:rPr>
          <w:t>Slovénie c. Croatie</w:t>
        </w:r>
        <w:r w:rsidRPr="00720D91">
          <w:rPr>
            <w:rFonts w:ascii="Arial" w:hAnsi="Arial" w:cs="Arial"/>
            <w:sz w:val="18"/>
            <w:szCs w:val="18"/>
            <w:lang w:val="fr-FR"/>
          </w:rPr>
          <w:t xml:space="preserve"> </w:t>
        </w:r>
      </w:hyperlink>
      <w:r w:rsidRPr="00720D91">
        <w:rPr>
          <w:rFonts w:ascii="Arial" w:hAnsi="Arial" w:cs="Arial"/>
          <w:sz w:val="18"/>
          <w:szCs w:val="18"/>
          <w:lang w:val="fr-FR"/>
        </w:rPr>
        <w:t>déc), n° 54155/16, §§ 43, 44, 18 novembre 2020.</w:t>
      </w:r>
    </w:p>
  </w:footnote>
  <w:footnote w:id="65">
    <w:p w14:paraId="59C4D988" w14:textId="77777777" w:rsidR="00B41728" w:rsidRPr="00720D91" w:rsidRDefault="00B41728" w:rsidP="00F331F8">
      <w:pPr>
        <w:pStyle w:val="FootnoteText"/>
        <w:shd w:val="clear" w:color="auto" w:fill="FFFFFF" w:themeFill="background1"/>
        <w:jc w:val="both"/>
        <w:rPr>
          <w:rFonts w:ascii="Arial" w:hAnsi="Arial" w:cs="Arial"/>
          <w:sz w:val="18"/>
          <w:szCs w:val="18"/>
          <w:lang w:val="fr-FR"/>
        </w:rPr>
      </w:pPr>
      <w:r w:rsidRPr="00B94A1A">
        <w:rPr>
          <w:rFonts w:ascii="Arial" w:hAnsi="Arial" w:cs="Arial"/>
          <w:sz w:val="18"/>
          <w:szCs w:val="18"/>
          <w:vertAlign w:val="superscript"/>
        </w:rPr>
        <w:footnoteRef/>
      </w:r>
      <w:r w:rsidRPr="00720D91">
        <w:rPr>
          <w:rFonts w:ascii="Arial" w:hAnsi="Arial" w:cs="Arial"/>
          <w:sz w:val="18"/>
          <w:szCs w:val="18"/>
          <w:vertAlign w:val="superscript"/>
          <w:lang w:val="fr-FR"/>
        </w:rPr>
        <w:t xml:space="preserve"> </w:t>
      </w:r>
      <w:r w:rsidRPr="00720D91">
        <w:rPr>
          <w:rFonts w:ascii="Arial" w:hAnsi="Arial" w:cs="Arial"/>
          <w:sz w:val="18"/>
          <w:szCs w:val="18"/>
          <w:u w:val="single"/>
          <w:lang w:val="fr-FR"/>
        </w:rPr>
        <w:t>Chypre c. Turquie</w:t>
      </w:r>
      <w:r w:rsidRPr="00720D91">
        <w:rPr>
          <w:rFonts w:ascii="Arial" w:hAnsi="Arial" w:cs="Arial"/>
          <w:sz w:val="18"/>
          <w:szCs w:val="18"/>
          <w:lang w:val="fr-FR"/>
        </w:rPr>
        <w:t xml:space="preserve">, </w:t>
      </w:r>
      <w:hyperlink r:id="rId94" w:history="1">
        <w:r w:rsidRPr="00720D91">
          <w:rPr>
            <w:rFonts w:ascii="Arial" w:hAnsi="Arial" w:cs="Arial"/>
            <w:sz w:val="18"/>
            <w:szCs w:val="18"/>
            <w:lang w:val="fr-FR"/>
          </w:rPr>
          <w:t>nos 6780/74 et 6950/75</w:t>
        </w:r>
      </w:hyperlink>
      <w:r w:rsidRPr="00720D91">
        <w:rPr>
          <w:rFonts w:ascii="Arial" w:hAnsi="Arial" w:cs="Arial"/>
          <w:sz w:val="18"/>
          <w:szCs w:val="18"/>
          <w:lang w:val="fr-FR"/>
        </w:rPr>
        <w:t xml:space="preserve">, p.138, 26 mai 1975 ; </w:t>
      </w:r>
      <w:hyperlink r:id="rId95" w:tgtFrame="_blank" w:history="1">
        <w:r w:rsidRPr="00720D91">
          <w:rPr>
            <w:rFonts w:ascii="Arial" w:hAnsi="Arial" w:cs="Arial"/>
            <w:sz w:val="18"/>
            <w:szCs w:val="18"/>
            <w:u w:val="single"/>
            <w:lang w:val="fr-FR"/>
          </w:rPr>
          <w:t>Chypre c. Turquie</w:t>
        </w:r>
        <w:r w:rsidRPr="00720D91">
          <w:rPr>
            <w:rFonts w:ascii="Arial" w:hAnsi="Arial" w:cs="Arial"/>
            <w:sz w:val="18"/>
            <w:szCs w:val="18"/>
            <w:lang w:val="fr-FR"/>
          </w:rPr>
          <w:t xml:space="preserve"> no. 8007/77</w:t>
        </w:r>
      </w:hyperlink>
      <w:r w:rsidRPr="00720D91">
        <w:rPr>
          <w:rFonts w:ascii="Arial" w:hAnsi="Arial" w:cs="Arial"/>
          <w:sz w:val="18"/>
          <w:szCs w:val="18"/>
          <w:lang w:val="fr-FR"/>
        </w:rPr>
        <w:t xml:space="preserve">, déc. 03.10.78, D.R. 13 p. 78, para. 56 à 156 ; </w:t>
      </w:r>
      <w:hyperlink r:id="rId96" w:history="1">
        <w:r w:rsidRPr="00720D91">
          <w:rPr>
            <w:rFonts w:ascii="Arial" w:hAnsi="Arial" w:cs="Arial"/>
            <w:sz w:val="18"/>
            <w:szCs w:val="18"/>
            <w:u w:val="single"/>
            <w:lang w:val="fr-FR"/>
          </w:rPr>
          <w:t>Chypre c. Turquie</w:t>
        </w:r>
        <w:r w:rsidRPr="00720D91">
          <w:rPr>
            <w:rFonts w:ascii="Arial" w:hAnsi="Arial" w:cs="Arial"/>
            <w:sz w:val="18"/>
            <w:szCs w:val="18"/>
            <w:lang w:val="fr-FR"/>
          </w:rPr>
          <w:t>, no 25781/94</w:t>
        </w:r>
      </w:hyperlink>
      <w:r w:rsidRPr="00720D91">
        <w:rPr>
          <w:rFonts w:ascii="Arial" w:hAnsi="Arial" w:cs="Arial"/>
          <w:sz w:val="18"/>
          <w:szCs w:val="18"/>
          <w:lang w:val="fr-FR"/>
        </w:rPr>
        <w:t>, p. 135, 28 juin 1996 ;</w:t>
      </w:r>
    </w:p>
  </w:footnote>
  <w:footnote w:id="66">
    <w:p w14:paraId="6FDA2B71" w14:textId="77777777" w:rsidR="00B41728" w:rsidRPr="00720D91" w:rsidRDefault="00B41728" w:rsidP="00F331F8">
      <w:pPr>
        <w:pStyle w:val="FootnoteText"/>
        <w:shd w:val="clear" w:color="auto" w:fill="FFFFFF" w:themeFill="background1"/>
        <w:jc w:val="both"/>
        <w:rPr>
          <w:rFonts w:ascii="Arial" w:hAnsi="Arial" w:cs="Arial"/>
          <w:sz w:val="18"/>
          <w:szCs w:val="18"/>
          <w:lang w:val="fr-FR"/>
        </w:rPr>
      </w:pPr>
      <w:r w:rsidRPr="00B94A1A">
        <w:rPr>
          <w:rFonts w:ascii="Arial" w:hAnsi="Arial" w:cs="Arial"/>
          <w:sz w:val="18"/>
          <w:szCs w:val="18"/>
          <w:vertAlign w:val="superscript"/>
        </w:rPr>
        <w:footnoteRef/>
      </w:r>
      <w:r w:rsidRPr="00720D91">
        <w:rPr>
          <w:rFonts w:ascii="Arial" w:hAnsi="Arial" w:cs="Arial"/>
          <w:sz w:val="18"/>
          <w:szCs w:val="18"/>
          <w:vertAlign w:val="superscript"/>
          <w:lang w:val="fr-FR"/>
        </w:rPr>
        <w:t xml:space="preserve"> </w:t>
      </w:r>
      <w:r w:rsidRPr="00720D91">
        <w:rPr>
          <w:rFonts w:ascii="Arial" w:hAnsi="Arial" w:cs="Arial"/>
          <w:sz w:val="18"/>
          <w:szCs w:val="18"/>
          <w:u w:val="single"/>
          <w:lang w:val="fr-FR"/>
        </w:rPr>
        <w:t>Chypre c. Turquie</w:t>
      </w:r>
      <w:r w:rsidRPr="00720D91">
        <w:rPr>
          <w:rFonts w:ascii="Arial" w:hAnsi="Arial" w:cs="Arial"/>
          <w:sz w:val="18"/>
          <w:szCs w:val="18"/>
          <w:lang w:val="fr-FR"/>
        </w:rPr>
        <w:t xml:space="preserve">, </w:t>
      </w:r>
      <w:hyperlink r:id="rId97" w:history="1">
        <w:r w:rsidRPr="00720D91">
          <w:rPr>
            <w:rFonts w:ascii="Arial" w:hAnsi="Arial" w:cs="Arial"/>
            <w:sz w:val="18"/>
            <w:szCs w:val="18"/>
            <w:lang w:val="fr-FR"/>
          </w:rPr>
          <w:t>nos 6780/74 et 6950/75</w:t>
        </w:r>
      </w:hyperlink>
      <w:r w:rsidRPr="00720D91">
        <w:rPr>
          <w:rFonts w:ascii="Arial" w:hAnsi="Arial" w:cs="Arial"/>
          <w:sz w:val="18"/>
          <w:szCs w:val="18"/>
          <w:lang w:val="fr-FR"/>
        </w:rPr>
        <w:t xml:space="preserve">, p.138, 26 mai 1975 ; </w:t>
      </w:r>
      <w:hyperlink r:id="rId98" w:tgtFrame="_blank" w:history="1">
        <w:r w:rsidRPr="00720D91">
          <w:rPr>
            <w:rFonts w:ascii="Arial" w:hAnsi="Arial" w:cs="Arial"/>
            <w:sz w:val="18"/>
            <w:szCs w:val="18"/>
            <w:u w:val="single"/>
            <w:lang w:val="fr-FR"/>
          </w:rPr>
          <w:t>Chypre c. Turquie</w:t>
        </w:r>
        <w:r w:rsidRPr="00720D91">
          <w:rPr>
            <w:rFonts w:ascii="Arial" w:hAnsi="Arial" w:cs="Arial"/>
            <w:sz w:val="18"/>
            <w:szCs w:val="18"/>
            <w:lang w:val="fr-FR"/>
          </w:rPr>
          <w:t xml:space="preserve"> n° 8007/77</w:t>
        </w:r>
      </w:hyperlink>
      <w:r w:rsidRPr="00720D91">
        <w:rPr>
          <w:rFonts w:ascii="Arial" w:hAnsi="Arial" w:cs="Arial"/>
          <w:sz w:val="18"/>
          <w:szCs w:val="18"/>
          <w:lang w:val="fr-FR"/>
        </w:rPr>
        <w:t>, déc. 03.10.78, D.R. 13 p. 78, para. 56 à p. 156.</w:t>
      </w:r>
    </w:p>
  </w:footnote>
  <w:footnote w:id="67">
    <w:p w14:paraId="1FC1839E" w14:textId="77777777" w:rsidR="00B41728" w:rsidRPr="00720D91" w:rsidRDefault="00B41728" w:rsidP="00F331F8">
      <w:pPr>
        <w:pStyle w:val="FootnoteText"/>
        <w:shd w:val="clear" w:color="auto" w:fill="FFFFFF" w:themeFill="background1"/>
        <w:jc w:val="both"/>
        <w:rPr>
          <w:rFonts w:ascii="Arial" w:hAnsi="Arial" w:cs="Arial"/>
          <w:sz w:val="18"/>
          <w:szCs w:val="18"/>
          <w:lang w:val="fr-FR"/>
        </w:rPr>
      </w:pPr>
      <w:r w:rsidRPr="00B94A1A">
        <w:rPr>
          <w:rFonts w:ascii="Arial" w:hAnsi="Arial" w:cs="Arial"/>
          <w:sz w:val="18"/>
          <w:szCs w:val="18"/>
          <w:vertAlign w:val="superscript"/>
        </w:rPr>
        <w:footnoteRef/>
      </w:r>
      <w:r w:rsidRPr="00720D91">
        <w:rPr>
          <w:rFonts w:ascii="Arial" w:hAnsi="Arial" w:cs="Arial"/>
          <w:sz w:val="18"/>
          <w:szCs w:val="18"/>
          <w:lang w:val="fr-FR"/>
        </w:rPr>
        <w:t xml:space="preserve"> </w:t>
      </w:r>
      <w:hyperlink r:id="rId99" w:history="1">
        <w:r w:rsidRPr="00720D91">
          <w:rPr>
            <w:rFonts w:ascii="Arial" w:hAnsi="Arial" w:cs="Arial"/>
            <w:sz w:val="18"/>
            <w:szCs w:val="18"/>
            <w:u w:val="single"/>
            <w:lang w:val="fr-FR"/>
          </w:rPr>
          <w:t>Ukraine c. Russie</w:t>
        </w:r>
        <w:r w:rsidRPr="00720D91">
          <w:rPr>
            <w:rFonts w:ascii="Arial" w:hAnsi="Arial" w:cs="Arial"/>
            <w:sz w:val="18"/>
            <w:szCs w:val="18"/>
            <w:lang w:val="fr-FR"/>
          </w:rPr>
          <w:t xml:space="preserve"> </w:t>
        </w:r>
      </w:hyperlink>
      <w:r w:rsidRPr="00720D91">
        <w:rPr>
          <w:rFonts w:ascii="Arial" w:hAnsi="Arial" w:cs="Arial"/>
          <w:sz w:val="18"/>
          <w:szCs w:val="18"/>
          <w:lang w:val="fr-FR"/>
        </w:rPr>
        <w:t>(déc) [GC], nos 20958/14 et 38334/18, § 271, 16 décembre 2020.</w:t>
      </w:r>
    </w:p>
  </w:footnote>
  <w:footnote w:id="68">
    <w:p w14:paraId="5DE2F7B9" w14:textId="77777777" w:rsidR="00B41728" w:rsidRPr="00720D91" w:rsidRDefault="00B41728" w:rsidP="00F331F8">
      <w:pPr>
        <w:pStyle w:val="FootnoteText"/>
        <w:shd w:val="clear" w:color="auto" w:fill="FFFFFF" w:themeFill="background1"/>
        <w:jc w:val="both"/>
        <w:rPr>
          <w:rFonts w:ascii="Arial" w:hAnsi="Arial" w:cs="Arial"/>
          <w:sz w:val="18"/>
          <w:szCs w:val="18"/>
          <w:lang w:val="fr-FR"/>
        </w:rPr>
      </w:pPr>
      <w:r w:rsidRPr="00B94A1A">
        <w:rPr>
          <w:rFonts w:ascii="Arial" w:hAnsi="Arial" w:cs="Arial"/>
          <w:sz w:val="18"/>
          <w:szCs w:val="18"/>
          <w:vertAlign w:val="superscript"/>
        </w:rPr>
        <w:footnoteRef/>
      </w:r>
      <w:r w:rsidRPr="00720D91">
        <w:rPr>
          <w:rFonts w:ascii="Arial" w:hAnsi="Arial" w:cs="Arial"/>
          <w:sz w:val="18"/>
          <w:szCs w:val="18"/>
          <w:lang w:val="fr-FR"/>
        </w:rPr>
        <w:t xml:space="preserve"> </w:t>
      </w:r>
      <w:hyperlink r:id="rId100" w:history="1">
        <w:r w:rsidRPr="00720D91">
          <w:rPr>
            <w:rFonts w:ascii="Arial" w:hAnsi="Arial" w:cs="Arial"/>
            <w:sz w:val="18"/>
            <w:szCs w:val="18"/>
            <w:u w:val="single"/>
            <w:lang w:val="fr-FR"/>
          </w:rPr>
          <w:t>Ukraine c. Russie</w:t>
        </w:r>
        <w:r w:rsidRPr="00720D91">
          <w:rPr>
            <w:rFonts w:ascii="Arial" w:hAnsi="Arial" w:cs="Arial"/>
            <w:sz w:val="18"/>
            <w:szCs w:val="18"/>
            <w:lang w:val="fr-FR"/>
          </w:rPr>
          <w:t xml:space="preserve"> </w:t>
        </w:r>
      </w:hyperlink>
      <w:r w:rsidRPr="00720D91">
        <w:rPr>
          <w:rFonts w:ascii="Arial" w:hAnsi="Arial" w:cs="Arial"/>
          <w:sz w:val="18"/>
          <w:szCs w:val="18"/>
          <w:lang w:val="fr-FR"/>
        </w:rPr>
        <w:t>(déc) [GC], nos 20958/14 et 38334/18, § 272, 16 décembre 2020.</w:t>
      </w:r>
    </w:p>
  </w:footnote>
  <w:footnote w:id="69">
    <w:p w14:paraId="67465E4E" w14:textId="77777777" w:rsidR="00B41728" w:rsidRPr="00720D91" w:rsidRDefault="00B41728" w:rsidP="00F331F8">
      <w:pPr>
        <w:pStyle w:val="FootnoteText"/>
        <w:shd w:val="clear" w:color="auto" w:fill="FFFFFF" w:themeFill="background1"/>
        <w:jc w:val="both"/>
        <w:rPr>
          <w:lang w:val="fr-FR"/>
        </w:rPr>
      </w:pPr>
      <w:r w:rsidRPr="00B94A1A">
        <w:rPr>
          <w:rFonts w:ascii="Arial" w:hAnsi="Arial" w:cs="Arial"/>
          <w:sz w:val="18"/>
          <w:szCs w:val="18"/>
          <w:vertAlign w:val="superscript"/>
        </w:rPr>
        <w:footnoteRef/>
      </w:r>
      <w:hyperlink r:id="rId101" w:history="1">
        <w:r w:rsidRPr="00720D91">
          <w:rPr>
            <w:rFonts w:ascii="Arial" w:hAnsi="Arial" w:cs="Arial"/>
            <w:sz w:val="18"/>
            <w:szCs w:val="18"/>
            <w:lang w:val="fr-FR"/>
          </w:rPr>
          <w:t xml:space="preserve"> </w:t>
        </w:r>
        <w:r w:rsidRPr="00720D91">
          <w:rPr>
            <w:rFonts w:ascii="Arial" w:hAnsi="Arial" w:cs="Arial"/>
            <w:sz w:val="18"/>
            <w:szCs w:val="18"/>
            <w:u w:val="single"/>
            <w:lang w:val="fr-FR"/>
          </w:rPr>
          <w:t>Slovénie c. Croatie</w:t>
        </w:r>
        <w:r w:rsidRPr="00720D91">
          <w:rPr>
            <w:rFonts w:ascii="Arial" w:hAnsi="Arial" w:cs="Arial"/>
            <w:sz w:val="18"/>
            <w:szCs w:val="18"/>
            <w:lang w:val="fr-FR"/>
          </w:rPr>
          <w:t xml:space="preserve"> </w:t>
        </w:r>
      </w:hyperlink>
      <w:r w:rsidRPr="00720D91">
        <w:rPr>
          <w:rFonts w:ascii="Arial" w:hAnsi="Arial" w:cs="Arial"/>
          <w:sz w:val="18"/>
          <w:szCs w:val="18"/>
          <w:lang w:val="fr-FR"/>
        </w:rPr>
        <w:t>(déc), n° 54155/16, §§ 46-70, 18 novembre 2020.</w:t>
      </w:r>
      <w:r w:rsidRPr="00720D91">
        <w:rPr>
          <w:rFonts w:ascii="Arial" w:hAnsi="Arial" w:cs="Arial"/>
          <w:b/>
          <w:bCs/>
          <w:sz w:val="18"/>
          <w:szCs w:val="18"/>
          <w:shd w:val="clear" w:color="auto" w:fill="D9D9D9" w:themeFill="background1" w:themeFillShade="D9"/>
          <w:lang w:val="fr-FR"/>
        </w:rPr>
        <w:t xml:space="preserve"> </w:t>
      </w:r>
    </w:p>
  </w:footnote>
  <w:footnote w:id="70">
    <w:p w14:paraId="119CB7F8" w14:textId="77777777" w:rsidR="00B41728" w:rsidRPr="00720D91" w:rsidRDefault="00B41728" w:rsidP="00F331F8">
      <w:pPr>
        <w:pStyle w:val="FootnoteText"/>
        <w:rPr>
          <w:lang w:val="fr-FR"/>
        </w:rPr>
      </w:pPr>
      <w:r w:rsidRPr="00644BCB">
        <w:rPr>
          <w:rStyle w:val="FootnoteReference"/>
          <w:shd w:val="clear" w:color="auto" w:fill="FFFFFF" w:themeFill="background1"/>
        </w:rPr>
        <w:footnoteRef/>
      </w:r>
      <w:hyperlink r:id="rId102" w:history="1">
        <w:r w:rsidRPr="00720D91">
          <w:rPr>
            <w:rStyle w:val="Hyperlink"/>
            <w:rFonts w:ascii="Arial" w:hAnsi="Arial" w:cs="Arial"/>
            <w:i/>
            <w:iCs/>
            <w:color w:val="auto"/>
            <w:sz w:val="18"/>
            <w:szCs w:val="18"/>
            <w:shd w:val="clear" w:color="auto" w:fill="FFFFFF" w:themeFill="background1"/>
            <w:lang w:val="fr-FR"/>
          </w:rPr>
          <w:t xml:space="preserve"> Slovénie c. Croatie </w:t>
        </w:r>
      </w:hyperlink>
      <w:r w:rsidRPr="00720D91">
        <w:rPr>
          <w:rFonts w:ascii="Arial" w:hAnsi="Arial" w:cs="Arial"/>
          <w:i/>
          <w:iCs/>
          <w:sz w:val="18"/>
          <w:szCs w:val="18"/>
          <w:shd w:val="clear" w:color="auto" w:fill="FFFFFF" w:themeFill="background1"/>
          <w:lang w:val="fr-FR"/>
        </w:rPr>
        <w:t>(déc)</w:t>
      </w:r>
      <w:r w:rsidRPr="00720D91">
        <w:rPr>
          <w:rFonts w:ascii="Arial" w:hAnsi="Arial" w:cs="Arial"/>
          <w:sz w:val="18"/>
          <w:szCs w:val="18"/>
          <w:shd w:val="clear" w:color="auto" w:fill="FFFFFF" w:themeFill="background1"/>
          <w:lang w:val="fr-FR"/>
        </w:rPr>
        <w:t>, n° 54155/16, § 43, 18 novembre 2020.</w:t>
      </w:r>
    </w:p>
  </w:footnote>
  <w:footnote w:id="71">
    <w:p w14:paraId="444A7292" w14:textId="77777777" w:rsidR="00B41728" w:rsidRPr="00720D91" w:rsidRDefault="00B41728" w:rsidP="00F331F8">
      <w:pPr>
        <w:pStyle w:val="FootnoteText"/>
        <w:shd w:val="clear" w:color="auto" w:fill="FFFFFF" w:themeFill="background1"/>
        <w:rPr>
          <w:lang w:val="fr-FR"/>
        </w:rPr>
      </w:pPr>
      <w:r w:rsidRPr="00644BCB">
        <w:rPr>
          <w:rStyle w:val="FootnoteReference"/>
          <w:shd w:val="clear" w:color="auto" w:fill="FFFFFF" w:themeFill="background1"/>
        </w:rPr>
        <w:footnoteRef/>
      </w:r>
      <w:hyperlink r:id="rId103" w:history="1">
        <w:r w:rsidRPr="00720D91">
          <w:rPr>
            <w:rStyle w:val="Hyperlink"/>
            <w:rFonts w:ascii="Arial" w:hAnsi="Arial" w:cs="Arial"/>
            <w:i/>
            <w:iCs/>
            <w:color w:val="auto"/>
            <w:sz w:val="18"/>
            <w:szCs w:val="18"/>
            <w:shd w:val="clear" w:color="auto" w:fill="FFFFFF" w:themeFill="background1"/>
            <w:lang w:val="fr-FR"/>
          </w:rPr>
          <w:t xml:space="preserve"> Slovénie c. Croatie </w:t>
        </w:r>
      </w:hyperlink>
      <w:r w:rsidRPr="00720D91">
        <w:rPr>
          <w:rFonts w:ascii="Arial" w:hAnsi="Arial" w:cs="Arial"/>
          <w:i/>
          <w:iCs/>
          <w:sz w:val="18"/>
          <w:szCs w:val="18"/>
          <w:shd w:val="clear" w:color="auto" w:fill="FFFFFF" w:themeFill="background1"/>
          <w:lang w:val="fr-FR"/>
        </w:rPr>
        <w:t>(déc)</w:t>
      </w:r>
      <w:r w:rsidRPr="00720D91">
        <w:rPr>
          <w:rFonts w:ascii="Arial" w:hAnsi="Arial" w:cs="Arial"/>
          <w:sz w:val="18"/>
          <w:szCs w:val="18"/>
          <w:shd w:val="clear" w:color="auto" w:fill="FFFFFF" w:themeFill="background1"/>
          <w:lang w:val="fr-FR"/>
        </w:rPr>
        <w:t>, n° 54155/16, § 76, 18 novembre 2020.</w:t>
      </w:r>
    </w:p>
  </w:footnote>
  <w:footnote w:id="72">
    <w:p w14:paraId="771A1DD5" w14:textId="77777777" w:rsidR="00B41728" w:rsidRPr="00720D91" w:rsidRDefault="00B41728" w:rsidP="00F331F8">
      <w:pPr>
        <w:pStyle w:val="FootnoteText"/>
        <w:shd w:val="clear" w:color="auto" w:fill="FFFFFF" w:themeFill="background1"/>
        <w:rPr>
          <w:lang w:val="fr-FR"/>
        </w:rPr>
      </w:pPr>
      <w:r w:rsidRPr="00644BCB">
        <w:rPr>
          <w:rStyle w:val="FootnoteReference"/>
          <w:shd w:val="clear" w:color="auto" w:fill="FFFFFF" w:themeFill="background1"/>
        </w:rPr>
        <w:footnoteRef/>
      </w:r>
      <w:hyperlink r:id="rId104" w:history="1">
        <w:r w:rsidRPr="00720D91">
          <w:rPr>
            <w:rStyle w:val="Hyperlink"/>
            <w:rFonts w:ascii="Arial" w:hAnsi="Arial" w:cs="Arial"/>
            <w:i/>
            <w:iCs/>
            <w:color w:val="auto"/>
            <w:sz w:val="18"/>
            <w:szCs w:val="18"/>
            <w:shd w:val="clear" w:color="auto" w:fill="FFFFFF" w:themeFill="background1"/>
            <w:lang w:val="fr-FR"/>
          </w:rPr>
          <w:t xml:space="preserve"> Slovénie c. Croatie </w:t>
        </w:r>
      </w:hyperlink>
      <w:r w:rsidRPr="00720D91">
        <w:rPr>
          <w:rFonts w:ascii="Arial" w:hAnsi="Arial" w:cs="Arial"/>
          <w:i/>
          <w:iCs/>
          <w:sz w:val="18"/>
          <w:szCs w:val="18"/>
          <w:shd w:val="clear" w:color="auto" w:fill="FFFFFF" w:themeFill="background1"/>
          <w:lang w:val="fr-FR"/>
        </w:rPr>
        <w:t>(déc)</w:t>
      </w:r>
      <w:r w:rsidRPr="00720D91">
        <w:rPr>
          <w:rFonts w:ascii="Arial" w:hAnsi="Arial" w:cs="Arial"/>
          <w:sz w:val="18"/>
          <w:szCs w:val="18"/>
          <w:shd w:val="clear" w:color="auto" w:fill="FFFFFF" w:themeFill="background1"/>
          <w:lang w:val="fr-FR"/>
        </w:rPr>
        <w:t>, n° 54155/16, § 70, 18 novembre 2020.</w:t>
      </w:r>
    </w:p>
  </w:footnote>
  <w:footnote w:id="73">
    <w:p w14:paraId="3FF76991" w14:textId="77777777" w:rsidR="00B41728" w:rsidRPr="00720D91" w:rsidRDefault="00B41728" w:rsidP="00F331F8">
      <w:pPr>
        <w:pStyle w:val="SingleTxtG"/>
        <w:spacing w:after="0" w:line="180" w:lineRule="exact"/>
        <w:ind w:left="0" w:right="0"/>
        <w:rPr>
          <w:rFonts w:ascii="Arial" w:hAnsi="Arial" w:cs="Arial"/>
          <w:sz w:val="18"/>
          <w:szCs w:val="18"/>
          <w:lang w:val="fr-FR"/>
        </w:rPr>
      </w:pPr>
      <w:r w:rsidRPr="00560F13">
        <w:rPr>
          <w:rStyle w:val="FootnoteReference"/>
          <w:rFonts w:ascii="Arial" w:hAnsi="Arial" w:cs="Arial"/>
          <w:sz w:val="18"/>
          <w:szCs w:val="18"/>
        </w:rPr>
        <w:footnoteRef/>
      </w:r>
      <w:r w:rsidRPr="00720D91">
        <w:rPr>
          <w:rFonts w:ascii="Arial" w:hAnsi="Arial" w:cs="Arial"/>
          <w:sz w:val="18"/>
          <w:szCs w:val="18"/>
          <w:lang w:val="fr-FR"/>
        </w:rPr>
        <w:t xml:space="preserve"> Voir document </w:t>
      </w:r>
      <w:hyperlink r:id="rId105" w:history="1">
        <w:r w:rsidRPr="00720D91">
          <w:rPr>
            <w:rStyle w:val="Hyperlink"/>
            <w:rFonts w:ascii="Arial" w:hAnsi="Arial" w:cs="Arial"/>
            <w:sz w:val="18"/>
            <w:szCs w:val="18"/>
            <w:lang w:val="fr-FR"/>
          </w:rPr>
          <w:t>CDDH(2019)22</w:t>
        </w:r>
      </w:hyperlink>
    </w:p>
  </w:footnote>
  <w:footnote w:id="74">
    <w:p w14:paraId="1199BCD1" w14:textId="77777777" w:rsidR="00B41728" w:rsidRPr="00720D91" w:rsidRDefault="00B41728" w:rsidP="00F331F8">
      <w:pPr>
        <w:pStyle w:val="FootnoteText"/>
        <w:rPr>
          <w:lang w:val="fr-FR"/>
        </w:rPr>
      </w:pPr>
      <w:r>
        <w:rPr>
          <w:rStyle w:val="FootnoteReference"/>
        </w:rPr>
        <w:footnoteRef/>
      </w:r>
      <w:r w:rsidRPr="00720D91">
        <w:rPr>
          <w:lang w:val="fr-FR"/>
        </w:rPr>
        <w:t xml:space="preserve"> </w:t>
      </w:r>
      <w:r w:rsidRPr="00720D91">
        <w:rPr>
          <w:rFonts w:ascii="Arial" w:hAnsi="Arial" w:cs="Arial"/>
          <w:sz w:val="18"/>
          <w:szCs w:val="18"/>
          <w:lang w:val="fr-FR"/>
        </w:rPr>
        <w:t xml:space="preserve">Voir commentaires de la Fédération de Russie dans le document </w:t>
      </w:r>
      <w:hyperlink r:id="rId106" w:history="1">
        <w:r w:rsidRPr="00720D91">
          <w:rPr>
            <w:rStyle w:val="Hyperlink"/>
            <w:rFonts w:ascii="Arial" w:hAnsi="Arial" w:cs="Arial"/>
            <w:sz w:val="18"/>
            <w:szCs w:val="18"/>
            <w:lang w:val="fr-FR"/>
          </w:rPr>
          <w:t>CDDH(2019)12</w:t>
        </w:r>
      </w:hyperlink>
      <w:r w:rsidRPr="00720D91">
        <w:rPr>
          <w:rFonts w:ascii="Arial" w:hAnsi="Arial" w:cs="Arial"/>
          <w:sz w:val="18"/>
          <w:szCs w:val="18"/>
          <w:lang w:val="fr-FR"/>
        </w:rPr>
        <w:t>, §§ 3.1. et 3.2 ; DH-SYSC-IV(2020)05Rev et DH-SYSC-IV(2020)06REV.</w:t>
      </w:r>
    </w:p>
  </w:footnote>
  <w:footnote w:id="75">
    <w:p w14:paraId="51ED48EF" w14:textId="77777777" w:rsidR="00B41728" w:rsidRPr="00720D91" w:rsidRDefault="00B41728" w:rsidP="00F331F8">
      <w:pPr>
        <w:pStyle w:val="SingleTxtG"/>
        <w:spacing w:after="0" w:line="180" w:lineRule="exact"/>
        <w:ind w:left="0" w:right="0"/>
        <w:rPr>
          <w:rFonts w:ascii="Arial" w:hAnsi="Arial" w:cs="Arial"/>
          <w:sz w:val="18"/>
          <w:szCs w:val="18"/>
          <w:lang w:val="fr-FR"/>
        </w:rPr>
      </w:pPr>
      <w:r w:rsidRPr="002D305B">
        <w:rPr>
          <w:rStyle w:val="FootnoteReference"/>
          <w:rFonts w:ascii="Arial" w:hAnsi="Arial" w:cs="Arial"/>
          <w:sz w:val="18"/>
          <w:szCs w:val="18"/>
        </w:rPr>
        <w:footnoteRef/>
      </w:r>
      <w:r w:rsidRPr="00720D91">
        <w:rPr>
          <w:rFonts w:ascii="Arial" w:hAnsi="Arial" w:cs="Arial"/>
          <w:sz w:val="18"/>
          <w:szCs w:val="18"/>
          <w:lang w:val="fr-FR"/>
        </w:rPr>
        <w:t xml:space="preserve"> Voir commentaires de la Fédération de Russie dans le document </w:t>
      </w:r>
      <w:hyperlink r:id="rId107" w:history="1">
        <w:r w:rsidRPr="00720D91">
          <w:rPr>
            <w:rStyle w:val="Hyperlink"/>
            <w:rFonts w:ascii="Arial" w:hAnsi="Arial" w:cs="Arial"/>
            <w:sz w:val="18"/>
            <w:szCs w:val="18"/>
            <w:lang w:val="fr-FR"/>
          </w:rPr>
          <w:t>CDDH(2019)12</w:t>
        </w:r>
      </w:hyperlink>
      <w:r w:rsidRPr="00720D91">
        <w:rPr>
          <w:rFonts w:ascii="Arial" w:hAnsi="Arial" w:cs="Arial"/>
          <w:sz w:val="18"/>
          <w:szCs w:val="18"/>
          <w:lang w:val="fr-FR"/>
        </w:rPr>
        <w:t xml:space="preserve">, §§ 3.1. et 3.2. </w:t>
      </w:r>
    </w:p>
  </w:footnote>
  <w:footnote w:id="76">
    <w:p w14:paraId="1713DCB5" w14:textId="77777777" w:rsidR="00B41728" w:rsidRPr="00720D91" w:rsidRDefault="00B41728" w:rsidP="00F331F8">
      <w:pPr>
        <w:pStyle w:val="SingleTxtG"/>
        <w:spacing w:after="0" w:line="180" w:lineRule="exact"/>
        <w:ind w:left="0" w:right="0"/>
        <w:rPr>
          <w:rFonts w:ascii="Arial" w:hAnsi="Arial" w:cs="Arial"/>
          <w:sz w:val="18"/>
          <w:szCs w:val="18"/>
          <w:lang w:val="fr-FR"/>
        </w:rPr>
      </w:pPr>
      <w:r w:rsidRPr="00560F13">
        <w:rPr>
          <w:rStyle w:val="FootnoteReference"/>
          <w:rFonts w:ascii="Arial" w:hAnsi="Arial" w:cs="Arial"/>
          <w:sz w:val="18"/>
          <w:szCs w:val="18"/>
        </w:rPr>
        <w:footnoteRef/>
      </w:r>
      <w:r w:rsidRPr="00720D91">
        <w:rPr>
          <w:rFonts w:ascii="Arial" w:hAnsi="Arial" w:cs="Arial"/>
          <w:sz w:val="18"/>
          <w:szCs w:val="18"/>
          <w:lang w:val="fr-FR"/>
        </w:rPr>
        <w:t xml:space="preserve"> </w:t>
      </w:r>
      <w:hyperlink r:id="rId108" w:history="1">
        <w:r w:rsidRPr="00720D91">
          <w:rPr>
            <w:rStyle w:val="Hyperlink"/>
            <w:rFonts w:ascii="Arial" w:hAnsi="Arial" w:cs="Arial"/>
            <w:i/>
            <w:sz w:val="18"/>
            <w:szCs w:val="18"/>
            <w:lang w:val="fr-FR"/>
          </w:rPr>
          <w:t>Varnava et autres c. Turquie</w:t>
        </w:r>
      </w:hyperlink>
      <w:r w:rsidRPr="00720D91">
        <w:rPr>
          <w:rFonts w:ascii="Arial" w:hAnsi="Arial" w:cs="Arial"/>
          <w:sz w:val="18"/>
          <w:szCs w:val="18"/>
          <w:lang w:val="fr-FR"/>
        </w:rPr>
        <w:t>, nos. 16064/90, 16065/90, 16066/90, 16068/90, 16069/90, 16070/90, 16071/90, 16072/90 and 16073/90, §§ 118 and 119, 18 septembre 2009.</w:t>
      </w:r>
    </w:p>
  </w:footnote>
  <w:footnote w:id="77">
    <w:p w14:paraId="7006C419" w14:textId="77777777" w:rsidR="00B41728" w:rsidRPr="00F331F8" w:rsidRDefault="00B41728" w:rsidP="00F331F8">
      <w:pPr>
        <w:jc w:val="both"/>
        <w:rPr>
          <w:lang w:val="fr-FR"/>
        </w:rPr>
      </w:pPr>
      <w:r w:rsidRPr="00560F13">
        <w:rPr>
          <w:rStyle w:val="FootnoteReference"/>
          <w:rFonts w:ascii="Arial" w:hAnsi="Arial" w:cs="Arial"/>
          <w:sz w:val="18"/>
          <w:szCs w:val="18"/>
        </w:rPr>
        <w:footnoteRef/>
      </w:r>
      <w:r w:rsidRPr="00F331F8">
        <w:rPr>
          <w:rFonts w:ascii="Arial" w:hAnsi="Arial" w:cs="Arial"/>
          <w:sz w:val="18"/>
          <w:szCs w:val="18"/>
          <w:lang w:val="fr-FR"/>
        </w:rPr>
        <w:t xml:space="preserve"> Voir Déclaration de Copenhague, § 45. Voir également </w:t>
      </w:r>
      <w:hyperlink r:id="rId109" w:history="1">
        <w:r w:rsidRPr="00F331F8">
          <w:rPr>
            <w:rStyle w:val="Hyperlink"/>
            <w:rFonts w:ascii="Arial" w:hAnsi="Arial" w:cs="Arial"/>
            <w:i/>
            <w:sz w:val="18"/>
            <w:szCs w:val="18"/>
            <w:lang w:val="fr-FR"/>
          </w:rPr>
          <w:t>Berdzenishvili et autres c. Russi</w:t>
        </w:r>
        <w:r w:rsidRPr="00F331F8">
          <w:rPr>
            <w:rStyle w:val="Hyperlink"/>
            <w:rFonts w:ascii="Arial" w:hAnsi="Arial" w:cs="Arial"/>
            <w:sz w:val="18"/>
            <w:szCs w:val="18"/>
            <w:lang w:val="fr-FR"/>
          </w:rPr>
          <w:t>e</w:t>
        </w:r>
      </w:hyperlink>
      <w:r w:rsidRPr="00F331F8">
        <w:rPr>
          <w:rFonts w:ascii="Arial" w:hAnsi="Arial" w:cs="Arial"/>
          <w:sz w:val="18"/>
          <w:szCs w:val="18"/>
          <w:lang w:val="fr-FR"/>
        </w:rPr>
        <w:t xml:space="preserve">, nos. 14594/07 et 6 autres, § 4, 20 décembre 2016; et voir </w:t>
      </w:r>
      <w:hyperlink r:id="rId110" w:history="1">
        <w:r w:rsidRPr="00F331F8">
          <w:rPr>
            <w:rStyle w:val="Hyperlink"/>
            <w:rFonts w:ascii="Arial" w:hAnsi="Arial" w:cs="Arial"/>
            <w:sz w:val="18"/>
            <w:szCs w:val="18"/>
            <w:lang w:val="fr-FR"/>
          </w:rPr>
          <w:t>communiqué de presse</w:t>
        </w:r>
      </w:hyperlink>
      <w:r w:rsidRPr="00F331F8">
        <w:rPr>
          <w:rFonts w:ascii="Arial" w:hAnsi="Arial" w:cs="Arial"/>
          <w:sz w:val="18"/>
          <w:szCs w:val="18"/>
          <w:lang w:val="fr-FR"/>
        </w:rPr>
        <w:t xml:space="preserve"> “La CEDH va ajourner des requêtes individuelles portant sur l’Ukraine de l’est” ECHR 432 (2018), 17 décembre 2018.</w:t>
      </w:r>
    </w:p>
  </w:footnote>
  <w:footnote w:id="78">
    <w:p w14:paraId="4E9DE3B3" w14:textId="77777777" w:rsidR="00B41728" w:rsidRPr="00720D91" w:rsidRDefault="00B41728" w:rsidP="00F331F8">
      <w:pPr>
        <w:pStyle w:val="SingleTxtG"/>
        <w:spacing w:after="0" w:line="180" w:lineRule="exact"/>
        <w:ind w:left="0" w:right="0"/>
        <w:rPr>
          <w:rFonts w:ascii="Arial" w:hAnsi="Arial" w:cs="Arial"/>
          <w:sz w:val="18"/>
          <w:szCs w:val="18"/>
          <w:lang w:val="fr-FR"/>
        </w:rPr>
      </w:pPr>
      <w:r w:rsidRPr="00560F13">
        <w:rPr>
          <w:rStyle w:val="FootnoteReference"/>
          <w:rFonts w:ascii="Arial" w:hAnsi="Arial" w:cs="Arial"/>
          <w:sz w:val="18"/>
          <w:szCs w:val="18"/>
        </w:rPr>
        <w:footnoteRef/>
      </w:r>
      <w:r w:rsidRPr="00720D91">
        <w:rPr>
          <w:rFonts w:ascii="Arial" w:hAnsi="Arial" w:cs="Arial"/>
          <w:sz w:val="18"/>
          <w:szCs w:val="18"/>
          <w:lang w:val="fr-FR"/>
        </w:rPr>
        <w:t xml:space="preserve"> </w:t>
      </w:r>
      <w:hyperlink r:id="rId111" w:anchor="{%22appno%22:[%2244913/15%22],%22itemid%22:[%22001-165566%22]}" w:history="1">
        <w:r w:rsidRPr="00720D91">
          <w:rPr>
            <w:rStyle w:val="Hyperlink"/>
            <w:rFonts w:ascii="Arial" w:hAnsi="Arial" w:cs="Arial"/>
            <w:i/>
            <w:iCs/>
            <w:sz w:val="18"/>
            <w:szCs w:val="18"/>
            <w:lang w:val="fr-FR"/>
          </w:rPr>
          <w:t>Lisnyy and others v. Ukraine and Russia</w:t>
        </w:r>
        <w:r w:rsidRPr="00720D91">
          <w:rPr>
            <w:rStyle w:val="Hyperlink"/>
            <w:rFonts w:ascii="Arial" w:hAnsi="Arial" w:cs="Arial"/>
            <w:sz w:val="18"/>
            <w:szCs w:val="18"/>
            <w:lang w:val="fr-FR"/>
          </w:rPr>
          <w:t xml:space="preserve"> </w:t>
        </w:r>
      </w:hyperlink>
      <w:r w:rsidRPr="00720D91">
        <w:rPr>
          <w:rFonts w:ascii="Arial" w:hAnsi="Arial" w:cs="Arial"/>
          <w:sz w:val="18"/>
          <w:szCs w:val="18"/>
          <w:lang w:val="fr-FR"/>
        </w:rPr>
        <w:t xml:space="preserve"> nos. 5355/15, 44913/15 et 50852/15, 5 juillet 2016 (anglais uniquement). </w:t>
      </w:r>
    </w:p>
  </w:footnote>
  <w:footnote w:id="79">
    <w:p w14:paraId="1A35242B" w14:textId="77777777" w:rsidR="00B41728" w:rsidRPr="00720D91" w:rsidRDefault="00B41728" w:rsidP="00F331F8">
      <w:pPr>
        <w:pStyle w:val="SingleTxtG"/>
        <w:spacing w:after="0" w:line="180" w:lineRule="exact"/>
        <w:ind w:left="0" w:right="0"/>
        <w:rPr>
          <w:rFonts w:ascii="Arial" w:hAnsi="Arial" w:cs="Arial"/>
          <w:sz w:val="18"/>
          <w:szCs w:val="18"/>
          <w:lang w:val="fr-FR"/>
        </w:rPr>
      </w:pPr>
      <w:r w:rsidRPr="00560F13">
        <w:rPr>
          <w:rStyle w:val="FootnoteReference"/>
          <w:rFonts w:ascii="Arial" w:hAnsi="Arial" w:cs="Arial"/>
          <w:sz w:val="18"/>
          <w:szCs w:val="18"/>
        </w:rPr>
        <w:footnoteRef/>
      </w:r>
      <w:r w:rsidRPr="00720D91">
        <w:rPr>
          <w:rFonts w:ascii="Arial" w:hAnsi="Arial" w:cs="Arial"/>
          <w:sz w:val="18"/>
          <w:szCs w:val="18"/>
          <w:lang w:val="fr-FR"/>
        </w:rPr>
        <w:t xml:space="preserve"> Voir </w:t>
      </w:r>
      <w:hyperlink r:id="rId112" w:history="1">
        <w:r w:rsidRPr="00720D91">
          <w:rPr>
            <w:rStyle w:val="Hyperlink"/>
            <w:rFonts w:ascii="Arial" w:hAnsi="Arial" w:cs="Arial"/>
            <w:sz w:val="18"/>
            <w:szCs w:val="18"/>
            <w:lang w:val="fr-FR"/>
          </w:rPr>
          <w:t>communiqué de presse</w:t>
        </w:r>
      </w:hyperlink>
      <w:r w:rsidRPr="00720D91">
        <w:rPr>
          <w:rFonts w:ascii="Arial" w:hAnsi="Arial" w:cs="Arial"/>
          <w:sz w:val="18"/>
          <w:szCs w:val="18"/>
          <w:lang w:val="fr-FR"/>
        </w:rPr>
        <w:t xml:space="preserve"> “</w:t>
      </w:r>
      <w:r w:rsidRPr="00720D91">
        <w:rPr>
          <w:rFonts w:ascii="Arial" w:eastAsiaTheme="minorHAnsi" w:hAnsi="Arial" w:cs="Arial"/>
          <w:sz w:val="18"/>
          <w:szCs w:val="18"/>
          <w:lang w:val="fr-FR"/>
        </w:rPr>
        <w:t>La CEDH va ajourner des requêtes individuelles portant sur l’Ukraine de l’est</w:t>
      </w:r>
      <w:r w:rsidRPr="00720D91">
        <w:rPr>
          <w:rFonts w:ascii="Arial" w:hAnsi="Arial" w:cs="Arial"/>
          <w:sz w:val="18"/>
          <w:szCs w:val="18"/>
          <w:lang w:val="fr-FR"/>
        </w:rPr>
        <w:t>” ECHR 432 (2018), 17 décembre 2018.</w:t>
      </w:r>
    </w:p>
  </w:footnote>
  <w:footnote w:id="80">
    <w:p w14:paraId="03B94CCF" w14:textId="77777777" w:rsidR="00B41728" w:rsidRPr="00720D91" w:rsidRDefault="00B41728" w:rsidP="00F331F8">
      <w:pPr>
        <w:pStyle w:val="SingleTxtG"/>
        <w:spacing w:after="0" w:line="180" w:lineRule="exact"/>
        <w:ind w:left="0" w:right="0"/>
        <w:rPr>
          <w:rFonts w:ascii="Arial" w:hAnsi="Arial" w:cs="Arial"/>
          <w:sz w:val="18"/>
          <w:szCs w:val="18"/>
          <w:lang w:val="fr-FR"/>
        </w:rPr>
      </w:pPr>
      <w:r w:rsidRPr="00560F13">
        <w:rPr>
          <w:rStyle w:val="FootnoteReference"/>
          <w:rFonts w:ascii="Arial" w:hAnsi="Arial" w:cs="Arial"/>
          <w:sz w:val="18"/>
          <w:szCs w:val="18"/>
        </w:rPr>
        <w:footnoteRef/>
      </w:r>
      <w:r w:rsidRPr="00720D91">
        <w:rPr>
          <w:rFonts w:ascii="Arial" w:hAnsi="Arial" w:cs="Arial"/>
          <w:sz w:val="18"/>
          <w:szCs w:val="18"/>
          <w:lang w:val="fr-FR"/>
        </w:rPr>
        <w:t xml:space="preserve"> Voir document </w:t>
      </w:r>
      <w:hyperlink r:id="rId113" w:history="1">
        <w:r w:rsidRPr="00720D91">
          <w:rPr>
            <w:rStyle w:val="Hyperlink"/>
            <w:rFonts w:ascii="Arial" w:hAnsi="Arial" w:cs="Arial"/>
            <w:sz w:val="18"/>
            <w:szCs w:val="18"/>
            <w:lang w:val="fr-FR"/>
          </w:rPr>
          <w:t>CDDH(2019)22</w:t>
        </w:r>
      </w:hyperlink>
      <w:r w:rsidRPr="00720D91">
        <w:rPr>
          <w:rFonts w:ascii="Arial" w:hAnsi="Arial" w:cs="Arial"/>
          <w:sz w:val="18"/>
          <w:szCs w:val="18"/>
          <w:lang w:val="fr-FR"/>
        </w:rPr>
        <w:t>, § 25.</w:t>
      </w:r>
    </w:p>
  </w:footnote>
  <w:footnote w:id="81">
    <w:p w14:paraId="76C443BD" w14:textId="77777777" w:rsidR="00B41728" w:rsidRPr="00F331F8" w:rsidRDefault="00B41728" w:rsidP="00F331F8">
      <w:pPr>
        <w:jc w:val="both"/>
        <w:rPr>
          <w:lang w:val="fr-FR"/>
        </w:rPr>
      </w:pPr>
      <w:r w:rsidRPr="00560F13">
        <w:rPr>
          <w:rStyle w:val="FootnoteReference"/>
          <w:rFonts w:ascii="Arial" w:hAnsi="Arial" w:cs="Arial"/>
          <w:sz w:val="18"/>
          <w:szCs w:val="18"/>
        </w:rPr>
        <w:footnoteRef/>
      </w:r>
      <w:r w:rsidRPr="00F331F8">
        <w:rPr>
          <w:rFonts w:ascii="Arial" w:hAnsi="Arial" w:cs="Arial"/>
          <w:sz w:val="18"/>
          <w:szCs w:val="18"/>
          <w:lang w:val="fr-FR"/>
        </w:rPr>
        <w:t xml:space="preserve"> Voir </w:t>
      </w:r>
      <w:hyperlink r:id="rId114" w:history="1">
        <w:r w:rsidRPr="00F331F8">
          <w:rPr>
            <w:rStyle w:val="Hyperlink"/>
            <w:rFonts w:ascii="Arial" w:hAnsi="Arial" w:cs="Arial"/>
            <w:sz w:val="18"/>
            <w:szCs w:val="18"/>
            <w:lang w:val="fr-FR"/>
          </w:rPr>
          <w:t>Communiqué de presse</w:t>
        </w:r>
      </w:hyperlink>
      <w:r w:rsidRPr="00F331F8">
        <w:rPr>
          <w:rFonts w:ascii="Arial" w:hAnsi="Arial" w:cs="Arial"/>
          <w:sz w:val="18"/>
          <w:szCs w:val="18"/>
          <w:lang w:val="fr-FR"/>
        </w:rPr>
        <w:t>, “</w:t>
      </w:r>
      <w:r w:rsidRPr="00F331F8">
        <w:rPr>
          <w:rFonts w:ascii="Arial" w:hAnsi="Arial" w:cs="Arial"/>
          <w:sz w:val="18"/>
          <w:szCs w:val="18"/>
          <w:lang w:val="fr-FR" w:eastAsia="zh-CN"/>
        </w:rPr>
        <w:t>La Cour européenne joint trois requêtes intérétatiques”,</w:t>
      </w:r>
      <w:r w:rsidRPr="00F331F8">
        <w:rPr>
          <w:rFonts w:ascii="Arial" w:hAnsi="Arial" w:cs="Arial"/>
          <w:sz w:val="18"/>
          <w:szCs w:val="18"/>
          <w:lang w:val="fr-FR"/>
        </w:rPr>
        <w:t xml:space="preserve"> ECHR 354 (2020), 4 décembre 2020. </w:t>
      </w:r>
    </w:p>
  </w:footnote>
  <w:footnote w:id="82">
    <w:p w14:paraId="62679FBF" w14:textId="77777777" w:rsidR="00B41728" w:rsidRPr="00720D91" w:rsidRDefault="00B41728" w:rsidP="00F331F8">
      <w:pPr>
        <w:pStyle w:val="SingleTxtG"/>
        <w:spacing w:after="0" w:line="180" w:lineRule="exact"/>
        <w:ind w:left="0" w:right="0"/>
        <w:rPr>
          <w:rFonts w:ascii="Arial" w:hAnsi="Arial" w:cs="Arial"/>
          <w:sz w:val="18"/>
          <w:szCs w:val="18"/>
          <w:lang w:val="fr-FR"/>
        </w:rPr>
      </w:pPr>
      <w:r w:rsidRPr="00560F13">
        <w:rPr>
          <w:rStyle w:val="FootnoteReference"/>
          <w:rFonts w:ascii="Arial" w:hAnsi="Arial" w:cs="Arial"/>
          <w:sz w:val="18"/>
          <w:szCs w:val="18"/>
        </w:rPr>
        <w:footnoteRef/>
      </w:r>
      <w:r w:rsidRPr="00720D91">
        <w:rPr>
          <w:rFonts w:ascii="Arial" w:hAnsi="Arial" w:cs="Arial"/>
          <w:sz w:val="18"/>
          <w:szCs w:val="18"/>
          <w:lang w:val="fr-FR"/>
        </w:rPr>
        <w:t xml:space="preserve"> </w:t>
      </w:r>
      <w:hyperlink r:id="rId115" w:history="1">
        <w:r w:rsidRPr="00720D91">
          <w:rPr>
            <w:rStyle w:val="Hyperlink"/>
            <w:rFonts w:ascii="Arial" w:hAnsi="Arial" w:cs="Arial"/>
            <w:i/>
            <w:iCs/>
            <w:sz w:val="18"/>
            <w:szCs w:val="18"/>
            <w:lang w:val="fr-FR"/>
          </w:rPr>
          <w:t>Ukraine c. Russie</w:t>
        </w:r>
      </w:hyperlink>
      <w:r w:rsidRPr="00720D91">
        <w:rPr>
          <w:rFonts w:ascii="Arial" w:hAnsi="Arial" w:cs="Arial"/>
          <w:i/>
          <w:iCs/>
          <w:sz w:val="18"/>
          <w:szCs w:val="18"/>
          <w:lang w:val="fr-FR"/>
        </w:rPr>
        <w:t xml:space="preserve"> (dec) [GC]</w:t>
      </w:r>
      <w:r w:rsidRPr="00720D91">
        <w:rPr>
          <w:rFonts w:ascii="Arial" w:hAnsi="Arial" w:cs="Arial"/>
          <w:sz w:val="18"/>
          <w:szCs w:val="18"/>
          <w:lang w:val="fr-FR"/>
        </w:rPr>
        <w:t>, nos. 20958/14 et 38334/18, § 236-245, 16 décembre 2020.</w:t>
      </w:r>
    </w:p>
  </w:footnote>
  <w:footnote w:id="83">
    <w:p w14:paraId="3C68466B" w14:textId="77777777" w:rsidR="00B41728" w:rsidRPr="00720D91" w:rsidRDefault="00B41728" w:rsidP="00F331F8">
      <w:pPr>
        <w:pStyle w:val="SingleTxtG"/>
        <w:spacing w:after="0" w:line="180" w:lineRule="exact"/>
        <w:ind w:left="0" w:right="0"/>
        <w:rPr>
          <w:rFonts w:ascii="Arial" w:hAnsi="Arial" w:cs="Arial"/>
          <w:sz w:val="18"/>
          <w:szCs w:val="18"/>
          <w:lang w:val="fr-FR"/>
        </w:rPr>
      </w:pPr>
      <w:r w:rsidRPr="00560F13">
        <w:rPr>
          <w:rStyle w:val="FootnoteReference"/>
          <w:rFonts w:ascii="Arial" w:hAnsi="Arial" w:cs="Arial"/>
          <w:sz w:val="18"/>
          <w:szCs w:val="18"/>
        </w:rPr>
        <w:footnoteRef/>
      </w:r>
      <w:r w:rsidRPr="00720D91">
        <w:rPr>
          <w:rFonts w:ascii="Arial" w:hAnsi="Arial" w:cs="Arial"/>
          <w:sz w:val="18"/>
          <w:szCs w:val="18"/>
          <w:lang w:val="fr-FR"/>
        </w:rPr>
        <w:t xml:space="preserve"> </w:t>
      </w:r>
      <w:hyperlink r:id="rId116" w:history="1">
        <w:r w:rsidRPr="00720D91">
          <w:rPr>
            <w:rStyle w:val="Hyperlink"/>
            <w:rFonts w:ascii="Arial" w:hAnsi="Arial" w:cs="Arial"/>
            <w:i/>
            <w:iCs/>
            <w:sz w:val="18"/>
            <w:szCs w:val="18"/>
            <w:lang w:val="fr-FR"/>
          </w:rPr>
          <w:t>Ukraine c. Russie</w:t>
        </w:r>
      </w:hyperlink>
      <w:r w:rsidRPr="00720D91">
        <w:rPr>
          <w:rFonts w:ascii="Arial" w:hAnsi="Arial" w:cs="Arial"/>
          <w:i/>
          <w:iCs/>
          <w:sz w:val="18"/>
          <w:szCs w:val="18"/>
          <w:lang w:val="fr-FR"/>
        </w:rPr>
        <w:t xml:space="preserve"> (dec) [GC]</w:t>
      </w:r>
      <w:r w:rsidRPr="00720D91">
        <w:rPr>
          <w:rFonts w:ascii="Arial" w:hAnsi="Arial" w:cs="Arial"/>
          <w:sz w:val="18"/>
          <w:szCs w:val="18"/>
          <w:lang w:val="fr-FR"/>
        </w:rPr>
        <w:t xml:space="preserve">, nos. 20958/14 et 38334/18, § 240, 16 décembre 2020. </w:t>
      </w:r>
    </w:p>
  </w:footnote>
  <w:footnote w:id="84">
    <w:p w14:paraId="07623D28" w14:textId="77777777" w:rsidR="00B41728" w:rsidRPr="002D305B" w:rsidRDefault="00B41728" w:rsidP="00F331F8">
      <w:pPr>
        <w:pStyle w:val="NoSpacing"/>
        <w:jc w:val="both"/>
        <w:rPr>
          <w:rFonts w:ascii="Arial" w:hAnsi="Arial" w:cs="Arial"/>
          <w:sz w:val="18"/>
          <w:szCs w:val="18"/>
        </w:rPr>
      </w:pPr>
      <w:r w:rsidRPr="002D305B">
        <w:rPr>
          <w:rStyle w:val="FootnoteReference"/>
          <w:rFonts w:ascii="Arial" w:hAnsi="Arial" w:cs="Arial"/>
          <w:sz w:val="18"/>
          <w:szCs w:val="18"/>
        </w:rPr>
        <w:footnoteRef/>
      </w:r>
      <w:r w:rsidRPr="002D305B">
        <w:rPr>
          <w:rFonts w:ascii="Arial" w:hAnsi="Arial" w:cs="Arial"/>
          <w:sz w:val="18"/>
          <w:szCs w:val="18"/>
        </w:rPr>
        <w:t xml:space="preserve"> Voir les commentaires de la Fédération de Russie dans le document </w:t>
      </w:r>
      <w:bookmarkStart w:id="23" w:name="_Hlk67304788"/>
      <w:r w:rsidRPr="002D305B">
        <w:fldChar w:fldCharType="begin"/>
      </w:r>
      <w:r w:rsidRPr="002D305B">
        <w:instrText xml:space="preserve"> </w:instrText>
      </w:r>
      <w:r>
        <w:instrText>HYPERLINK</w:instrText>
      </w:r>
      <w:r w:rsidRPr="002D305B">
        <w:instrText xml:space="preserve"> "https://rm.coe.int/steering-committee-for-human-rights-comite-directeur-pour-les-droits-d/1680943434" </w:instrText>
      </w:r>
      <w:r w:rsidRPr="002D305B">
        <w:fldChar w:fldCharType="separate"/>
      </w:r>
      <w:r w:rsidRPr="002D305B">
        <w:rPr>
          <w:rStyle w:val="Hyperlink"/>
          <w:rFonts w:ascii="Arial" w:eastAsiaTheme="majorEastAsia" w:hAnsi="Arial" w:cs="Arial"/>
          <w:sz w:val="18"/>
          <w:szCs w:val="18"/>
        </w:rPr>
        <w:t>CDDH(2019)12</w:t>
      </w:r>
      <w:r w:rsidRPr="002D305B">
        <w:rPr>
          <w:rStyle w:val="Hyperlink"/>
          <w:rFonts w:ascii="Arial" w:eastAsiaTheme="majorEastAsia" w:hAnsi="Arial" w:cs="Arial"/>
          <w:sz w:val="18"/>
          <w:szCs w:val="18"/>
        </w:rPr>
        <w:fldChar w:fldCharType="end"/>
      </w:r>
      <w:bookmarkEnd w:id="23"/>
      <w:r w:rsidRPr="002D305B">
        <w:rPr>
          <w:rStyle w:val="Hyperlink"/>
          <w:rFonts w:ascii="Arial" w:eastAsiaTheme="majorEastAsia" w:hAnsi="Arial" w:cs="Arial"/>
          <w:sz w:val="18"/>
          <w:szCs w:val="18"/>
        </w:rPr>
        <w:t xml:space="preserve"> </w:t>
      </w:r>
      <w:r w:rsidRPr="002D305B">
        <w:rPr>
          <w:rFonts w:ascii="Arial" w:hAnsi="Arial" w:cs="Arial"/>
          <w:sz w:val="18"/>
          <w:szCs w:val="18"/>
        </w:rPr>
        <w:t>§§ 3.1. et 3.2.</w:t>
      </w:r>
    </w:p>
  </w:footnote>
  <w:footnote w:id="85">
    <w:p w14:paraId="5ED0E98B" w14:textId="77777777" w:rsidR="00B41728" w:rsidRPr="002D305B" w:rsidRDefault="00B41728" w:rsidP="00F331F8">
      <w:pPr>
        <w:pStyle w:val="NoSpacing"/>
        <w:jc w:val="both"/>
        <w:rPr>
          <w:rFonts w:ascii="Arial" w:hAnsi="Arial" w:cs="Arial"/>
          <w:sz w:val="18"/>
          <w:szCs w:val="18"/>
        </w:rPr>
      </w:pPr>
      <w:r w:rsidRPr="002D305B">
        <w:rPr>
          <w:rStyle w:val="FootnoteReference"/>
          <w:rFonts w:ascii="Arial" w:hAnsi="Arial" w:cs="Arial"/>
          <w:sz w:val="18"/>
          <w:szCs w:val="18"/>
        </w:rPr>
        <w:footnoteRef/>
      </w:r>
      <w:r w:rsidRPr="002D305B">
        <w:rPr>
          <w:rFonts w:ascii="Arial" w:hAnsi="Arial" w:cs="Arial"/>
          <w:sz w:val="18"/>
          <w:szCs w:val="18"/>
        </w:rPr>
        <w:t xml:space="preserve"> </w:t>
      </w:r>
      <w:r w:rsidRPr="002D305B">
        <w:rPr>
          <w:rFonts w:ascii="Arial" w:hAnsi="Arial" w:cs="Arial"/>
          <w:sz w:val="18"/>
        </w:rPr>
        <w:t xml:space="preserve">Ibid. </w:t>
      </w:r>
      <w:r w:rsidRPr="002D305B">
        <w:rPr>
          <w:rFonts w:ascii="Arial" w:hAnsi="Arial" w:cs="Arial"/>
          <w:sz w:val="18"/>
          <w:szCs w:val="18"/>
        </w:rPr>
        <w:t>§§ 46, 47.</w:t>
      </w:r>
    </w:p>
  </w:footnote>
  <w:footnote w:id="86">
    <w:p w14:paraId="0F9C5450" w14:textId="77777777" w:rsidR="00B41728" w:rsidRPr="00720D91" w:rsidRDefault="00B41728" w:rsidP="00F331F8">
      <w:pPr>
        <w:pStyle w:val="FootnoteText"/>
        <w:jc w:val="both"/>
        <w:rPr>
          <w:lang w:val="fr-FR"/>
        </w:rPr>
      </w:pPr>
      <w:r w:rsidRPr="002D305B">
        <w:rPr>
          <w:rStyle w:val="FootnoteReference"/>
          <w:rFonts w:ascii="Arial" w:hAnsi="Arial" w:cs="Arial"/>
          <w:sz w:val="18"/>
          <w:szCs w:val="18"/>
        </w:rPr>
        <w:footnoteRef/>
      </w:r>
      <w:hyperlink r:id="rId117" w:history="1">
        <w:r w:rsidRPr="00720D91">
          <w:rPr>
            <w:rStyle w:val="Hyperlink"/>
            <w:rFonts w:ascii="Arial" w:hAnsi="Arial" w:cs="Arial"/>
            <w:i/>
            <w:iCs/>
            <w:sz w:val="18"/>
            <w:szCs w:val="18"/>
            <w:lang w:val="fr-FR"/>
          </w:rPr>
          <w:t xml:space="preserve"> </w:t>
        </w:r>
      </w:hyperlink>
      <w:hyperlink r:id="rId118" w:history="1">
        <w:r w:rsidRPr="00720D91">
          <w:rPr>
            <w:rStyle w:val="Hyperlink"/>
            <w:rFonts w:ascii="Arial" w:hAnsi="Arial" w:cs="Arial"/>
            <w:i/>
            <w:iCs/>
            <w:sz w:val="18"/>
            <w:szCs w:val="18"/>
            <w:lang w:val="fr-FR"/>
          </w:rPr>
          <w:t>Vojnović c. Croatie</w:t>
        </w:r>
      </w:hyperlink>
      <w:bookmarkStart w:id="24" w:name="_Hlk46129737"/>
      <w:r w:rsidRPr="002D305B">
        <w:fldChar w:fldCharType="begin"/>
      </w:r>
      <w:r w:rsidRPr="00720D91">
        <w:rPr>
          <w:lang w:val="fr-FR"/>
        </w:rPr>
        <w:instrText xml:space="preserve"> HYPERLINK "http://hudoc.echr.coe.int/eng?i=001-112143" </w:instrText>
      </w:r>
      <w:r w:rsidRPr="002D305B">
        <w:fldChar w:fldCharType="separate"/>
      </w:r>
      <w:r w:rsidRPr="00720D91">
        <w:rPr>
          <w:rStyle w:val="Hyperlink"/>
          <w:rFonts w:ascii="Arial" w:hAnsi="Arial" w:cs="Arial"/>
          <w:i/>
          <w:iCs/>
          <w:sz w:val="18"/>
          <w:szCs w:val="18"/>
          <w:lang w:val="fr-FR"/>
        </w:rPr>
        <w:t xml:space="preserve"> </w:t>
      </w:r>
      <w:r w:rsidRPr="002D305B">
        <w:rPr>
          <w:rStyle w:val="Hyperlink"/>
          <w:rFonts w:ascii="Arial" w:hAnsi="Arial" w:cs="Arial"/>
          <w:i/>
          <w:iCs/>
          <w:sz w:val="18"/>
          <w:szCs w:val="18"/>
        </w:rPr>
        <w:fldChar w:fldCharType="end"/>
      </w:r>
      <w:r w:rsidRPr="00720D91">
        <w:rPr>
          <w:rFonts w:ascii="Arial" w:hAnsi="Arial" w:cs="Arial"/>
          <w:sz w:val="18"/>
          <w:szCs w:val="18"/>
          <w:lang w:val="fr-FR"/>
        </w:rPr>
        <w:t>(déc.), n° 4819/10, 26 juin 2012, § 28</w:t>
      </w:r>
      <w:bookmarkEnd w:id="24"/>
      <w:r w:rsidRPr="00720D91">
        <w:rPr>
          <w:rFonts w:ascii="Arial" w:hAnsi="Arial" w:cs="Arial"/>
          <w:sz w:val="18"/>
          <w:szCs w:val="18"/>
          <w:lang w:val="fr-FR"/>
        </w:rPr>
        <w:t xml:space="preserve"> (anglais uniquement); </w:t>
      </w:r>
      <w:hyperlink r:id="rId119" w:history="1">
        <w:r w:rsidRPr="00720D91">
          <w:rPr>
            <w:rStyle w:val="Hyperlink"/>
            <w:rFonts w:ascii="Arial" w:hAnsi="Arial" w:cs="Arial"/>
            <w:i/>
            <w:iCs/>
            <w:sz w:val="18"/>
            <w:szCs w:val="18"/>
            <w:lang w:val="fr-FR"/>
          </w:rPr>
          <w:t xml:space="preserve">Verein gegen Tierfabriken Schweiz (VgT) c. Suisse (n° 2) </w:t>
        </w:r>
      </w:hyperlink>
      <w:r w:rsidRPr="00720D91">
        <w:rPr>
          <w:rFonts w:ascii="Arial" w:hAnsi="Arial" w:cs="Arial"/>
          <w:sz w:val="18"/>
          <w:szCs w:val="18"/>
          <w:lang w:val="fr-FR"/>
        </w:rPr>
        <w:t xml:space="preserve">[GC], § 63 ; </w:t>
      </w:r>
      <w:hyperlink r:id="rId120" w:history="1">
        <w:r w:rsidRPr="00720D91">
          <w:rPr>
            <w:rStyle w:val="Hyperlink"/>
            <w:rFonts w:ascii="Arial" w:hAnsi="Arial" w:cs="Arial"/>
            <w:i/>
            <w:iCs/>
            <w:sz w:val="18"/>
            <w:szCs w:val="18"/>
            <w:lang w:val="fr-FR"/>
          </w:rPr>
          <w:t>Amarandei et autres c. Roumanie</w:t>
        </w:r>
      </w:hyperlink>
      <w:r w:rsidRPr="00720D91">
        <w:rPr>
          <w:rFonts w:ascii="Arial" w:hAnsi="Arial" w:cs="Arial"/>
          <w:sz w:val="18"/>
          <w:szCs w:val="18"/>
          <w:lang w:val="fr-FR"/>
        </w:rPr>
        <w:t xml:space="preserve">, </w:t>
      </w:r>
      <w:bookmarkStart w:id="25" w:name="_Hlk46129861"/>
      <w:r w:rsidRPr="00720D91">
        <w:rPr>
          <w:rFonts w:ascii="Arial" w:hAnsi="Arial" w:cs="Arial"/>
          <w:sz w:val="18"/>
          <w:szCs w:val="18"/>
          <w:lang w:val="fr-FR"/>
        </w:rPr>
        <w:t xml:space="preserve">n° 1443/10, 26 juillet 2016, </w:t>
      </w:r>
      <w:bookmarkEnd w:id="25"/>
      <w:r w:rsidRPr="00720D91">
        <w:rPr>
          <w:rFonts w:ascii="Arial" w:hAnsi="Arial" w:cs="Arial"/>
          <w:sz w:val="18"/>
          <w:szCs w:val="18"/>
          <w:lang w:val="fr-FR"/>
        </w:rPr>
        <w:t>§§ 106-111.</w:t>
      </w:r>
    </w:p>
  </w:footnote>
  <w:footnote w:id="87">
    <w:p w14:paraId="7B5B3A3B" w14:textId="77777777" w:rsidR="00B41728" w:rsidRPr="002D305B" w:rsidRDefault="00B41728" w:rsidP="00F331F8">
      <w:pPr>
        <w:pStyle w:val="NoSpacing"/>
        <w:jc w:val="both"/>
        <w:rPr>
          <w:rFonts w:ascii="Arial" w:hAnsi="Arial" w:cs="Arial"/>
          <w:sz w:val="18"/>
          <w:szCs w:val="18"/>
        </w:rPr>
      </w:pPr>
      <w:r w:rsidRPr="002D305B">
        <w:rPr>
          <w:rStyle w:val="FootnoteReference"/>
          <w:rFonts w:ascii="Arial" w:hAnsi="Arial" w:cs="Arial"/>
          <w:sz w:val="18"/>
          <w:szCs w:val="18"/>
        </w:rPr>
        <w:footnoteRef/>
      </w:r>
      <w:hyperlink r:id="rId121" w:history="1">
        <w:r w:rsidRPr="002D305B">
          <w:rPr>
            <w:rStyle w:val="Hyperlink"/>
            <w:rFonts w:ascii="Arial" w:eastAsiaTheme="majorEastAsia" w:hAnsi="Arial" w:cs="Arial"/>
            <w:i/>
            <w:sz w:val="18"/>
            <w:szCs w:val="18"/>
          </w:rPr>
          <w:t xml:space="preserve"> Berdzenishvili et autres c. Russie</w:t>
        </w:r>
      </w:hyperlink>
      <w:r w:rsidRPr="002D305B">
        <w:rPr>
          <w:rFonts w:ascii="Arial" w:hAnsi="Arial" w:cs="Arial"/>
          <w:sz w:val="18"/>
          <w:szCs w:val="18"/>
        </w:rPr>
        <w:t xml:space="preserve">, précité, § 49 (anglais uniquement) </w:t>
      </w:r>
    </w:p>
  </w:footnote>
  <w:footnote w:id="88">
    <w:p w14:paraId="75D5D9F9" w14:textId="77777777" w:rsidR="00B41728" w:rsidRPr="00644BCB" w:rsidRDefault="00B41728" w:rsidP="00F331F8">
      <w:pPr>
        <w:pStyle w:val="NoSpacing"/>
        <w:shd w:val="clear" w:color="auto" w:fill="FFFFFF" w:themeFill="background1"/>
        <w:jc w:val="both"/>
        <w:rPr>
          <w:rFonts w:ascii="Arial" w:hAnsi="Arial" w:cs="Arial"/>
          <w:sz w:val="18"/>
          <w:szCs w:val="18"/>
        </w:rPr>
      </w:pPr>
      <w:r w:rsidRPr="00644BCB">
        <w:rPr>
          <w:rStyle w:val="FootnoteReference"/>
          <w:rFonts w:ascii="Arial" w:hAnsi="Arial" w:cs="Arial"/>
          <w:sz w:val="18"/>
          <w:szCs w:val="18"/>
        </w:rPr>
        <w:footnoteRef/>
      </w:r>
      <w:r w:rsidRPr="00644BCB">
        <w:rPr>
          <w:rFonts w:ascii="Arial" w:hAnsi="Arial" w:cs="Arial"/>
          <w:sz w:val="18"/>
          <w:szCs w:val="18"/>
        </w:rPr>
        <w:t xml:space="preserve"> Voir les commentaires de la Fédération de Russie contenus dans le document </w:t>
      </w:r>
      <w:hyperlink r:id="rId122" w:history="1">
        <w:r w:rsidRPr="00644BCB">
          <w:rPr>
            <w:rStyle w:val="Hyperlink"/>
            <w:rFonts w:ascii="Arial" w:eastAsiaTheme="majorEastAsia" w:hAnsi="Arial" w:cs="Arial"/>
            <w:sz w:val="18"/>
            <w:szCs w:val="18"/>
          </w:rPr>
          <w:t>CDDH(2019)12</w:t>
        </w:r>
      </w:hyperlink>
      <w:r w:rsidRPr="00644BCB">
        <w:rPr>
          <w:rFonts w:ascii="Arial" w:hAnsi="Arial" w:cs="Arial"/>
          <w:sz w:val="18"/>
          <w:szCs w:val="18"/>
        </w:rPr>
        <w:t>, § 3.2.</w:t>
      </w:r>
    </w:p>
  </w:footnote>
  <w:footnote w:id="89">
    <w:p w14:paraId="28181F11" w14:textId="77777777" w:rsidR="00B41728" w:rsidRPr="00720D91" w:rsidRDefault="00B41728" w:rsidP="00F331F8">
      <w:pPr>
        <w:pStyle w:val="FootnoteText"/>
        <w:rPr>
          <w:rFonts w:ascii="Arial" w:hAnsi="Arial" w:cs="Arial"/>
          <w:lang w:val="fr-FR"/>
        </w:rPr>
      </w:pPr>
      <w:r w:rsidRPr="001F2793">
        <w:rPr>
          <w:rStyle w:val="FootnoteReference"/>
          <w:rFonts w:ascii="Arial" w:hAnsi="Arial" w:cs="Arial"/>
          <w:sz w:val="18"/>
          <w:szCs w:val="18"/>
        </w:rPr>
        <w:footnoteRef/>
      </w:r>
      <w:r w:rsidRPr="00720D91">
        <w:rPr>
          <w:rFonts w:ascii="Arial" w:hAnsi="Arial" w:cs="Arial"/>
          <w:sz w:val="18"/>
          <w:szCs w:val="18"/>
          <w:lang w:val="fr-FR"/>
        </w:rPr>
        <w:t xml:space="preserve"> Géorgie c. Russie (I) (satisfaction équitable) [GC], n°13255/07, §48-72</w:t>
      </w:r>
    </w:p>
  </w:footnote>
  <w:footnote w:id="90">
    <w:p w14:paraId="406CA186" w14:textId="77777777" w:rsidR="00B41728" w:rsidRPr="00486B14" w:rsidRDefault="00B41728" w:rsidP="0059073A">
      <w:pPr>
        <w:jc w:val="both"/>
      </w:pPr>
      <w:r w:rsidRPr="00560F13">
        <w:rPr>
          <w:rStyle w:val="FootnoteReference"/>
          <w:rFonts w:ascii="Arial" w:hAnsi="Arial" w:cs="Arial"/>
          <w:sz w:val="18"/>
          <w:szCs w:val="18"/>
        </w:rPr>
        <w:footnoteRef/>
      </w:r>
      <w:r w:rsidRPr="00F331F8">
        <w:rPr>
          <w:rFonts w:ascii="Arial" w:hAnsi="Arial" w:cs="Arial"/>
          <w:sz w:val="18"/>
          <w:szCs w:val="18"/>
          <w:lang w:val="fr-FR"/>
        </w:rPr>
        <w:t xml:space="preserve"> De tels mécanismes pourraient s’agir des procédures établies sur la base des instruments internationaux des droits de l’homme qui vont de la négociation et de la conciliation au règlement des différends par les comités établis par ces instruments. Certains mécanismes traitant des requêtes interétatiques sont le Comité des droits de l’homme (CDH) </w:t>
      </w:r>
      <w:r w:rsidRPr="00F331F8">
        <w:rPr>
          <w:rFonts w:ascii="Arial" w:eastAsiaTheme="minorEastAsia" w:hAnsi="Arial" w:cs="Arial"/>
          <w:sz w:val="18"/>
          <w:szCs w:val="18"/>
          <w:lang w:val="fr-FR" w:eastAsia="en-GB"/>
        </w:rPr>
        <w:t xml:space="preserve">qui surveille la mise en œuvre du Pacte international relatif aux droits civils et politiques et ses protocoles facultatifs </w:t>
      </w:r>
      <w:r w:rsidRPr="00F331F8">
        <w:rPr>
          <w:rFonts w:ascii="Arial" w:hAnsi="Arial" w:cs="Arial"/>
          <w:sz w:val="18"/>
          <w:szCs w:val="18"/>
          <w:lang w:val="fr-FR"/>
        </w:rPr>
        <w:t>(PIDCP); le Comité contre la torture (CAT) qui surveille la mise en œuvre de la Convention des Nations Unies contre la torture (article 21); le Comité des droits économiques, sociaux et culturels (CESCR)</w:t>
      </w:r>
      <w:r w:rsidRPr="00F331F8">
        <w:rPr>
          <w:rFonts w:ascii="Arial" w:hAnsi="Arial" w:cs="Arial"/>
          <w:sz w:val="18"/>
          <w:szCs w:val="18"/>
          <w:shd w:val="clear" w:color="auto" w:fill="FFFFFF"/>
          <w:lang w:val="fr-FR"/>
        </w:rPr>
        <w:t xml:space="preserve"> (article 10) et le Comité des droits de l’enfant sous le Protocole facultatif à la </w:t>
      </w:r>
      <w:r w:rsidRPr="00F331F8">
        <w:rPr>
          <w:rFonts w:ascii="Arial" w:hAnsi="Arial" w:cs="Arial"/>
          <w:sz w:val="18"/>
          <w:szCs w:val="18"/>
          <w:lang w:val="fr-FR"/>
        </w:rPr>
        <w:t>Convention des droits de l’enfant sur la procédure de communication</w:t>
      </w:r>
      <w:r w:rsidRPr="00F331F8">
        <w:rPr>
          <w:rStyle w:val="Hyperlink"/>
          <w:rFonts w:ascii="Arial" w:hAnsi="Arial" w:cs="Arial"/>
          <w:sz w:val="18"/>
          <w:szCs w:val="18"/>
          <w:lang w:val="fr-FR"/>
        </w:rPr>
        <w:t xml:space="preserve"> (Article 12). </w:t>
      </w:r>
      <w:r w:rsidRPr="00560F13">
        <w:rPr>
          <w:rStyle w:val="Hyperlink"/>
          <w:rFonts w:ascii="Arial" w:hAnsi="Arial" w:cs="Arial"/>
          <w:sz w:val="18"/>
          <w:szCs w:val="18"/>
        </w:rPr>
        <w:t>International dispute settlement mechanisms also encompass other dispute resolution mechanisms not exclusively established under a human rights treaty such as the ICJ and fact-findin</w:t>
      </w:r>
      <w:r w:rsidRPr="003B3965">
        <w:rPr>
          <w:rFonts w:ascii="Arial" w:hAnsi="Arial" w:cs="Arial"/>
          <w:sz w:val="18"/>
          <w:szCs w:val="18"/>
        </w:rPr>
        <w:t>de l’homechani</w:t>
      </w:r>
    </w:p>
  </w:footnote>
  <w:footnote w:id="91">
    <w:p w14:paraId="227D5D0F" w14:textId="77777777" w:rsidR="00B41728" w:rsidRPr="00A8273A" w:rsidRDefault="00B41728" w:rsidP="00F331F8">
      <w:pPr>
        <w:jc w:val="both"/>
      </w:pPr>
      <w:r w:rsidRPr="00A8273A">
        <w:rPr>
          <w:rFonts w:ascii="Arial" w:hAnsi="Arial" w:cs="Arial"/>
          <w:sz w:val="18"/>
          <w:szCs w:val="18"/>
        </w:rPr>
        <w:t>s</w:t>
      </w:r>
      <w:r w:rsidRPr="002D305B">
        <w:rPr>
          <w:rStyle w:val="FootnoteReference"/>
          <w:rFonts w:ascii="Arial" w:hAnsi="Arial" w:cs="Arial"/>
          <w:sz w:val="18"/>
          <w:szCs w:val="18"/>
        </w:rPr>
        <w:footnoteRef/>
      </w:r>
      <w:hyperlink r:id="rId123" w:history="1">
        <w:r w:rsidRPr="00A8273A">
          <w:rPr>
            <w:rStyle w:val="Hyperlink"/>
            <w:rFonts w:ascii="Arial" w:hAnsi="Arial" w:cs="Arial"/>
            <w:i/>
            <w:iCs/>
            <w:sz w:val="18"/>
            <w:szCs w:val="18"/>
          </w:rPr>
          <w:t xml:space="preserve"> </w:t>
        </w:r>
      </w:hyperlink>
      <w:hyperlink r:id="rId124" w:history="1">
        <w:r w:rsidRPr="00A8273A">
          <w:rPr>
            <w:rStyle w:val="Hyperlink"/>
            <w:rFonts w:ascii="Arial" w:hAnsi="Arial" w:cs="Arial"/>
            <w:i/>
            <w:iCs/>
            <w:sz w:val="18"/>
            <w:szCs w:val="18"/>
          </w:rPr>
          <w:t>OAO Neftyanaya Kompaniya Yukos c. Russie</w:t>
        </w:r>
      </w:hyperlink>
      <w:r w:rsidRPr="00A8273A">
        <w:rPr>
          <w:rFonts w:ascii="Arial" w:hAnsi="Arial" w:cs="Arial"/>
          <w:sz w:val="18"/>
          <w:szCs w:val="18"/>
        </w:rPr>
        <w:t xml:space="preserve">, no 14902/04, § 520, 20 septembre 2011 ; </w:t>
      </w:r>
      <w:bookmarkStart w:id="30" w:name="_Hlk46154832"/>
      <w:r w:rsidRPr="002D305B">
        <w:rPr>
          <w:rFonts w:ascii="Times New Roman" w:eastAsia="Times New Roman" w:hAnsi="Times New Roman" w:cs="Times New Roman"/>
          <w:sz w:val="24"/>
          <w:szCs w:val="24"/>
        </w:rPr>
        <w:fldChar w:fldCharType="begin"/>
      </w:r>
      <w:r w:rsidRPr="00A8273A">
        <w:instrText>HYPERLINK "http://hudoc.echr.coe.int/eng?i=001-164455"</w:instrText>
      </w:r>
      <w:r w:rsidRPr="002D305B">
        <w:rPr>
          <w:rFonts w:ascii="Times New Roman" w:eastAsia="Times New Roman" w:hAnsi="Times New Roman" w:cs="Times New Roman"/>
          <w:sz w:val="24"/>
          <w:szCs w:val="24"/>
        </w:rPr>
        <w:fldChar w:fldCharType="separate"/>
      </w:r>
      <w:r w:rsidRPr="00A8273A">
        <w:rPr>
          <w:rStyle w:val="Hyperlink"/>
          <w:rFonts w:ascii="Arial" w:hAnsi="Arial" w:cs="Arial"/>
          <w:i/>
          <w:iCs/>
          <w:sz w:val="18"/>
          <w:szCs w:val="18"/>
        </w:rPr>
        <w:t>Eğitim ve Bilim Emekçileri Sendikası c. Turquie</w:t>
      </w:r>
      <w:r w:rsidRPr="002D305B">
        <w:rPr>
          <w:rStyle w:val="Hyperlink"/>
          <w:rFonts w:ascii="Arial" w:hAnsi="Arial" w:cs="Arial"/>
          <w:i/>
          <w:iCs/>
          <w:sz w:val="18"/>
          <w:szCs w:val="18"/>
        </w:rPr>
        <w:fldChar w:fldCharType="end"/>
      </w:r>
      <w:r w:rsidRPr="00A8273A">
        <w:rPr>
          <w:rFonts w:ascii="Arial" w:hAnsi="Arial" w:cs="Arial"/>
          <w:sz w:val="18"/>
          <w:szCs w:val="18"/>
        </w:rPr>
        <w:t xml:space="preserve">, no 20347/07, § 37, 5 juillet 2016 </w:t>
      </w:r>
      <w:bookmarkEnd w:id="30"/>
      <w:r w:rsidRPr="00A8273A">
        <w:rPr>
          <w:rFonts w:ascii="Arial" w:hAnsi="Arial" w:cs="Arial"/>
          <w:sz w:val="18"/>
          <w:szCs w:val="18"/>
        </w:rPr>
        <w:t xml:space="preserve">(français uniquement).   </w:t>
      </w:r>
    </w:p>
  </w:footnote>
  <w:footnote w:id="92">
    <w:p w14:paraId="3E67D7F3" w14:textId="77777777" w:rsidR="00B41728" w:rsidRPr="002D305B" w:rsidRDefault="00B41728" w:rsidP="00F331F8">
      <w:pPr>
        <w:pStyle w:val="NoSpacing"/>
        <w:jc w:val="both"/>
        <w:rPr>
          <w:rFonts w:ascii="Arial" w:hAnsi="Arial" w:cs="Arial"/>
          <w:sz w:val="18"/>
          <w:szCs w:val="18"/>
        </w:rPr>
      </w:pPr>
      <w:r w:rsidRPr="002D305B">
        <w:rPr>
          <w:rStyle w:val="FootnoteReference"/>
          <w:rFonts w:ascii="Arial" w:hAnsi="Arial" w:cs="Arial"/>
          <w:sz w:val="18"/>
          <w:szCs w:val="18"/>
        </w:rPr>
        <w:footnoteRef/>
      </w:r>
      <w:hyperlink r:id="rId125" w:history="1">
        <w:r w:rsidRPr="002D305B">
          <w:rPr>
            <w:rStyle w:val="Hyperlink"/>
            <w:rFonts w:ascii="Arial" w:eastAsiaTheme="majorEastAsia" w:hAnsi="Arial" w:cs="Arial"/>
            <w:i/>
            <w:iCs/>
            <w:sz w:val="18"/>
            <w:szCs w:val="18"/>
          </w:rPr>
          <w:t xml:space="preserve"> POA et autres c. Royaume-Uni </w:t>
        </w:r>
      </w:hyperlink>
      <w:r w:rsidRPr="002D305B">
        <w:rPr>
          <w:rFonts w:ascii="Arial" w:hAnsi="Arial" w:cs="Arial"/>
          <w:sz w:val="18"/>
          <w:szCs w:val="18"/>
        </w:rPr>
        <w:t xml:space="preserve">(déc.), no. 59253/11, § 27, 21 mai 2013 (anglais uniquement). </w:t>
      </w:r>
    </w:p>
  </w:footnote>
  <w:footnote w:id="93">
    <w:p w14:paraId="30D45467" w14:textId="77777777" w:rsidR="00B41728" w:rsidRPr="002D305B" w:rsidRDefault="00B41728" w:rsidP="00F331F8">
      <w:pPr>
        <w:pStyle w:val="NoSpacing"/>
        <w:jc w:val="both"/>
        <w:rPr>
          <w:rFonts w:ascii="Arial" w:eastAsiaTheme="minorHAnsi" w:hAnsi="Arial" w:cs="Arial"/>
          <w:sz w:val="18"/>
          <w:szCs w:val="18"/>
          <w:lang w:eastAsia="en-US"/>
        </w:rPr>
      </w:pPr>
      <w:r w:rsidRPr="002D305B">
        <w:rPr>
          <w:rStyle w:val="FootnoteReference"/>
          <w:rFonts w:ascii="Arial" w:hAnsi="Arial" w:cs="Arial"/>
          <w:sz w:val="18"/>
          <w:szCs w:val="18"/>
        </w:rPr>
        <w:footnoteRef/>
      </w:r>
      <w:hyperlink r:id="rId126" w:history="1">
        <w:r w:rsidRPr="002D305B">
          <w:rPr>
            <w:rStyle w:val="Hyperlink"/>
            <w:rFonts w:ascii="Arial" w:eastAsiaTheme="minorHAnsi" w:hAnsi="Arial" w:cs="Arial"/>
            <w:i/>
            <w:iCs/>
            <w:sz w:val="18"/>
            <w:szCs w:val="18"/>
            <w:lang w:eastAsia="en-US"/>
          </w:rPr>
          <w:t xml:space="preserve"> OAO Neftyanaya Kompaniya Yukos c. Russie</w:t>
        </w:r>
      </w:hyperlink>
      <w:r w:rsidRPr="002D305B">
        <w:rPr>
          <w:rFonts w:ascii="Arial" w:eastAsiaTheme="minorHAnsi" w:hAnsi="Arial" w:cs="Arial"/>
          <w:sz w:val="18"/>
          <w:szCs w:val="18"/>
          <w:lang w:eastAsia="en-US"/>
        </w:rPr>
        <w:t xml:space="preserve">, précité, § 520 ; </w:t>
      </w:r>
      <w:hyperlink r:id="rId127" w:history="1">
        <w:r w:rsidRPr="002D305B">
          <w:rPr>
            <w:rStyle w:val="Hyperlink"/>
            <w:rFonts w:ascii="Arial" w:eastAsiaTheme="majorEastAsia" w:hAnsi="Arial" w:cs="Arial"/>
            <w:i/>
            <w:iCs/>
            <w:sz w:val="18"/>
            <w:szCs w:val="18"/>
          </w:rPr>
          <w:t xml:space="preserve">Gürdeniz c. Turquie </w:t>
        </w:r>
      </w:hyperlink>
      <w:r w:rsidRPr="002D305B">
        <w:rPr>
          <w:rStyle w:val="sb8d990e2"/>
          <w:rFonts w:ascii="Arial" w:eastAsiaTheme="majorEastAsia" w:hAnsi="Arial" w:cs="Arial"/>
          <w:color w:val="000000"/>
          <w:sz w:val="18"/>
          <w:szCs w:val="18"/>
        </w:rPr>
        <w:t>(déc.) (français seulement</w:t>
      </w:r>
      <w:r w:rsidRPr="002D305B">
        <w:rPr>
          <w:rFonts w:ascii="Arial" w:eastAsiaTheme="minorHAnsi" w:hAnsi="Arial" w:cs="Arial"/>
          <w:sz w:val="18"/>
          <w:szCs w:val="18"/>
          <w:lang w:eastAsia="en-US"/>
        </w:rPr>
        <w:t xml:space="preserve">), no. 59715/10, §§ 39-40, 18 mars 2014 ; </w:t>
      </w:r>
      <w:hyperlink r:id="rId128" w:history="1">
        <w:r w:rsidRPr="002D305B">
          <w:rPr>
            <w:rStyle w:val="Hyperlink"/>
            <w:rFonts w:ascii="Arial" w:eastAsiaTheme="minorHAnsi" w:hAnsi="Arial" w:cs="Arial"/>
            <w:i/>
            <w:iCs/>
            <w:sz w:val="18"/>
            <w:szCs w:val="18"/>
            <w:lang w:eastAsia="en-US"/>
          </w:rPr>
          <w:t xml:space="preserve">Doğan et Çakmak c. Turquie </w:t>
        </w:r>
      </w:hyperlink>
      <w:r w:rsidRPr="002D305B">
        <w:rPr>
          <w:rFonts w:ascii="Arial" w:eastAsiaTheme="minorHAnsi" w:hAnsi="Arial" w:cs="Arial"/>
          <w:sz w:val="18"/>
          <w:szCs w:val="18"/>
          <w:lang w:eastAsia="en-US"/>
        </w:rPr>
        <w:t xml:space="preserve">(déc.) </w:t>
      </w:r>
      <w:r w:rsidRPr="002D305B">
        <w:rPr>
          <w:rFonts w:ascii="Arial" w:eastAsiaTheme="minorHAnsi" w:hAnsi="Arial" w:cs="Arial"/>
          <w:color w:val="000000"/>
          <w:sz w:val="18"/>
          <w:szCs w:val="18"/>
          <w:lang w:eastAsia="en-US"/>
        </w:rPr>
        <w:t>(</w:t>
      </w:r>
      <w:r w:rsidRPr="002D305B">
        <w:rPr>
          <w:rStyle w:val="sb8d990e2"/>
          <w:rFonts w:ascii="Arial" w:eastAsiaTheme="majorEastAsia" w:hAnsi="Arial" w:cs="Arial"/>
          <w:color w:val="000000"/>
          <w:sz w:val="18"/>
          <w:szCs w:val="18"/>
        </w:rPr>
        <w:t>français uniquement)</w:t>
      </w:r>
      <w:r w:rsidRPr="002D305B">
        <w:rPr>
          <w:rFonts w:ascii="Arial" w:eastAsiaTheme="minorHAnsi" w:hAnsi="Arial" w:cs="Arial"/>
          <w:sz w:val="18"/>
          <w:szCs w:val="18"/>
          <w:lang w:eastAsia="en-US"/>
        </w:rPr>
        <w:t xml:space="preserve">, nos 28484/10, 58223/10, § 20, 14 mai 2019. </w:t>
      </w:r>
    </w:p>
  </w:footnote>
  <w:footnote w:id="94">
    <w:p w14:paraId="5CB6C610" w14:textId="77777777" w:rsidR="00B41728" w:rsidRPr="002D305B" w:rsidRDefault="00B41728" w:rsidP="00F331F8">
      <w:pPr>
        <w:pStyle w:val="NoSpacing"/>
        <w:jc w:val="both"/>
        <w:rPr>
          <w:rFonts w:ascii="Arial" w:eastAsiaTheme="minorHAnsi" w:hAnsi="Arial" w:cs="Arial"/>
          <w:color w:val="000000"/>
          <w:sz w:val="18"/>
          <w:szCs w:val="18"/>
          <w:lang w:eastAsia="en-US"/>
        </w:rPr>
      </w:pPr>
      <w:r w:rsidRPr="002D305B">
        <w:rPr>
          <w:rStyle w:val="FootnoteReference"/>
          <w:rFonts w:ascii="Arial" w:hAnsi="Arial" w:cs="Arial"/>
          <w:sz w:val="18"/>
          <w:szCs w:val="18"/>
        </w:rPr>
        <w:footnoteRef/>
      </w:r>
      <w:r w:rsidRPr="002D305B">
        <w:t xml:space="preserve"> </w:t>
      </w:r>
      <w:hyperlink r:id="rId129" w:anchor="{%22itemid%22:[%22001-80314%22]}" w:history="1">
        <w:r w:rsidRPr="002D305B">
          <w:rPr>
            <w:rStyle w:val="Hyperlink"/>
            <w:rFonts w:ascii="Arial" w:eastAsiaTheme="majorEastAsia" w:hAnsi="Arial" w:cs="Arial"/>
            <w:i/>
            <w:sz w:val="18"/>
            <w:szCs w:val="18"/>
          </w:rPr>
          <w:t>Patera c. République tchèque</w:t>
        </w:r>
      </w:hyperlink>
      <w:r w:rsidRPr="002D305B">
        <w:rPr>
          <w:rFonts w:ascii="Arial" w:hAnsi="Arial" w:cs="Arial"/>
          <w:sz w:val="18"/>
          <w:szCs w:val="18"/>
        </w:rPr>
        <w:t xml:space="preserve"> (déc.), </w:t>
      </w:r>
      <w:r w:rsidRPr="002D305B">
        <w:rPr>
          <w:rFonts w:ascii="Arial" w:eastAsiaTheme="minorHAnsi" w:hAnsi="Arial" w:cs="Arial"/>
          <w:color w:val="000000"/>
          <w:sz w:val="18"/>
          <w:szCs w:val="18"/>
          <w:lang w:eastAsia="en-US"/>
        </w:rPr>
        <w:t xml:space="preserve">n° 25326/03, 26 avril 2007 ; </w:t>
      </w:r>
      <w:hyperlink r:id="rId130" w:anchor="{%22languageisocode%22:[%22FRE%22],%22appno%22:[%2223205/08%22],%22documentcollectionid2%22:[%22CHAMBER%22],%22itemid%22:[%22001-103165%22]}" w:history="1">
        <w:r w:rsidRPr="002D305B">
          <w:rPr>
            <w:rStyle w:val="Hyperlink"/>
            <w:rFonts w:ascii="Arial" w:eastAsiaTheme="minorHAnsi" w:hAnsi="Arial" w:cs="Arial"/>
            <w:i/>
            <w:iCs/>
            <w:sz w:val="18"/>
            <w:szCs w:val="18"/>
            <w:lang w:eastAsia="en-US"/>
          </w:rPr>
          <w:t>Karoussiotis c. Portugal</w:t>
        </w:r>
      </w:hyperlink>
      <w:r w:rsidRPr="002D305B">
        <w:rPr>
          <w:rFonts w:ascii="Arial" w:eastAsiaTheme="minorHAnsi" w:hAnsi="Arial" w:cs="Arial"/>
          <w:color w:val="000000"/>
          <w:sz w:val="18"/>
          <w:szCs w:val="18"/>
          <w:lang w:eastAsia="en-US"/>
        </w:rPr>
        <w:t>, n° 23205/08, par. 63, 1</w:t>
      </w:r>
      <w:r w:rsidRPr="002D305B">
        <w:rPr>
          <w:rFonts w:ascii="Arial" w:eastAsiaTheme="minorHAnsi" w:hAnsi="Arial" w:cs="Arial"/>
          <w:color w:val="000000"/>
          <w:sz w:val="18"/>
          <w:szCs w:val="18"/>
          <w:vertAlign w:val="superscript"/>
          <w:lang w:eastAsia="en-US"/>
        </w:rPr>
        <w:t>er</w:t>
      </w:r>
      <w:r w:rsidRPr="002D305B">
        <w:rPr>
          <w:rFonts w:ascii="Arial" w:eastAsiaTheme="minorHAnsi" w:hAnsi="Arial" w:cs="Arial"/>
          <w:color w:val="000000"/>
          <w:sz w:val="18"/>
          <w:szCs w:val="18"/>
          <w:lang w:eastAsia="en-US"/>
        </w:rPr>
        <w:t xml:space="preserve"> février 2011 ; </w:t>
      </w:r>
      <w:hyperlink r:id="rId131" w:history="1">
        <w:r w:rsidRPr="002D305B">
          <w:rPr>
            <w:rStyle w:val="Hyperlink"/>
            <w:rFonts w:ascii="Arial" w:eastAsiaTheme="minorHAnsi" w:hAnsi="Arial" w:cs="Arial"/>
            <w:i/>
            <w:iCs/>
            <w:sz w:val="18"/>
            <w:szCs w:val="18"/>
            <w:lang w:eastAsia="en-US"/>
          </w:rPr>
          <w:t>Gürdeniz c.</w:t>
        </w:r>
      </w:hyperlink>
      <w:r w:rsidRPr="002D305B">
        <w:rPr>
          <w:rStyle w:val="Hyperlink"/>
          <w:rFonts w:ascii="Arial" w:eastAsiaTheme="minorHAnsi" w:hAnsi="Arial" w:cs="Arial"/>
          <w:i/>
          <w:iCs/>
          <w:sz w:val="18"/>
          <w:szCs w:val="18"/>
          <w:lang w:eastAsia="en-US"/>
        </w:rPr>
        <w:t xml:space="preserve"> Turquie</w:t>
      </w:r>
      <w:r w:rsidRPr="002D305B">
        <w:rPr>
          <w:rFonts w:ascii="Arial" w:eastAsiaTheme="minorHAnsi" w:hAnsi="Arial" w:cs="Arial"/>
          <w:i/>
          <w:iCs/>
          <w:color w:val="000000"/>
          <w:sz w:val="18"/>
          <w:szCs w:val="18"/>
          <w:lang w:eastAsia="en-US"/>
        </w:rPr>
        <w:t xml:space="preserve"> </w:t>
      </w:r>
      <w:r w:rsidRPr="002D305B">
        <w:rPr>
          <w:rFonts w:ascii="Arial" w:eastAsiaTheme="minorHAnsi" w:hAnsi="Arial" w:cs="Arial"/>
          <w:color w:val="000000"/>
          <w:sz w:val="18"/>
          <w:szCs w:val="18"/>
          <w:lang w:eastAsia="en-US"/>
        </w:rPr>
        <w:t xml:space="preserve">(déc.), précité, par. 41 à 45 ; </w:t>
      </w:r>
      <w:hyperlink r:id="rId132" w:anchor="{%22itemid%22:[%22001-86554%22]}" w:history="1">
        <w:r w:rsidRPr="002D305B">
          <w:rPr>
            <w:rStyle w:val="Hyperlink"/>
            <w:rFonts w:ascii="Arial" w:eastAsiaTheme="minorHAnsi" w:hAnsi="Arial" w:cs="Arial"/>
            <w:i/>
            <w:iCs/>
            <w:sz w:val="18"/>
            <w:szCs w:val="18"/>
            <w:lang w:eastAsia="en-US"/>
          </w:rPr>
          <w:t>Pauger c.</w:t>
        </w:r>
      </w:hyperlink>
      <w:r w:rsidRPr="002D305B">
        <w:rPr>
          <w:rStyle w:val="Hyperlink"/>
          <w:rFonts w:ascii="Arial" w:eastAsiaTheme="minorHAnsi" w:hAnsi="Arial" w:cs="Arial"/>
          <w:i/>
          <w:iCs/>
          <w:sz w:val="18"/>
          <w:szCs w:val="18"/>
          <w:lang w:eastAsia="en-US"/>
        </w:rPr>
        <w:t xml:space="preserve"> </w:t>
      </w:r>
      <w:hyperlink r:id="rId133" w:anchor="{%22languageisocode%22:[%22FRE%22],%22appno%22:[%2216717/90%22],%22documentcollectionid2%22:[%22CHAMBER%22],%22itemid%22:[%22001-62607%22]}" w:history="1">
        <w:r w:rsidRPr="002D305B">
          <w:rPr>
            <w:rStyle w:val="Hyperlink"/>
            <w:rFonts w:ascii="Arial" w:eastAsiaTheme="minorHAnsi" w:hAnsi="Arial" w:cs="Arial"/>
            <w:i/>
            <w:iCs/>
            <w:sz w:val="18"/>
            <w:szCs w:val="18"/>
            <w:lang w:eastAsia="en-US"/>
          </w:rPr>
          <w:t>Autriche</w:t>
        </w:r>
      </w:hyperlink>
      <w:r w:rsidRPr="002D305B">
        <w:rPr>
          <w:rFonts w:ascii="Arial" w:eastAsiaTheme="minorHAnsi" w:hAnsi="Arial" w:cs="Arial"/>
          <w:color w:val="000000"/>
          <w:sz w:val="18"/>
          <w:szCs w:val="18"/>
          <w:lang w:eastAsia="en-US"/>
        </w:rPr>
        <w:t xml:space="preserve"> (décision de la Commission), n° 24872/94, 9 février 1995.</w:t>
      </w:r>
    </w:p>
  </w:footnote>
  <w:footnote w:id="95">
    <w:p w14:paraId="6AD93B10" w14:textId="77777777" w:rsidR="00B41728" w:rsidRPr="00F331F8" w:rsidRDefault="00B41728" w:rsidP="00F331F8">
      <w:pPr>
        <w:pStyle w:val="NoSpacing"/>
        <w:jc w:val="both"/>
        <w:rPr>
          <w:rFonts w:ascii="Arial" w:hAnsi="Arial" w:cs="Arial"/>
          <w:i/>
          <w:iCs/>
          <w:sz w:val="18"/>
          <w:szCs w:val="18"/>
          <w:lang w:val="en-GB"/>
        </w:rPr>
      </w:pPr>
      <w:r w:rsidRPr="002D305B">
        <w:rPr>
          <w:rStyle w:val="FootnoteReference"/>
          <w:rFonts w:ascii="Arial" w:hAnsi="Arial" w:cs="Arial"/>
          <w:sz w:val="18"/>
          <w:szCs w:val="18"/>
        </w:rPr>
        <w:footnoteRef/>
      </w:r>
      <w:r w:rsidRPr="002D305B">
        <w:t xml:space="preserve"> </w:t>
      </w:r>
      <w:hyperlink r:id="rId134" w:anchor="{%22appno%22:[%2215472/02%22]}" w:history="1">
        <w:r w:rsidRPr="002D305B">
          <w:rPr>
            <w:rStyle w:val="Hyperlink"/>
            <w:rFonts w:ascii="Arial" w:eastAsiaTheme="majorEastAsia" w:hAnsi="Arial" w:cs="Arial"/>
            <w:i/>
            <w:iCs/>
            <w:sz w:val="18"/>
            <w:szCs w:val="18"/>
          </w:rPr>
          <w:t>Folgerø et autres c. Norvège </w:t>
        </w:r>
      </w:hyperlink>
      <w:r w:rsidRPr="002D305B">
        <w:rPr>
          <w:rStyle w:val="sb8d990e2"/>
          <w:rFonts w:ascii="Arial" w:eastAsiaTheme="majorEastAsia" w:hAnsi="Arial" w:cs="Arial"/>
          <w:color w:val="000000"/>
          <w:sz w:val="18"/>
          <w:szCs w:val="18"/>
        </w:rPr>
        <w:t>(déc.), n° </w:t>
      </w:r>
      <w:r w:rsidRPr="002D305B">
        <w:rPr>
          <w:rFonts w:ascii="Arial" w:hAnsi="Arial" w:cs="Arial"/>
          <w:sz w:val="18"/>
          <w:szCs w:val="18"/>
        </w:rPr>
        <w:t>15472/02</w:t>
      </w:r>
      <w:r w:rsidRPr="002D305B">
        <w:rPr>
          <w:rStyle w:val="sb8d990e2"/>
          <w:rFonts w:ascii="Arial" w:eastAsiaTheme="majorEastAsia" w:hAnsi="Arial" w:cs="Arial"/>
          <w:color w:val="000000"/>
          <w:sz w:val="18"/>
          <w:szCs w:val="18"/>
        </w:rPr>
        <w:t>, 14 février 2006 ;</w:t>
      </w:r>
      <w:r w:rsidRPr="002D305B">
        <w:rPr>
          <w:rFonts w:ascii="Arial" w:hAnsi="Arial" w:cs="Arial"/>
          <w:sz w:val="18"/>
          <w:szCs w:val="18"/>
        </w:rPr>
        <w:t xml:space="preserve"> </w:t>
      </w:r>
      <w:hyperlink r:id="rId135" w:anchor="{%22itemid%22:[%22001-111414%22]}" w:history="1">
        <w:r w:rsidRPr="002D305B">
          <w:rPr>
            <w:rStyle w:val="Hyperlink"/>
            <w:rFonts w:ascii="Arial" w:eastAsiaTheme="majorEastAsia" w:hAnsi="Arial" w:cs="Arial"/>
            <w:i/>
            <w:iCs/>
            <w:sz w:val="18"/>
            <w:szCs w:val="18"/>
          </w:rPr>
          <w:t>Savda c. Turquie</w:t>
        </w:r>
      </w:hyperlink>
      <w:r w:rsidRPr="002D305B">
        <w:rPr>
          <w:rStyle w:val="sb8d990e2"/>
          <w:rFonts w:ascii="Arial" w:eastAsiaTheme="majorEastAsia" w:hAnsi="Arial" w:cs="Arial"/>
          <w:color w:val="000000"/>
          <w:sz w:val="18"/>
          <w:szCs w:val="18"/>
        </w:rPr>
        <w:t>, n° </w:t>
      </w:r>
      <w:r w:rsidRPr="002D305B">
        <w:rPr>
          <w:rFonts w:ascii="Arial" w:hAnsi="Arial" w:cs="Arial"/>
          <w:sz w:val="18"/>
          <w:szCs w:val="18"/>
        </w:rPr>
        <w:t>42730/05</w:t>
      </w:r>
      <w:r w:rsidRPr="002D305B">
        <w:rPr>
          <w:rStyle w:val="sb8d990e2"/>
          <w:rFonts w:ascii="Arial" w:eastAsiaTheme="majorEastAsia" w:hAnsi="Arial" w:cs="Arial"/>
          <w:color w:val="000000"/>
          <w:sz w:val="18"/>
          <w:szCs w:val="18"/>
        </w:rPr>
        <w:t xml:space="preserve">, par. 68, 12 juin 2012 ; </w:t>
      </w:r>
      <w:hyperlink r:id="rId136" w:anchor="{%22itemid%22:[%22001-142444%22]}" w:history="1">
        <w:r w:rsidRPr="002D305B">
          <w:rPr>
            <w:rStyle w:val="Hyperlink"/>
            <w:rFonts w:ascii="Arial" w:eastAsiaTheme="majorEastAsia" w:hAnsi="Arial" w:cs="Arial"/>
            <w:i/>
            <w:iCs/>
            <w:sz w:val="18"/>
            <w:szCs w:val="18"/>
          </w:rPr>
          <w:t>Gürdeniz c. Turquie</w:t>
        </w:r>
        <w:r w:rsidRPr="002D305B">
          <w:rPr>
            <w:rStyle w:val="Hyperlink"/>
            <w:rFonts w:ascii="Arial" w:eastAsiaTheme="majorEastAsia" w:hAnsi="Arial" w:cs="Arial"/>
            <w:sz w:val="18"/>
            <w:szCs w:val="18"/>
          </w:rPr>
          <w:t> </w:t>
        </w:r>
      </w:hyperlink>
      <w:r w:rsidRPr="002D305B">
        <w:rPr>
          <w:rStyle w:val="sb8d990e2"/>
          <w:rFonts w:ascii="Arial" w:eastAsiaTheme="majorEastAsia" w:hAnsi="Arial" w:cs="Arial"/>
          <w:color w:val="000000"/>
          <w:sz w:val="18"/>
          <w:szCs w:val="18"/>
        </w:rPr>
        <w:t>(déc.), n° </w:t>
      </w:r>
      <w:r w:rsidRPr="002D305B">
        <w:rPr>
          <w:rFonts w:ascii="Arial" w:hAnsi="Arial" w:cs="Arial"/>
          <w:sz w:val="18"/>
          <w:szCs w:val="18"/>
        </w:rPr>
        <w:t>59715/10</w:t>
      </w:r>
      <w:r w:rsidRPr="002D305B">
        <w:rPr>
          <w:rStyle w:val="sb8d990e2"/>
          <w:rFonts w:ascii="Arial" w:eastAsiaTheme="majorEastAsia" w:hAnsi="Arial" w:cs="Arial"/>
          <w:color w:val="000000"/>
          <w:sz w:val="18"/>
          <w:szCs w:val="18"/>
        </w:rPr>
        <w:t xml:space="preserve">, par. 37, 18 mars 2014 ; </w:t>
      </w:r>
      <w:hyperlink r:id="rId137" w:history="1">
        <w:r w:rsidRPr="002D305B">
          <w:rPr>
            <w:rStyle w:val="Hyperlink"/>
            <w:rFonts w:ascii="Arial" w:eastAsiaTheme="majorEastAsia" w:hAnsi="Arial" w:cs="Arial"/>
            <w:i/>
            <w:sz w:val="18"/>
            <w:szCs w:val="18"/>
          </w:rPr>
          <w:t>Kavala</w:t>
        </w:r>
      </w:hyperlink>
      <w:r w:rsidRPr="002D305B">
        <w:rPr>
          <w:rStyle w:val="Hyperlink"/>
          <w:rFonts w:ascii="Arial" w:eastAsiaTheme="majorEastAsia" w:hAnsi="Arial" w:cs="Arial"/>
          <w:i/>
          <w:sz w:val="18"/>
          <w:szCs w:val="18"/>
        </w:rPr>
        <w:t xml:space="preserve"> c. Turquie</w:t>
      </w:r>
      <w:r w:rsidRPr="002D305B">
        <w:rPr>
          <w:rFonts w:ascii="Arial" w:hAnsi="Arial" w:cs="Arial"/>
          <w:sz w:val="18"/>
          <w:szCs w:val="18"/>
        </w:rPr>
        <w:t>, n° 28749/18, 10 décembre 2019.</w:t>
      </w:r>
      <w:r>
        <w:rPr>
          <w:rFonts w:ascii="Arial" w:hAnsi="Arial" w:cs="Arial"/>
          <w:sz w:val="18"/>
          <w:szCs w:val="18"/>
        </w:rPr>
        <w:t xml:space="preserve"> </w:t>
      </w:r>
      <w:hyperlink r:id="rId138" w:history="1">
        <w:r w:rsidRPr="00F331F8">
          <w:rPr>
            <w:rStyle w:val="Hyperlink"/>
            <w:rFonts w:ascii="Arial" w:eastAsiaTheme="majorEastAsia" w:hAnsi="Arial" w:cs="Arial"/>
            <w:i/>
            <w:iCs/>
            <w:sz w:val="18"/>
            <w:szCs w:val="18"/>
            <w:lang w:val="en-GB"/>
          </w:rPr>
          <w:t>POA et autres c. Royaume-Uni</w:t>
        </w:r>
      </w:hyperlink>
      <w:r w:rsidRPr="00F331F8">
        <w:rPr>
          <w:rFonts w:ascii="Arial" w:hAnsi="Arial" w:cs="Arial"/>
          <w:sz w:val="18"/>
          <w:szCs w:val="18"/>
          <w:lang w:val="en-GB"/>
        </w:rPr>
        <w:t xml:space="preserve"> (dec) </w:t>
      </w:r>
    </w:p>
  </w:footnote>
  <w:footnote w:id="96">
    <w:p w14:paraId="2ABBBA31" w14:textId="77777777" w:rsidR="00B41728" w:rsidRPr="00F331F8" w:rsidRDefault="00B41728" w:rsidP="00F331F8">
      <w:pPr>
        <w:pStyle w:val="NoSpacing"/>
        <w:jc w:val="both"/>
        <w:rPr>
          <w:rFonts w:ascii="Arial" w:hAnsi="Arial" w:cs="Arial"/>
          <w:sz w:val="18"/>
          <w:szCs w:val="18"/>
          <w:lang w:val="en-GB"/>
        </w:rPr>
      </w:pPr>
      <w:r w:rsidRPr="002D305B">
        <w:rPr>
          <w:rStyle w:val="FootnoteReference"/>
          <w:rFonts w:ascii="Arial" w:hAnsi="Arial" w:cs="Arial"/>
          <w:sz w:val="18"/>
          <w:szCs w:val="18"/>
        </w:rPr>
        <w:footnoteRef/>
      </w:r>
      <w:hyperlink r:id="rId139" w:history="1">
        <w:r w:rsidRPr="00F331F8">
          <w:rPr>
            <w:rStyle w:val="Hyperlink"/>
            <w:rFonts w:ascii="Arial" w:eastAsiaTheme="minorHAnsi" w:hAnsi="Arial" w:cs="Arial"/>
            <w:i/>
            <w:iCs/>
            <w:sz w:val="18"/>
            <w:szCs w:val="18"/>
            <w:lang w:val="en-GB" w:eastAsia="en-US"/>
          </w:rPr>
          <w:t>OAO Neftyanaya Kompaniya Yukos v. Russia</w:t>
        </w:r>
      </w:hyperlink>
      <w:r w:rsidRPr="00F331F8">
        <w:rPr>
          <w:rFonts w:ascii="Arial" w:hAnsi="Arial" w:cs="Arial"/>
          <w:color w:val="000000"/>
          <w:sz w:val="18"/>
          <w:szCs w:val="18"/>
          <w:lang w:val="en-GB"/>
        </w:rPr>
        <w:t xml:space="preserve">, </w:t>
      </w:r>
      <w:r w:rsidRPr="00F331F8">
        <w:rPr>
          <w:rFonts w:ascii="Arial" w:hAnsi="Arial" w:cs="Arial"/>
          <w:sz w:val="18"/>
          <w:szCs w:val="18"/>
          <w:lang w:val="en-GB"/>
        </w:rPr>
        <w:t>quoted above</w:t>
      </w:r>
      <w:r w:rsidRPr="00F331F8">
        <w:rPr>
          <w:rFonts w:ascii="Arial" w:hAnsi="Arial" w:cs="Arial"/>
          <w:color w:val="000000"/>
          <w:sz w:val="18"/>
          <w:szCs w:val="18"/>
          <w:lang w:val="en-GB"/>
        </w:rPr>
        <w:t xml:space="preserve">, § 522; </w:t>
      </w:r>
      <w:hyperlink r:id="rId140" w:history="1">
        <w:r w:rsidRPr="00F331F8">
          <w:rPr>
            <w:rStyle w:val="Hyperlink"/>
            <w:rFonts w:ascii="Arial" w:eastAsiaTheme="minorHAnsi" w:hAnsi="Arial" w:cs="Arial"/>
            <w:i/>
            <w:iCs/>
            <w:sz w:val="18"/>
            <w:szCs w:val="18"/>
            <w:lang w:val="en-GB" w:eastAsia="en-US"/>
          </w:rPr>
          <w:t>De Pace v. Italy</w:t>
        </w:r>
      </w:hyperlink>
      <w:r w:rsidRPr="00F331F8">
        <w:rPr>
          <w:rStyle w:val="Hyperlink"/>
          <w:rFonts w:ascii="Arial" w:eastAsiaTheme="minorHAnsi" w:hAnsi="Arial" w:cs="Arial"/>
          <w:i/>
          <w:iCs/>
          <w:sz w:val="18"/>
          <w:szCs w:val="18"/>
          <w:lang w:val="en-GB" w:eastAsia="en-US"/>
        </w:rPr>
        <w:t xml:space="preserve"> </w:t>
      </w:r>
      <w:r w:rsidRPr="00F331F8">
        <w:rPr>
          <w:rFonts w:ascii="Arial" w:hAnsi="Arial" w:cs="Arial"/>
          <w:color w:val="000000"/>
          <w:sz w:val="18"/>
          <w:szCs w:val="18"/>
          <w:lang w:val="en-GB"/>
        </w:rPr>
        <w:t>(</w:t>
      </w:r>
      <w:r w:rsidRPr="00F331F8">
        <w:rPr>
          <w:rStyle w:val="sb8d990e2"/>
          <w:rFonts w:ascii="Arial" w:eastAsiaTheme="majorEastAsia" w:hAnsi="Arial" w:cs="Arial"/>
          <w:color w:val="000000"/>
          <w:sz w:val="18"/>
          <w:szCs w:val="18"/>
          <w:lang w:val="en-GB"/>
        </w:rPr>
        <w:t>French only),</w:t>
      </w:r>
      <w:r w:rsidRPr="00F331F8">
        <w:rPr>
          <w:rFonts w:ascii="Arial" w:hAnsi="Arial" w:cs="Arial"/>
          <w:color w:val="000000"/>
          <w:sz w:val="18"/>
          <w:szCs w:val="18"/>
          <w:lang w:val="en-GB"/>
        </w:rPr>
        <w:t xml:space="preserve"> no. 22728/03, §§ 25-28, 17 July 2008; </w:t>
      </w:r>
      <w:hyperlink r:id="rId141" w:history="1">
        <w:r w:rsidRPr="00F331F8">
          <w:rPr>
            <w:rStyle w:val="Hyperlink"/>
            <w:rFonts w:ascii="Arial" w:eastAsiaTheme="minorHAnsi" w:hAnsi="Arial" w:cs="Arial"/>
            <w:i/>
            <w:iCs/>
            <w:sz w:val="18"/>
            <w:szCs w:val="18"/>
            <w:lang w:val="en-GB" w:eastAsia="en-US"/>
          </w:rPr>
          <w:t>Karoussiotis v. Portugal</w:t>
        </w:r>
      </w:hyperlink>
      <w:r w:rsidRPr="00F331F8">
        <w:rPr>
          <w:rFonts w:ascii="Arial" w:hAnsi="Arial" w:cs="Arial"/>
          <w:color w:val="000000"/>
          <w:sz w:val="18"/>
          <w:szCs w:val="18"/>
          <w:lang w:val="en-GB"/>
        </w:rPr>
        <w:t xml:space="preserve">, §§ 62 and 65-76; </w:t>
      </w:r>
      <w:hyperlink r:id="rId142" w:history="1">
        <w:r w:rsidRPr="00F331F8">
          <w:rPr>
            <w:rStyle w:val="Hyperlink"/>
            <w:rFonts w:ascii="Arial" w:eastAsiaTheme="minorHAnsi" w:hAnsi="Arial" w:cs="Arial"/>
            <w:i/>
            <w:iCs/>
            <w:sz w:val="18"/>
            <w:szCs w:val="18"/>
            <w:lang w:val="en-GB" w:eastAsia="en-US"/>
          </w:rPr>
          <w:t>Doğan and Çakmak v. Turkey</w:t>
        </w:r>
      </w:hyperlink>
      <w:r w:rsidRPr="00F331F8">
        <w:rPr>
          <w:rFonts w:ascii="Arial" w:hAnsi="Arial" w:cs="Arial"/>
          <w:i/>
          <w:iCs/>
          <w:color w:val="000000"/>
          <w:sz w:val="18"/>
          <w:szCs w:val="18"/>
          <w:lang w:val="en-GB"/>
        </w:rPr>
        <w:t xml:space="preserve"> </w:t>
      </w:r>
      <w:r w:rsidRPr="00F331F8">
        <w:rPr>
          <w:rFonts w:ascii="Arial" w:hAnsi="Arial" w:cs="Arial"/>
          <w:color w:val="000000"/>
          <w:sz w:val="18"/>
          <w:szCs w:val="18"/>
          <w:lang w:val="en-GB"/>
        </w:rPr>
        <w:t>(dec.) (</w:t>
      </w:r>
      <w:r w:rsidRPr="00F331F8">
        <w:rPr>
          <w:rStyle w:val="sb8d990e2"/>
          <w:rFonts w:ascii="Arial" w:eastAsiaTheme="majorEastAsia" w:hAnsi="Arial" w:cs="Arial"/>
          <w:color w:val="000000"/>
          <w:sz w:val="18"/>
          <w:szCs w:val="18"/>
          <w:lang w:val="en-GB"/>
        </w:rPr>
        <w:t>French only)</w:t>
      </w:r>
      <w:r w:rsidRPr="00F331F8">
        <w:rPr>
          <w:rFonts w:ascii="Arial" w:hAnsi="Arial" w:cs="Arial"/>
          <w:color w:val="000000"/>
          <w:sz w:val="18"/>
          <w:szCs w:val="18"/>
          <w:lang w:val="en-GB"/>
        </w:rPr>
        <w:t xml:space="preserve">, quoted above, § 2. </w:t>
      </w:r>
    </w:p>
  </w:footnote>
  <w:footnote w:id="97">
    <w:p w14:paraId="7EE2BA7F" w14:textId="77777777" w:rsidR="00B41728" w:rsidRPr="002D305B" w:rsidRDefault="00B41728" w:rsidP="00F331F8">
      <w:pPr>
        <w:pStyle w:val="NoSpacing"/>
        <w:jc w:val="both"/>
        <w:rPr>
          <w:rFonts w:ascii="Arial" w:hAnsi="Arial" w:cs="Arial"/>
          <w:sz w:val="18"/>
          <w:szCs w:val="18"/>
        </w:rPr>
      </w:pPr>
      <w:r w:rsidRPr="002D305B">
        <w:rPr>
          <w:rStyle w:val="FootnoteReference"/>
          <w:rFonts w:ascii="Arial" w:hAnsi="Arial" w:cs="Arial"/>
          <w:sz w:val="18"/>
          <w:szCs w:val="18"/>
        </w:rPr>
        <w:footnoteRef/>
      </w:r>
      <w:r w:rsidRPr="00BC1A89">
        <w:rPr>
          <w:rFonts w:ascii="Arial" w:hAnsi="Arial" w:cs="Arial"/>
          <w:sz w:val="18"/>
          <w:szCs w:val="18"/>
          <w:lang w:val="en-GB"/>
        </w:rPr>
        <w:t xml:space="preserve"> </w:t>
      </w:r>
      <w:hyperlink r:id="rId143" w:history="1">
        <w:r w:rsidRPr="00BC1A89">
          <w:rPr>
            <w:rStyle w:val="Hyperlink"/>
            <w:rFonts w:ascii="Arial" w:eastAsiaTheme="majorEastAsia" w:hAnsi="Arial" w:cs="Arial"/>
            <w:i/>
            <w:iCs/>
            <w:sz w:val="18"/>
            <w:szCs w:val="18"/>
            <w:lang w:val="en-GB"/>
          </w:rPr>
          <w:t>Peraldi c. France</w:t>
        </w:r>
        <w:r w:rsidRPr="00BC1A89">
          <w:rPr>
            <w:rStyle w:val="Hyperlink"/>
            <w:rFonts w:ascii="Arial" w:eastAsiaTheme="majorEastAsia" w:hAnsi="Arial" w:cs="Arial"/>
            <w:sz w:val="18"/>
            <w:szCs w:val="18"/>
            <w:lang w:val="en-GB"/>
          </w:rPr>
          <w:t> </w:t>
        </w:r>
      </w:hyperlink>
      <w:r w:rsidRPr="00BC1A89">
        <w:rPr>
          <w:rStyle w:val="sb8d990e2"/>
          <w:rFonts w:ascii="Arial" w:eastAsiaTheme="majorEastAsia" w:hAnsi="Arial" w:cs="Arial"/>
          <w:color w:val="000000"/>
          <w:sz w:val="18"/>
          <w:szCs w:val="18"/>
          <w:lang w:val="en-GB"/>
        </w:rPr>
        <w:t>(déc.), n° </w:t>
      </w:r>
      <w:r w:rsidRPr="00BC1A89">
        <w:rPr>
          <w:rFonts w:ascii="Arial" w:hAnsi="Arial" w:cs="Arial"/>
          <w:sz w:val="18"/>
          <w:szCs w:val="18"/>
          <w:lang w:val="en-GB"/>
        </w:rPr>
        <w:t>2096/05</w:t>
      </w:r>
      <w:r w:rsidRPr="00BC1A89">
        <w:rPr>
          <w:rStyle w:val="sb8d990e2"/>
          <w:rFonts w:ascii="Arial" w:eastAsiaTheme="majorEastAsia" w:hAnsi="Arial" w:cs="Arial"/>
          <w:color w:val="000000"/>
          <w:sz w:val="18"/>
          <w:szCs w:val="18"/>
          <w:lang w:val="en-GB"/>
        </w:rPr>
        <w:t xml:space="preserve">, 7 avril 2009 ; </w:t>
      </w:r>
      <w:hyperlink r:id="rId144" w:history="1">
        <w:r w:rsidRPr="00BC1A89">
          <w:rPr>
            <w:rStyle w:val="Hyperlink"/>
            <w:rFonts w:ascii="Arial" w:eastAsiaTheme="majorEastAsia" w:hAnsi="Arial" w:cs="Arial"/>
            <w:i/>
            <w:iCs/>
            <w:sz w:val="18"/>
            <w:szCs w:val="18"/>
            <w:lang w:val="en-GB"/>
          </w:rPr>
          <w:t>Gürdeniz c. Turquie</w:t>
        </w:r>
        <w:r w:rsidRPr="00BC1A89">
          <w:rPr>
            <w:rStyle w:val="Hyperlink"/>
            <w:rFonts w:ascii="Arial" w:eastAsiaTheme="majorEastAsia" w:hAnsi="Arial" w:cs="Arial"/>
            <w:sz w:val="18"/>
            <w:szCs w:val="18"/>
            <w:lang w:val="en-GB"/>
          </w:rPr>
          <w:t> </w:t>
        </w:r>
      </w:hyperlink>
      <w:r w:rsidRPr="00BC1A89">
        <w:rPr>
          <w:rStyle w:val="sb8d990e2"/>
          <w:rFonts w:ascii="Arial" w:eastAsiaTheme="majorEastAsia" w:hAnsi="Arial" w:cs="Arial"/>
          <w:color w:val="000000"/>
          <w:sz w:val="18"/>
          <w:szCs w:val="18"/>
          <w:lang w:val="en-GB"/>
        </w:rPr>
        <w:t>(déc.), n° </w:t>
      </w:r>
      <w:r w:rsidRPr="00BC1A89">
        <w:rPr>
          <w:rFonts w:ascii="Arial" w:hAnsi="Arial" w:cs="Arial"/>
          <w:sz w:val="18"/>
          <w:szCs w:val="18"/>
          <w:lang w:val="en-GB"/>
        </w:rPr>
        <w:t>59715/10</w:t>
      </w:r>
      <w:r w:rsidRPr="00BC1A89">
        <w:rPr>
          <w:rStyle w:val="sb8d990e2"/>
          <w:rFonts w:ascii="Arial" w:eastAsiaTheme="majorEastAsia" w:hAnsi="Arial" w:cs="Arial"/>
          <w:color w:val="000000"/>
          <w:sz w:val="18"/>
          <w:szCs w:val="18"/>
          <w:lang w:val="en-GB"/>
        </w:rPr>
        <w:t>, par. 37, 18 mars 2014 </w:t>
      </w:r>
      <w:r w:rsidRPr="00BC1A89">
        <w:rPr>
          <w:rFonts w:ascii="Arial" w:hAnsi="Arial" w:cs="Arial"/>
          <w:sz w:val="18"/>
          <w:szCs w:val="18"/>
          <w:lang w:val="en-GB"/>
        </w:rPr>
        <w:t xml:space="preserve">; </w:t>
      </w:r>
      <w:hyperlink r:id="rId145" w:history="1">
        <w:r w:rsidRPr="00BC1A89">
          <w:rPr>
            <w:rStyle w:val="Hyperlink"/>
            <w:rFonts w:ascii="Arial" w:eastAsiaTheme="majorEastAsia" w:hAnsi="Arial" w:cs="Arial"/>
            <w:i/>
            <w:sz w:val="18"/>
            <w:szCs w:val="18"/>
            <w:lang w:val="en-GB"/>
          </w:rPr>
          <w:t>Selahattin Demirtaş c.</w:t>
        </w:r>
      </w:hyperlink>
      <w:r w:rsidRPr="00BC1A89">
        <w:rPr>
          <w:rStyle w:val="Hyperlink"/>
          <w:rFonts w:ascii="Arial" w:eastAsiaTheme="majorEastAsia" w:hAnsi="Arial" w:cs="Arial"/>
          <w:i/>
          <w:sz w:val="18"/>
          <w:szCs w:val="18"/>
          <w:lang w:val="en-GB"/>
        </w:rPr>
        <w:t xml:space="preserve"> </w:t>
      </w:r>
      <w:r w:rsidRPr="002D305B">
        <w:rPr>
          <w:rStyle w:val="Hyperlink"/>
          <w:rFonts w:ascii="Arial" w:eastAsiaTheme="majorEastAsia" w:hAnsi="Arial" w:cs="Arial"/>
          <w:i/>
          <w:sz w:val="18"/>
          <w:szCs w:val="18"/>
        </w:rPr>
        <w:t>Turquie</w:t>
      </w:r>
      <w:r w:rsidRPr="002D305B">
        <w:rPr>
          <w:rFonts w:ascii="Arial" w:hAnsi="Arial" w:cs="Arial"/>
          <w:sz w:val="18"/>
          <w:szCs w:val="18"/>
        </w:rPr>
        <w:t xml:space="preserve"> (n° 2), n° 14305/17, 20 novembre 2018 ; </w:t>
      </w:r>
      <w:hyperlink r:id="rId146" w:history="1">
        <w:r w:rsidRPr="002D305B">
          <w:rPr>
            <w:rStyle w:val="Hyperlink"/>
            <w:rFonts w:ascii="Arial" w:eastAsiaTheme="majorEastAsia" w:hAnsi="Arial" w:cs="Arial"/>
            <w:i/>
            <w:sz w:val="18"/>
            <w:szCs w:val="18"/>
          </w:rPr>
          <w:t>Kavala</w:t>
        </w:r>
      </w:hyperlink>
      <w:r w:rsidRPr="002D305B">
        <w:rPr>
          <w:rStyle w:val="Hyperlink"/>
          <w:rFonts w:ascii="Arial" w:eastAsiaTheme="majorEastAsia" w:hAnsi="Arial" w:cs="Arial"/>
          <w:i/>
          <w:sz w:val="18"/>
          <w:szCs w:val="18"/>
        </w:rPr>
        <w:t xml:space="preserve"> c. </w:t>
      </w:r>
      <w:hyperlink r:id="rId147" w:history="1">
        <w:r w:rsidRPr="002D305B">
          <w:rPr>
            <w:rStyle w:val="Hyperlink"/>
            <w:rFonts w:ascii="Arial" w:eastAsiaTheme="majorEastAsia" w:hAnsi="Arial" w:cs="Arial"/>
            <w:i/>
            <w:sz w:val="18"/>
            <w:szCs w:val="18"/>
          </w:rPr>
          <w:t>Turquie</w:t>
        </w:r>
      </w:hyperlink>
      <w:r w:rsidRPr="002D305B">
        <w:rPr>
          <w:rFonts w:ascii="Arial" w:hAnsi="Arial" w:cs="Arial"/>
          <w:sz w:val="18"/>
          <w:szCs w:val="18"/>
        </w:rPr>
        <w:t xml:space="preserve">, n° 28749/18, 10 décembre 2019. </w:t>
      </w:r>
    </w:p>
  </w:footnote>
  <w:footnote w:id="98">
    <w:p w14:paraId="5B198C07" w14:textId="77777777" w:rsidR="00B41728" w:rsidRPr="002D305B" w:rsidRDefault="00B41728" w:rsidP="00F331F8">
      <w:pPr>
        <w:pStyle w:val="NoSpacing"/>
        <w:jc w:val="both"/>
        <w:rPr>
          <w:rFonts w:ascii="Arial" w:hAnsi="Arial" w:cs="Arial"/>
          <w:sz w:val="18"/>
          <w:szCs w:val="18"/>
        </w:rPr>
      </w:pPr>
      <w:r w:rsidRPr="002D305B">
        <w:rPr>
          <w:rStyle w:val="FootnoteReference"/>
          <w:rFonts w:ascii="Arial" w:hAnsi="Arial" w:cs="Arial"/>
          <w:sz w:val="18"/>
          <w:szCs w:val="18"/>
        </w:rPr>
        <w:footnoteRef/>
      </w:r>
      <w:r w:rsidRPr="002D305B">
        <w:rPr>
          <w:rFonts w:ascii="Arial" w:hAnsi="Arial" w:cs="Arial"/>
          <w:sz w:val="18"/>
          <w:szCs w:val="18"/>
        </w:rPr>
        <w:t xml:space="preserve"> </w:t>
      </w:r>
      <w:hyperlink r:id="rId148" w:history="1">
        <w:r w:rsidRPr="002D305B">
          <w:rPr>
            <w:rStyle w:val="Hyperlink"/>
            <w:rFonts w:ascii="Arial" w:eastAsiaTheme="majorEastAsia" w:hAnsi="Arial" w:cs="Arial"/>
            <w:i/>
            <w:sz w:val="18"/>
            <w:szCs w:val="18"/>
          </w:rPr>
          <w:t>Karoussiotis c. Portugal</w:t>
        </w:r>
      </w:hyperlink>
      <w:r w:rsidRPr="002D305B">
        <w:rPr>
          <w:rFonts w:ascii="Arial" w:hAnsi="Arial" w:cs="Arial"/>
          <w:sz w:val="18"/>
          <w:szCs w:val="18"/>
        </w:rPr>
        <w:t>, no 23205/08, 1</w:t>
      </w:r>
      <w:r w:rsidRPr="002D305B">
        <w:rPr>
          <w:rFonts w:ascii="Arial" w:hAnsi="Arial" w:cs="Arial"/>
          <w:sz w:val="18"/>
          <w:szCs w:val="18"/>
          <w:vertAlign w:val="superscript"/>
        </w:rPr>
        <w:t>er</w:t>
      </w:r>
      <w:r w:rsidRPr="002D305B">
        <w:rPr>
          <w:rFonts w:ascii="Arial" w:hAnsi="Arial" w:cs="Arial"/>
          <w:sz w:val="18"/>
          <w:szCs w:val="18"/>
        </w:rPr>
        <w:t xml:space="preserve"> février 2011.</w:t>
      </w:r>
    </w:p>
  </w:footnote>
  <w:footnote w:id="99">
    <w:p w14:paraId="7E1DC5FA" w14:textId="77777777" w:rsidR="00B41728" w:rsidRPr="002D305B" w:rsidRDefault="00B41728" w:rsidP="00F331F8">
      <w:pPr>
        <w:pStyle w:val="NoSpacing"/>
        <w:jc w:val="both"/>
        <w:rPr>
          <w:rFonts w:ascii="Arial" w:hAnsi="Arial" w:cs="Arial"/>
          <w:sz w:val="18"/>
          <w:szCs w:val="18"/>
        </w:rPr>
      </w:pPr>
      <w:r w:rsidRPr="002D305B">
        <w:rPr>
          <w:rStyle w:val="FootnoteReference"/>
          <w:rFonts w:ascii="Arial" w:hAnsi="Arial" w:cs="Arial"/>
          <w:sz w:val="18"/>
          <w:szCs w:val="18"/>
        </w:rPr>
        <w:footnoteRef/>
      </w:r>
      <w:r w:rsidRPr="002D305B">
        <w:rPr>
          <w:rStyle w:val="sb8d990e2"/>
          <w:rFonts w:ascii="Arial" w:eastAsiaTheme="majorEastAsia" w:hAnsi="Arial" w:cs="Arial"/>
          <w:color w:val="000000"/>
          <w:sz w:val="18"/>
          <w:szCs w:val="18"/>
        </w:rPr>
        <w:t xml:space="preserve"> </w:t>
      </w:r>
      <w:hyperlink r:id="rId149" w:history="1">
        <w:r w:rsidRPr="002D305B">
          <w:rPr>
            <w:rStyle w:val="Hyperlink"/>
            <w:rFonts w:ascii="Arial" w:eastAsiaTheme="majorEastAsia" w:hAnsi="Arial" w:cs="Arial"/>
            <w:i/>
            <w:iCs/>
            <w:sz w:val="18"/>
            <w:szCs w:val="18"/>
          </w:rPr>
          <w:t>Lukanov c. Bulgarie</w:t>
        </w:r>
      </w:hyperlink>
      <w:r w:rsidRPr="002D305B">
        <w:rPr>
          <w:rStyle w:val="sb8d990e2"/>
          <w:rFonts w:ascii="Arial" w:eastAsiaTheme="majorEastAsia" w:hAnsi="Arial" w:cs="Arial"/>
          <w:color w:val="000000"/>
          <w:sz w:val="18"/>
          <w:szCs w:val="18"/>
        </w:rPr>
        <w:t xml:space="preserve">, n° </w:t>
      </w:r>
      <w:r w:rsidRPr="002D305B">
        <w:rPr>
          <w:rFonts w:ascii="Arial" w:hAnsi="Arial" w:cs="Arial"/>
          <w:sz w:val="18"/>
          <w:szCs w:val="18"/>
        </w:rPr>
        <w:t>21915/93</w:t>
      </w:r>
      <w:r w:rsidRPr="002D305B">
        <w:rPr>
          <w:rStyle w:val="sb8d990e2"/>
          <w:rFonts w:ascii="Arial" w:eastAsiaTheme="majorEastAsia" w:hAnsi="Arial" w:cs="Arial"/>
          <w:color w:val="000000"/>
          <w:sz w:val="18"/>
          <w:szCs w:val="18"/>
        </w:rPr>
        <w:t xml:space="preserve">, décision de la Commission du 12 janvier 1995, Décisions et rapports 80-A, p. 108 ; </w:t>
      </w:r>
      <w:hyperlink r:id="rId150" w:history="1">
        <w:r w:rsidRPr="002D305B">
          <w:t xml:space="preserve"> </w:t>
        </w:r>
        <w:hyperlink r:id="rId151" w:history="1">
          <w:r w:rsidRPr="002D305B">
            <w:rPr>
              <w:rStyle w:val="Hyperlink"/>
              <w:rFonts w:ascii="Arial" w:eastAsiaTheme="majorEastAsia" w:hAnsi="Arial" w:cs="Arial"/>
              <w:i/>
              <w:sz w:val="18"/>
              <w:szCs w:val="18"/>
            </w:rPr>
            <w:t>Selahattin Demirtaş c.</w:t>
          </w:r>
        </w:hyperlink>
        <w:r w:rsidRPr="002D305B">
          <w:rPr>
            <w:rStyle w:val="Hyperlink"/>
            <w:rFonts w:ascii="Arial" w:eastAsiaTheme="majorEastAsia" w:hAnsi="Arial" w:cs="Arial"/>
            <w:i/>
            <w:sz w:val="18"/>
            <w:szCs w:val="18"/>
          </w:rPr>
          <w:t xml:space="preserve"> Turquie </w:t>
        </w:r>
      </w:hyperlink>
      <w:r w:rsidRPr="002D305B">
        <w:rPr>
          <w:rFonts w:ascii="Arial" w:hAnsi="Arial" w:cs="Arial"/>
          <w:sz w:val="18"/>
          <w:szCs w:val="18"/>
        </w:rPr>
        <w:t xml:space="preserve">(n° 2) n°14305/17, 20 novembre 2018. </w:t>
      </w:r>
    </w:p>
  </w:footnote>
  <w:footnote w:id="100">
    <w:p w14:paraId="5740F511" w14:textId="77777777" w:rsidR="00B41728" w:rsidRPr="00486B14" w:rsidRDefault="00B41728" w:rsidP="00F331F8">
      <w:pPr>
        <w:pStyle w:val="SingleTxtG"/>
        <w:spacing w:after="0" w:line="180" w:lineRule="exact"/>
        <w:ind w:left="0" w:right="0"/>
        <w:rPr>
          <w:rFonts w:ascii="Arial" w:hAnsi="Arial" w:cs="Arial"/>
          <w:sz w:val="18"/>
          <w:szCs w:val="18"/>
          <w:lang w:val="en-US"/>
        </w:rPr>
      </w:pPr>
      <w:r w:rsidRPr="00560F13">
        <w:rPr>
          <w:rStyle w:val="FootnoteReference"/>
          <w:rFonts w:ascii="Arial" w:hAnsi="Arial" w:cs="Arial"/>
          <w:sz w:val="18"/>
          <w:szCs w:val="18"/>
        </w:rPr>
        <w:footnoteRef/>
      </w:r>
      <w:r w:rsidRPr="00486B14">
        <w:rPr>
          <w:rFonts w:ascii="Arial" w:hAnsi="Arial" w:cs="Arial"/>
          <w:sz w:val="18"/>
          <w:szCs w:val="18"/>
          <w:lang w:val="en-US"/>
        </w:rPr>
        <w:t xml:space="preserve"> </w:t>
      </w:r>
      <w:r w:rsidRPr="00560F13">
        <w:rPr>
          <w:rFonts w:ascii="Arial" w:hAnsi="Arial" w:cs="Arial"/>
          <w:sz w:val="18"/>
          <w:szCs w:val="18"/>
          <w:lang w:val="en-US"/>
        </w:rPr>
        <w:t>Article 5 (2) (a) of the Optional Protocol provides that the Human Rights Committee shall not consider any communication from an individual unless it has ascertained that the same matter is not being examined under another procedure of international investigation or settlement. State Parties to the ICCPR may and have indeed entered reservations to this provision.</w:t>
      </w:r>
    </w:p>
  </w:footnote>
  <w:footnote w:id="101">
    <w:p w14:paraId="720660B8" w14:textId="77777777" w:rsidR="00B41728" w:rsidRPr="00486B14" w:rsidRDefault="00B41728" w:rsidP="00F331F8">
      <w:pPr>
        <w:pStyle w:val="SingleTxtG"/>
        <w:spacing w:after="0" w:line="180" w:lineRule="exact"/>
        <w:ind w:left="0" w:right="0"/>
        <w:rPr>
          <w:rFonts w:ascii="Arial" w:hAnsi="Arial" w:cs="Arial"/>
          <w:sz w:val="18"/>
          <w:szCs w:val="18"/>
          <w:lang w:val="en-US"/>
        </w:rPr>
      </w:pPr>
      <w:r w:rsidRPr="00560F13">
        <w:rPr>
          <w:rFonts w:ascii="Arial" w:hAnsi="Arial" w:cs="Arial"/>
          <w:sz w:val="18"/>
          <w:szCs w:val="18"/>
          <w:vertAlign w:val="superscript"/>
          <w:lang w:val="en-US"/>
        </w:rPr>
        <w:footnoteRef/>
      </w:r>
      <w:r w:rsidRPr="00560F13">
        <w:rPr>
          <w:rFonts w:ascii="Arial" w:hAnsi="Arial" w:cs="Arial"/>
          <w:sz w:val="18"/>
          <w:szCs w:val="18"/>
          <w:lang w:val="en-US"/>
        </w:rPr>
        <w:t xml:space="preserve"> </w:t>
      </w:r>
      <w:hyperlink r:id="rId152" w:history="1">
        <w:r w:rsidRPr="00560F13">
          <w:rPr>
            <w:rStyle w:val="Hyperlink"/>
            <w:rFonts w:ascii="Arial" w:hAnsi="Arial" w:cs="Arial"/>
            <w:sz w:val="18"/>
            <w:szCs w:val="18"/>
            <w:lang w:val="en-US"/>
          </w:rPr>
          <w:t>https://treaties.un.org/Pages/ViewDetails.aspx?src=TREATY&amp;mtdsg_no=IV-5&amp;chapter=4</w:t>
        </w:r>
      </w:hyperlink>
      <w:r w:rsidRPr="00560F13">
        <w:rPr>
          <w:rFonts w:ascii="Arial" w:hAnsi="Arial" w:cs="Arial"/>
          <w:sz w:val="18"/>
          <w:szCs w:val="18"/>
          <w:lang w:val="en-US"/>
        </w:rPr>
        <w:t xml:space="preserve"> </w:t>
      </w:r>
    </w:p>
  </w:footnote>
  <w:footnote w:id="102">
    <w:p w14:paraId="79B960FC" w14:textId="77777777" w:rsidR="00B41728" w:rsidRPr="00486B14" w:rsidRDefault="00B41728" w:rsidP="00F331F8">
      <w:pPr>
        <w:pStyle w:val="SingleTxtG"/>
        <w:spacing w:after="0" w:line="180" w:lineRule="exact"/>
        <w:ind w:left="0" w:right="0"/>
        <w:rPr>
          <w:rFonts w:ascii="Arial" w:hAnsi="Arial" w:cs="Arial"/>
          <w:sz w:val="18"/>
          <w:szCs w:val="18"/>
          <w:lang w:val="en-US"/>
        </w:rPr>
      </w:pPr>
      <w:r w:rsidRPr="00560F13">
        <w:rPr>
          <w:rStyle w:val="FootnoteReference"/>
          <w:rFonts w:ascii="Arial" w:hAnsi="Arial" w:cs="Arial"/>
          <w:sz w:val="18"/>
          <w:szCs w:val="18"/>
        </w:rPr>
        <w:footnoteRef/>
      </w:r>
      <w:r w:rsidRPr="00486B14">
        <w:rPr>
          <w:rFonts w:ascii="Arial" w:hAnsi="Arial" w:cs="Arial"/>
          <w:sz w:val="18"/>
          <w:szCs w:val="18"/>
          <w:lang w:val="en-US"/>
        </w:rPr>
        <w:t xml:space="preserve"> </w:t>
      </w:r>
      <w:r w:rsidRPr="00560F13">
        <w:rPr>
          <w:rFonts w:ascii="Arial" w:hAnsi="Arial" w:cs="Arial"/>
          <w:sz w:val="18"/>
          <w:szCs w:val="18"/>
          <w:lang w:val="en-US"/>
        </w:rPr>
        <w:t>See Communication</w:t>
      </w:r>
      <w:r w:rsidRPr="00486B14">
        <w:rPr>
          <w:rFonts w:ascii="Arial" w:hAnsi="Arial" w:cs="Arial"/>
          <w:sz w:val="18"/>
          <w:szCs w:val="18"/>
          <w:lang w:val="en-US"/>
        </w:rPr>
        <w:t xml:space="preserve"> </w:t>
      </w:r>
      <w:hyperlink r:id="rId153" w:history="1">
        <w:r w:rsidRPr="00486B14">
          <w:rPr>
            <w:rStyle w:val="Hyperlink"/>
            <w:rFonts w:ascii="Arial" w:hAnsi="Arial" w:cs="Arial"/>
            <w:sz w:val="18"/>
            <w:szCs w:val="18"/>
            <w:lang w:val="en-US"/>
          </w:rPr>
          <w:t>CCPR/C/123/D/2807/2016</w:t>
        </w:r>
      </w:hyperlink>
      <w:r w:rsidRPr="00486B14">
        <w:rPr>
          <w:rFonts w:ascii="Arial" w:hAnsi="Arial" w:cs="Arial"/>
          <w:sz w:val="18"/>
          <w:szCs w:val="18"/>
          <w:lang w:val="en-US"/>
        </w:rPr>
        <w:t xml:space="preserve">, 17 October 2018, Views adopted by the Committee under article 5 (4) of the Optional Protocol, concerning communication No. 2807/2016 submitted by Miriana Hebbadj, State Party France, see paragraph 6.3. See also </w:t>
      </w:r>
      <w:hyperlink r:id="rId154" w:history="1">
        <w:r w:rsidRPr="00486B14">
          <w:rPr>
            <w:rStyle w:val="Hyperlink"/>
            <w:rFonts w:ascii="Arial" w:hAnsi="Arial" w:cs="Arial"/>
            <w:sz w:val="18"/>
            <w:szCs w:val="18"/>
            <w:lang w:val="en-US"/>
          </w:rPr>
          <w:t>CCPR/C/123/D/2747/2016</w:t>
        </w:r>
      </w:hyperlink>
      <w:r w:rsidRPr="00486B14">
        <w:rPr>
          <w:rFonts w:ascii="Arial" w:hAnsi="Arial" w:cs="Arial"/>
          <w:sz w:val="18"/>
          <w:szCs w:val="18"/>
          <w:lang w:val="en-US"/>
        </w:rPr>
        <w:t>, 7 December 2018, Views adopted by the Committee under article 5 (4) of the Optional Protocol, concerning communication No. 2747/2016, submitted by Sonia Yaker, State Party France, paragraph 6.2. At the time of ratification of the ICCPR France entered the following reservation: “France makes a reservation to article 5, paragraph 2 (a), specifying that the Human Rights Committee shall not have competence to consider a communication from an individual if the same matter is being examined or has already been considered under another procedure of international investigation or settlement.”</w:t>
      </w:r>
    </w:p>
  </w:footnote>
  <w:footnote w:id="103">
    <w:p w14:paraId="57CAA459" w14:textId="77777777" w:rsidR="00B41728" w:rsidRPr="00486B14" w:rsidRDefault="00B41728" w:rsidP="00F331F8">
      <w:pPr>
        <w:pStyle w:val="SingleTxtG"/>
        <w:spacing w:after="0" w:line="180" w:lineRule="exact"/>
        <w:ind w:left="0" w:right="0"/>
        <w:rPr>
          <w:rFonts w:ascii="Arial" w:hAnsi="Arial" w:cs="Arial"/>
          <w:sz w:val="18"/>
          <w:szCs w:val="18"/>
          <w:lang w:val="en-US"/>
        </w:rPr>
      </w:pPr>
      <w:r w:rsidRPr="00560F13">
        <w:rPr>
          <w:rStyle w:val="FootnoteReference"/>
          <w:rFonts w:ascii="Arial" w:hAnsi="Arial" w:cs="Arial"/>
          <w:sz w:val="18"/>
          <w:szCs w:val="18"/>
        </w:rPr>
        <w:footnoteRef/>
      </w:r>
      <w:r w:rsidRPr="00486B14">
        <w:rPr>
          <w:rFonts w:ascii="Arial" w:hAnsi="Arial" w:cs="Arial"/>
          <w:sz w:val="18"/>
          <w:szCs w:val="18"/>
          <w:lang w:val="en-US"/>
        </w:rPr>
        <w:t xml:space="preserve"> See Communication </w:t>
      </w:r>
      <w:hyperlink r:id="rId155" w:history="1">
        <w:r w:rsidRPr="00486B14">
          <w:rPr>
            <w:rStyle w:val="Hyperlink"/>
            <w:rFonts w:ascii="Arial" w:hAnsi="Arial" w:cs="Arial"/>
            <w:sz w:val="18"/>
            <w:szCs w:val="18"/>
            <w:lang w:val="en-US"/>
          </w:rPr>
          <w:t xml:space="preserve">CCPR/C/86/D/1123/2002 </w:t>
        </w:r>
      </w:hyperlink>
      <w:r w:rsidRPr="00486B14">
        <w:rPr>
          <w:rFonts w:ascii="Arial" w:hAnsi="Arial" w:cs="Arial"/>
          <w:sz w:val="18"/>
          <w:szCs w:val="18"/>
          <w:lang w:val="en-US"/>
        </w:rPr>
        <w:t>Views adopted by the Human Rights Committee concerning communication No. 1123/2002 s</w:t>
      </w:r>
      <w:r w:rsidRPr="00486B14">
        <w:rPr>
          <w:rFonts w:ascii="Arial" w:hAnsi="Arial" w:cs="Arial"/>
          <w:iCs/>
          <w:sz w:val="18"/>
          <w:szCs w:val="18"/>
          <w:lang w:val="en-US"/>
        </w:rPr>
        <w:t>ubmitted</w:t>
      </w:r>
      <w:r w:rsidRPr="00486B14">
        <w:rPr>
          <w:rFonts w:ascii="Arial" w:hAnsi="Arial" w:cs="Arial"/>
          <w:i/>
          <w:iCs/>
          <w:sz w:val="18"/>
          <w:szCs w:val="18"/>
          <w:lang w:val="en-US"/>
        </w:rPr>
        <w:t xml:space="preserve"> by</w:t>
      </w:r>
      <w:r w:rsidRPr="00486B14">
        <w:rPr>
          <w:rFonts w:ascii="Arial" w:hAnsi="Arial" w:cs="Arial"/>
          <w:sz w:val="18"/>
          <w:szCs w:val="18"/>
          <w:lang w:val="en-US"/>
        </w:rPr>
        <w:t xml:space="preserve"> Carlos Correia de Matos, State Party Portugal; </w:t>
      </w:r>
      <w:hyperlink r:id="rId156" w:history="1">
        <w:r w:rsidRPr="00486B14">
          <w:rPr>
            <w:rStyle w:val="Hyperlink"/>
            <w:rFonts w:ascii="Arial" w:hAnsi="Arial" w:cs="Arial"/>
            <w:sz w:val="18"/>
            <w:szCs w:val="18"/>
            <w:lang w:val="en-US"/>
          </w:rPr>
          <w:t>CCPR/C/123/D/2807/2016</w:t>
        </w:r>
      </w:hyperlink>
      <w:r w:rsidRPr="00486B14">
        <w:rPr>
          <w:rStyle w:val="Hyperlink"/>
          <w:rFonts w:ascii="Arial" w:hAnsi="Arial" w:cs="Arial"/>
          <w:sz w:val="18"/>
          <w:szCs w:val="18"/>
          <w:lang w:val="en-US"/>
        </w:rPr>
        <w:t xml:space="preserve">; </w:t>
      </w:r>
      <w:hyperlink r:id="rId157" w:history="1">
        <w:r w:rsidRPr="00486B14">
          <w:rPr>
            <w:rStyle w:val="Hyperlink"/>
            <w:rFonts w:ascii="Arial" w:hAnsi="Arial" w:cs="Arial"/>
            <w:sz w:val="18"/>
            <w:szCs w:val="18"/>
            <w:lang w:val="en-US"/>
          </w:rPr>
          <w:t>CCPR/C/123/D/2807/2016</w:t>
        </w:r>
      </w:hyperlink>
      <w:r w:rsidRPr="00486B14">
        <w:rPr>
          <w:rStyle w:val="Hyperlink"/>
          <w:rFonts w:ascii="Arial" w:hAnsi="Arial" w:cs="Arial"/>
          <w:sz w:val="18"/>
          <w:szCs w:val="18"/>
          <w:lang w:val="en-US"/>
        </w:rPr>
        <w:t>.</w:t>
      </w:r>
    </w:p>
  </w:footnote>
  <w:footnote w:id="104">
    <w:p w14:paraId="140FCD77" w14:textId="77777777" w:rsidR="00B41728" w:rsidRPr="00560F13" w:rsidRDefault="00B41728" w:rsidP="00F331F8">
      <w:pPr>
        <w:pStyle w:val="SingleTxtG"/>
        <w:spacing w:after="0" w:line="180" w:lineRule="exact"/>
        <w:ind w:left="0" w:right="0"/>
        <w:rPr>
          <w:rFonts w:ascii="Arial" w:hAnsi="Arial" w:cs="Arial"/>
          <w:sz w:val="18"/>
          <w:szCs w:val="18"/>
          <w:lang w:val="es-ES"/>
        </w:rPr>
      </w:pPr>
      <w:r w:rsidRPr="00560F13">
        <w:rPr>
          <w:rStyle w:val="FootnoteReference"/>
          <w:rFonts w:ascii="Arial" w:hAnsi="Arial" w:cs="Arial"/>
          <w:sz w:val="18"/>
          <w:szCs w:val="18"/>
        </w:rPr>
        <w:footnoteRef/>
      </w:r>
      <w:r w:rsidRPr="00560F13">
        <w:rPr>
          <w:rFonts w:ascii="Arial" w:hAnsi="Arial" w:cs="Arial"/>
          <w:sz w:val="18"/>
          <w:szCs w:val="18"/>
          <w:lang w:val="es-ES"/>
        </w:rPr>
        <w:t xml:space="preserve"> </w:t>
      </w:r>
      <w:hyperlink r:id="rId158" w:history="1">
        <w:r w:rsidRPr="00A246D4">
          <w:rPr>
            <w:rStyle w:val="Hyperlink"/>
            <w:rFonts w:ascii="Arial" w:hAnsi="Arial" w:cs="Arial"/>
            <w:i/>
            <w:iCs/>
            <w:sz w:val="18"/>
            <w:szCs w:val="18"/>
            <w:lang w:val="es-ES"/>
          </w:rPr>
          <w:t>Correia de Matos c. Portugal</w:t>
        </w:r>
      </w:hyperlink>
      <w:r>
        <w:rPr>
          <w:rFonts w:ascii="Arial" w:hAnsi="Arial" w:cs="Arial"/>
          <w:sz w:val="18"/>
          <w:szCs w:val="18"/>
          <w:lang w:val="es-ES"/>
        </w:rPr>
        <w:t xml:space="preserve"> </w:t>
      </w:r>
      <w:r w:rsidRPr="00560F13">
        <w:rPr>
          <w:rFonts w:ascii="Arial" w:hAnsi="Arial" w:cs="Arial"/>
          <w:sz w:val="18"/>
          <w:szCs w:val="18"/>
          <w:lang w:val="es-ES"/>
        </w:rPr>
        <w:t xml:space="preserve">[GC], no. 56402/12, 4 </w:t>
      </w:r>
      <w:r>
        <w:rPr>
          <w:rFonts w:ascii="Arial" w:hAnsi="Arial" w:cs="Arial"/>
          <w:sz w:val="18"/>
          <w:szCs w:val="18"/>
          <w:lang w:val="es-ES"/>
        </w:rPr>
        <w:t>avril</w:t>
      </w:r>
      <w:r w:rsidRPr="00560F13">
        <w:rPr>
          <w:rFonts w:ascii="Arial" w:hAnsi="Arial" w:cs="Arial"/>
          <w:sz w:val="18"/>
          <w:szCs w:val="18"/>
          <w:lang w:val="es-ES"/>
        </w:rPr>
        <w:t xml:space="preserve"> 2018. </w:t>
      </w:r>
      <w:r>
        <w:rPr>
          <w:rFonts w:ascii="Arial" w:hAnsi="Arial" w:cs="Arial"/>
          <w:sz w:val="18"/>
          <w:szCs w:val="18"/>
          <w:lang w:val="es-ES"/>
        </w:rPr>
        <w:t xml:space="preserve">  </w:t>
      </w:r>
    </w:p>
  </w:footnote>
  <w:footnote w:id="105">
    <w:p w14:paraId="3D4A0D9F" w14:textId="77777777" w:rsidR="00B41728" w:rsidRPr="00720D91" w:rsidRDefault="00B41728" w:rsidP="00F331F8">
      <w:pPr>
        <w:pStyle w:val="SingleTxtG"/>
        <w:spacing w:after="0" w:line="180" w:lineRule="exact"/>
        <w:ind w:left="0" w:right="0"/>
        <w:rPr>
          <w:rFonts w:ascii="Arial" w:hAnsi="Arial" w:cs="Arial"/>
          <w:sz w:val="18"/>
          <w:szCs w:val="18"/>
          <w:lang w:val="fr-FR"/>
        </w:rPr>
      </w:pPr>
      <w:r w:rsidRPr="00560F13">
        <w:rPr>
          <w:rStyle w:val="FootnoteReference"/>
          <w:rFonts w:ascii="Arial" w:hAnsi="Arial" w:cs="Arial"/>
          <w:sz w:val="18"/>
          <w:szCs w:val="18"/>
        </w:rPr>
        <w:footnoteRef/>
      </w:r>
      <w:r w:rsidRPr="00720D91">
        <w:rPr>
          <w:rFonts w:ascii="Arial" w:hAnsi="Arial" w:cs="Arial"/>
          <w:sz w:val="18"/>
          <w:szCs w:val="18"/>
          <w:lang w:val="fr-FR"/>
        </w:rPr>
        <w:t xml:space="preserve"> Voir </w:t>
      </w:r>
      <w:hyperlink r:id="rId159" w:anchor="{%2233401953%22:[0]}" w:history="1">
        <w:r w:rsidRPr="00720D91">
          <w:rPr>
            <w:rStyle w:val="Hyperlink"/>
            <w:rFonts w:ascii="Arial" w:hAnsi="Arial" w:cs="Arial"/>
            <w:sz w:val="18"/>
            <w:szCs w:val="18"/>
            <w:lang w:val="fr-FR"/>
          </w:rPr>
          <w:t>CDDH(2019)R92Addendum1</w:t>
        </w:r>
      </w:hyperlink>
      <w:r w:rsidRPr="00720D91">
        <w:rPr>
          <w:rFonts w:ascii="Arial" w:hAnsi="Arial" w:cs="Arial"/>
          <w:sz w:val="18"/>
          <w:szCs w:val="18"/>
          <w:lang w:val="fr-FR"/>
        </w:rPr>
        <w:t xml:space="preserve"> rapport sur la place de la Convention européenne des droits de l’homme dans l’ordre juridique européen et international, voir section III, page 109. </w:t>
      </w:r>
    </w:p>
  </w:footnote>
  <w:footnote w:id="106">
    <w:p w14:paraId="5CF959DD" w14:textId="77777777" w:rsidR="00B41728" w:rsidRPr="00720D91" w:rsidRDefault="00B41728" w:rsidP="00F331F8">
      <w:pPr>
        <w:pStyle w:val="SingleTxtG"/>
        <w:spacing w:after="0" w:line="180" w:lineRule="exact"/>
        <w:ind w:left="0" w:right="0"/>
        <w:rPr>
          <w:rFonts w:ascii="Arial" w:hAnsi="Arial" w:cs="Arial"/>
          <w:sz w:val="18"/>
          <w:szCs w:val="18"/>
          <w:u w:val="single"/>
          <w:lang w:val="fr-FR"/>
        </w:rPr>
      </w:pPr>
      <w:r w:rsidRPr="00560F13">
        <w:rPr>
          <w:rStyle w:val="FootnoteReference"/>
          <w:rFonts w:ascii="Arial" w:hAnsi="Arial" w:cs="Arial"/>
          <w:b/>
          <w:sz w:val="18"/>
          <w:szCs w:val="18"/>
          <w:u w:val="single"/>
        </w:rPr>
        <w:footnoteRef/>
      </w:r>
      <w:r w:rsidRPr="00720D91">
        <w:rPr>
          <w:rFonts w:ascii="Arial" w:hAnsi="Arial" w:cs="Arial"/>
          <w:b/>
          <w:sz w:val="18"/>
          <w:szCs w:val="18"/>
          <w:u w:val="single"/>
          <w:lang w:val="fr-FR"/>
        </w:rPr>
        <w:t xml:space="preserve"> </w:t>
      </w:r>
      <w:hyperlink r:id="rId160" w:history="1">
        <w:r w:rsidRPr="00720D91">
          <w:rPr>
            <w:rStyle w:val="Hyperlink"/>
            <w:rFonts w:ascii="Arial" w:hAnsi="Arial" w:cs="Arial"/>
            <w:sz w:val="18"/>
            <w:szCs w:val="18"/>
            <w:lang w:val="fr-FR"/>
          </w:rPr>
          <w:t>CDDH(2019)R92Addendum1</w:t>
        </w:r>
      </w:hyperlink>
      <w:r w:rsidRPr="00720D91">
        <w:rPr>
          <w:rStyle w:val="Hyperlink"/>
          <w:rFonts w:ascii="Arial" w:hAnsi="Arial" w:cs="Arial"/>
          <w:sz w:val="18"/>
          <w:szCs w:val="18"/>
          <w:lang w:val="fr-FR"/>
        </w:rPr>
        <w:t>,</w:t>
      </w:r>
      <w:r w:rsidRPr="00720D91">
        <w:rPr>
          <w:rFonts w:ascii="Arial" w:hAnsi="Arial" w:cs="Arial"/>
          <w:sz w:val="18"/>
          <w:szCs w:val="18"/>
          <w:u w:val="single"/>
          <w:lang w:val="fr-FR"/>
        </w:rPr>
        <w:t xml:space="preserve"> § 346-355</w:t>
      </w:r>
    </w:p>
  </w:footnote>
  <w:footnote w:id="107">
    <w:p w14:paraId="64F9499A" w14:textId="77777777" w:rsidR="00B41728" w:rsidRPr="002D305B" w:rsidRDefault="00B41728" w:rsidP="00F331F8">
      <w:pPr>
        <w:pStyle w:val="NoSpacing"/>
        <w:jc w:val="both"/>
        <w:rPr>
          <w:rFonts w:ascii="Arial" w:hAnsi="Arial" w:cs="Arial"/>
          <w:sz w:val="18"/>
          <w:szCs w:val="18"/>
        </w:rPr>
      </w:pPr>
      <w:r w:rsidRPr="002D305B">
        <w:rPr>
          <w:rStyle w:val="FootnoteReference"/>
          <w:rFonts w:ascii="Arial" w:hAnsi="Arial" w:cs="Arial"/>
          <w:sz w:val="18"/>
          <w:szCs w:val="18"/>
        </w:rPr>
        <w:footnoteRef/>
      </w:r>
      <w:r w:rsidRPr="002D305B">
        <w:rPr>
          <w:rFonts w:ascii="Arial" w:hAnsi="Arial" w:cs="Arial"/>
          <w:sz w:val="18"/>
          <w:szCs w:val="18"/>
        </w:rPr>
        <w:t xml:space="preserve"> </w:t>
      </w:r>
      <w:hyperlink r:id="rId161" w:history="1">
        <w:r w:rsidRPr="002D305B">
          <w:rPr>
            <w:rStyle w:val="Hyperlink"/>
            <w:rFonts w:ascii="Arial" w:eastAsiaTheme="majorEastAsia" w:hAnsi="Arial" w:cs="Arial"/>
            <w:i/>
            <w:sz w:val="18"/>
            <w:szCs w:val="18"/>
          </w:rPr>
          <w:t xml:space="preserve">Géorgie c. Russie </w:t>
        </w:r>
        <w:r w:rsidRPr="002D305B">
          <w:rPr>
            <w:rStyle w:val="Hyperlink"/>
            <w:rFonts w:ascii="Arial" w:eastAsiaTheme="majorEastAsia" w:hAnsi="Arial" w:cs="Arial"/>
            <w:sz w:val="18"/>
            <w:szCs w:val="18"/>
          </w:rPr>
          <w:t>(II) (déc.)</w:t>
        </w:r>
      </w:hyperlink>
      <w:r w:rsidRPr="002D305B">
        <w:rPr>
          <w:rFonts w:ascii="Arial" w:hAnsi="Arial" w:cs="Arial"/>
          <w:sz w:val="18"/>
          <w:szCs w:val="18"/>
        </w:rPr>
        <w:t>, n° 38263/08, § 79, 13 décembre 2011.</w:t>
      </w:r>
    </w:p>
  </w:footnote>
  <w:footnote w:id="108">
    <w:p w14:paraId="4A897C60" w14:textId="77777777" w:rsidR="00B41728" w:rsidRPr="002D305B" w:rsidRDefault="00B41728" w:rsidP="00F331F8">
      <w:pPr>
        <w:pStyle w:val="NoSpacing"/>
        <w:jc w:val="both"/>
        <w:rPr>
          <w:rFonts w:ascii="Arial" w:hAnsi="Arial" w:cs="Arial"/>
          <w:sz w:val="18"/>
          <w:szCs w:val="18"/>
        </w:rPr>
      </w:pPr>
      <w:r w:rsidRPr="002D305B">
        <w:rPr>
          <w:rStyle w:val="FootnoteReference"/>
          <w:rFonts w:ascii="Arial" w:hAnsi="Arial" w:cs="Arial"/>
          <w:sz w:val="18"/>
          <w:szCs w:val="18"/>
        </w:rPr>
        <w:footnoteRef/>
      </w:r>
      <w:r w:rsidRPr="002D305B">
        <w:rPr>
          <w:rFonts w:ascii="Arial" w:hAnsi="Arial" w:cs="Arial"/>
          <w:sz w:val="18"/>
          <w:szCs w:val="18"/>
        </w:rPr>
        <w:t xml:space="preserve"> La seule affaire dans laquelle la Cour s'est prononcée au sujet de l'article 55 est la décision de la Commission sur la recevabilité dans l'affaire </w:t>
      </w:r>
      <w:hyperlink r:id="rId162" w:history="1">
        <w:r w:rsidRPr="002D305B">
          <w:rPr>
            <w:rStyle w:val="Hyperlink"/>
            <w:rFonts w:ascii="Arial" w:eastAsiaTheme="majorEastAsia" w:hAnsi="Arial" w:cs="Arial"/>
            <w:i/>
            <w:sz w:val="18"/>
            <w:szCs w:val="18"/>
          </w:rPr>
          <w:t>Chypre c. Turquie</w:t>
        </w:r>
      </w:hyperlink>
      <w:r w:rsidRPr="002D305B">
        <w:rPr>
          <w:rFonts w:ascii="Arial" w:hAnsi="Arial" w:cs="Arial"/>
          <w:sz w:val="18"/>
          <w:szCs w:val="18"/>
        </w:rPr>
        <w:t>, n° 25781/94</w:t>
      </w:r>
      <w:r w:rsidRPr="002D305B">
        <w:rPr>
          <w:rStyle w:val="column"/>
          <w:rFonts w:ascii="Arial" w:eastAsiaTheme="majorEastAsia" w:hAnsi="Arial" w:cs="Arial"/>
          <w:sz w:val="18"/>
          <w:szCs w:val="18"/>
        </w:rPr>
        <w:t xml:space="preserve">, partie III. </w:t>
      </w:r>
    </w:p>
  </w:footnote>
  <w:footnote w:id="109">
    <w:p w14:paraId="17754A24" w14:textId="77777777" w:rsidR="00B41728" w:rsidRPr="002D305B" w:rsidRDefault="00B41728" w:rsidP="00F331F8">
      <w:pPr>
        <w:pStyle w:val="NoSpacing"/>
        <w:jc w:val="both"/>
        <w:rPr>
          <w:rFonts w:ascii="Arial" w:hAnsi="Arial" w:cs="Arial"/>
          <w:sz w:val="18"/>
          <w:szCs w:val="18"/>
        </w:rPr>
      </w:pPr>
      <w:r w:rsidRPr="002D305B">
        <w:rPr>
          <w:rStyle w:val="FootnoteReference"/>
          <w:rFonts w:ascii="Arial" w:hAnsi="Arial" w:cs="Arial"/>
          <w:sz w:val="18"/>
          <w:szCs w:val="18"/>
        </w:rPr>
        <w:footnoteRef/>
      </w:r>
      <w:r w:rsidRPr="002D305B">
        <w:rPr>
          <w:rFonts w:ascii="Arial" w:hAnsi="Arial" w:cs="Arial"/>
          <w:sz w:val="18"/>
          <w:szCs w:val="18"/>
        </w:rPr>
        <w:t xml:space="preserve"> Ceci est également implicite dans les dispositions de la </w:t>
      </w:r>
      <w:hyperlink r:id="rId163" w:history="1">
        <w:r w:rsidRPr="002D305B">
          <w:rPr>
            <w:rStyle w:val="Hyperlink"/>
            <w:rFonts w:ascii="Arial" w:eastAsiaTheme="majorEastAsia" w:hAnsi="Arial" w:cs="Arial"/>
            <w:sz w:val="18"/>
            <w:szCs w:val="18"/>
          </w:rPr>
          <w:t xml:space="preserve">Résolution (70) 17 </w:t>
        </w:r>
      </w:hyperlink>
      <w:r w:rsidRPr="002D305B">
        <w:rPr>
          <w:rFonts w:ascii="Arial" w:hAnsi="Arial" w:cs="Arial"/>
          <w:sz w:val="18"/>
          <w:szCs w:val="18"/>
        </w:rPr>
        <w:t>du Comité des Ministres adoptée par les Délégués des Ministres le 15 mai 1970, « Pacte des Nations Unies relatif aux droits civils et politiques et Convention européenne des droits de l'homme : Procédure de traitement des plaintes interétatiques ».</w:t>
      </w:r>
    </w:p>
  </w:footnote>
  <w:footnote w:id="110">
    <w:p w14:paraId="09AA03B3" w14:textId="77777777" w:rsidR="00B41728" w:rsidRPr="002D305B" w:rsidRDefault="00B41728" w:rsidP="00F331F8">
      <w:pPr>
        <w:pStyle w:val="NoSpacing"/>
        <w:jc w:val="both"/>
        <w:rPr>
          <w:rFonts w:ascii="Arial" w:hAnsi="Arial" w:cs="Arial"/>
          <w:sz w:val="18"/>
          <w:szCs w:val="18"/>
        </w:rPr>
      </w:pPr>
      <w:r w:rsidRPr="002D305B">
        <w:rPr>
          <w:rFonts w:ascii="Arial" w:hAnsi="Arial" w:cs="Arial"/>
          <w:sz w:val="18"/>
          <w:szCs w:val="18"/>
          <w:vertAlign w:val="superscript"/>
        </w:rPr>
        <w:footnoteRef/>
      </w:r>
      <w:r w:rsidRPr="002D305B">
        <w:rPr>
          <w:rFonts w:ascii="Arial" w:hAnsi="Arial" w:cs="Arial"/>
          <w:sz w:val="18"/>
          <w:szCs w:val="18"/>
        </w:rPr>
        <w:t xml:space="preserve"> Voir la </w:t>
      </w:r>
      <w:hyperlink r:id="rId164" w:history="1">
        <w:r w:rsidRPr="002D305B">
          <w:rPr>
            <w:rStyle w:val="Hyperlink"/>
            <w:rFonts w:ascii="Arial" w:eastAsiaTheme="majorEastAsia" w:hAnsi="Arial" w:cs="Arial"/>
            <w:sz w:val="18"/>
            <w:szCs w:val="18"/>
          </w:rPr>
          <w:t xml:space="preserve">Résolution (70) 17 </w:t>
        </w:r>
      </w:hyperlink>
      <w:r w:rsidRPr="002D305B">
        <w:rPr>
          <w:rFonts w:ascii="Arial" w:hAnsi="Arial" w:cs="Arial"/>
          <w:sz w:val="18"/>
          <w:szCs w:val="18"/>
        </w:rPr>
        <w:t>du Comité des Ministres précitée. Le Comité des Ministres « déclare qu’en attendant que le problème de l’interprétation de l’article 62 de la Convention européenne [actuel article 55] soit résolu, les États parties à cette convention qui ratifient le Pacte de l’Onu relatif aux droits civils et politiques ou adhèrent à celui-ci, et qui souscrivent à la déclaration facultative prévue à l’article 41 de ce Pacte, ne doivent normalement avoir recours qu’à la procédure instituée par la Convention européenne en ce qui concerne les plaintes dirigées contre une autre Partie Contractante liée par la Convention européenne et alléguant la violation d’un droit couvert, en substance, tant par la Convention européenne (ou ses Protocoles) que par le Pacte des Nations Unies relatif aux droits civils et politiques, étant entendu que la procédure de l’Onu pourra être utilisée lorsqu’il s’agira de droits non garantis dans la Convention européenne (ou ses Protocoles) ou à l’égard d’États qui ne sont pas parties à cette convention ».</w:t>
      </w:r>
    </w:p>
  </w:footnote>
  <w:footnote w:id="111">
    <w:p w14:paraId="5A5C9B7B" w14:textId="77777777" w:rsidR="00B41728" w:rsidRPr="002D305B" w:rsidRDefault="00B41728" w:rsidP="00F331F8">
      <w:pPr>
        <w:pStyle w:val="NoSpacing"/>
        <w:jc w:val="both"/>
        <w:rPr>
          <w:rFonts w:ascii="Arial" w:hAnsi="Arial" w:cs="Arial"/>
          <w:sz w:val="18"/>
          <w:szCs w:val="18"/>
        </w:rPr>
      </w:pPr>
      <w:r w:rsidRPr="002D305B">
        <w:rPr>
          <w:rStyle w:val="FootnoteReference"/>
          <w:rFonts w:ascii="Arial" w:hAnsi="Arial" w:cs="Arial"/>
          <w:sz w:val="18"/>
          <w:szCs w:val="18"/>
        </w:rPr>
        <w:footnoteRef/>
      </w:r>
      <w:hyperlink r:id="rId165" w:history="1">
        <w:r w:rsidRPr="002D305B">
          <w:rPr>
            <w:rStyle w:val="Hyperlink"/>
            <w:rFonts w:ascii="Arial" w:eastAsiaTheme="majorEastAsia" w:hAnsi="Arial" w:cs="Arial"/>
            <w:i/>
            <w:sz w:val="18"/>
            <w:szCs w:val="18"/>
          </w:rPr>
          <w:t xml:space="preserve"> Chypre c. Turquie</w:t>
        </w:r>
      </w:hyperlink>
      <w:r w:rsidRPr="002D305B">
        <w:rPr>
          <w:rFonts w:ascii="Arial" w:hAnsi="Arial" w:cs="Arial"/>
          <w:i/>
          <w:sz w:val="18"/>
          <w:szCs w:val="18"/>
        </w:rPr>
        <w:t xml:space="preserve">, </w:t>
      </w:r>
      <w:r w:rsidRPr="002D305B">
        <w:rPr>
          <w:rFonts w:ascii="Arial" w:hAnsi="Arial" w:cs="Arial"/>
          <w:sz w:val="18"/>
          <w:szCs w:val="18"/>
        </w:rPr>
        <w:t xml:space="preserve">n° 25781/94, décision de la Commission, </w:t>
      </w:r>
      <w:r w:rsidRPr="002D305B">
        <w:rPr>
          <w:rStyle w:val="column"/>
          <w:rFonts w:ascii="Arial" w:eastAsiaTheme="majorEastAsia" w:hAnsi="Arial" w:cs="Arial"/>
          <w:sz w:val="18"/>
          <w:szCs w:val="18"/>
        </w:rPr>
        <w:t>partie III.</w:t>
      </w:r>
    </w:p>
  </w:footnote>
  <w:footnote w:id="112">
    <w:p w14:paraId="2DC59307" w14:textId="77777777" w:rsidR="00B41728" w:rsidRPr="00943DBE" w:rsidRDefault="00B41728" w:rsidP="00F331F8">
      <w:pPr>
        <w:pStyle w:val="NoSpacing"/>
        <w:jc w:val="both"/>
        <w:rPr>
          <w:rFonts w:ascii="Arial" w:hAnsi="Arial" w:cs="Arial"/>
          <w:sz w:val="18"/>
          <w:szCs w:val="18"/>
        </w:rPr>
      </w:pPr>
      <w:r w:rsidRPr="002D305B">
        <w:rPr>
          <w:rStyle w:val="FootnoteReference"/>
          <w:rFonts w:ascii="Arial" w:hAnsi="Arial" w:cs="Arial"/>
          <w:sz w:val="18"/>
          <w:szCs w:val="18"/>
        </w:rPr>
        <w:footnoteRef/>
      </w:r>
      <w:r w:rsidRPr="00943DBE">
        <w:rPr>
          <w:rFonts w:ascii="Arial" w:hAnsi="Arial" w:cs="Arial"/>
          <w:sz w:val="18"/>
          <w:szCs w:val="18"/>
        </w:rPr>
        <w:t xml:space="preserve"> Ibid</w:t>
      </w:r>
      <w:r w:rsidRPr="00943DBE">
        <w:rPr>
          <w:rStyle w:val="column"/>
          <w:rFonts w:ascii="Arial" w:eastAsiaTheme="majorEastAsia" w:hAnsi="Arial" w:cs="Arial"/>
          <w:sz w:val="18"/>
          <w:szCs w:val="18"/>
        </w:rPr>
        <w:t>.</w:t>
      </w:r>
    </w:p>
  </w:footnote>
  <w:footnote w:id="113">
    <w:p w14:paraId="0FA6491D" w14:textId="77777777" w:rsidR="00B41728" w:rsidRPr="00720D91" w:rsidRDefault="00B41728" w:rsidP="00F331F8">
      <w:pPr>
        <w:pStyle w:val="SingleTxtG"/>
        <w:spacing w:after="0" w:line="180" w:lineRule="exact"/>
        <w:ind w:left="0" w:right="0"/>
        <w:rPr>
          <w:rFonts w:ascii="Arial" w:hAnsi="Arial" w:cs="Arial"/>
          <w:sz w:val="18"/>
          <w:szCs w:val="18"/>
          <w:lang w:val="fr-FR"/>
        </w:rPr>
      </w:pPr>
      <w:r w:rsidRPr="00560F13">
        <w:rPr>
          <w:rStyle w:val="FootnoteReference"/>
          <w:rFonts w:ascii="Arial" w:hAnsi="Arial" w:cs="Arial"/>
          <w:sz w:val="18"/>
          <w:szCs w:val="18"/>
        </w:rPr>
        <w:footnoteRef/>
      </w:r>
      <w:r w:rsidRPr="00720D91">
        <w:rPr>
          <w:rFonts w:ascii="Arial" w:hAnsi="Arial" w:cs="Arial"/>
          <w:sz w:val="18"/>
          <w:szCs w:val="18"/>
          <w:lang w:val="fr-FR"/>
        </w:rPr>
        <w:t xml:space="preserve"> Voir document </w:t>
      </w:r>
      <w:hyperlink r:id="rId166" w:history="1">
        <w:r w:rsidRPr="00720D91">
          <w:rPr>
            <w:rStyle w:val="Hyperlink"/>
            <w:rFonts w:ascii="Arial" w:hAnsi="Arial" w:cs="Arial"/>
            <w:sz w:val="18"/>
            <w:szCs w:val="18"/>
            <w:lang w:val="fr-FR"/>
          </w:rPr>
          <w:t>CDDH(2019)22</w:t>
        </w:r>
      </w:hyperlink>
      <w:r w:rsidRPr="00720D91">
        <w:rPr>
          <w:rFonts w:ascii="Arial" w:hAnsi="Arial" w:cs="Arial"/>
          <w:sz w:val="18"/>
          <w:szCs w:val="18"/>
          <w:lang w:val="fr-FR"/>
        </w:rPr>
        <w:t>, §§ 26 and 27.</w:t>
      </w:r>
    </w:p>
  </w:footnote>
  <w:footnote w:id="114">
    <w:p w14:paraId="794FA1A4" w14:textId="77777777" w:rsidR="00B41728" w:rsidRPr="00720D91" w:rsidRDefault="00B41728" w:rsidP="00F331F8">
      <w:pPr>
        <w:pStyle w:val="FootnoteText"/>
        <w:shd w:val="clear" w:color="auto" w:fill="FFFFFF" w:themeFill="background1"/>
        <w:rPr>
          <w:lang w:val="fr-FR"/>
        </w:rPr>
      </w:pPr>
      <w:r w:rsidRPr="00644BCB">
        <w:rPr>
          <w:rStyle w:val="FootnoteReference"/>
          <w:shd w:val="clear" w:color="auto" w:fill="FFFFFF" w:themeFill="background1"/>
        </w:rPr>
        <w:footnoteRef/>
      </w:r>
      <w:r w:rsidRPr="00720D91">
        <w:rPr>
          <w:rFonts w:ascii="Arial" w:hAnsi="Arial" w:cs="Arial"/>
          <w:sz w:val="18"/>
          <w:szCs w:val="18"/>
          <w:shd w:val="clear" w:color="auto" w:fill="FFFFFF" w:themeFill="background1"/>
          <w:lang w:val="fr-FR"/>
        </w:rPr>
        <w:t xml:space="preserve"> </w:t>
      </w:r>
      <w:hyperlink r:id="rId167" w:history="1">
        <w:r w:rsidRPr="00720D91">
          <w:rPr>
            <w:rStyle w:val="Hyperlink"/>
            <w:rFonts w:ascii="Arial" w:hAnsi="Arial" w:cs="Arial"/>
            <w:i/>
            <w:iCs/>
            <w:color w:val="auto"/>
            <w:sz w:val="18"/>
            <w:szCs w:val="18"/>
            <w:shd w:val="clear" w:color="auto" w:fill="FFFFFF" w:themeFill="background1"/>
            <w:lang w:val="fr-FR"/>
          </w:rPr>
          <w:t xml:space="preserve">Ukraine c. Russie </w:t>
        </w:r>
      </w:hyperlink>
      <w:r w:rsidRPr="00720D91">
        <w:rPr>
          <w:rFonts w:ascii="Arial" w:hAnsi="Arial" w:cs="Arial"/>
          <w:i/>
          <w:iCs/>
          <w:sz w:val="18"/>
          <w:szCs w:val="18"/>
          <w:shd w:val="clear" w:color="auto" w:fill="FFFFFF" w:themeFill="background1"/>
          <w:lang w:val="fr-FR"/>
        </w:rPr>
        <w:t>(déc) [GC]</w:t>
      </w:r>
      <w:r w:rsidRPr="00720D91">
        <w:rPr>
          <w:rFonts w:ascii="Arial" w:hAnsi="Arial" w:cs="Arial"/>
          <w:sz w:val="18"/>
          <w:szCs w:val="18"/>
          <w:shd w:val="clear" w:color="auto" w:fill="FFFFFF" w:themeFill="background1"/>
          <w:lang w:val="fr-FR"/>
        </w:rPr>
        <w:t>, n° 20958/14 et 38334/18, § 254, 16 décembre 2020.</w:t>
      </w:r>
    </w:p>
  </w:footnote>
  <w:footnote w:id="115">
    <w:p w14:paraId="7EF9150C" w14:textId="77777777" w:rsidR="00B41728" w:rsidRPr="00720D91" w:rsidRDefault="00B41728" w:rsidP="00F331F8">
      <w:pPr>
        <w:pStyle w:val="FootnoteText"/>
        <w:shd w:val="clear" w:color="auto" w:fill="FFFFFF" w:themeFill="background1"/>
        <w:rPr>
          <w:lang w:val="fr-FR"/>
        </w:rPr>
      </w:pPr>
      <w:r w:rsidRPr="00644BCB">
        <w:rPr>
          <w:rStyle w:val="FootnoteReference"/>
          <w:shd w:val="clear" w:color="auto" w:fill="FFFFFF" w:themeFill="background1"/>
        </w:rPr>
        <w:footnoteRef/>
      </w:r>
      <w:r w:rsidRPr="00720D91">
        <w:rPr>
          <w:rFonts w:ascii="Arial" w:hAnsi="Arial" w:cs="Arial"/>
          <w:sz w:val="18"/>
          <w:szCs w:val="18"/>
          <w:shd w:val="clear" w:color="auto" w:fill="FFFFFF" w:themeFill="background1"/>
          <w:lang w:val="fr-FR"/>
        </w:rPr>
        <w:t xml:space="preserve"> </w:t>
      </w:r>
      <w:hyperlink r:id="rId168" w:history="1">
        <w:r w:rsidRPr="00720D91">
          <w:rPr>
            <w:rStyle w:val="Hyperlink"/>
            <w:rFonts w:ascii="Arial" w:hAnsi="Arial" w:cs="Arial"/>
            <w:i/>
            <w:iCs/>
            <w:color w:val="auto"/>
            <w:sz w:val="18"/>
            <w:szCs w:val="18"/>
            <w:shd w:val="clear" w:color="auto" w:fill="FFFFFF" w:themeFill="background1"/>
            <w:lang w:val="fr-FR"/>
          </w:rPr>
          <w:t xml:space="preserve">Géorgie c. Russie </w:t>
        </w:r>
      </w:hyperlink>
      <w:r w:rsidRPr="00720D91">
        <w:rPr>
          <w:rFonts w:ascii="Arial" w:hAnsi="Arial" w:cs="Arial"/>
          <w:sz w:val="18"/>
          <w:szCs w:val="18"/>
          <w:shd w:val="clear" w:color="auto" w:fill="FFFFFF" w:themeFill="background1"/>
          <w:lang w:val="fr-FR"/>
        </w:rPr>
        <w:t>(II) (fond) [GC] n° 38263/08, § 61, 21 janvier 2021.</w:t>
      </w:r>
    </w:p>
  </w:footnote>
  <w:footnote w:id="116">
    <w:p w14:paraId="34A972F5" w14:textId="77777777" w:rsidR="00B41728" w:rsidRPr="00BF50E1" w:rsidRDefault="00B41728" w:rsidP="00F331F8">
      <w:pPr>
        <w:pStyle w:val="NoSpacing"/>
        <w:jc w:val="both"/>
        <w:rPr>
          <w:rFonts w:ascii="Arial" w:hAnsi="Arial" w:cs="Arial"/>
          <w:sz w:val="18"/>
          <w:szCs w:val="18"/>
        </w:rPr>
      </w:pPr>
      <w:r w:rsidRPr="007E1D76">
        <w:rPr>
          <w:rStyle w:val="FootnoteReference"/>
          <w:rFonts w:ascii="Arial" w:hAnsi="Arial" w:cs="Arial"/>
          <w:sz w:val="18"/>
          <w:szCs w:val="18"/>
        </w:rPr>
        <w:footnoteRef/>
      </w:r>
      <w:r w:rsidRPr="00BF50E1">
        <w:rPr>
          <w:rFonts w:ascii="Arial" w:hAnsi="Arial" w:cs="Arial"/>
          <w:sz w:val="18"/>
          <w:szCs w:val="18"/>
        </w:rPr>
        <w:t xml:space="preserve"> Voir le document </w:t>
      </w:r>
      <w:hyperlink r:id="rId169" w:history="1">
        <w:r w:rsidRPr="00BF50E1">
          <w:rPr>
            <w:rStyle w:val="Hyperlink"/>
            <w:rFonts w:ascii="Arial" w:eastAsiaTheme="majorEastAsia" w:hAnsi="Arial" w:cs="Arial"/>
            <w:sz w:val="18"/>
            <w:szCs w:val="18"/>
          </w:rPr>
          <w:t>CDDH(2019)22</w:t>
        </w:r>
      </w:hyperlink>
      <w:r w:rsidRPr="00BF50E1">
        <w:rPr>
          <w:rFonts w:ascii="Arial" w:hAnsi="Arial" w:cs="Arial"/>
          <w:sz w:val="18"/>
          <w:szCs w:val="18"/>
        </w:rPr>
        <w:t>, §§ 20 et 24.</w:t>
      </w:r>
    </w:p>
  </w:footnote>
  <w:footnote w:id="117">
    <w:p w14:paraId="63ABF5BF" w14:textId="77777777" w:rsidR="00B41728" w:rsidRPr="00720D91" w:rsidRDefault="00B41728" w:rsidP="00F331F8">
      <w:pPr>
        <w:pStyle w:val="FootnoteText"/>
        <w:rPr>
          <w:lang w:val="fr-FR"/>
        </w:rPr>
      </w:pPr>
      <w:r w:rsidRPr="00644BCB">
        <w:rPr>
          <w:rStyle w:val="FootnoteReference"/>
          <w:shd w:val="clear" w:color="auto" w:fill="FFFFFF" w:themeFill="background1"/>
        </w:rPr>
        <w:footnoteRef/>
      </w:r>
      <w:hyperlink r:id="rId170" w:history="1">
        <w:r w:rsidRPr="00720D91">
          <w:rPr>
            <w:rStyle w:val="Hyperlink"/>
            <w:rFonts w:ascii="Arial" w:hAnsi="Arial" w:cs="Arial"/>
            <w:i/>
            <w:iCs/>
            <w:color w:val="auto"/>
            <w:sz w:val="18"/>
            <w:szCs w:val="18"/>
            <w:shd w:val="clear" w:color="auto" w:fill="FFFFFF" w:themeFill="background1"/>
            <w:lang w:val="fr-FR"/>
          </w:rPr>
          <w:t xml:space="preserve"> Géorgie c. Russie </w:t>
        </w:r>
      </w:hyperlink>
      <w:r w:rsidRPr="00720D91">
        <w:rPr>
          <w:rFonts w:ascii="Arial" w:hAnsi="Arial" w:cs="Arial"/>
          <w:sz w:val="18"/>
          <w:szCs w:val="18"/>
          <w:shd w:val="clear" w:color="auto" w:fill="FFFFFF" w:themeFill="background1"/>
          <w:lang w:val="fr-FR"/>
        </w:rPr>
        <w:t>(II) (fond) [GC] n° 38263/08, § 141, 21 janvier 2021.</w:t>
      </w:r>
    </w:p>
  </w:footnote>
  <w:footnote w:id="118">
    <w:p w14:paraId="56FF8AEF" w14:textId="77777777" w:rsidR="00B41728" w:rsidRPr="00293191" w:rsidRDefault="00B41728" w:rsidP="00F331F8">
      <w:pPr>
        <w:pStyle w:val="NoSpacing"/>
        <w:jc w:val="both"/>
        <w:rPr>
          <w:rFonts w:ascii="Arial" w:hAnsi="Arial" w:cs="Arial"/>
          <w:sz w:val="18"/>
          <w:szCs w:val="18"/>
        </w:rPr>
      </w:pPr>
      <w:r w:rsidRPr="00293191">
        <w:rPr>
          <w:rStyle w:val="FootnoteReference"/>
          <w:rFonts w:ascii="Arial" w:hAnsi="Arial" w:cs="Arial"/>
          <w:sz w:val="18"/>
          <w:szCs w:val="18"/>
        </w:rPr>
        <w:footnoteRef/>
      </w:r>
      <w:r w:rsidRPr="00293191">
        <w:rPr>
          <w:rFonts w:ascii="Arial" w:hAnsi="Arial" w:cs="Arial"/>
          <w:sz w:val="18"/>
          <w:szCs w:val="18"/>
        </w:rPr>
        <w:t xml:space="preserve"> Ceci est sans préjudice du fait que le Règlement de la Cour contient des dispositions détaillées concernant les mesures d'instruction et les obligations des parties à cet égard, voir l'annexe 1 du </w:t>
      </w:r>
      <w:hyperlink r:id="rId171" w:history="1">
        <w:r w:rsidRPr="00293191">
          <w:rPr>
            <w:rStyle w:val="Hyperlink"/>
            <w:rFonts w:ascii="Arial" w:eastAsiaTheme="majorEastAsia" w:hAnsi="Arial" w:cs="Arial"/>
            <w:sz w:val="18"/>
            <w:szCs w:val="18"/>
          </w:rPr>
          <w:t>Règlement de la Cour</w:t>
        </w:r>
      </w:hyperlink>
      <w:r w:rsidRPr="00293191">
        <w:rPr>
          <w:rFonts w:ascii="Arial" w:hAnsi="Arial" w:cs="Arial"/>
          <w:sz w:val="18"/>
          <w:szCs w:val="18"/>
        </w:rPr>
        <w:t>.</w:t>
      </w:r>
    </w:p>
  </w:footnote>
  <w:footnote w:id="119">
    <w:p w14:paraId="2481D7E8" w14:textId="77777777" w:rsidR="00B41728" w:rsidRPr="00293191" w:rsidRDefault="00B41728" w:rsidP="00F331F8">
      <w:pPr>
        <w:pStyle w:val="NoSpacing"/>
        <w:shd w:val="clear" w:color="auto" w:fill="FFFFFF" w:themeFill="background1"/>
        <w:jc w:val="both"/>
        <w:rPr>
          <w:rFonts w:ascii="Arial" w:hAnsi="Arial" w:cs="Arial"/>
          <w:sz w:val="18"/>
          <w:szCs w:val="18"/>
        </w:rPr>
      </w:pPr>
      <w:r w:rsidRPr="00293191">
        <w:rPr>
          <w:rStyle w:val="FootnoteReference"/>
          <w:rFonts w:ascii="Arial" w:hAnsi="Arial" w:cs="Arial"/>
          <w:sz w:val="18"/>
          <w:szCs w:val="18"/>
        </w:rPr>
        <w:footnoteRef/>
      </w:r>
      <w:r w:rsidRPr="00293191">
        <w:rPr>
          <w:rFonts w:ascii="Arial" w:hAnsi="Arial" w:cs="Arial"/>
          <w:sz w:val="18"/>
          <w:szCs w:val="18"/>
        </w:rPr>
        <w:t xml:space="preserve"> </w:t>
      </w:r>
      <w:hyperlink r:id="rId172" w:history="1">
        <w:r w:rsidRPr="00293191">
          <w:rPr>
            <w:rStyle w:val="Hyperlink"/>
            <w:rFonts w:ascii="Arial" w:eastAsiaTheme="majorEastAsia" w:hAnsi="Arial" w:cs="Arial"/>
            <w:i/>
            <w:sz w:val="18"/>
            <w:szCs w:val="18"/>
          </w:rPr>
          <w:t>Irlande c. Royaume-Uni</w:t>
        </w:r>
      </w:hyperlink>
      <w:r w:rsidRPr="00293191">
        <w:rPr>
          <w:rFonts w:ascii="Arial" w:hAnsi="Arial" w:cs="Arial"/>
          <w:sz w:val="18"/>
          <w:szCs w:val="18"/>
        </w:rPr>
        <w:t xml:space="preserve">, no. 5310/71, § 160, 18 janvier 1978. </w:t>
      </w:r>
    </w:p>
  </w:footnote>
  <w:footnote w:id="120">
    <w:p w14:paraId="24449408" w14:textId="77777777" w:rsidR="00B41728" w:rsidRPr="00293191" w:rsidRDefault="00B41728" w:rsidP="00F331F8">
      <w:pPr>
        <w:pStyle w:val="NoSpacing"/>
        <w:shd w:val="clear" w:color="auto" w:fill="FFFFFF" w:themeFill="background1"/>
        <w:jc w:val="both"/>
        <w:rPr>
          <w:rFonts w:ascii="Arial" w:hAnsi="Arial" w:cs="Arial"/>
          <w:sz w:val="18"/>
          <w:szCs w:val="18"/>
        </w:rPr>
      </w:pPr>
      <w:r w:rsidRPr="00293191">
        <w:rPr>
          <w:rStyle w:val="FootnoteReference"/>
          <w:rFonts w:ascii="Arial" w:hAnsi="Arial" w:cs="Arial"/>
          <w:sz w:val="18"/>
          <w:szCs w:val="18"/>
        </w:rPr>
        <w:footnoteRef/>
      </w:r>
      <w:r w:rsidRPr="00293191">
        <w:rPr>
          <w:rFonts w:ascii="Arial" w:hAnsi="Arial" w:cs="Arial"/>
          <w:sz w:val="18"/>
          <w:szCs w:val="18"/>
        </w:rPr>
        <w:t xml:space="preserve"> </w:t>
      </w:r>
      <w:hyperlink r:id="rId173" w:history="1">
        <w:r w:rsidRPr="00293191">
          <w:rPr>
            <w:rStyle w:val="Hyperlink"/>
            <w:rFonts w:ascii="Arial" w:eastAsiaTheme="majorEastAsia" w:hAnsi="Arial" w:cs="Arial"/>
            <w:i/>
            <w:sz w:val="18"/>
            <w:szCs w:val="18"/>
          </w:rPr>
          <w:t>Nachova et autres c. Bulgarie</w:t>
        </w:r>
      </w:hyperlink>
      <w:r w:rsidRPr="00293191">
        <w:rPr>
          <w:rFonts w:ascii="Arial" w:hAnsi="Arial" w:cs="Arial"/>
          <w:sz w:val="18"/>
          <w:szCs w:val="18"/>
        </w:rPr>
        <w:t>, nos 43577/98 et 43579/98, § 147, 6 juillet 2005, CEDH 2005-VII.</w:t>
      </w:r>
    </w:p>
  </w:footnote>
  <w:footnote w:id="121">
    <w:p w14:paraId="75EFCBF2" w14:textId="77777777" w:rsidR="00B41728" w:rsidRPr="00293191" w:rsidRDefault="00B41728" w:rsidP="00F331F8">
      <w:pPr>
        <w:pStyle w:val="NoSpacing"/>
        <w:jc w:val="both"/>
        <w:rPr>
          <w:rFonts w:ascii="Arial" w:hAnsi="Arial" w:cs="Arial"/>
          <w:sz w:val="18"/>
          <w:szCs w:val="18"/>
        </w:rPr>
      </w:pPr>
      <w:r w:rsidRPr="00293191">
        <w:rPr>
          <w:rStyle w:val="FootnoteReference"/>
          <w:rFonts w:ascii="Arial" w:hAnsi="Arial" w:cs="Arial"/>
          <w:sz w:val="18"/>
          <w:szCs w:val="18"/>
        </w:rPr>
        <w:footnoteRef/>
      </w:r>
      <w:hyperlink r:id="rId174" w:history="1">
        <w:r w:rsidRPr="00293191">
          <w:rPr>
            <w:rStyle w:val="Hyperlink"/>
            <w:rFonts w:ascii="Arial" w:eastAsiaTheme="majorEastAsia" w:hAnsi="Arial" w:cs="Arial"/>
            <w:i/>
            <w:color w:val="auto"/>
            <w:sz w:val="18"/>
            <w:szCs w:val="18"/>
          </w:rPr>
          <w:t xml:space="preserve"> </w:t>
        </w:r>
        <w:bookmarkStart w:id="41" w:name="_Hlk67307663"/>
        <w:r w:rsidRPr="00293191">
          <w:fldChar w:fldCharType="begin"/>
        </w:r>
        <w:r w:rsidRPr="00293191">
          <w:rPr>
            <w:rFonts w:ascii="Arial" w:hAnsi="Arial" w:cs="Arial"/>
          </w:rPr>
          <w:instrText xml:space="preserve"> </w:instrText>
        </w:r>
        <w:r>
          <w:rPr>
            <w:rFonts w:ascii="Arial" w:hAnsi="Arial" w:cs="Arial"/>
          </w:rPr>
          <w:instrText>HYPERLINK</w:instrText>
        </w:r>
        <w:r w:rsidRPr="00293191">
          <w:rPr>
            <w:rFonts w:ascii="Arial" w:hAnsi="Arial" w:cs="Arial"/>
          </w:rPr>
          <w:instrText xml:space="preserve"> "https://hudoc.echr.coe.int/eng" \l "{%22itemid%22:[%22001-145552%22]}" </w:instrText>
        </w:r>
        <w:r w:rsidRPr="00293191">
          <w:fldChar w:fldCharType="separate"/>
        </w:r>
        <w:r w:rsidRPr="00293191">
          <w:rPr>
            <w:rStyle w:val="Hyperlink"/>
            <w:rFonts w:ascii="Arial" w:eastAsiaTheme="majorEastAsia" w:hAnsi="Arial" w:cs="Arial"/>
            <w:i/>
            <w:color w:val="auto"/>
            <w:sz w:val="18"/>
            <w:szCs w:val="18"/>
          </w:rPr>
          <w:t>Géorgie c. Russie</w:t>
        </w:r>
        <w:r w:rsidRPr="00293191">
          <w:rPr>
            <w:rStyle w:val="Hyperlink"/>
            <w:rFonts w:ascii="Arial" w:eastAsiaTheme="majorEastAsia" w:hAnsi="Arial" w:cs="Arial"/>
            <w:i/>
            <w:color w:val="auto"/>
            <w:sz w:val="18"/>
            <w:szCs w:val="18"/>
          </w:rPr>
          <w:fldChar w:fldCharType="end"/>
        </w:r>
        <w:r w:rsidRPr="00293191">
          <w:rPr>
            <w:rStyle w:val="Hyperlink"/>
            <w:rFonts w:ascii="Arial" w:eastAsiaTheme="majorEastAsia" w:hAnsi="Arial" w:cs="Arial"/>
            <w:color w:val="auto"/>
            <w:sz w:val="18"/>
            <w:szCs w:val="18"/>
          </w:rPr>
          <w:t xml:space="preserve"> </w:t>
        </w:r>
        <w:r w:rsidRPr="00293191">
          <w:rPr>
            <w:rStyle w:val="Hyperlink"/>
            <w:rFonts w:ascii="Arial" w:eastAsiaTheme="majorEastAsia" w:hAnsi="Arial" w:cs="Arial"/>
            <w:i/>
            <w:color w:val="auto"/>
            <w:sz w:val="18"/>
            <w:szCs w:val="18"/>
          </w:rPr>
          <w:t>(I)</w:t>
        </w:r>
        <w:bookmarkEnd w:id="41"/>
      </w:hyperlink>
      <w:r w:rsidRPr="00293191">
        <w:rPr>
          <w:rFonts w:ascii="Arial" w:hAnsi="Arial" w:cs="Arial"/>
          <w:sz w:val="18"/>
          <w:szCs w:val="18"/>
        </w:rPr>
        <w:t>, précité § 94.</w:t>
      </w:r>
    </w:p>
  </w:footnote>
  <w:footnote w:id="122">
    <w:p w14:paraId="0B700957" w14:textId="77777777" w:rsidR="00B41728" w:rsidRPr="00720D91" w:rsidRDefault="00B41728" w:rsidP="00F331F8">
      <w:pPr>
        <w:pStyle w:val="FootnoteText"/>
        <w:shd w:val="clear" w:color="auto" w:fill="FFFFFF" w:themeFill="background1"/>
        <w:jc w:val="both"/>
        <w:rPr>
          <w:rFonts w:ascii="Arial" w:hAnsi="Arial" w:cs="Arial"/>
          <w:lang w:val="fr-FR"/>
        </w:rPr>
      </w:pPr>
      <w:r w:rsidRPr="00293191">
        <w:rPr>
          <w:rStyle w:val="FootnoteReference"/>
          <w:rFonts w:ascii="Arial" w:hAnsi="Arial" w:cs="Arial"/>
        </w:rPr>
        <w:footnoteRef/>
      </w:r>
      <w:r w:rsidRPr="00720D91">
        <w:rPr>
          <w:rFonts w:ascii="Arial" w:hAnsi="Arial" w:cs="Arial"/>
          <w:sz w:val="18"/>
          <w:szCs w:val="18"/>
          <w:lang w:val="fr-FR"/>
        </w:rPr>
        <w:t xml:space="preserve"> </w:t>
      </w:r>
      <w:hyperlink r:id="rId175" w:anchor="{%22itemid%22:[%22001-62064%22]}" w:history="1">
        <w:r w:rsidRPr="00720D91">
          <w:rPr>
            <w:rStyle w:val="Hyperlink"/>
            <w:rFonts w:ascii="Arial" w:hAnsi="Arial" w:cs="Arial"/>
            <w:i/>
            <w:color w:val="auto"/>
            <w:sz w:val="18"/>
            <w:szCs w:val="18"/>
            <w:lang w:val="fr-FR"/>
          </w:rPr>
          <w:t>Irlande c. Royaume-Uni</w:t>
        </w:r>
      </w:hyperlink>
      <w:r w:rsidRPr="00720D91">
        <w:rPr>
          <w:rFonts w:ascii="Arial" w:hAnsi="Arial" w:cs="Arial"/>
          <w:sz w:val="18"/>
          <w:szCs w:val="18"/>
          <w:lang w:val="fr-FR"/>
        </w:rPr>
        <w:t xml:space="preserve">, no. 5310/71, § 210, 18 janvier 1978 ; </w:t>
      </w:r>
      <w:hyperlink r:id="rId176" w:anchor="{%22itemid%22:[%22001-145552%22]}" w:history="1">
        <w:r w:rsidRPr="00720D91">
          <w:rPr>
            <w:rStyle w:val="Hyperlink"/>
            <w:rFonts w:ascii="Arial" w:hAnsi="Arial" w:cs="Arial"/>
            <w:i/>
            <w:color w:val="auto"/>
            <w:sz w:val="18"/>
            <w:szCs w:val="18"/>
            <w:lang w:val="fr-FR"/>
          </w:rPr>
          <w:t>Géorgie c. Russie</w:t>
        </w:r>
      </w:hyperlink>
      <w:r w:rsidRPr="00720D91">
        <w:rPr>
          <w:rStyle w:val="Hyperlink"/>
          <w:rFonts w:ascii="Arial" w:hAnsi="Arial" w:cs="Arial"/>
          <w:color w:val="auto"/>
          <w:sz w:val="18"/>
          <w:szCs w:val="18"/>
          <w:lang w:val="fr-FR"/>
        </w:rPr>
        <w:t xml:space="preserve"> </w:t>
      </w:r>
      <w:r w:rsidRPr="00720D91">
        <w:rPr>
          <w:rStyle w:val="Hyperlink"/>
          <w:rFonts w:ascii="Arial" w:hAnsi="Arial" w:cs="Arial"/>
          <w:i/>
          <w:color w:val="auto"/>
          <w:sz w:val="18"/>
          <w:szCs w:val="18"/>
          <w:lang w:val="fr-FR"/>
        </w:rPr>
        <w:t>(I)</w:t>
      </w:r>
      <w:r w:rsidRPr="00720D91">
        <w:rPr>
          <w:rFonts w:ascii="Arial" w:hAnsi="Arial" w:cs="Arial"/>
          <w:sz w:val="18"/>
          <w:szCs w:val="18"/>
          <w:lang w:val="fr-FR"/>
        </w:rPr>
        <w:t xml:space="preserve">, précité, § 138 </w:t>
      </w:r>
      <w:hyperlink r:id="rId177" w:history="1">
        <w:r w:rsidRPr="00720D91">
          <w:rPr>
            <w:rFonts w:ascii="Arial" w:hAnsi="Arial" w:cs="Arial"/>
            <w:lang w:val="fr-FR"/>
          </w:rPr>
          <w:t xml:space="preserve"> </w:t>
        </w:r>
        <w:r w:rsidRPr="00720D91">
          <w:rPr>
            <w:rStyle w:val="Hyperlink"/>
            <w:rFonts w:ascii="Arial" w:hAnsi="Arial" w:cs="Arial"/>
            <w:i/>
            <w:iCs/>
            <w:color w:val="auto"/>
            <w:sz w:val="18"/>
            <w:szCs w:val="18"/>
            <w:lang w:val="fr-FR"/>
          </w:rPr>
          <w:t xml:space="preserve">Géorgie c. Russie </w:t>
        </w:r>
      </w:hyperlink>
      <w:r w:rsidRPr="00720D91">
        <w:rPr>
          <w:rFonts w:ascii="Arial" w:hAnsi="Arial" w:cs="Arial"/>
          <w:sz w:val="18"/>
          <w:szCs w:val="18"/>
          <w:lang w:val="fr-FR"/>
        </w:rPr>
        <w:t>(</w:t>
      </w:r>
      <w:r w:rsidRPr="00720D91">
        <w:rPr>
          <w:rFonts w:ascii="Arial" w:hAnsi="Arial" w:cs="Arial"/>
          <w:sz w:val="18"/>
          <w:szCs w:val="18"/>
          <w:shd w:val="clear" w:color="auto" w:fill="FFFFFF" w:themeFill="background1"/>
          <w:lang w:val="fr-FR"/>
        </w:rPr>
        <w:t>II) (fond) [GC] no. 38263/08, § 59, 21 janvier 2021.</w:t>
      </w:r>
    </w:p>
  </w:footnote>
  <w:footnote w:id="123">
    <w:p w14:paraId="6422FCFC" w14:textId="77777777" w:rsidR="00B41728" w:rsidRPr="00720D91" w:rsidRDefault="00B41728" w:rsidP="00F331F8">
      <w:pPr>
        <w:pStyle w:val="FootnoteText"/>
        <w:shd w:val="clear" w:color="auto" w:fill="FFFFFF" w:themeFill="background1"/>
        <w:jc w:val="both"/>
        <w:rPr>
          <w:rFonts w:ascii="Arial" w:hAnsi="Arial" w:cs="Arial"/>
          <w:b/>
          <w:bCs/>
          <w:color w:val="FF0000"/>
          <w:lang w:val="fr-FR"/>
        </w:rPr>
      </w:pPr>
      <w:r w:rsidRPr="00293191">
        <w:rPr>
          <w:rStyle w:val="FootnoteReference"/>
          <w:rFonts w:ascii="Arial" w:hAnsi="Arial" w:cs="Arial"/>
          <w:sz w:val="18"/>
        </w:rPr>
        <w:footnoteRef/>
      </w:r>
      <w:r w:rsidRPr="00720D91">
        <w:rPr>
          <w:rFonts w:ascii="Arial" w:hAnsi="Arial" w:cs="Arial"/>
          <w:lang w:val="fr-FR"/>
        </w:rPr>
        <w:t xml:space="preserve"> </w:t>
      </w:r>
      <w:hyperlink r:id="rId178" w:anchor="{%22itemid%22:[%22001-145552%22]}" w:history="1">
        <w:r w:rsidRPr="00720D91">
          <w:rPr>
            <w:rStyle w:val="Hyperlink"/>
            <w:rFonts w:ascii="Arial" w:hAnsi="Arial" w:cs="Arial"/>
            <w:i/>
            <w:color w:val="auto"/>
            <w:sz w:val="18"/>
            <w:szCs w:val="18"/>
            <w:lang w:val="fr-FR"/>
          </w:rPr>
          <w:t>Géorgie c. Russie</w:t>
        </w:r>
      </w:hyperlink>
      <w:r w:rsidRPr="00720D91">
        <w:rPr>
          <w:rStyle w:val="Hyperlink"/>
          <w:rFonts w:ascii="Arial" w:hAnsi="Arial" w:cs="Arial"/>
          <w:color w:val="auto"/>
          <w:sz w:val="18"/>
          <w:szCs w:val="18"/>
          <w:lang w:val="fr-FR"/>
        </w:rPr>
        <w:t xml:space="preserve"> </w:t>
      </w:r>
      <w:r w:rsidRPr="00720D91">
        <w:rPr>
          <w:rStyle w:val="Hyperlink"/>
          <w:rFonts w:ascii="Arial" w:hAnsi="Arial" w:cs="Arial"/>
          <w:i/>
          <w:color w:val="auto"/>
          <w:sz w:val="18"/>
          <w:szCs w:val="18"/>
          <w:lang w:val="fr-FR"/>
        </w:rPr>
        <w:t>(I)</w:t>
      </w:r>
      <w:r w:rsidRPr="00720D91">
        <w:rPr>
          <w:rFonts w:ascii="Arial" w:hAnsi="Arial" w:cs="Arial"/>
          <w:sz w:val="18"/>
          <w:szCs w:val="18"/>
          <w:lang w:val="fr-FR"/>
        </w:rPr>
        <w:t xml:space="preserve">, précité, § 138 ; </w:t>
      </w:r>
      <w:hyperlink r:id="rId179" w:history="1">
        <w:r w:rsidRPr="00720D91">
          <w:rPr>
            <w:rFonts w:ascii="Arial" w:hAnsi="Arial" w:cs="Arial"/>
            <w:lang w:val="fr-FR"/>
          </w:rPr>
          <w:t xml:space="preserve"> </w:t>
        </w:r>
        <w:r w:rsidRPr="00720D91">
          <w:rPr>
            <w:rStyle w:val="Hyperlink"/>
            <w:rFonts w:ascii="Arial" w:hAnsi="Arial" w:cs="Arial"/>
            <w:i/>
            <w:iCs/>
            <w:color w:val="auto"/>
            <w:sz w:val="18"/>
            <w:szCs w:val="18"/>
            <w:lang w:val="fr-FR"/>
          </w:rPr>
          <w:t xml:space="preserve">Géorgie c. Russie </w:t>
        </w:r>
      </w:hyperlink>
      <w:r w:rsidRPr="00720D91">
        <w:rPr>
          <w:rFonts w:ascii="Arial" w:hAnsi="Arial" w:cs="Arial"/>
          <w:sz w:val="18"/>
          <w:szCs w:val="18"/>
          <w:lang w:val="fr-FR"/>
        </w:rPr>
        <w:t>(II</w:t>
      </w:r>
      <w:r w:rsidRPr="00720D91">
        <w:rPr>
          <w:rFonts w:ascii="Arial" w:hAnsi="Arial" w:cs="Arial"/>
          <w:sz w:val="18"/>
          <w:szCs w:val="18"/>
          <w:shd w:val="clear" w:color="auto" w:fill="FFFFFF" w:themeFill="background1"/>
          <w:lang w:val="fr-FR"/>
        </w:rPr>
        <w:t>) (fond) [GC] no. 38263/08, § 59, 21 janvier 2021.</w:t>
      </w:r>
    </w:p>
  </w:footnote>
  <w:footnote w:id="124">
    <w:p w14:paraId="2D503A19" w14:textId="77777777" w:rsidR="00B41728" w:rsidRPr="00F331F8" w:rsidRDefault="00B41728" w:rsidP="00F331F8">
      <w:pPr>
        <w:shd w:val="clear" w:color="auto" w:fill="FFFFFF" w:themeFill="background1"/>
        <w:jc w:val="both"/>
        <w:rPr>
          <w:rFonts w:ascii="Arial" w:hAnsi="Arial" w:cs="Arial"/>
          <w:color w:val="FF0000"/>
          <w:sz w:val="20"/>
          <w:szCs w:val="20"/>
          <w:lang w:val="fr-FR"/>
        </w:rPr>
      </w:pPr>
      <w:r w:rsidRPr="00293191">
        <w:rPr>
          <w:rStyle w:val="FootnoteReference"/>
          <w:rFonts w:ascii="Arial" w:hAnsi="Arial" w:cs="Arial"/>
          <w:sz w:val="18"/>
          <w:szCs w:val="18"/>
          <w:shd w:val="clear" w:color="auto" w:fill="FFFFFF" w:themeFill="background1"/>
        </w:rPr>
        <w:footnoteRef/>
      </w:r>
      <w:r w:rsidRPr="00F331F8">
        <w:rPr>
          <w:rFonts w:ascii="Arial" w:hAnsi="Arial" w:cs="Arial"/>
          <w:sz w:val="18"/>
          <w:szCs w:val="18"/>
          <w:shd w:val="clear" w:color="auto" w:fill="FFFFFF" w:themeFill="background1"/>
          <w:lang w:val="fr-FR"/>
        </w:rPr>
        <w:t xml:space="preserve"> </w:t>
      </w:r>
      <w:hyperlink r:id="rId180" w:history="1">
        <w:r w:rsidRPr="00F331F8">
          <w:rPr>
            <w:rStyle w:val="Hyperlink"/>
            <w:rFonts w:ascii="Arial" w:hAnsi="Arial" w:cs="Arial"/>
            <w:i/>
            <w:color w:val="auto"/>
            <w:sz w:val="18"/>
            <w:szCs w:val="18"/>
            <w:shd w:val="clear" w:color="auto" w:fill="FFFFFF" w:themeFill="background1"/>
            <w:lang w:val="fr-FR"/>
          </w:rPr>
          <w:t xml:space="preserve">Géorgie c. Russie </w:t>
        </w:r>
        <w:r w:rsidRPr="00F331F8">
          <w:rPr>
            <w:rStyle w:val="Hyperlink"/>
            <w:rFonts w:ascii="Arial" w:hAnsi="Arial" w:cs="Arial"/>
            <w:color w:val="auto"/>
            <w:sz w:val="18"/>
            <w:szCs w:val="18"/>
            <w:shd w:val="clear" w:color="auto" w:fill="FFFFFF" w:themeFill="background1"/>
            <w:lang w:val="fr-FR"/>
          </w:rPr>
          <w:t>(I)</w:t>
        </w:r>
      </w:hyperlink>
      <w:r w:rsidRPr="00F331F8">
        <w:rPr>
          <w:rFonts w:ascii="Arial" w:hAnsi="Arial" w:cs="Arial"/>
          <w:sz w:val="18"/>
          <w:szCs w:val="18"/>
          <w:shd w:val="clear" w:color="auto" w:fill="FFFFFF" w:themeFill="background1"/>
          <w:lang w:val="fr-FR"/>
        </w:rPr>
        <w:t xml:space="preserve">, précité, § 138 ; </w:t>
      </w:r>
      <w:hyperlink r:id="rId181" w:history="1">
        <w:r w:rsidRPr="00F331F8">
          <w:rPr>
            <w:rStyle w:val="Hyperlink"/>
            <w:rFonts w:ascii="Arial" w:hAnsi="Arial" w:cs="Arial"/>
            <w:i/>
            <w:iCs/>
            <w:color w:val="auto"/>
            <w:sz w:val="18"/>
            <w:szCs w:val="18"/>
            <w:shd w:val="clear" w:color="auto" w:fill="FFFFFF" w:themeFill="background1"/>
            <w:lang w:val="fr-FR"/>
          </w:rPr>
          <w:t xml:space="preserve">Géorgie c. Russie </w:t>
        </w:r>
      </w:hyperlink>
      <w:r w:rsidRPr="00F331F8">
        <w:rPr>
          <w:rFonts w:ascii="Arial" w:hAnsi="Arial" w:cs="Arial"/>
          <w:sz w:val="18"/>
          <w:szCs w:val="18"/>
          <w:shd w:val="clear" w:color="auto" w:fill="FFFFFF" w:themeFill="background1"/>
          <w:lang w:val="fr-FR"/>
        </w:rPr>
        <w:t>(II) (fond) [GC] no. 38263/08, § 59, 21 janvier 2021.</w:t>
      </w:r>
    </w:p>
  </w:footnote>
  <w:footnote w:id="125">
    <w:p w14:paraId="79D18FCB" w14:textId="77777777" w:rsidR="00B41728" w:rsidRPr="00720D91" w:rsidRDefault="00B41728" w:rsidP="00F331F8">
      <w:pPr>
        <w:pStyle w:val="SingleTxtG"/>
        <w:spacing w:after="0" w:line="180" w:lineRule="exact"/>
        <w:ind w:left="0" w:right="0"/>
        <w:rPr>
          <w:rFonts w:ascii="Arial" w:hAnsi="Arial" w:cs="Arial"/>
          <w:color w:val="FF0000"/>
          <w:sz w:val="18"/>
          <w:szCs w:val="18"/>
          <w:shd w:val="clear" w:color="auto" w:fill="D9D9D9" w:themeFill="background1" w:themeFillShade="D9"/>
          <w:lang w:val="fr-FR"/>
        </w:rPr>
      </w:pPr>
      <w:r w:rsidRPr="00293191">
        <w:rPr>
          <w:rStyle w:val="FootnoteReference"/>
          <w:rFonts w:ascii="Arial" w:hAnsi="Arial" w:cs="Arial"/>
          <w:sz w:val="18"/>
          <w:szCs w:val="18"/>
        </w:rPr>
        <w:footnoteRef/>
      </w:r>
      <w:r w:rsidRPr="00720D91">
        <w:rPr>
          <w:rFonts w:ascii="Arial" w:hAnsi="Arial" w:cs="Arial"/>
          <w:sz w:val="18"/>
          <w:szCs w:val="18"/>
          <w:lang w:val="fr-FR"/>
        </w:rPr>
        <w:t xml:space="preserve"> </w:t>
      </w:r>
      <w:hyperlink r:id="rId182" w:history="1">
        <w:r w:rsidRPr="00720D91">
          <w:rPr>
            <w:rFonts w:ascii="Arial" w:hAnsi="Arial" w:cs="Arial"/>
            <w:i/>
            <w:iCs/>
            <w:sz w:val="18"/>
            <w:szCs w:val="18"/>
            <w:u w:val="single"/>
            <w:lang w:val="fr-FR"/>
          </w:rPr>
          <w:t>Géorgie c. Russi</w:t>
        </w:r>
      </w:hyperlink>
      <w:r w:rsidRPr="00720D91">
        <w:rPr>
          <w:rFonts w:ascii="Arial" w:hAnsi="Arial" w:cs="Arial"/>
          <w:i/>
          <w:iCs/>
          <w:sz w:val="18"/>
          <w:szCs w:val="18"/>
          <w:u w:val="single"/>
          <w:lang w:val="fr-FR"/>
        </w:rPr>
        <w:t>e</w:t>
      </w:r>
      <w:r w:rsidRPr="00720D91">
        <w:rPr>
          <w:rFonts w:ascii="Arial" w:hAnsi="Arial" w:cs="Arial"/>
          <w:sz w:val="18"/>
          <w:szCs w:val="18"/>
          <w:u w:val="single"/>
          <w:lang w:val="fr-FR"/>
        </w:rPr>
        <w:t xml:space="preserve"> (II) (fond)</w:t>
      </w:r>
      <w:r w:rsidRPr="00720D91">
        <w:rPr>
          <w:rFonts w:ascii="Arial" w:hAnsi="Arial" w:cs="Arial"/>
          <w:sz w:val="18"/>
          <w:szCs w:val="18"/>
          <w:lang w:val="fr-FR"/>
        </w:rPr>
        <w:t xml:space="preserve"> n° 38263/08, § 74, 21 janvier 2021.</w:t>
      </w:r>
    </w:p>
  </w:footnote>
  <w:footnote w:id="126">
    <w:p w14:paraId="77866038" w14:textId="77777777" w:rsidR="00B41728" w:rsidRPr="00720D91" w:rsidRDefault="00B41728" w:rsidP="00F331F8">
      <w:pPr>
        <w:pStyle w:val="FootnoteText"/>
        <w:rPr>
          <w:rFonts w:ascii="Arial" w:hAnsi="Arial" w:cs="Arial"/>
          <w:lang w:val="fr-FR"/>
        </w:rPr>
      </w:pPr>
      <w:r w:rsidRPr="00293191">
        <w:rPr>
          <w:rStyle w:val="FootnoteReference"/>
          <w:rFonts w:ascii="Arial" w:hAnsi="Arial" w:cs="Arial"/>
          <w:shd w:val="clear" w:color="auto" w:fill="FFFFFF" w:themeFill="background1"/>
        </w:rPr>
        <w:footnoteRef/>
      </w:r>
      <w:r w:rsidRPr="00720D91">
        <w:rPr>
          <w:rFonts w:ascii="Arial" w:hAnsi="Arial" w:cs="Arial"/>
          <w:sz w:val="18"/>
          <w:szCs w:val="18"/>
          <w:shd w:val="clear" w:color="auto" w:fill="FFFFFF" w:themeFill="background1"/>
          <w:lang w:val="fr-FR"/>
        </w:rPr>
        <w:t xml:space="preserve"> </w:t>
      </w:r>
      <w:hyperlink r:id="rId183" w:history="1">
        <w:r w:rsidRPr="00720D91">
          <w:rPr>
            <w:rStyle w:val="Hyperlink"/>
            <w:rFonts w:ascii="Arial" w:hAnsi="Arial" w:cs="Arial"/>
            <w:i/>
            <w:iCs/>
            <w:color w:val="auto"/>
            <w:sz w:val="18"/>
            <w:szCs w:val="18"/>
            <w:shd w:val="clear" w:color="auto" w:fill="FFFFFF" w:themeFill="background1"/>
            <w:lang w:val="fr-FR"/>
          </w:rPr>
          <w:t xml:space="preserve">Ukraine c. Russie </w:t>
        </w:r>
      </w:hyperlink>
      <w:r w:rsidRPr="00720D91">
        <w:rPr>
          <w:rFonts w:ascii="Arial" w:hAnsi="Arial" w:cs="Arial"/>
          <w:i/>
          <w:iCs/>
          <w:sz w:val="18"/>
          <w:szCs w:val="18"/>
          <w:shd w:val="clear" w:color="auto" w:fill="FFFFFF" w:themeFill="background1"/>
          <w:lang w:val="fr-FR"/>
        </w:rPr>
        <w:t>(déc) [GC]</w:t>
      </w:r>
      <w:r w:rsidRPr="00720D91">
        <w:rPr>
          <w:rFonts w:ascii="Arial" w:hAnsi="Arial" w:cs="Arial"/>
          <w:sz w:val="18"/>
          <w:szCs w:val="18"/>
          <w:shd w:val="clear" w:color="auto" w:fill="FFFFFF" w:themeFill="background1"/>
          <w:lang w:val="fr-FR"/>
        </w:rPr>
        <w:t>, nos 20958/14 et 38334/18 § 257, 16 décembre 2020.</w:t>
      </w:r>
      <w:r w:rsidRPr="00720D91">
        <w:rPr>
          <w:rFonts w:ascii="Arial" w:hAnsi="Arial" w:cs="Arial"/>
          <w:sz w:val="18"/>
          <w:szCs w:val="18"/>
          <w:lang w:val="fr-FR"/>
        </w:rPr>
        <w:t xml:space="preserve"> </w:t>
      </w:r>
    </w:p>
  </w:footnote>
  <w:footnote w:id="127">
    <w:p w14:paraId="79263FBF" w14:textId="77777777" w:rsidR="00B41728" w:rsidRPr="00A8273A" w:rsidRDefault="00B41728" w:rsidP="00F331F8">
      <w:pPr>
        <w:pStyle w:val="SingleTxtG"/>
        <w:spacing w:after="0" w:line="180" w:lineRule="exact"/>
        <w:ind w:left="0" w:right="0"/>
        <w:rPr>
          <w:rFonts w:ascii="Arial" w:hAnsi="Arial" w:cs="Arial"/>
          <w:sz w:val="18"/>
          <w:szCs w:val="18"/>
          <w:shd w:val="clear" w:color="auto" w:fill="D9D9D9" w:themeFill="background1" w:themeFillShade="D9"/>
          <w:lang w:val="en-US"/>
        </w:rPr>
      </w:pPr>
      <w:r w:rsidRPr="00293191">
        <w:rPr>
          <w:rStyle w:val="FootnoteReference"/>
          <w:rFonts w:ascii="Arial" w:hAnsi="Arial" w:cs="Arial"/>
          <w:sz w:val="18"/>
          <w:szCs w:val="18"/>
        </w:rPr>
        <w:footnoteRef/>
      </w:r>
      <w:r w:rsidRPr="00720D91">
        <w:rPr>
          <w:rFonts w:ascii="Arial" w:hAnsi="Arial" w:cs="Arial"/>
          <w:sz w:val="18"/>
          <w:szCs w:val="18"/>
          <w:lang w:val="fr-FR"/>
        </w:rPr>
        <w:t xml:space="preserve"> </w:t>
      </w:r>
      <w:hyperlink r:id="rId184" w:anchor="_Toc388884484" w:history="1">
        <w:r w:rsidRPr="00720D91">
          <w:rPr>
            <w:rStyle w:val="Hyperlink"/>
            <w:rFonts w:ascii="Arial" w:hAnsi="Arial" w:cs="Arial"/>
            <w:i/>
            <w:sz w:val="18"/>
            <w:szCs w:val="18"/>
            <w:lang w:val="fr-FR"/>
          </w:rPr>
          <w:t>Géorgie c. Russie</w:t>
        </w:r>
        <w:r w:rsidRPr="00720D91">
          <w:rPr>
            <w:rStyle w:val="Hyperlink"/>
            <w:rFonts w:ascii="Arial" w:hAnsi="Arial" w:cs="Arial"/>
            <w:sz w:val="18"/>
            <w:szCs w:val="18"/>
            <w:lang w:val="fr-FR"/>
          </w:rPr>
          <w:t xml:space="preserve"> (I)</w:t>
        </w:r>
      </w:hyperlink>
      <w:r w:rsidRPr="00720D91">
        <w:rPr>
          <w:rFonts w:ascii="Arial" w:hAnsi="Arial" w:cs="Arial"/>
          <w:sz w:val="18"/>
          <w:szCs w:val="18"/>
          <w:lang w:val="fr-FR"/>
        </w:rPr>
        <w:t xml:space="preserve">, cité ci-dessus, §§ 83-84. </w:t>
      </w:r>
      <w:hyperlink r:id="rId185" w:history="1">
        <w:r w:rsidRPr="00A8273A">
          <w:rPr>
            <w:rFonts w:ascii="Arial" w:hAnsi="Arial" w:cs="Arial"/>
            <w:i/>
            <w:iCs/>
            <w:sz w:val="18"/>
            <w:szCs w:val="18"/>
            <w:lang w:val="en-US"/>
          </w:rPr>
          <w:t>Géorgie c. Russie</w:t>
        </w:r>
      </w:hyperlink>
      <w:r w:rsidRPr="00A8273A">
        <w:rPr>
          <w:rFonts w:ascii="Arial" w:hAnsi="Arial" w:cs="Arial"/>
          <w:sz w:val="18"/>
          <w:szCs w:val="18"/>
          <w:lang w:val="en-US"/>
        </w:rPr>
        <w:t xml:space="preserve"> (II) (fond) n°38263/08, §§ 63-66, 21 janvier 2021.</w:t>
      </w:r>
    </w:p>
  </w:footnote>
  <w:footnote w:id="128">
    <w:p w14:paraId="4B6888E2" w14:textId="77777777" w:rsidR="00B41728" w:rsidRPr="00720D91" w:rsidRDefault="00B41728" w:rsidP="00F331F8">
      <w:pPr>
        <w:pStyle w:val="NoSpacing"/>
        <w:jc w:val="both"/>
        <w:rPr>
          <w:rFonts w:ascii="Arial" w:hAnsi="Arial" w:cs="Arial"/>
          <w:sz w:val="18"/>
          <w:szCs w:val="18"/>
          <w:lang w:val="en-US"/>
        </w:rPr>
      </w:pPr>
      <w:r w:rsidRPr="00293191">
        <w:rPr>
          <w:rStyle w:val="FootnoteReference"/>
          <w:rFonts w:ascii="Arial" w:hAnsi="Arial" w:cs="Arial"/>
          <w:sz w:val="18"/>
          <w:szCs w:val="18"/>
        </w:rPr>
        <w:footnoteRef/>
      </w:r>
      <w:r w:rsidRPr="00720D91">
        <w:rPr>
          <w:rFonts w:ascii="Arial" w:hAnsi="Arial" w:cs="Arial"/>
          <w:sz w:val="18"/>
          <w:szCs w:val="18"/>
          <w:lang w:val="en-US"/>
        </w:rPr>
        <w:t xml:space="preserve"> Voir Philip Leach, Costas Paraskeva, Gordana Uzelac, International Human Rights and Fact-Finding ; An Analysis of the fact-finding missions conducted by the European Commission and the European Court of Human Rights, Human Rights and Social Justice, Research Institute, February 2009, pg 13. </w:t>
      </w:r>
    </w:p>
  </w:footnote>
  <w:footnote w:id="129">
    <w:p w14:paraId="045821BE" w14:textId="77777777" w:rsidR="00B41728" w:rsidRPr="00720D91" w:rsidRDefault="00B41728" w:rsidP="00F331F8">
      <w:pPr>
        <w:pStyle w:val="SingleTxtG"/>
        <w:spacing w:after="0" w:line="180" w:lineRule="exact"/>
        <w:ind w:left="0" w:right="0"/>
        <w:rPr>
          <w:rFonts w:ascii="Arial" w:hAnsi="Arial" w:cs="Arial"/>
          <w:sz w:val="18"/>
          <w:szCs w:val="18"/>
          <w:lang w:val="fr-FR"/>
        </w:rPr>
      </w:pPr>
      <w:r w:rsidRPr="00560F13">
        <w:rPr>
          <w:rStyle w:val="FootnoteReference"/>
          <w:rFonts w:ascii="Arial" w:hAnsi="Arial" w:cs="Arial"/>
          <w:sz w:val="18"/>
          <w:szCs w:val="18"/>
        </w:rPr>
        <w:footnoteRef/>
      </w:r>
      <w:r w:rsidRPr="00720D91">
        <w:rPr>
          <w:rFonts w:ascii="Arial" w:hAnsi="Arial" w:cs="Arial"/>
          <w:sz w:val="18"/>
          <w:szCs w:val="18"/>
          <w:lang w:val="fr-FR"/>
        </w:rPr>
        <w:t xml:space="preserve"> </w:t>
      </w:r>
      <w:hyperlink r:id="rId186" w:history="1">
        <w:r w:rsidRPr="00720D91">
          <w:rPr>
            <w:rStyle w:val="Hyperlink"/>
            <w:rFonts w:ascii="Arial" w:hAnsi="Arial" w:cs="Arial"/>
            <w:i/>
            <w:sz w:val="18"/>
            <w:szCs w:val="18"/>
            <w:lang w:val="fr-FR"/>
          </w:rPr>
          <w:t>Géorgie c. Russie</w:t>
        </w:r>
        <w:r w:rsidRPr="00720D91">
          <w:rPr>
            <w:rStyle w:val="Hyperlink"/>
            <w:rFonts w:ascii="Arial" w:hAnsi="Arial" w:cs="Arial"/>
            <w:sz w:val="18"/>
            <w:szCs w:val="18"/>
            <w:lang w:val="fr-FR"/>
          </w:rPr>
          <w:t xml:space="preserve"> (I)</w:t>
        </w:r>
      </w:hyperlink>
      <w:r w:rsidRPr="00720D91">
        <w:rPr>
          <w:rFonts w:ascii="Arial" w:hAnsi="Arial" w:cs="Arial"/>
          <w:sz w:val="18"/>
          <w:szCs w:val="18"/>
          <w:lang w:val="fr-FR"/>
        </w:rPr>
        <w:t xml:space="preserve"> (satisfaction équitable) précité, § 59 ; </w:t>
      </w:r>
      <w:hyperlink r:id="rId187" w:history="1">
        <w:r w:rsidRPr="00720D91">
          <w:rPr>
            <w:rStyle w:val="Hyperlink"/>
            <w:rFonts w:ascii="Arial" w:hAnsi="Arial" w:cs="Arial"/>
            <w:sz w:val="18"/>
            <w:szCs w:val="18"/>
            <w:lang w:val="fr-FR"/>
          </w:rPr>
          <w:t>Géorgie c. Russie</w:t>
        </w:r>
      </w:hyperlink>
      <w:r w:rsidRPr="00720D91">
        <w:rPr>
          <w:rFonts w:ascii="Arial" w:hAnsi="Arial" w:cs="Arial"/>
          <w:sz w:val="18"/>
          <w:szCs w:val="18"/>
          <w:lang w:val="fr-FR"/>
        </w:rPr>
        <w:t xml:space="preserve"> (II) (fond) [GC] n° 38263/08, § 341, 21 janvier 2021.</w:t>
      </w:r>
    </w:p>
  </w:footnote>
  <w:footnote w:id="130">
    <w:p w14:paraId="44132F1E" w14:textId="77777777" w:rsidR="00B41728" w:rsidRPr="002D305B" w:rsidRDefault="00B41728" w:rsidP="00F331F8">
      <w:pPr>
        <w:pStyle w:val="NoSpacing"/>
        <w:jc w:val="both"/>
        <w:rPr>
          <w:rFonts w:ascii="Arial" w:hAnsi="Arial" w:cs="Arial"/>
          <w:sz w:val="18"/>
          <w:szCs w:val="18"/>
        </w:rPr>
      </w:pPr>
      <w:r w:rsidRPr="002D305B">
        <w:rPr>
          <w:rStyle w:val="FootnoteReference"/>
          <w:rFonts w:ascii="Arial" w:hAnsi="Arial" w:cs="Arial"/>
          <w:sz w:val="18"/>
          <w:szCs w:val="18"/>
        </w:rPr>
        <w:footnoteRef/>
      </w:r>
      <w:hyperlink r:id="rId188" w:history="1">
        <w:r w:rsidRPr="002D305B">
          <w:rPr>
            <w:rStyle w:val="Hyperlink"/>
            <w:rFonts w:ascii="Arial" w:eastAsiaTheme="majorEastAsia" w:hAnsi="Arial" w:cs="Arial"/>
            <w:i/>
            <w:iCs/>
            <w:sz w:val="18"/>
            <w:szCs w:val="18"/>
          </w:rPr>
          <w:t xml:space="preserve"> </w:t>
        </w:r>
      </w:hyperlink>
      <w:hyperlink r:id="rId189" w:history="1">
        <w:r w:rsidRPr="002D305B">
          <w:rPr>
            <w:rStyle w:val="Hyperlink"/>
            <w:rFonts w:ascii="Arial" w:eastAsiaTheme="majorEastAsia" w:hAnsi="Arial" w:cs="Arial"/>
            <w:i/>
            <w:sz w:val="18"/>
            <w:szCs w:val="18"/>
          </w:rPr>
          <w:t>Bazorkina c. Russie</w:t>
        </w:r>
      </w:hyperlink>
      <w:r w:rsidRPr="002D305B">
        <w:rPr>
          <w:rFonts w:ascii="Arial" w:hAnsi="Arial" w:cs="Arial"/>
          <w:sz w:val="18"/>
          <w:szCs w:val="18"/>
        </w:rPr>
        <w:t xml:space="preserve">, n° 69481/01, § 170, 27 juillet 2006 ; </w:t>
      </w:r>
      <w:hyperlink r:id="rId190" w:history="1">
        <w:r w:rsidRPr="002D305B">
          <w:rPr>
            <w:rStyle w:val="Hyperlink"/>
            <w:rFonts w:ascii="Arial" w:eastAsiaTheme="majorEastAsia" w:hAnsi="Arial" w:cs="Arial"/>
            <w:i/>
            <w:sz w:val="18"/>
            <w:szCs w:val="18"/>
          </w:rPr>
          <w:t>Tahsin Acar c. Turquie [GC]</w:t>
        </w:r>
      </w:hyperlink>
      <w:r w:rsidRPr="002D305B">
        <w:rPr>
          <w:rStyle w:val="Hyperlink"/>
          <w:rFonts w:ascii="Arial" w:eastAsiaTheme="majorEastAsia" w:hAnsi="Arial" w:cs="Arial"/>
          <w:i/>
          <w:sz w:val="18"/>
          <w:szCs w:val="18"/>
        </w:rPr>
        <w:t>,</w:t>
      </w:r>
      <w:r w:rsidRPr="002D305B">
        <w:rPr>
          <w:rFonts w:ascii="Arial" w:hAnsi="Arial" w:cs="Arial"/>
          <w:sz w:val="18"/>
          <w:szCs w:val="18"/>
        </w:rPr>
        <w:t xml:space="preserve"> n° 26307/95, § 253, 8 avril 2004. </w:t>
      </w:r>
      <w:r>
        <w:rPr>
          <w:rFonts w:ascii="Arial" w:hAnsi="Arial" w:cs="Arial"/>
          <w:sz w:val="18"/>
          <w:szCs w:val="18"/>
        </w:rPr>
        <w:t xml:space="preserve"> </w:t>
      </w:r>
    </w:p>
  </w:footnote>
  <w:footnote w:id="131">
    <w:p w14:paraId="2F037B79" w14:textId="77777777" w:rsidR="00B41728" w:rsidRPr="00C106CA" w:rsidRDefault="00B41728" w:rsidP="00F331F8">
      <w:pPr>
        <w:pStyle w:val="NoSpacing"/>
        <w:jc w:val="both"/>
        <w:rPr>
          <w:rFonts w:ascii="Arial" w:hAnsi="Arial" w:cs="Arial"/>
          <w:sz w:val="18"/>
          <w:szCs w:val="18"/>
        </w:rPr>
      </w:pPr>
      <w:r w:rsidRPr="00560F13">
        <w:rPr>
          <w:rStyle w:val="FootnoteReference"/>
          <w:rFonts w:ascii="Arial" w:hAnsi="Arial" w:cs="Arial"/>
          <w:sz w:val="18"/>
          <w:szCs w:val="18"/>
        </w:rPr>
        <w:footnoteRef/>
      </w:r>
      <w:r w:rsidRPr="00C106CA">
        <w:rPr>
          <w:rFonts w:ascii="Arial" w:hAnsi="Arial" w:cs="Arial"/>
          <w:sz w:val="18"/>
          <w:szCs w:val="18"/>
        </w:rPr>
        <w:t xml:space="preserve"> </w:t>
      </w:r>
      <w:hyperlink r:id="rId191" w:history="1">
        <w:r w:rsidRPr="002D305B">
          <w:rPr>
            <w:rStyle w:val="Hyperlink"/>
            <w:rFonts w:ascii="Arial" w:eastAsiaTheme="majorEastAsia" w:hAnsi="Arial" w:cs="Arial"/>
            <w:i/>
            <w:sz w:val="18"/>
            <w:szCs w:val="18"/>
          </w:rPr>
          <w:t>Janowiec et autres c. Russie</w:t>
        </w:r>
      </w:hyperlink>
      <w:r w:rsidRPr="002D305B">
        <w:rPr>
          <w:rStyle w:val="Hyperlink"/>
          <w:rFonts w:ascii="Arial" w:eastAsiaTheme="majorEastAsia" w:hAnsi="Arial" w:cs="Arial"/>
          <w:i/>
          <w:sz w:val="18"/>
          <w:szCs w:val="18"/>
        </w:rPr>
        <w:t xml:space="preserve"> [GC]</w:t>
      </w:r>
      <w:r w:rsidRPr="002D305B">
        <w:rPr>
          <w:rFonts w:ascii="Arial" w:hAnsi="Arial" w:cs="Arial"/>
          <w:sz w:val="18"/>
          <w:szCs w:val="18"/>
        </w:rPr>
        <w:t xml:space="preserve">, </w:t>
      </w:r>
      <w:r w:rsidRPr="00C106CA">
        <w:rPr>
          <w:rFonts w:ascii="Arial" w:hAnsi="Arial" w:cs="Arial"/>
          <w:sz w:val="18"/>
          <w:szCs w:val="18"/>
        </w:rPr>
        <w:t>n</w:t>
      </w:r>
      <w:r>
        <w:rPr>
          <w:rFonts w:ascii="Arial" w:hAnsi="Arial" w:cs="Arial"/>
          <w:sz w:val="18"/>
          <w:szCs w:val="18"/>
        </w:rPr>
        <w:t>°</w:t>
      </w:r>
      <w:r w:rsidRPr="00C106CA">
        <w:rPr>
          <w:rFonts w:ascii="Arial" w:hAnsi="Arial" w:cs="Arial"/>
          <w:sz w:val="18"/>
          <w:szCs w:val="18"/>
        </w:rPr>
        <w:t xml:space="preserve"> 55508/07 </w:t>
      </w:r>
      <w:r>
        <w:rPr>
          <w:rFonts w:ascii="Arial" w:hAnsi="Arial" w:cs="Arial"/>
          <w:sz w:val="18"/>
          <w:szCs w:val="18"/>
        </w:rPr>
        <w:t>et</w:t>
      </w:r>
      <w:r w:rsidRPr="00C106CA">
        <w:rPr>
          <w:rFonts w:ascii="Arial" w:hAnsi="Arial" w:cs="Arial"/>
          <w:sz w:val="18"/>
          <w:szCs w:val="18"/>
        </w:rPr>
        <w:t xml:space="preserve"> 29520/09</w:t>
      </w:r>
      <w:r w:rsidRPr="002D305B">
        <w:rPr>
          <w:rFonts w:ascii="Arial" w:hAnsi="Arial" w:cs="Arial"/>
          <w:sz w:val="18"/>
          <w:szCs w:val="18"/>
        </w:rPr>
        <w:t>, § 20</w:t>
      </w:r>
      <w:r>
        <w:rPr>
          <w:rFonts w:ascii="Arial" w:hAnsi="Arial" w:cs="Arial"/>
          <w:sz w:val="18"/>
          <w:szCs w:val="18"/>
        </w:rPr>
        <w:t>9</w:t>
      </w:r>
      <w:r w:rsidRPr="002D305B">
        <w:rPr>
          <w:rFonts w:ascii="Arial" w:hAnsi="Arial" w:cs="Arial"/>
          <w:sz w:val="18"/>
          <w:szCs w:val="18"/>
        </w:rPr>
        <w:t xml:space="preserve">. </w:t>
      </w:r>
    </w:p>
  </w:footnote>
  <w:footnote w:id="132">
    <w:p w14:paraId="33A4A82D" w14:textId="77777777" w:rsidR="00B41728" w:rsidRPr="00720D91" w:rsidRDefault="00B41728" w:rsidP="00F331F8">
      <w:pPr>
        <w:pStyle w:val="SingleTxtG"/>
        <w:spacing w:after="0" w:line="180" w:lineRule="exact"/>
        <w:ind w:left="0" w:right="0"/>
        <w:rPr>
          <w:rFonts w:ascii="Arial" w:hAnsi="Arial" w:cs="Arial"/>
          <w:sz w:val="18"/>
          <w:szCs w:val="18"/>
          <w:lang w:val="fr-FR"/>
        </w:rPr>
      </w:pPr>
      <w:r w:rsidRPr="00560F13">
        <w:rPr>
          <w:rStyle w:val="FootnoteReference"/>
          <w:rFonts w:ascii="Arial" w:hAnsi="Arial" w:cs="Arial"/>
          <w:sz w:val="18"/>
          <w:szCs w:val="18"/>
        </w:rPr>
        <w:footnoteRef/>
      </w:r>
      <w:r w:rsidRPr="00720D91">
        <w:rPr>
          <w:rFonts w:ascii="Arial" w:hAnsi="Arial" w:cs="Arial"/>
          <w:sz w:val="18"/>
          <w:szCs w:val="18"/>
          <w:lang w:val="fr-FR"/>
        </w:rPr>
        <w:t xml:space="preserve"> </w:t>
      </w:r>
      <w:hyperlink r:id="rId192" w:history="1">
        <w:r w:rsidRPr="00720D91">
          <w:rPr>
            <w:rStyle w:val="Hyperlink"/>
            <w:rFonts w:ascii="Arial" w:hAnsi="Arial" w:cs="Arial"/>
            <w:i/>
            <w:sz w:val="18"/>
            <w:szCs w:val="18"/>
            <w:lang w:val="fr-FR"/>
          </w:rPr>
          <w:t>Janowiec et autres c. Russie</w:t>
        </w:r>
      </w:hyperlink>
      <w:r w:rsidRPr="00720D91">
        <w:rPr>
          <w:rStyle w:val="Hyperlink"/>
          <w:rFonts w:ascii="Arial" w:hAnsi="Arial" w:cs="Arial"/>
          <w:i/>
          <w:sz w:val="18"/>
          <w:szCs w:val="18"/>
          <w:lang w:val="fr-FR"/>
        </w:rPr>
        <w:t xml:space="preserve"> [GC]</w:t>
      </w:r>
      <w:r w:rsidRPr="00720D91">
        <w:rPr>
          <w:rFonts w:ascii="Arial" w:hAnsi="Arial" w:cs="Arial"/>
          <w:sz w:val="18"/>
          <w:szCs w:val="18"/>
          <w:lang w:val="fr-FR"/>
        </w:rPr>
        <w:t xml:space="preserve">, n° 55508/07 et 29520/09, § 209. </w:t>
      </w:r>
    </w:p>
  </w:footnote>
  <w:footnote w:id="133">
    <w:p w14:paraId="4ED48A4F" w14:textId="77777777" w:rsidR="00B41728" w:rsidRPr="00720D91" w:rsidRDefault="00B41728" w:rsidP="00F331F8">
      <w:pPr>
        <w:pStyle w:val="SingleTxtG"/>
        <w:spacing w:after="0" w:line="180" w:lineRule="exact"/>
        <w:ind w:left="0" w:right="0"/>
        <w:rPr>
          <w:rFonts w:ascii="Arial" w:hAnsi="Arial" w:cs="Arial"/>
          <w:sz w:val="18"/>
          <w:szCs w:val="18"/>
          <w:lang w:val="fr-FR"/>
        </w:rPr>
      </w:pPr>
      <w:r w:rsidRPr="00560F13">
        <w:rPr>
          <w:rStyle w:val="FootnoteReference"/>
          <w:rFonts w:ascii="Arial" w:hAnsi="Arial" w:cs="Arial"/>
          <w:sz w:val="18"/>
          <w:szCs w:val="18"/>
        </w:rPr>
        <w:footnoteRef/>
      </w:r>
      <w:r w:rsidRPr="00720D91">
        <w:rPr>
          <w:rFonts w:ascii="Arial" w:hAnsi="Arial" w:cs="Arial"/>
          <w:sz w:val="18"/>
          <w:szCs w:val="18"/>
          <w:lang w:val="fr-FR"/>
        </w:rPr>
        <w:t xml:space="preserve"> </w:t>
      </w:r>
      <w:hyperlink r:id="rId193" w:history="1">
        <w:r w:rsidRPr="00720D91">
          <w:rPr>
            <w:rStyle w:val="Hyperlink"/>
            <w:rFonts w:ascii="Arial" w:hAnsi="Arial" w:cs="Arial"/>
            <w:i/>
            <w:sz w:val="18"/>
            <w:szCs w:val="18"/>
            <w:lang w:val="fr-FR"/>
          </w:rPr>
          <w:t>Janowiec et autres c. Russie</w:t>
        </w:r>
      </w:hyperlink>
      <w:r w:rsidRPr="00720D91">
        <w:rPr>
          <w:rStyle w:val="Hyperlink"/>
          <w:rFonts w:ascii="Arial" w:hAnsi="Arial" w:cs="Arial"/>
          <w:i/>
          <w:sz w:val="18"/>
          <w:szCs w:val="18"/>
          <w:lang w:val="fr-FR"/>
        </w:rPr>
        <w:t xml:space="preserve"> [GC]</w:t>
      </w:r>
      <w:r w:rsidRPr="00720D91">
        <w:rPr>
          <w:rFonts w:ascii="Arial" w:hAnsi="Arial" w:cs="Arial"/>
          <w:sz w:val="18"/>
          <w:szCs w:val="18"/>
          <w:lang w:val="fr-FR"/>
        </w:rPr>
        <w:t xml:space="preserve">, n° 55508/07 et 29520/09, § 209. </w:t>
      </w:r>
    </w:p>
  </w:footnote>
  <w:footnote w:id="134">
    <w:p w14:paraId="4ACAC8DF" w14:textId="77777777" w:rsidR="00B41728" w:rsidRPr="00720D91" w:rsidRDefault="00B41728" w:rsidP="00F331F8">
      <w:pPr>
        <w:pStyle w:val="SingleTxtG"/>
        <w:spacing w:after="0" w:line="180" w:lineRule="exact"/>
        <w:ind w:left="0" w:right="0"/>
        <w:rPr>
          <w:rFonts w:ascii="Arial" w:hAnsi="Arial" w:cs="Arial"/>
          <w:sz w:val="18"/>
          <w:szCs w:val="18"/>
          <w:lang w:val="fr-FR"/>
        </w:rPr>
      </w:pPr>
      <w:r w:rsidRPr="00560F13">
        <w:rPr>
          <w:rStyle w:val="FootnoteReference"/>
          <w:rFonts w:ascii="Arial" w:hAnsi="Arial" w:cs="Arial"/>
          <w:sz w:val="18"/>
          <w:szCs w:val="18"/>
        </w:rPr>
        <w:footnoteRef/>
      </w:r>
      <w:r w:rsidRPr="00720D91">
        <w:rPr>
          <w:rFonts w:ascii="Arial" w:hAnsi="Arial" w:cs="Arial"/>
          <w:sz w:val="18"/>
          <w:szCs w:val="18"/>
          <w:lang w:val="fr-FR"/>
        </w:rPr>
        <w:t xml:space="preserve"> </w:t>
      </w:r>
      <w:hyperlink r:id="rId194" w:history="1">
        <w:r w:rsidRPr="00720D91">
          <w:rPr>
            <w:rStyle w:val="Hyperlink"/>
            <w:rFonts w:ascii="Arial" w:hAnsi="Arial" w:cs="Arial"/>
            <w:i/>
            <w:sz w:val="18"/>
            <w:szCs w:val="18"/>
            <w:lang w:val="fr-FR"/>
          </w:rPr>
          <w:t>Janowiec et autres c. Russie</w:t>
        </w:r>
      </w:hyperlink>
      <w:r w:rsidRPr="00720D91">
        <w:rPr>
          <w:rStyle w:val="Hyperlink"/>
          <w:rFonts w:ascii="Arial" w:hAnsi="Arial" w:cs="Arial"/>
          <w:i/>
          <w:sz w:val="18"/>
          <w:szCs w:val="18"/>
          <w:lang w:val="fr-FR"/>
        </w:rPr>
        <w:t xml:space="preserve"> [GC]</w:t>
      </w:r>
      <w:r w:rsidRPr="00720D91">
        <w:rPr>
          <w:rFonts w:ascii="Arial" w:hAnsi="Arial" w:cs="Arial"/>
          <w:sz w:val="18"/>
          <w:szCs w:val="18"/>
          <w:lang w:val="fr-FR"/>
        </w:rPr>
        <w:t>, précité, § 209.</w:t>
      </w:r>
    </w:p>
  </w:footnote>
  <w:footnote w:id="135">
    <w:p w14:paraId="6088FA7C" w14:textId="77777777" w:rsidR="00B41728" w:rsidRPr="002D305B" w:rsidRDefault="00B41728" w:rsidP="00F331F8">
      <w:pPr>
        <w:pStyle w:val="NoSpacing"/>
        <w:jc w:val="both"/>
        <w:rPr>
          <w:rFonts w:ascii="Arial" w:hAnsi="Arial" w:cs="Arial"/>
          <w:sz w:val="18"/>
          <w:szCs w:val="18"/>
        </w:rPr>
      </w:pPr>
      <w:r w:rsidRPr="002D305B">
        <w:rPr>
          <w:rStyle w:val="FootnoteReference"/>
          <w:rFonts w:ascii="Arial" w:hAnsi="Arial" w:cs="Arial"/>
          <w:sz w:val="18"/>
          <w:szCs w:val="18"/>
        </w:rPr>
        <w:footnoteRef/>
      </w:r>
      <w:hyperlink r:id="rId195" w:history="1">
        <w:r w:rsidRPr="002D305B">
          <w:rPr>
            <w:rStyle w:val="Hyperlink"/>
            <w:rFonts w:ascii="Arial" w:eastAsiaTheme="majorEastAsia" w:hAnsi="Arial" w:cs="Arial"/>
            <w:i/>
            <w:iCs/>
            <w:sz w:val="18"/>
            <w:szCs w:val="18"/>
          </w:rPr>
          <w:t xml:space="preserve"> </w:t>
        </w:r>
      </w:hyperlink>
      <w:hyperlink r:id="rId196" w:history="1">
        <w:r w:rsidRPr="002D305B">
          <w:rPr>
            <w:rStyle w:val="Hyperlink"/>
            <w:rFonts w:ascii="Arial" w:eastAsiaTheme="majorEastAsia" w:hAnsi="Arial" w:cs="Arial"/>
            <w:i/>
            <w:sz w:val="18"/>
            <w:szCs w:val="18"/>
          </w:rPr>
          <w:t>Janowiec et autres c. Russie</w:t>
        </w:r>
      </w:hyperlink>
      <w:r w:rsidRPr="002D305B">
        <w:rPr>
          <w:rStyle w:val="Hyperlink"/>
          <w:rFonts w:ascii="Arial" w:eastAsiaTheme="majorEastAsia" w:hAnsi="Arial" w:cs="Arial"/>
          <w:i/>
          <w:sz w:val="18"/>
          <w:szCs w:val="18"/>
        </w:rPr>
        <w:t xml:space="preserve"> [GC]</w:t>
      </w:r>
      <w:r w:rsidRPr="002D305B">
        <w:rPr>
          <w:rFonts w:ascii="Arial" w:hAnsi="Arial" w:cs="Arial"/>
          <w:sz w:val="18"/>
          <w:szCs w:val="18"/>
        </w:rPr>
        <w:t xml:space="preserve">, précité, </w:t>
      </w:r>
      <w:r>
        <w:rPr>
          <w:rFonts w:ascii="Arial" w:hAnsi="Arial" w:cs="Arial"/>
          <w:sz w:val="18"/>
          <w:szCs w:val="18"/>
        </w:rPr>
        <w:t>§</w:t>
      </w:r>
      <w:r w:rsidRPr="002D305B">
        <w:rPr>
          <w:rFonts w:ascii="Arial" w:hAnsi="Arial" w:cs="Arial"/>
          <w:sz w:val="18"/>
          <w:szCs w:val="18"/>
        </w:rPr>
        <w:t xml:space="preserve"> 203 ; </w:t>
      </w:r>
      <w:hyperlink r:id="rId197" w:history="1">
        <w:r w:rsidRPr="002D305B">
          <w:rPr>
            <w:rStyle w:val="Hyperlink"/>
            <w:rFonts w:ascii="Arial" w:eastAsiaTheme="majorEastAsia" w:hAnsi="Arial" w:cs="Arial"/>
            <w:i/>
            <w:sz w:val="18"/>
            <w:szCs w:val="18"/>
          </w:rPr>
          <w:t>Enukidze et Girgvliani c. Géorgie</w:t>
        </w:r>
      </w:hyperlink>
      <w:r w:rsidRPr="002D305B">
        <w:rPr>
          <w:rFonts w:ascii="Arial" w:hAnsi="Arial" w:cs="Arial"/>
          <w:sz w:val="18"/>
          <w:szCs w:val="18"/>
        </w:rPr>
        <w:t xml:space="preserve">, n° 25091/07, par. 295, 26 avril 2011 ; </w:t>
      </w:r>
      <w:hyperlink r:id="rId198" w:history="1">
        <w:r w:rsidRPr="002D305B">
          <w:rPr>
            <w:rStyle w:val="Hyperlink"/>
            <w:rFonts w:ascii="Arial" w:eastAsiaTheme="majorEastAsia" w:hAnsi="Arial" w:cs="Arial"/>
            <w:i/>
            <w:sz w:val="18"/>
            <w:szCs w:val="18"/>
          </w:rPr>
          <w:t>Bekirski c. Bulgarie</w:t>
        </w:r>
      </w:hyperlink>
      <w:r w:rsidRPr="002D305B">
        <w:rPr>
          <w:rFonts w:ascii="Arial" w:hAnsi="Arial" w:cs="Arial"/>
          <w:sz w:val="18"/>
          <w:szCs w:val="18"/>
        </w:rPr>
        <w:t xml:space="preserve">, n° 71420/01, par. 111-13, 2 septembre 2010. </w:t>
      </w:r>
    </w:p>
  </w:footnote>
  <w:footnote w:id="136">
    <w:p w14:paraId="01FE6155" w14:textId="77777777" w:rsidR="00B41728" w:rsidRPr="002D305B" w:rsidRDefault="00B41728" w:rsidP="00F331F8">
      <w:pPr>
        <w:pStyle w:val="NoSpacing"/>
        <w:jc w:val="both"/>
        <w:rPr>
          <w:rFonts w:ascii="Arial" w:hAnsi="Arial" w:cs="Arial"/>
          <w:sz w:val="18"/>
          <w:szCs w:val="18"/>
        </w:rPr>
      </w:pPr>
      <w:r w:rsidRPr="002D305B">
        <w:rPr>
          <w:rStyle w:val="FootnoteReference"/>
          <w:rFonts w:ascii="Arial" w:hAnsi="Arial" w:cs="Arial"/>
          <w:sz w:val="18"/>
          <w:szCs w:val="18"/>
        </w:rPr>
        <w:footnoteRef/>
      </w:r>
      <w:r w:rsidRPr="002D305B">
        <w:t xml:space="preserve"> </w:t>
      </w:r>
      <w:hyperlink r:id="rId199" w:history="1">
        <w:r w:rsidRPr="002D305B">
          <w:rPr>
            <w:rStyle w:val="Hyperlink"/>
            <w:rFonts w:ascii="Arial" w:eastAsiaTheme="majorEastAsia" w:hAnsi="Arial" w:cs="Arial"/>
            <w:i/>
            <w:sz w:val="18"/>
            <w:szCs w:val="18"/>
          </w:rPr>
          <w:t>Janowiec et autres c. Russie</w:t>
        </w:r>
      </w:hyperlink>
      <w:r w:rsidRPr="002D305B">
        <w:rPr>
          <w:rStyle w:val="Hyperlink"/>
          <w:rFonts w:ascii="Arial" w:eastAsiaTheme="majorEastAsia" w:hAnsi="Arial" w:cs="Arial"/>
          <w:i/>
          <w:sz w:val="18"/>
          <w:szCs w:val="18"/>
        </w:rPr>
        <w:t xml:space="preserve"> [GC]</w:t>
      </w:r>
      <w:r w:rsidRPr="002D305B">
        <w:rPr>
          <w:rFonts w:ascii="Arial" w:hAnsi="Arial" w:cs="Arial"/>
          <w:sz w:val="18"/>
          <w:szCs w:val="18"/>
        </w:rPr>
        <w:t xml:space="preserve">, précité, § 203. </w:t>
      </w:r>
    </w:p>
  </w:footnote>
  <w:footnote w:id="137">
    <w:p w14:paraId="16E8BE24" w14:textId="77777777" w:rsidR="00B41728" w:rsidRPr="002D305B" w:rsidRDefault="00B41728" w:rsidP="00F331F8">
      <w:pPr>
        <w:pStyle w:val="NoSpacing"/>
        <w:jc w:val="both"/>
        <w:rPr>
          <w:rFonts w:ascii="Arial" w:hAnsi="Arial" w:cs="Arial"/>
          <w:sz w:val="18"/>
          <w:szCs w:val="18"/>
        </w:rPr>
      </w:pPr>
      <w:r w:rsidRPr="002D305B">
        <w:rPr>
          <w:rStyle w:val="FootnoteReference"/>
          <w:rFonts w:ascii="Arial" w:hAnsi="Arial" w:cs="Arial"/>
          <w:sz w:val="18"/>
          <w:szCs w:val="18"/>
        </w:rPr>
        <w:footnoteRef/>
      </w:r>
      <w:r w:rsidRPr="002D305B">
        <w:rPr>
          <w:rFonts w:ascii="Arial" w:hAnsi="Arial" w:cs="Arial"/>
          <w:sz w:val="18"/>
          <w:szCs w:val="18"/>
        </w:rPr>
        <w:t xml:space="preserve"> Ibid. § 203</w:t>
      </w:r>
    </w:p>
  </w:footnote>
  <w:footnote w:id="138">
    <w:p w14:paraId="79D330C3" w14:textId="77777777" w:rsidR="00B41728" w:rsidRPr="002D305B" w:rsidRDefault="00B41728" w:rsidP="00F331F8">
      <w:pPr>
        <w:pStyle w:val="NoSpacing"/>
        <w:jc w:val="both"/>
        <w:rPr>
          <w:rFonts w:ascii="Arial" w:hAnsi="Arial" w:cs="Arial"/>
          <w:sz w:val="18"/>
          <w:szCs w:val="18"/>
        </w:rPr>
      </w:pPr>
      <w:r w:rsidRPr="002D305B">
        <w:rPr>
          <w:rStyle w:val="FootnoteReference"/>
          <w:rFonts w:ascii="Arial" w:hAnsi="Arial" w:cs="Arial"/>
          <w:sz w:val="18"/>
          <w:szCs w:val="18"/>
        </w:rPr>
        <w:footnoteRef/>
      </w:r>
      <w:r w:rsidRPr="002D305B">
        <w:rPr>
          <w:rFonts w:ascii="Arial" w:hAnsi="Arial" w:cs="Arial"/>
          <w:sz w:val="18"/>
          <w:szCs w:val="18"/>
        </w:rPr>
        <w:t xml:space="preserve"> Voir par exemple </w:t>
      </w:r>
      <w:hyperlink r:id="rId200" w:anchor="{&quot;tabview&quot;:[&quot;document&quot;],&quot;itemid&quot;:[&quot;001-81908&quot;]}" w:history="1">
        <w:r w:rsidRPr="002D305B">
          <w:rPr>
            <w:rStyle w:val="Hyperlink"/>
            <w:rFonts w:ascii="Arial" w:eastAsiaTheme="majorEastAsia" w:hAnsi="Arial" w:cs="Arial"/>
            <w:i/>
            <w:sz w:val="18"/>
            <w:szCs w:val="18"/>
          </w:rPr>
          <w:t>Moussaïev et autres c. Russie</w:t>
        </w:r>
      </w:hyperlink>
      <w:r w:rsidRPr="002D305B">
        <w:rPr>
          <w:rFonts w:ascii="Arial" w:hAnsi="Arial" w:cs="Arial"/>
          <w:sz w:val="18"/>
          <w:szCs w:val="18"/>
        </w:rPr>
        <w:t>, n° 57941/00, 58699/00 et 60403/00, par</w:t>
      </w:r>
      <w:r>
        <w:rPr>
          <w:rFonts w:ascii="Arial" w:hAnsi="Arial" w:cs="Arial"/>
          <w:sz w:val="18"/>
          <w:szCs w:val="18"/>
        </w:rPr>
        <w:t>a</w:t>
      </w:r>
      <w:r w:rsidRPr="002D305B">
        <w:rPr>
          <w:rFonts w:ascii="Arial" w:hAnsi="Arial" w:cs="Arial"/>
          <w:sz w:val="18"/>
          <w:szCs w:val="18"/>
        </w:rPr>
        <w:t xml:space="preserve">. 183, 26 juillet 2007. </w:t>
      </w:r>
    </w:p>
  </w:footnote>
  <w:footnote w:id="139">
    <w:p w14:paraId="360296D6" w14:textId="77777777" w:rsidR="00B41728" w:rsidRPr="00720D91" w:rsidRDefault="00B41728" w:rsidP="00F331F8">
      <w:pPr>
        <w:pStyle w:val="SingleTxtG"/>
        <w:spacing w:after="0" w:line="180" w:lineRule="exact"/>
        <w:ind w:left="0" w:right="0"/>
        <w:rPr>
          <w:rFonts w:ascii="Arial" w:hAnsi="Arial" w:cs="Arial"/>
          <w:sz w:val="18"/>
          <w:szCs w:val="18"/>
          <w:lang w:val="fr-FR"/>
        </w:rPr>
      </w:pPr>
      <w:r w:rsidRPr="00560F13">
        <w:rPr>
          <w:rStyle w:val="FootnoteReference"/>
          <w:rFonts w:ascii="Arial" w:hAnsi="Arial" w:cs="Arial"/>
          <w:sz w:val="18"/>
          <w:szCs w:val="18"/>
        </w:rPr>
        <w:footnoteRef/>
      </w:r>
      <w:r w:rsidRPr="00720D91">
        <w:rPr>
          <w:rFonts w:ascii="Arial" w:hAnsi="Arial" w:cs="Arial"/>
          <w:sz w:val="18"/>
          <w:szCs w:val="18"/>
          <w:lang w:val="fr-FR"/>
        </w:rPr>
        <w:t xml:space="preserve"> </w:t>
      </w:r>
      <w:hyperlink r:id="rId201" w:history="1">
        <w:r w:rsidRPr="00720D91">
          <w:rPr>
            <w:rStyle w:val="Hyperlink"/>
            <w:rFonts w:ascii="Arial" w:hAnsi="Arial" w:cs="Arial"/>
            <w:i/>
            <w:sz w:val="18"/>
            <w:szCs w:val="18"/>
            <w:lang w:val="fr-FR"/>
          </w:rPr>
          <w:t>Géorgie c. Russie</w:t>
        </w:r>
        <w:r w:rsidRPr="00720D91">
          <w:rPr>
            <w:rStyle w:val="Hyperlink"/>
            <w:rFonts w:ascii="Arial" w:hAnsi="Arial" w:cs="Arial"/>
            <w:sz w:val="18"/>
            <w:szCs w:val="18"/>
            <w:lang w:val="fr-FR"/>
          </w:rPr>
          <w:t xml:space="preserve"> (I)</w:t>
        </w:r>
      </w:hyperlink>
      <w:r w:rsidRPr="00720D91">
        <w:rPr>
          <w:rFonts w:ascii="Arial" w:hAnsi="Arial" w:cs="Arial"/>
          <w:sz w:val="18"/>
          <w:szCs w:val="18"/>
          <w:lang w:val="fr-FR"/>
        </w:rPr>
        <w:t xml:space="preserve"> (satisfaction équitable) précité, § 104 </w:t>
      </w:r>
    </w:p>
  </w:footnote>
  <w:footnote w:id="140">
    <w:p w14:paraId="1C615C19" w14:textId="77777777" w:rsidR="00B41728" w:rsidRPr="00720D91" w:rsidRDefault="00B41728" w:rsidP="00F331F8">
      <w:pPr>
        <w:pStyle w:val="SingleTxtG"/>
        <w:spacing w:after="0" w:line="180" w:lineRule="exact"/>
        <w:ind w:left="0" w:right="0"/>
        <w:rPr>
          <w:rFonts w:ascii="Arial" w:hAnsi="Arial" w:cs="Arial"/>
          <w:sz w:val="18"/>
          <w:szCs w:val="18"/>
          <w:lang w:val="fr-FR"/>
        </w:rPr>
      </w:pPr>
      <w:r w:rsidRPr="00560F13">
        <w:rPr>
          <w:rStyle w:val="FootnoteReference"/>
          <w:rFonts w:ascii="Arial" w:hAnsi="Arial" w:cs="Arial"/>
          <w:sz w:val="18"/>
          <w:szCs w:val="18"/>
        </w:rPr>
        <w:footnoteRef/>
      </w:r>
      <w:r w:rsidRPr="00720D91">
        <w:rPr>
          <w:rFonts w:ascii="Arial" w:hAnsi="Arial" w:cs="Arial"/>
          <w:sz w:val="18"/>
          <w:szCs w:val="18"/>
          <w:lang w:val="fr-FR"/>
        </w:rPr>
        <w:t xml:space="preserve"> </w:t>
      </w:r>
      <w:hyperlink r:id="rId202" w:history="1">
        <w:r w:rsidRPr="00720D91">
          <w:rPr>
            <w:rStyle w:val="Hyperlink"/>
            <w:rFonts w:ascii="Arial" w:hAnsi="Arial" w:cs="Arial"/>
            <w:i/>
            <w:sz w:val="18"/>
            <w:szCs w:val="18"/>
            <w:lang w:val="fr-FR"/>
          </w:rPr>
          <w:t>Timurtaş c. Turquie</w:t>
        </w:r>
      </w:hyperlink>
      <w:r w:rsidRPr="00720D91">
        <w:rPr>
          <w:rFonts w:ascii="Arial" w:hAnsi="Arial" w:cs="Arial"/>
          <w:sz w:val="18"/>
          <w:szCs w:val="18"/>
          <w:lang w:val="fr-FR"/>
        </w:rPr>
        <w:t xml:space="preserve">, n° 23531/94, §§ 66 et 70. </w:t>
      </w:r>
      <w:hyperlink r:id="rId203" w:history="1">
        <w:r w:rsidRPr="00720D91">
          <w:rPr>
            <w:rStyle w:val="Hyperlink"/>
            <w:rFonts w:ascii="Arial" w:hAnsi="Arial" w:cs="Arial"/>
            <w:i/>
            <w:iCs/>
            <w:sz w:val="18"/>
            <w:szCs w:val="18"/>
            <w:lang w:val="fr-FR"/>
          </w:rPr>
          <w:t>Tahsin Acar c. Turquie</w:t>
        </w:r>
      </w:hyperlink>
      <w:r w:rsidRPr="00720D91">
        <w:rPr>
          <w:rFonts w:ascii="Arial" w:hAnsi="Arial" w:cs="Arial"/>
          <w:i/>
          <w:iCs/>
          <w:sz w:val="18"/>
          <w:szCs w:val="18"/>
          <w:lang w:val="fr-FR"/>
        </w:rPr>
        <w:t xml:space="preserve"> </w:t>
      </w:r>
      <w:r w:rsidRPr="00720D91">
        <w:rPr>
          <w:rFonts w:ascii="Arial" w:hAnsi="Arial" w:cs="Arial"/>
          <w:sz w:val="18"/>
          <w:szCs w:val="18"/>
          <w:lang w:val="fr-FR"/>
        </w:rPr>
        <w:t xml:space="preserve">[GC], ibid., § 254; </w:t>
      </w:r>
      <w:hyperlink r:id="rId204" w:history="1">
        <w:r w:rsidRPr="00720D91">
          <w:rPr>
            <w:rStyle w:val="Hyperlink"/>
            <w:rFonts w:ascii="Arial" w:hAnsi="Arial" w:cs="Arial"/>
            <w:i/>
            <w:iCs/>
            <w:sz w:val="18"/>
            <w:szCs w:val="18"/>
            <w:lang w:val="fr-FR"/>
          </w:rPr>
          <w:t>Imakayeva c. Russie</w:t>
        </w:r>
      </w:hyperlink>
      <w:r w:rsidRPr="00720D91">
        <w:rPr>
          <w:rFonts w:ascii="Arial" w:hAnsi="Arial" w:cs="Arial"/>
          <w:sz w:val="18"/>
          <w:szCs w:val="18"/>
          <w:lang w:val="fr-FR"/>
        </w:rPr>
        <w:t xml:space="preserve">, n°7615/02, § 200, 9 novembre 2006; </w:t>
      </w:r>
      <w:hyperlink r:id="rId205" w:history="1">
        <w:r w:rsidRPr="00720D91">
          <w:rPr>
            <w:rStyle w:val="Hyperlink"/>
            <w:rFonts w:ascii="Arial" w:hAnsi="Arial" w:cs="Arial"/>
            <w:i/>
            <w:iCs/>
            <w:sz w:val="18"/>
            <w:szCs w:val="18"/>
            <w:lang w:val="fr-FR"/>
          </w:rPr>
          <w:t>Janowiec et autres c. Russie</w:t>
        </w:r>
      </w:hyperlink>
      <w:r w:rsidRPr="00720D91">
        <w:rPr>
          <w:rFonts w:ascii="Arial" w:hAnsi="Arial" w:cs="Arial"/>
          <w:i/>
          <w:iCs/>
          <w:sz w:val="18"/>
          <w:szCs w:val="18"/>
          <w:lang w:val="fr-FR"/>
        </w:rPr>
        <w:t xml:space="preserve"> </w:t>
      </w:r>
      <w:r w:rsidRPr="00720D91">
        <w:rPr>
          <w:rFonts w:ascii="Arial" w:hAnsi="Arial" w:cs="Arial"/>
          <w:sz w:val="18"/>
          <w:szCs w:val="18"/>
          <w:lang w:val="fr-FR"/>
        </w:rPr>
        <w:t xml:space="preserve">[GC], nos. 55508/07-29520/09, § 202, 21 octobre 2013; </w:t>
      </w:r>
      <w:hyperlink r:id="rId206" w:history="1">
        <w:r w:rsidRPr="00720D91">
          <w:rPr>
            <w:rStyle w:val="Hyperlink"/>
            <w:rFonts w:ascii="Arial" w:hAnsi="Arial" w:cs="Arial"/>
            <w:i/>
            <w:sz w:val="18"/>
            <w:szCs w:val="18"/>
            <w:lang w:val="fr-FR"/>
          </w:rPr>
          <w:t>Géorgie c. Russie</w:t>
        </w:r>
        <w:r w:rsidRPr="00720D91">
          <w:rPr>
            <w:rStyle w:val="Hyperlink"/>
            <w:rFonts w:ascii="Arial" w:hAnsi="Arial" w:cs="Arial"/>
            <w:sz w:val="18"/>
            <w:szCs w:val="18"/>
            <w:lang w:val="fr-FR"/>
          </w:rPr>
          <w:t xml:space="preserve"> (I)</w:t>
        </w:r>
      </w:hyperlink>
      <w:r w:rsidRPr="00720D91">
        <w:rPr>
          <w:rFonts w:ascii="Arial" w:hAnsi="Arial" w:cs="Arial"/>
          <w:sz w:val="18"/>
          <w:szCs w:val="18"/>
          <w:lang w:val="fr-FR"/>
        </w:rPr>
        <w:t xml:space="preserve">, précité, § 99. </w:t>
      </w:r>
      <w:hyperlink r:id="rId207" w:history="1">
        <w:r w:rsidRPr="00720D91">
          <w:rPr>
            <w:rStyle w:val="Hyperlink"/>
            <w:rFonts w:ascii="Arial" w:hAnsi="Arial" w:cs="Arial"/>
            <w:sz w:val="18"/>
            <w:szCs w:val="18"/>
            <w:lang w:val="fr-FR"/>
          </w:rPr>
          <w:t>Géorgie c. Russie</w:t>
        </w:r>
      </w:hyperlink>
      <w:r w:rsidRPr="00720D91">
        <w:rPr>
          <w:rFonts w:ascii="Arial" w:hAnsi="Arial" w:cs="Arial"/>
          <w:sz w:val="18"/>
          <w:szCs w:val="18"/>
          <w:lang w:val="fr-FR"/>
        </w:rPr>
        <w:t xml:space="preserve"> (II) (fond) [GC] n°38263/08, § 341, 21 janvier 2021. </w:t>
      </w:r>
    </w:p>
  </w:footnote>
  <w:footnote w:id="141">
    <w:p w14:paraId="5E16E214" w14:textId="77777777" w:rsidR="00B41728" w:rsidRPr="00720D91" w:rsidRDefault="00B41728" w:rsidP="00F331F8">
      <w:pPr>
        <w:pStyle w:val="SingleTxtG"/>
        <w:spacing w:after="0" w:line="180" w:lineRule="exact"/>
        <w:ind w:left="0" w:right="0"/>
        <w:rPr>
          <w:rFonts w:ascii="Arial" w:hAnsi="Arial" w:cs="Arial"/>
          <w:sz w:val="18"/>
          <w:szCs w:val="18"/>
          <w:lang w:val="fr-FR"/>
        </w:rPr>
      </w:pPr>
      <w:r w:rsidRPr="00560F13">
        <w:rPr>
          <w:rStyle w:val="FootnoteReference"/>
          <w:rFonts w:ascii="Arial" w:hAnsi="Arial" w:cs="Arial"/>
          <w:sz w:val="18"/>
          <w:szCs w:val="18"/>
        </w:rPr>
        <w:footnoteRef/>
      </w:r>
      <w:r w:rsidRPr="00720D91">
        <w:rPr>
          <w:rFonts w:ascii="Arial" w:hAnsi="Arial" w:cs="Arial"/>
          <w:sz w:val="18"/>
          <w:szCs w:val="18"/>
          <w:lang w:val="fr-FR"/>
        </w:rPr>
        <w:t xml:space="preserve"> </w:t>
      </w:r>
      <w:hyperlink r:id="rId208" w:history="1">
        <w:r w:rsidRPr="00720D91">
          <w:rPr>
            <w:rStyle w:val="Hyperlink"/>
            <w:rFonts w:ascii="Arial" w:hAnsi="Arial" w:cs="Arial"/>
            <w:i/>
            <w:sz w:val="18"/>
            <w:szCs w:val="18"/>
            <w:lang w:val="fr-FR"/>
          </w:rPr>
          <w:t>Maslova et Nalbandov c. Russie</w:t>
        </w:r>
      </w:hyperlink>
      <w:r w:rsidRPr="00720D91">
        <w:rPr>
          <w:rFonts w:ascii="Arial" w:hAnsi="Arial" w:cs="Arial"/>
          <w:sz w:val="18"/>
          <w:szCs w:val="18"/>
          <w:lang w:val="fr-FR"/>
        </w:rPr>
        <w:t xml:space="preserve">, n° 839/02, par. 128-29, 24 janvier 2008.  </w:t>
      </w:r>
    </w:p>
  </w:footnote>
  <w:footnote w:id="142">
    <w:p w14:paraId="2EEBFF8B" w14:textId="77777777" w:rsidR="00B41728" w:rsidRPr="00720D91" w:rsidRDefault="00B41728" w:rsidP="00F331F8">
      <w:pPr>
        <w:pStyle w:val="SingleTxtG"/>
        <w:spacing w:after="0" w:line="180" w:lineRule="exact"/>
        <w:ind w:left="0" w:right="0"/>
        <w:rPr>
          <w:rFonts w:ascii="Arial" w:hAnsi="Arial" w:cs="Arial"/>
          <w:sz w:val="18"/>
          <w:szCs w:val="18"/>
          <w:lang w:val="fr-FR"/>
        </w:rPr>
      </w:pPr>
      <w:r w:rsidRPr="00560F13">
        <w:rPr>
          <w:rStyle w:val="FootnoteReference"/>
          <w:rFonts w:ascii="Arial" w:hAnsi="Arial" w:cs="Arial"/>
          <w:sz w:val="18"/>
          <w:szCs w:val="18"/>
        </w:rPr>
        <w:footnoteRef/>
      </w:r>
      <w:r w:rsidRPr="00720D91">
        <w:rPr>
          <w:rFonts w:ascii="Arial" w:hAnsi="Arial" w:cs="Arial"/>
          <w:sz w:val="18"/>
          <w:szCs w:val="18"/>
          <w:lang w:val="fr-FR"/>
        </w:rPr>
        <w:t xml:space="preserve"> </w:t>
      </w:r>
      <w:hyperlink r:id="rId209" w:history="1">
        <w:r w:rsidRPr="00720D91">
          <w:rPr>
            <w:rStyle w:val="Hyperlink"/>
            <w:rFonts w:ascii="Arial" w:hAnsi="Arial" w:cs="Arial"/>
            <w:i/>
            <w:sz w:val="18"/>
            <w:szCs w:val="18"/>
            <w:lang w:val="fr-FR"/>
          </w:rPr>
          <w:t>Trubnikov c. Russie</w:t>
        </w:r>
      </w:hyperlink>
      <w:r w:rsidRPr="00720D91">
        <w:rPr>
          <w:rFonts w:ascii="Arial" w:hAnsi="Arial" w:cs="Arial"/>
          <w:sz w:val="18"/>
          <w:szCs w:val="18"/>
          <w:lang w:val="fr-FR"/>
        </w:rPr>
        <w:t xml:space="preserve">, par. 50-57, juillet 2005.  </w:t>
      </w:r>
    </w:p>
  </w:footnote>
  <w:footnote w:id="143">
    <w:p w14:paraId="2EB74F04" w14:textId="77777777" w:rsidR="00B41728" w:rsidRPr="002D305B" w:rsidRDefault="00B41728" w:rsidP="00F331F8">
      <w:pPr>
        <w:pStyle w:val="NoSpacing"/>
        <w:jc w:val="both"/>
        <w:rPr>
          <w:rFonts w:ascii="Arial" w:hAnsi="Arial" w:cs="Arial"/>
          <w:sz w:val="18"/>
          <w:szCs w:val="18"/>
        </w:rPr>
      </w:pPr>
      <w:r w:rsidRPr="002D305B">
        <w:rPr>
          <w:rStyle w:val="FootnoteReference"/>
          <w:rFonts w:ascii="Arial" w:hAnsi="Arial" w:cs="Arial"/>
          <w:sz w:val="18"/>
          <w:szCs w:val="18"/>
        </w:rPr>
        <w:footnoteRef/>
      </w:r>
      <w:hyperlink r:id="rId210" w:history="1">
        <w:r w:rsidRPr="002D305B">
          <w:rPr>
            <w:rStyle w:val="Hyperlink"/>
            <w:rFonts w:ascii="Arial" w:eastAsiaTheme="majorEastAsia" w:hAnsi="Arial" w:cs="Arial"/>
            <w:i/>
            <w:sz w:val="18"/>
            <w:szCs w:val="18"/>
          </w:rPr>
          <w:t>Janowiec et autres c. Russie</w:t>
        </w:r>
      </w:hyperlink>
      <w:r w:rsidRPr="002D305B">
        <w:rPr>
          <w:rStyle w:val="Hyperlink"/>
          <w:rFonts w:ascii="Arial" w:eastAsiaTheme="majorEastAsia" w:hAnsi="Arial" w:cs="Arial"/>
          <w:i/>
          <w:sz w:val="18"/>
          <w:szCs w:val="18"/>
        </w:rPr>
        <w:t xml:space="preserve"> [GC]</w:t>
      </w:r>
      <w:r w:rsidRPr="002D305B">
        <w:rPr>
          <w:rFonts w:ascii="Arial" w:hAnsi="Arial" w:cs="Arial"/>
          <w:sz w:val="18"/>
          <w:szCs w:val="18"/>
        </w:rPr>
        <w:t>, précité, par. 205.</w:t>
      </w:r>
    </w:p>
  </w:footnote>
  <w:footnote w:id="144">
    <w:p w14:paraId="495F05EC" w14:textId="77777777" w:rsidR="00B41728" w:rsidRPr="00720D91" w:rsidRDefault="00B41728" w:rsidP="00F331F8">
      <w:pPr>
        <w:pStyle w:val="FootnoteText"/>
        <w:rPr>
          <w:lang w:val="fr-FR"/>
        </w:rPr>
      </w:pPr>
      <w:r w:rsidRPr="00644BCB">
        <w:rPr>
          <w:rStyle w:val="FootnoteReference"/>
          <w:shd w:val="clear" w:color="auto" w:fill="FFFFFF" w:themeFill="background1"/>
        </w:rPr>
        <w:footnoteRef/>
      </w:r>
      <w:hyperlink r:id="rId211" w:history="1">
        <w:r w:rsidRPr="00720D91">
          <w:rPr>
            <w:rStyle w:val="Hyperlink"/>
            <w:rFonts w:ascii="Arial" w:hAnsi="Arial" w:cs="Arial"/>
            <w:sz w:val="18"/>
            <w:szCs w:val="18"/>
            <w:lang w:val="fr-FR"/>
          </w:rPr>
          <w:t>Géorgie c. Russie</w:t>
        </w:r>
      </w:hyperlink>
      <w:r w:rsidRPr="00720D91">
        <w:rPr>
          <w:rFonts w:ascii="Arial" w:hAnsi="Arial" w:cs="Arial"/>
          <w:sz w:val="18"/>
          <w:szCs w:val="18"/>
          <w:lang w:val="fr-FR"/>
        </w:rPr>
        <w:t xml:space="preserve"> (II) (fond) </w:t>
      </w:r>
      <w:r w:rsidRPr="00720D91">
        <w:rPr>
          <w:rFonts w:ascii="Arial" w:hAnsi="Arial" w:cs="Arial"/>
          <w:sz w:val="18"/>
          <w:szCs w:val="18"/>
          <w:shd w:val="clear" w:color="auto" w:fill="FFFFFF" w:themeFill="background1"/>
          <w:lang w:val="fr-FR"/>
        </w:rPr>
        <w:t>n° 38263/08, § 345, 21 janvier 2021.</w:t>
      </w:r>
    </w:p>
  </w:footnote>
  <w:footnote w:id="145">
    <w:p w14:paraId="5D7314C9" w14:textId="77777777" w:rsidR="00B41728" w:rsidRPr="002D305B" w:rsidRDefault="00B41728" w:rsidP="00F331F8">
      <w:pPr>
        <w:pStyle w:val="NoSpacing"/>
        <w:jc w:val="both"/>
        <w:rPr>
          <w:rFonts w:ascii="Arial" w:hAnsi="Arial" w:cs="Arial"/>
          <w:sz w:val="18"/>
          <w:szCs w:val="18"/>
        </w:rPr>
      </w:pPr>
      <w:r w:rsidRPr="002D305B">
        <w:rPr>
          <w:rStyle w:val="FootnoteReference"/>
          <w:rFonts w:ascii="Arial" w:hAnsi="Arial" w:cs="Arial"/>
          <w:sz w:val="18"/>
          <w:szCs w:val="18"/>
        </w:rPr>
        <w:footnoteRef/>
      </w:r>
      <w:r w:rsidRPr="002D305B">
        <w:rPr>
          <w:rStyle w:val="sb8d990e2"/>
          <w:rFonts w:ascii="Arial" w:eastAsiaTheme="majorEastAsia" w:hAnsi="Arial" w:cs="Arial"/>
          <w:sz w:val="18"/>
          <w:szCs w:val="18"/>
        </w:rPr>
        <w:t xml:space="preserve"> </w:t>
      </w:r>
      <w:hyperlink r:id="rId212" w:history="1">
        <w:r w:rsidRPr="002D305B">
          <w:rPr>
            <w:rStyle w:val="Hyperlink"/>
            <w:rFonts w:ascii="Arial" w:eastAsiaTheme="majorEastAsia" w:hAnsi="Arial" w:cs="Arial"/>
            <w:i/>
            <w:sz w:val="18"/>
            <w:szCs w:val="18"/>
          </w:rPr>
          <w:t>Davydov et autres c. Ukraine</w:t>
        </w:r>
      </w:hyperlink>
      <w:r w:rsidRPr="002D305B">
        <w:rPr>
          <w:rStyle w:val="sb8d990e2"/>
          <w:rFonts w:ascii="Arial" w:eastAsiaTheme="majorEastAsia" w:hAnsi="Arial" w:cs="Arial"/>
          <w:sz w:val="18"/>
          <w:szCs w:val="18"/>
        </w:rPr>
        <w:t>, n° </w:t>
      </w:r>
      <w:r w:rsidRPr="002D305B">
        <w:rPr>
          <w:rFonts w:ascii="Arial" w:hAnsi="Arial" w:cs="Arial"/>
          <w:sz w:val="18"/>
          <w:szCs w:val="18"/>
        </w:rPr>
        <w:t>17674/02</w:t>
      </w:r>
      <w:r w:rsidRPr="002D305B">
        <w:rPr>
          <w:rStyle w:val="sb8d990e2"/>
          <w:rFonts w:ascii="Arial" w:eastAsiaTheme="majorEastAsia" w:hAnsi="Arial" w:cs="Arial"/>
          <w:sz w:val="18"/>
          <w:szCs w:val="18"/>
        </w:rPr>
        <w:t xml:space="preserve"> et </w:t>
      </w:r>
      <w:r w:rsidRPr="002D305B">
        <w:rPr>
          <w:rFonts w:ascii="Arial" w:hAnsi="Arial" w:cs="Arial"/>
          <w:sz w:val="18"/>
          <w:szCs w:val="18"/>
        </w:rPr>
        <w:t>39081/02</w:t>
      </w:r>
      <w:r w:rsidRPr="002D305B">
        <w:rPr>
          <w:rStyle w:val="sb8d990e2"/>
          <w:rFonts w:ascii="Arial" w:eastAsiaTheme="majorEastAsia" w:hAnsi="Arial" w:cs="Arial"/>
          <w:sz w:val="18"/>
          <w:szCs w:val="18"/>
        </w:rPr>
        <w:t>, par. 170, 1</w:t>
      </w:r>
      <w:r w:rsidRPr="002D305B">
        <w:rPr>
          <w:rStyle w:val="sb8d990e2"/>
          <w:rFonts w:ascii="Arial" w:eastAsiaTheme="majorEastAsia" w:hAnsi="Arial" w:cs="Arial"/>
          <w:sz w:val="18"/>
          <w:szCs w:val="18"/>
          <w:vertAlign w:val="superscript"/>
        </w:rPr>
        <w:t>er</w:t>
      </w:r>
      <w:r w:rsidRPr="002D305B">
        <w:rPr>
          <w:rStyle w:val="sb8d990e2"/>
          <w:rFonts w:ascii="Arial" w:eastAsiaTheme="majorEastAsia" w:hAnsi="Arial" w:cs="Arial"/>
          <w:sz w:val="18"/>
          <w:szCs w:val="18"/>
        </w:rPr>
        <w:t xml:space="preserve"> juillet 2010 ; </w:t>
      </w:r>
      <w:r>
        <w:rPr>
          <w:rFonts w:ascii="Arial" w:hAnsi="Arial" w:cs="Arial"/>
          <w:i/>
          <w:sz w:val="18"/>
          <w:szCs w:val="18"/>
        </w:rPr>
        <w:t>Nolan et K. c. Russie</w:t>
      </w:r>
      <w:r w:rsidRPr="002D305B">
        <w:rPr>
          <w:rStyle w:val="sb8d990e2"/>
          <w:rFonts w:ascii="Arial" w:eastAsiaTheme="majorEastAsia" w:hAnsi="Arial" w:cs="Arial"/>
          <w:sz w:val="18"/>
          <w:szCs w:val="18"/>
        </w:rPr>
        <w:t>, n° </w:t>
      </w:r>
      <w:r w:rsidRPr="002D305B">
        <w:rPr>
          <w:rFonts w:ascii="Arial" w:hAnsi="Arial" w:cs="Arial"/>
          <w:sz w:val="18"/>
          <w:szCs w:val="18"/>
        </w:rPr>
        <w:t>2512/04</w:t>
      </w:r>
      <w:r w:rsidRPr="002D305B">
        <w:rPr>
          <w:rStyle w:val="sb8d990e2"/>
          <w:rFonts w:ascii="Arial" w:eastAsiaTheme="majorEastAsia" w:hAnsi="Arial" w:cs="Arial"/>
          <w:sz w:val="18"/>
          <w:szCs w:val="18"/>
        </w:rPr>
        <w:t xml:space="preserve">, par. 56, 12 février 2009 ; </w:t>
      </w:r>
      <w:hyperlink r:id="rId213" w:history="1">
        <w:r w:rsidRPr="002D305B">
          <w:rPr>
            <w:rStyle w:val="Hyperlink"/>
            <w:rFonts w:ascii="Arial" w:eastAsiaTheme="majorEastAsia" w:hAnsi="Arial" w:cs="Arial"/>
            <w:i/>
            <w:sz w:val="18"/>
            <w:szCs w:val="18"/>
          </w:rPr>
          <w:t>Janowiec et autres</w:t>
        </w:r>
      </w:hyperlink>
      <w:r w:rsidRPr="002D305B">
        <w:rPr>
          <w:rStyle w:val="sb8d990e2"/>
          <w:rFonts w:ascii="Arial" w:eastAsiaTheme="majorEastAsia" w:hAnsi="Arial" w:cs="Arial"/>
          <w:sz w:val="18"/>
          <w:szCs w:val="18"/>
        </w:rPr>
        <w:t xml:space="preserve">, précité, par. 206. </w:t>
      </w:r>
    </w:p>
  </w:footnote>
  <w:footnote w:id="146">
    <w:p w14:paraId="22F14BFF" w14:textId="77777777" w:rsidR="00B41728" w:rsidRPr="002D305B" w:rsidRDefault="00B41728" w:rsidP="00F331F8">
      <w:pPr>
        <w:pStyle w:val="NoSpacing"/>
        <w:jc w:val="both"/>
        <w:rPr>
          <w:rFonts w:ascii="Arial" w:hAnsi="Arial" w:cs="Arial"/>
          <w:sz w:val="18"/>
          <w:szCs w:val="18"/>
        </w:rPr>
      </w:pPr>
      <w:r w:rsidRPr="002D305B">
        <w:rPr>
          <w:rStyle w:val="FootnoteReference"/>
          <w:rFonts w:ascii="Arial" w:hAnsi="Arial" w:cs="Arial"/>
          <w:sz w:val="18"/>
          <w:szCs w:val="18"/>
        </w:rPr>
        <w:footnoteRef/>
      </w:r>
      <w:hyperlink r:id="rId214" w:anchor="{&quot;appno&quot;:[&quot;2512/04&quot;]}" w:history="1">
        <w:r w:rsidRPr="002D305B">
          <w:rPr>
            <w:rStyle w:val="Hyperlink"/>
            <w:rFonts w:ascii="Arial" w:eastAsiaTheme="majorEastAsia" w:hAnsi="Arial" w:cs="Arial"/>
            <w:i/>
            <w:sz w:val="18"/>
            <w:szCs w:val="18"/>
          </w:rPr>
          <w:t>Nolan et K. c. Russie</w:t>
        </w:r>
      </w:hyperlink>
      <w:r w:rsidRPr="002D305B">
        <w:rPr>
          <w:rFonts w:ascii="Arial" w:hAnsi="Arial" w:cs="Arial"/>
          <w:sz w:val="18"/>
          <w:szCs w:val="18"/>
        </w:rPr>
        <w:t xml:space="preserve">, </w:t>
      </w:r>
      <w:r w:rsidRPr="002D305B">
        <w:rPr>
          <w:rStyle w:val="s6b621b36"/>
          <w:rFonts w:ascii="Arial" w:eastAsiaTheme="minorEastAsia" w:hAnsi="Arial" w:cs="Arial"/>
          <w:sz w:val="18"/>
          <w:szCs w:val="18"/>
        </w:rPr>
        <w:t>n° 2512/04,</w:t>
      </w:r>
      <w:r w:rsidRPr="002D305B">
        <w:rPr>
          <w:rStyle w:val="sb8d990e2"/>
          <w:rFonts w:ascii="Arial" w:eastAsiaTheme="majorEastAsia" w:hAnsi="Arial" w:cs="Arial"/>
          <w:sz w:val="18"/>
          <w:szCs w:val="18"/>
        </w:rPr>
        <w:t xml:space="preserve"> par. 56, </w:t>
      </w:r>
      <w:r w:rsidRPr="002D305B">
        <w:rPr>
          <w:rFonts w:ascii="Arial" w:hAnsi="Arial" w:cs="Arial"/>
          <w:sz w:val="18"/>
          <w:szCs w:val="18"/>
        </w:rPr>
        <w:t xml:space="preserve">12 février 2009 ; </w:t>
      </w:r>
      <w:hyperlink r:id="rId215" w:history="1">
        <w:r w:rsidRPr="002D305B">
          <w:rPr>
            <w:rStyle w:val="Hyperlink"/>
            <w:rFonts w:ascii="Arial" w:eastAsiaTheme="majorEastAsia" w:hAnsi="Arial" w:cs="Arial"/>
            <w:i/>
            <w:sz w:val="18"/>
            <w:szCs w:val="18"/>
          </w:rPr>
          <w:t>Janowiec et autres</w:t>
        </w:r>
      </w:hyperlink>
      <w:r w:rsidRPr="002D305B">
        <w:rPr>
          <w:rStyle w:val="sb8d990e2"/>
          <w:rFonts w:ascii="Arial" w:eastAsiaTheme="majorEastAsia" w:hAnsi="Arial" w:cs="Arial"/>
          <w:sz w:val="18"/>
          <w:szCs w:val="18"/>
        </w:rPr>
        <w:t xml:space="preserve">, précité, par. 206. </w:t>
      </w:r>
    </w:p>
  </w:footnote>
  <w:footnote w:id="147">
    <w:p w14:paraId="1DFD3B79" w14:textId="77777777" w:rsidR="00B41728" w:rsidRPr="002D305B" w:rsidRDefault="00B41728" w:rsidP="00F331F8">
      <w:pPr>
        <w:pStyle w:val="NoSpacing"/>
        <w:jc w:val="both"/>
        <w:rPr>
          <w:rFonts w:ascii="Arial" w:hAnsi="Arial" w:cs="Arial"/>
          <w:sz w:val="18"/>
          <w:szCs w:val="18"/>
        </w:rPr>
      </w:pPr>
      <w:r w:rsidRPr="002D305B">
        <w:rPr>
          <w:rStyle w:val="FootnoteReference"/>
          <w:rFonts w:ascii="Arial" w:hAnsi="Arial" w:cs="Arial"/>
          <w:sz w:val="18"/>
          <w:szCs w:val="18"/>
        </w:rPr>
        <w:footnoteRef/>
      </w:r>
      <w:hyperlink r:id="rId216" w:history="1">
        <w:r w:rsidRPr="002D305B">
          <w:rPr>
            <w:rStyle w:val="Hyperlink"/>
            <w:rFonts w:ascii="Arial" w:eastAsiaTheme="majorEastAsia" w:hAnsi="Arial" w:cs="Arial"/>
            <w:i/>
            <w:iCs/>
            <w:sz w:val="18"/>
            <w:szCs w:val="18"/>
          </w:rPr>
          <w:t xml:space="preserve"> </w:t>
        </w:r>
      </w:hyperlink>
      <w:r w:rsidRPr="002D305B">
        <w:rPr>
          <w:rFonts w:ascii="Arial" w:hAnsi="Arial" w:cs="Arial"/>
          <w:sz w:val="18"/>
          <w:szCs w:val="18"/>
        </w:rPr>
        <w:t>Ibid</w:t>
      </w:r>
      <w:r w:rsidRPr="002D305B">
        <w:rPr>
          <w:rStyle w:val="sb8d990e2"/>
          <w:rFonts w:ascii="Arial" w:eastAsiaTheme="majorEastAsia" w:hAnsi="Arial" w:cs="Arial"/>
          <w:sz w:val="18"/>
          <w:szCs w:val="18"/>
        </w:rPr>
        <w:t xml:space="preserve">. Voir </w:t>
      </w:r>
      <w:r w:rsidRPr="002D305B">
        <w:rPr>
          <w:rFonts w:ascii="Arial" w:hAnsi="Arial" w:cs="Arial"/>
          <w:sz w:val="18"/>
          <w:szCs w:val="18"/>
        </w:rPr>
        <w:t>également</w:t>
      </w:r>
      <w:r w:rsidRPr="002D305B">
        <w:rPr>
          <w:rStyle w:val="sb8d990e2"/>
          <w:rFonts w:ascii="Arial" w:eastAsiaTheme="majorEastAsia" w:hAnsi="Arial" w:cs="Arial"/>
          <w:sz w:val="18"/>
          <w:szCs w:val="18"/>
        </w:rPr>
        <w:t xml:space="preserve"> </w:t>
      </w:r>
      <w:hyperlink r:id="rId217" w:history="1">
        <w:r w:rsidRPr="002D305B">
          <w:rPr>
            <w:rStyle w:val="Hyperlink"/>
            <w:rFonts w:ascii="Arial" w:eastAsiaTheme="majorEastAsia" w:hAnsi="Arial" w:cs="Arial"/>
            <w:i/>
            <w:sz w:val="18"/>
            <w:szCs w:val="18"/>
          </w:rPr>
          <w:t>Janowiec et autres c. Russie [GC]</w:t>
        </w:r>
      </w:hyperlink>
      <w:r w:rsidRPr="002D305B">
        <w:rPr>
          <w:rFonts w:ascii="Arial" w:hAnsi="Arial" w:cs="Arial"/>
          <w:sz w:val="18"/>
          <w:szCs w:val="18"/>
        </w:rPr>
        <w:t xml:space="preserve">, précité, par. 207. </w:t>
      </w:r>
    </w:p>
  </w:footnote>
  <w:footnote w:id="148">
    <w:p w14:paraId="16DF4F86" w14:textId="77777777" w:rsidR="00B41728" w:rsidRPr="00405792" w:rsidRDefault="00B41728" w:rsidP="00F331F8">
      <w:pPr>
        <w:pStyle w:val="NoSpacing"/>
        <w:jc w:val="both"/>
        <w:rPr>
          <w:rFonts w:ascii="Arial" w:hAnsi="Arial" w:cs="Arial"/>
          <w:sz w:val="18"/>
          <w:szCs w:val="18"/>
        </w:rPr>
      </w:pPr>
      <w:r w:rsidRPr="002D305B">
        <w:rPr>
          <w:rStyle w:val="FootnoteReference"/>
          <w:rFonts w:ascii="Arial" w:hAnsi="Arial" w:cs="Arial"/>
          <w:sz w:val="18"/>
          <w:szCs w:val="18"/>
        </w:rPr>
        <w:footnoteRef/>
      </w:r>
      <w:r w:rsidRPr="002D305B">
        <w:rPr>
          <w:rFonts w:ascii="Arial" w:hAnsi="Arial" w:cs="Arial"/>
          <w:sz w:val="18"/>
          <w:szCs w:val="18"/>
        </w:rPr>
        <w:t xml:space="preserve"> Aux termes de l’article 33 : « 1. Tous les documents déposés au greffe par les parties ou par des tiers intervenants en rapport avec une requête, à l’exception de ceux soumis dans le cadre de négociations menées en vue de parvenir à un règlement amiable comme le prévoit l’article 62 du présent règlement, sont accessibles au public, selon les modalités pratiques édictées par le greffier, à moins que le président de la chambre n’en décide autrement pour les raisons indiquées au paragraphe 2 du présent article, soit d’office, soit à la demande d’une partie ou de toute autre personne intéressée. </w:t>
      </w:r>
      <w:r w:rsidRPr="002D305B">
        <w:rPr>
          <w:rFonts w:ascii="Arial" w:eastAsiaTheme="minorHAnsi" w:hAnsi="Arial" w:cs="Arial"/>
          <w:color w:val="000000"/>
          <w:sz w:val="18"/>
          <w:szCs w:val="18"/>
          <w:lang w:eastAsia="en-US"/>
        </w:rPr>
        <w:t xml:space="preserve">2. L’accès du public à un document ou à une partie d’un document peut être restreint dans l’intérêt de la moralité, de l’ordre public ou de la sécurité nationale dans une société démocratique lorsque les intérêts des mineurs ou la protection de la vie privée des parties ou de toute personne concernée l’exigent, ou, dans la mesure jugée strictement nécessaire par le président de la chambre, lorsque, dans des circonstances spéciales, la publicité serait de nature à porter atteinte aux intérêts de la justice. 3. Toute demande de confidentialité formulée au titre du paragraphe 1 du présent article doit être motivée et préciser si elle vise tous les documents ou seulement une partie </w:t>
      </w:r>
      <w:r w:rsidRPr="00405792">
        <w:rPr>
          <w:rFonts w:ascii="Arial" w:eastAsiaTheme="minorHAnsi" w:hAnsi="Arial" w:cs="Arial"/>
          <w:color w:val="000000"/>
          <w:sz w:val="18"/>
          <w:szCs w:val="18"/>
          <w:lang w:eastAsia="en-US"/>
        </w:rPr>
        <w:t xml:space="preserve">d’entre eux ». </w:t>
      </w:r>
    </w:p>
  </w:footnote>
  <w:footnote w:id="149">
    <w:p w14:paraId="0FFA94DC" w14:textId="77777777" w:rsidR="00B41728" w:rsidRPr="00720D91" w:rsidRDefault="00B41728" w:rsidP="00F331F8">
      <w:pPr>
        <w:pStyle w:val="FootnoteText"/>
        <w:shd w:val="clear" w:color="auto" w:fill="FFFFFF" w:themeFill="background1"/>
        <w:rPr>
          <w:lang w:val="fr-FR"/>
        </w:rPr>
      </w:pPr>
      <w:r w:rsidRPr="00405792">
        <w:rPr>
          <w:rStyle w:val="FootnoteReference"/>
          <w:shd w:val="clear" w:color="auto" w:fill="FFFFFF" w:themeFill="background1"/>
        </w:rPr>
        <w:footnoteRef/>
      </w:r>
      <w:r w:rsidRPr="00720D91">
        <w:rPr>
          <w:rFonts w:ascii="Arial" w:hAnsi="Arial" w:cs="Arial"/>
          <w:bCs/>
          <w:sz w:val="18"/>
          <w:shd w:val="clear" w:color="auto" w:fill="FFFFFF" w:themeFill="background1"/>
          <w:lang w:val="fr-FR"/>
        </w:rPr>
        <w:t xml:space="preserve"> </w:t>
      </w:r>
      <w:bookmarkStart w:id="43" w:name="_Hlk63173197"/>
      <w:bookmarkStart w:id="44" w:name="_Hlk61453973"/>
      <w:r w:rsidRPr="00405792">
        <w:rPr>
          <w:rFonts w:ascii="Arial" w:hAnsi="Arial" w:cs="Arial"/>
          <w:bCs/>
          <w:i/>
          <w:sz w:val="18"/>
          <w:shd w:val="clear" w:color="auto" w:fill="FFFFFF" w:themeFill="background1"/>
        </w:rPr>
        <w:fldChar w:fldCharType="begin"/>
      </w:r>
      <w:r w:rsidRPr="00720D91">
        <w:rPr>
          <w:rFonts w:ascii="Arial" w:hAnsi="Arial" w:cs="Arial"/>
          <w:bCs/>
          <w:i/>
          <w:sz w:val="18"/>
          <w:shd w:val="clear" w:color="auto" w:fill="FFFFFF" w:themeFill="background1"/>
          <w:lang w:val="fr-FR"/>
        </w:rPr>
        <w:instrText>HYPERLINK "http://hudoc.echr.coe.int/eng?i=001-93426"</w:instrText>
      </w:r>
      <w:r w:rsidRPr="00405792">
        <w:rPr>
          <w:rFonts w:ascii="Arial" w:hAnsi="Arial" w:cs="Arial"/>
          <w:bCs/>
          <w:i/>
          <w:sz w:val="18"/>
          <w:shd w:val="clear" w:color="auto" w:fill="FFFFFF" w:themeFill="background1"/>
        </w:rPr>
        <w:fldChar w:fldCharType="separate"/>
      </w:r>
      <w:r w:rsidRPr="00720D91">
        <w:rPr>
          <w:rStyle w:val="Hyperlink"/>
          <w:rFonts w:ascii="Arial" w:hAnsi="Arial" w:cs="Arial"/>
          <w:i/>
          <w:color w:val="auto"/>
          <w:sz w:val="18"/>
          <w:shd w:val="clear" w:color="auto" w:fill="FFFFFF" w:themeFill="background1"/>
          <w:lang w:val="fr-FR"/>
        </w:rPr>
        <w:t xml:space="preserve">Géorgie c. Russie (I) </w:t>
      </w:r>
      <w:r w:rsidRPr="00720D91">
        <w:rPr>
          <w:rStyle w:val="Hyperlink"/>
          <w:rFonts w:ascii="Arial" w:hAnsi="Arial" w:cs="Arial"/>
          <w:color w:val="auto"/>
          <w:sz w:val="18"/>
          <w:shd w:val="clear" w:color="auto" w:fill="FFFFFF" w:themeFill="background1"/>
          <w:lang w:val="fr-FR"/>
        </w:rPr>
        <w:t>(déc.)</w:t>
      </w:r>
      <w:r w:rsidRPr="00405792">
        <w:rPr>
          <w:rFonts w:ascii="Arial" w:hAnsi="Arial" w:cs="Arial"/>
          <w:bCs/>
          <w:i/>
          <w:sz w:val="18"/>
          <w:shd w:val="clear" w:color="auto" w:fill="FFFFFF" w:themeFill="background1"/>
        </w:rPr>
        <w:fldChar w:fldCharType="end"/>
      </w:r>
      <w:r w:rsidRPr="00720D91">
        <w:rPr>
          <w:rFonts w:ascii="Arial" w:hAnsi="Arial" w:cs="Arial"/>
          <w:bCs/>
          <w:sz w:val="18"/>
          <w:shd w:val="clear" w:color="auto" w:fill="FFFFFF" w:themeFill="background1"/>
          <w:lang w:val="fr-FR"/>
        </w:rPr>
        <w:t xml:space="preserve">, n° 13255/07, § 41, 30 juin 2009 </w:t>
      </w:r>
      <w:bookmarkEnd w:id="43"/>
      <w:r w:rsidRPr="00720D91">
        <w:rPr>
          <w:rFonts w:ascii="Arial" w:hAnsi="Arial" w:cs="Arial"/>
          <w:bCs/>
          <w:sz w:val="18"/>
          <w:shd w:val="clear" w:color="auto" w:fill="FFFFFF" w:themeFill="background1"/>
          <w:lang w:val="fr-FR"/>
        </w:rPr>
        <w:t xml:space="preserve">et </w:t>
      </w:r>
      <w:hyperlink r:id="rId218" w:history="1">
        <w:r w:rsidRPr="00720D91">
          <w:rPr>
            <w:rStyle w:val="Hyperlink"/>
            <w:rFonts w:ascii="Arial" w:hAnsi="Arial" w:cs="Arial"/>
            <w:i/>
            <w:color w:val="auto"/>
            <w:sz w:val="18"/>
            <w:shd w:val="clear" w:color="auto" w:fill="FFFFFF" w:themeFill="background1"/>
            <w:lang w:val="fr-FR"/>
          </w:rPr>
          <w:t xml:space="preserve">Géorgie c. Russie (II) </w:t>
        </w:r>
        <w:r w:rsidRPr="00720D91">
          <w:rPr>
            <w:rStyle w:val="Hyperlink"/>
            <w:rFonts w:ascii="Arial" w:hAnsi="Arial" w:cs="Arial"/>
            <w:color w:val="auto"/>
            <w:sz w:val="18"/>
            <w:shd w:val="clear" w:color="auto" w:fill="FFFFFF" w:themeFill="background1"/>
            <w:lang w:val="fr-FR"/>
          </w:rPr>
          <w:t>(déc.),</w:t>
        </w:r>
      </w:hyperlink>
      <w:r w:rsidRPr="00720D91">
        <w:rPr>
          <w:rFonts w:ascii="Arial" w:hAnsi="Arial" w:cs="Arial"/>
          <w:bCs/>
          <w:sz w:val="18"/>
          <w:shd w:val="clear" w:color="auto" w:fill="FFFFFF" w:themeFill="background1"/>
          <w:lang w:val="fr-FR"/>
        </w:rPr>
        <w:t xml:space="preserve"> 38263/08, § 86, 13 décembre 2011</w:t>
      </w:r>
      <w:bookmarkEnd w:id="44"/>
      <w:r w:rsidRPr="00720D91">
        <w:rPr>
          <w:rFonts w:ascii="Arial" w:hAnsi="Arial" w:cs="Arial"/>
          <w:bCs/>
          <w:sz w:val="18"/>
          <w:shd w:val="clear" w:color="auto" w:fill="FFFFFF" w:themeFill="background1"/>
          <w:lang w:val="fr-FR"/>
        </w:rPr>
        <w:t xml:space="preserve">. </w:t>
      </w:r>
      <w:hyperlink r:id="rId219" w:history="1">
        <w:r w:rsidRPr="00720D91">
          <w:rPr>
            <w:rStyle w:val="Hyperlink"/>
            <w:rFonts w:ascii="Arial" w:hAnsi="Arial" w:cs="Arial"/>
            <w:i/>
            <w:iCs/>
            <w:color w:val="auto"/>
            <w:sz w:val="18"/>
            <w:szCs w:val="18"/>
            <w:shd w:val="clear" w:color="auto" w:fill="FFFFFF" w:themeFill="background1"/>
            <w:lang w:val="fr-FR"/>
          </w:rPr>
          <w:t xml:space="preserve">Ukraine c. Russie </w:t>
        </w:r>
      </w:hyperlink>
      <w:r w:rsidRPr="00720D91">
        <w:rPr>
          <w:rFonts w:ascii="Arial" w:hAnsi="Arial" w:cs="Arial"/>
          <w:bCs/>
          <w:i/>
          <w:iCs/>
          <w:sz w:val="18"/>
          <w:szCs w:val="18"/>
          <w:shd w:val="clear" w:color="auto" w:fill="FFFFFF" w:themeFill="background1"/>
          <w:lang w:val="fr-FR"/>
        </w:rPr>
        <w:t>(déc.) [GC]</w:t>
      </w:r>
      <w:r w:rsidRPr="00720D91">
        <w:rPr>
          <w:rFonts w:ascii="Arial" w:hAnsi="Arial" w:cs="Arial"/>
          <w:bCs/>
          <w:sz w:val="18"/>
          <w:szCs w:val="18"/>
          <w:shd w:val="clear" w:color="auto" w:fill="FFFFFF" w:themeFill="background1"/>
          <w:lang w:val="fr-FR"/>
        </w:rPr>
        <w:t>, nos 20958/14 et 38334/18 § 263, 16 décembre 2020.</w:t>
      </w:r>
    </w:p>
  </w:footnote>
  <w:footnote w:id="150">
    <w:p w14:paraId="1B2D72D9" w14:textId="77777777" w:rsidR="00B41728" w:rsidRPr="00720D91" w:rsidRDefault="00B41728" w:rsidP="00F331F8">
      <w:pPr>
        <w:pStyle w:val="FootnoteText"/>
        <w:rPr>
          <w:bCs/>
          <w:lang w:val="fr-FR"/>
        </w:rPr>
      </w:pPr>
      <w:r w:rsidRPr="00405792">
        <w:rPr>
          <w:rStyle w:val="FootnoteReference"/>
          <w:shd w:val="clear" w:color="auto" w:fill="FFFFFF" w:themeFill="background1"/>
        </w:rPr>
        <w:footnoteRef/>
      </w:r>
      <w:r w:rsidRPr="00720D91">
        <w:rPr>
          <w:rFonts w:ascii="Arial" w:hAnsi="Arial" w:cs="Arial"/>
          <w:bCs/>
          <w:sz w:val="18"/>
          <w:szCs w:val="18"/>
          <w:shd w:val="clear" w:color="auto" w:fill="FFFFFF" w:themeFill="background1"/>
          <w:lang w:val="fr-FR"/>
        </w:rPr>
        <w:t xml:space="preserve"> </w:t>
      </w:r>
      <w:hyperlink r:id="rId220" w:history="1">
        <w:r w:rsidRPr="00720D91">
          <w:rPr>
            <w:rStyle w:val="Hyperlink"/>
            <w:rFonts w:ascii="Arial" w:hAnsi="Arial" w:cs="Arial"/>
            <w:i/>
            <w:iCs/>
            <w:color w:val="auto"/>
            <w:sz w:val="18"/>
            <w:szCs w:val="18"/>
            <w:shd w:val="clear" w:color="auto" w:fill="FFFFFF" w:themeFill="background1"/>
            <w:lang w:val="fr-FR"/>
          </w:rPr>
          <w:t xml:space="preserve">Ukraine c. Russie </w:t>
        </w:r>
      </w:hyperlink>
      <w:r w:rsidRPr="00720D91">
        <w:rPr>
          <w:rFonts w:ascii="Arial" w:hAnsi="Arial" w:cs="Arial"/>
          <w:bCs/>
          <w:i/>
          <w:iCs/>
          <w:sz w:val="18"/>
          <w:szCs w:val="18"/>
          <w:shd w:val="clear" w:color="auto" w:fill="FFFFFF" w:themeFill="background1"/>
          <w:lang w:val="fr-FR"/>
        </w:rPr>
        <w:t>(déc) [GC]</w:t>
      </w:r>
      <w:r w:rsidRPr="00720D91">
        <w:rPr>
          <w:rFonts w:ascii="Arial" w:hAnsi="Arial" w:cs="Arial"/>
          <w:bCs/>
          <w:sz w:val="18"/>
          <w:szCs w:val="18"/>
          <w:shd w:val="clear" w:color="auto" w:fill="FFFFFF" w:themeFill="background1"/>
          <w:lang w:val="fr-FR"/>
        </w:rPr>
        <w:t>, nos 20958/14 et 38334/18, § 363, 16 décembre 2020.</w:t>
      </w:r>
    </w:p>
  </w:footnote>
  <w:footnote w:id="151">
    <w:p w14:paraId="399BA7C7" w14:textId="77777777" w:rsidR="00B41728" w:rsidRPr="00720D91" w:rsidRDefault="00B41728" w:rsidP="00F331F8">
      <w:pPr>
        <w:pStyle w:val="FootnoteText"/>
        <w:shd w:val="clear" w:color="auto" w:fill="FFFFFF" w:themeFill="background1"/>
        <w:rPr>
          <w:lang w:val="fr-FR"/>
        </w:rPr>
      </w:pPr>
      <w:r w:rsidRPr="00405792">
        <w:rPr>
          <w:rStyle w:val="FootnoteReference"/>
          <w:shd w:val="clear" w:color="auto" w:fill="FFFFFF" w:themeFill="background1"/>
        </w:rPr>
        <w:footnoteRef/>
      </w:r>
      <w:r w:rsidRPr="00720D91">
        <w:rPr>
          <w:rFonts w:ascii="Arial" w:hAnsi="Arial" w:cs="Arial"/>
          <w:bCs/>
          <w:sz w:val="18"/>
          <w:szCs w:val="18"/>
          <w:shd w:val="clear" w:color="auto" w:fill="FFFFFF" w:themeFill="background1"/>
          <w:lang w:val="fr-FR"/>
        </w:rPr>
        <w:t xml:space="preserve"> </w:t>
      </w:r>
      <w:hyperlink r:id="rId221" w:history="1">
        <w:r w:rsidRPr="00720D91">
          <w:rPr>
            <w:rStyle w:val="Hyperlink"/>
            <w:rFonts w:ascii="Arial" w:hAnsi="Arial" w:cs="Arial"/>
            <w:i/>
            <w:iCs/>
            <w:color w:val="auto"/>
            <w:sz w:val="18"/>
            <w:szCs w:val="18"/>
            <w:shd w:val="clear" w:color="auto" w:fill="FFFFFF" w:themeFill="background1"/>
            <w:lang w:val="fr-FR"/>
          </w:rPr>
          <w:t xml:space="preserve">Ukraine c. Russie </w:t>
        </w:r>
      </w:hyperlink>
      <w:r w:rsidRPr="00720D91">
        <w:rPr>
          <w:rFonts w:ascii="Arial" w:hAnsi="Arial" w:cs="Arial"/>
          <w:bCs/>
          <w:i/>
          <w:iCs/>
          <w:sz w:val="18"/>
          <w:szCs w:val="18"/>
          <w:shd w:val="clear" w:color="auto" w:fill="FFFFFF" w:themeFill="background1"/>
          <w:lang w:val="fr-FR"/>
        </w:rPr>
        <w:t>(déc) [GC]</w:t>
      </w:r>
      <w:r w:rsidRPr="00720D91">
        <w:rPr>
          <w:rFonts w:ascii="Arial" w:hAnsi="Arial" w:cs="Arial"/>
          <w:bCs/>
          <w:sz w:val="18"/>
          <w:szCs w:val="18"/>
          <w:shd w:val="clear" w:color="auto" w:fill="FFFFFF" w:themeFill="background1"/>
          <w:lang w:val="fr-FR"/>
        </w:rPr>
        <w:t>, nos 20958/14 et 38334/18, § 368, 16 décembre 2020.</w:t>
      </w:r>
    </w:p>
  </w:footnote>
  <w:footnote w:id="152">
    <w:p w14:paraId="238058EF" w14:textId="77777777" w:rsidR="00B41728" w:rsidRPr="00720D91" w:rsidRDefault="00B41728" w:rsidP="00F331F8">
      <w:pPr>
        <w:pStyle w:val="FootnoteText"/>
        <w:shd w:val="clear" w:color="auto" w:fill="FFFFFF" w:themeFill="background1"/>
        <w:rPr>
          <w:lang w:val="fr-FR"/>
        </w:rPr>
      </w:pPr>
      <w:r w:rsidRPr="00405792">
        <w:rPr>
          <w:rStyle w:val="FootnoteReference"/>
          <w:shd w:val="clear" w:color="auto" w:fill="FFFFFF" w:themeFill="background1"/>
        </w:rPr>
        <w:footnoteRef/>
      </w:r>
      <w:r w:rsidRPr="00720D91">
        <w:rPr>
          <w:rFonts w:ascii="Arial" w:hAnsi="Arial" w:cs="Arial"/>
          <w:bCs/>
          <w:sz w:val="18"/>
          <w:szCs w:val="18"/>
          <w:shd w:val="clear" w:color="auto" w:fill="FFFFFF" w:themeFill="background1"/>
          <w:lang w:val="fr-FR"/>
        </w:rPr>
        <w:t xml:space="preserve"> </w:t>
      </w:r>
      <w:hyperlink r:id="rId222" w:history="1">
        <w:r w:rsidRPr="00720D91">
          <w:rPr>
            <w:rStyle w:val="Hyperlink"/>
            <w:rFonts w:ascii="Arial" w:hAnsi="Arial" w:cs="Arial"/>
            <w:i/>
            <w:iCs/>
            <w:color w:val="auto"/>
            <w:sz w:val="18"/>
            <w:szCs w:val="18"/>
            <w:shd w:val="clear" w:color="auto" w:fill="FFFFFF" w:themeFill="background1"/>
            <w:lang w:val="fr-FR"/>
          </w:rPr>
          <w:t xml:space="preserve">Ukraine c. Russie </w:t>
        </w:r>
      </w:hyperlink>
      <w:r w:rsidRPr="00720D91">
        <w:rPr>
          <w:rFonts w:ascii="Arial" w:hAnsi="Arial" w:cs="Arial"/>
          <w:bCs/>
          <w:i/>
          <w:iCs/>
          <w:sz w:val="18"/>
          <w:szCs w:val="18"/>
          <w:shd w:val="clear" w:color="auto" w:fill="FFFFFF" w:themeFill="background1"/>
          <w:lang w:val="fr-FR"/>
        </w:rPr>
        <w:t>(déc) [GC]</w:t>
      </w:r>
      <w:r w:rsidRPr="00720D91">
        <w:rPr>
          <w:rFonts w:ascii="Arial" w:hAnsi="Arial" w:cs="Arial"/>
          <w:bCs/>
          <w:sz w:val="18"/>
          <w:szCs w:val="18"/>
          <w:shd w:val="clear" w:color="auto" w:fill="FFFFFF" w:themeFill="background1"/>
          <w:lang w:val="fr-FR"/>
        </w:rPr>
        <w:t>, nos 20958/14 et 38334/18, § 265, 16 décembre 2020.</w:t>
      </w:r>
    </w:p>
  </w:footnote>
  <w:footnote w:id="153">
    <w:p w14:paraId="0DE081EC" w14:textId="77777777" w:rsidR="00B41728" w:rsidRPr="00720D91" w:rsidRDefault="00B41728" w:rsidP="00F331F8">
      <w:pPr>
        <w:pStyle w:val="FootnoteText"/>
        <w:shd w:val="clear" w:color="auto" w:fill="FFFFFF" w:themeFill="background1"/>
        <w:rPr>
          <w:lang w:val="fr-FR"/>
        </w:rPr>
      </w:pPr>
      <w:r w:rsidRPr="00405792">
        <w:rPr>
          <w:rStyle w:val="FootnoteReference"/>
          <w:shd w:val="clear" w:color="auto" w:fill="FFFFFF" w:themeFill="background1"/>
        </w:rPr>
        <w:footnoteRef/>
      </w:r>
      <w:r w:rsidRPr="00720D91">
        <w:rPr>
          <w:rFonts w:ascii="Arial" w:hAnsi="Arial" w:cs="Arial"/>
          <w:bCs/>
          <w:sz w:val="18"/>
          <w:szCs w:val="18"/>
          <w:shd w:val="clear" w:color="auto" w:fill="FFFFFF" w:themeFill="background1"/>
          <w:lang w:val="fr-FR"/>
        </w:rPr>
        <w:t xml:space="preserve"> </w:t>
      </w:r>
      <w:hyperlink r:id="rId223" w:history="1">
        <w:r w:rsidRPr="00720D91">
          <w:rPr>
            <w:rStyle w:val="Hyperlink"/>
            <w:rFonts w:ascii="Arial" w:hAnsi="Arial" w:cs="Arial"/>
            <w:i/>
            <w:iCs/>
            <w:color w:val="auto"/>
            <w:sz w:val="18"/>
            <w:szCs w:val="18"/>
            <w:shd w:val="clear" w:color="auto" w:fill="FFFFFF" w:themeFill="background1"/>
            <w:lang w:val="fr-FR"/>
          </w:rPr>
          <w:t xml:space="preserve">Ukraine c. Russie </w:t>
        </w:r>
      </w:hyperlink>
      <w:r w:rsidRPr="00720D91">
        <w:rPr>
          <w:rFonts w:ascii="Arial" w:hAnsi="Arial" w:cs="Arial"/>
          <w:bCs/>
          <w:i/>
          <w:iCs/>
          <w:sz w:val="18"/>
          <w:szCs w:val="18"/>
          <w:shd w:val="clear" w:color="auto" w:fill="FFFFFF" w:themeFill="background1"/>
          <w:lang w:val="fr-FR"/>
        </w:rPr>
        <w:t>(déc) [GC]</w:t>
      </w:r>
      <w:r w:rsidRPr="00720D91">
        <w:rPr>
          <w:rFonts w:ascii="Arial" w:hAnsi="Arial" w:cs="Arial"/>
          <w:bCs/>
          <w:sz w:val="18"/>
          <w:szCs w:val="18"/>
          <w:shd w:val="clear" w:color="auto" w:fill="FFFFFF" w:themeFill="background1"/>
          <w:lang w:val="fr-FR"/>
        </w:rPr>
        <w:t>, nos 20958/14 et 38334/18, § 265, 16 décembre 2020.</w:t>
      </w:r>
    </w:p>
  </w:footnote>
  <w:footnote w:id="154">
    <w:p w14:paraId="78E4FDF1" w14:textId="77777777" w:rsidR="00B41728" w:rsidRPr="00720D91" w:rsidRDefault="00B41728" w:rsidP="00F331F8">
      <w:pPr>
        <w:pStyle w:val="FootnoteText"/>
        <w:shd w:val="clear" w:color="auto" w:fill="FFFFFF" w:themeFill="background1"/>
        <w:rPr>
          <w:lang w:val="fr-FR"/>
        </w:rPr>
      </w:pPr>
      <w:r w:rsidRPr="00405792">
        <w:rPr>
          <w:rStyle w:val="FootnoteReference"/>
          <w:shd w:val="clear" w:color="auto" w:fill="FFFFFF" w:themeFill="background1"/>
        </w:rPr>
        <w:footnoteRef/>
      </w:r>
      <w:r w:rsidRPr="00720D91">
        <w:rPr>
          <w:rFonts w:ascii="Arial" w:hAnsi="Arial" w:cs="Arial"/>
          <w:bCs/>
          <w:sz w:val="18"/>
          <w:szCs w:val="18"/>
          <w:shd w:val="clear" w:color="auto" w:fill="FFFFFF" w:themeFill="background1"/>
          <w:lang w:val="fr-FR"/>
        </w:rPr>
        <w:t xml:space="preserve"> </w:t>
      </w:r>
      <w:hyperlink r:id="rId224" w:history="1">
        <w:r w:rsidRPr="00720D91">
          <w:rPr>
            <w:rStyle w:val="Hyperlink"/>
            <w:rFonts w:ascii="Arial" w:hAnsi="Arial" w:cs="Arial"/>
            <w:i/>
            <w:iCs/>
            <w:color w:val="auto"/>
            <w:sz w:val="18"/>
            <w:szCs w:val="18"/>
            <w:shd w:val="clear" w:color="auto" w:fill="FFFFFF" w:themeFill="background1"/>
            <w:lang w:val="fr-FR"/>
          </w:rPr>
          <w:t xml:space="preserve">Ukraine c. Russie </w:t>
        </w:r>
      </w:hyperlink>
      <w:r w:rsidRPr="00720D91">
        <w:rPr>
          <w:rFonts w:ascii="Arial" w:hAnsi="Arial" w:cs="Arial"/>
          <w:bCs/>
          <w:i/>
          <w:iCs/>
          <w:sz w:val="18"/>
          <w:szCs w:val="18"/>
          <w:shd w:val="clear" w:color="auto" w:fill="FFFFFF" w:themeFill="background1"/>
          <w:lang w:val="fr-FR"/>
        </w:rPr>
        <w:t>(déc) [GC]</w:t>
      </w:r>
      <w:r w:rsidRPr="00720D91">
        <w:rPr>
          <w:rFonts w:ascii="Arial" w:hAnsi="Arial" w:cs="Arial"/>
          <w:bCs/>
          <w:sz w:val="18"/>
          <w:szCs w:val="18"/>
          <w:shd w:val="clear" w:color="auto" w:fill="FFFFFF" w:themeFill="background1"/>
          <w:lang w:val="fr-FR"/>
        </w:rPr>
        <w:t>, nos 20958/14 et 38334/18, § 266, 16 décembre 2020.</w:t>
      </w:r>
    </w:p>
  </w:footnote>
  <w:footnote w:id="155">
    <w:p w14:paraId="03EF0422" w14:textId="77777777" w:rsidR="00B41728" w:rsidRPr="00720D91" w:rsidRDefault="00B41728" w:rsidP="00F331F8">
      <w:pPr>
        <w:pStyle w:val="FootnoteText"/>
        <w:shd w:val="clear" w:color="auto" w:fill="FFFFFF" w:themeFill="background1"/>
        <w:jc w:val="both"/>
        <w:rPr>
          <w:lang w:val="fr-FR"/>
        </w:rPr>
      </w:pPr>
      <w:r w:rsidRPr="00405792">
        <w:rPr>
          <w:rStyle w:val="FootnoteReference"/>
          <w:shd w:val="clear" w:color="auto" w:fill="FFFFFF" w:themeFill="background1"/>
        </w:rPr>
        <w:footnoteRef/>
      </w:r>
      <w:r w:rsidRPr="00720D91">
        <w:rPr>
          <w:rFonts w:ascii="Arial" w:hAnsi="Arial" w:cs="Arial"/>
          <w:bCs/>
          <w:sz w:val="18"/>
          <w:szCs w:val="18"/>
          <w:shd w:val="clear" w:color="auto" w:fill="FFFFFF" w:themeFill="background1"/>
          <w:lang w:val="fr-FR"/>
        </w:rPr>
        <w:t xml:space="preserve"> </w:t>
      </w:r>
      <w:hyperlink r:id="rId225" w:history="1">
        <w:r w:rsidRPr="00720D91">
          <w:rPr>
            <w:rStyle w:val="Hyperlink"/>
            <w:rFonts w:ascii="Arial" w:hAnsi="Arial" w:cs="Arial"/>
            <w:i/>
            <w:iCs/>
            <w:color w:val="auto"/>
            <w:sz w:val="18"/>
            <w:szCs w:val="18"/>
            <w:shd w:val="clear" w:color="auto" w:fill="FFFFFF" w:themeFill="background1"/>
            <w:lang w:val="fr-FR"/>
          </w:rPr>
          <w:t xml:space="preserve">Ukraine c. Russie </w:t>
        </w:r>
      </w:hyperlink>
      <w:r w:rsidRPr="00720D91">
        <w:rPr>
          <w:rFonts w:ascii="Arial" w:hAnsi="Arial" w:cs="Arial"/>
          <w:bCs/>
          <w:i/>
          <w:iCs/>
          <w:sz w:val="18"/>
          <w:szCs w:val="18"/>
          <w:shd w:val="clear" w:color="auto" w:fill="FFFFFF" w:themeFill="background1"/>
          <w:lang w:val="fr-FR"/>
        </w:rPr>
        <w:t>(déc) [GC]</w:t>
      </w:r>
      <w:r w:rsidRPr="00720D91">
        <w:rPr>
          <w:rFonts w:ascii="Arial" w:hAnsi="Arial" w:cs="Arial"/>
          <w:bCs/>
          <w:sz w:val="18"/>
          <w:szCs w:val="18"/>
          <w:shd w:val="clear" w:color="auto" w:fill="FFFFFF" w:themeFill="background1"/>
          <w:lang w:val="fr-FR"/>
        </w:rPr>
        <w:t xml:space="preserve">, nos 20958/14 et 38334/18, § 352, 16 décembre 2020 : </w:t>
      </w:r>
      <w:hyperlink r:id="rId226" w:history="1">
        <w:r w:rsidRPr="00720D91">
          <w:rPr>
            <w:rStyle w:val="Hyperlink"/>
            <w:rFonts w:ascii="Arial" w:hAnsi="Arial" w:cs="Arial"/>
            <w:i/>
            <w:iCs/>
            <w:color w:val="auto"/>
            <w:sz w:val="18"/>
            <w:szCs w:val="18"/>
            <w:shd w:val="clear" w:color="auto" w:fill="FFFFFF" w:themeFill="background1"/>
            <w:lang w:val="fr-FR"/>
          </w:rPr>
          <w:t xml:space="preserve">Géorgie c. Russie </w:t>
        </w:r>
      </w:hyperlink>
      <w:r w:rsidRPr="00720D91">
        <w:rPr>
          <w:rFonts w:ascii="Arial" w:hAnsi="Arial" w:cs="Arial"/>
          <w:bCs/>
          <w:sz w:val="18"/>
          <w:szCs w:val="18"/>
          <w:shd w:val="clear" w:color="auto" w:fill="FFFFFF" w:themeFill="background1"/>
          <w:lang w:val="fr-FR"/>
        </w:rPr>
        <w:t>(II) (fond) n° 38263/08, § 162, 21 janvier 2021.</w:t>
      </w:r>
    </w:p>
  </w:footnote>
  <w:footnote w:id="156">
    <w:p w14:paraId="037E5051" w14:textId="77777777" w:rsidR="00B41728" w:rsidRPr="00720D91" w:rsidRDefault="00B41728" w:rsidP="00F331F8">
      <w:pPr>
        <w:pStyle w:val="FootnoteText"/>
        <w:shd w:val="clear" w:color="auto" w:fill="FFFFFF" w:themeFill="background1"/>
        <w:rPr>
          <w:rFonts w:ascii="Arial" w:hAnsi="Arial" w:cs="Arial"/>
          <w:b/>
          <w:bCs/>
          <w:sz w:val="18"/>
          <w:szCs w:val="18"/>
          <w:lang w:val="fr-FR"/>
        </w:rPr>
      </w:pPr>
      <w:r w:rsidRPr="00405792">
        <w:rPr>
          <w:rStyle w:val="FootnoteReference"/>
          <w:rFonts w:ascii="Arial" w:hAnsi="Arial" w:cs="Arial"/>
          <w:bCs/>
          <w:sz w:val="18"/>
          <w:szCs w:val="18"/>
          <w:shd w:val="clear" w:color="auto" w:fill="FFFFFF" w:themeFill="background1"/>
        </w:rPr>
        <w:footnoteRef/>
      </w:r>
      <w:r w:rsidRPr="00720D91">
        <w:rPr>
          <w:rFonts w:ascii="Arial" w:hAnsi="Arial" w:cs="Arial"/>
          <w:bCs/>
          <w:sz w:val="18"/>
          <w:szCs w:val="18"/>
          <w:shd w:val="clear" w:color="auto" w:fill="FFFFFF" w:themeFill="background1"/>
          <w:lang w:val="fr-FR"/>
        </w:rPr>
        <w:t xml:space="preserve"> </w:t>
      </w:r>
      <w:hyperlink r:id="rId227" w:anchor="{%22itemid%22:[%22001-62064%22]}" w:history="1">
        <w:r w:rsidRPr="00720D91">
          <w:rPr>
            <w:rStyle w:val="Hyperlink"/>
            <w:rFonts w:ascii="Arial" w:hAnsi="Arial" w:cs="Arial"/>
            <w:i/>
            <w:color w:val="auto"/>
            <w:sz w:val="18"/>
            <w:szCs w:val="18"/>
            <w:shd w:val="clear" w:color="auto" w:fill="FFFFFF" w:themeFill="background1"/>
            <w:lang w:val="fr-FR"/>
          </w:rPr>
          <w:t>Irlande c. Royaume-Uni</w:t>
        </w:r>
      </w:hyperlink>
      <w:r w:rsidRPr="00720D91">
        <w:rPr>
          <w:rFonts w:ascii="Arial" w:hAnsi="Arial" w:cs="Arial"/>
          <w:bCs/>
          <w:sz w:val="18"/>
          <w:szCs w:val="18"/>
          <w:shd w:val="clear" w:color="auto" w:fill="FFFFFF" w:themeFill="background1"/>
          <w:lang w:val="fr-FR"/>
        </w:rPr>
        <w:t xml:space="preserve">, 18 janvier 1978, § 161, : </w:t>
      </w:r>
      <w:bookmarkStart w:id="45" w:name="File12"/>
      <w:r w:rsidRPr="00405792">
        <w:rPr>
          <w:rFonts w:ascii="Arial" w:hAnsi="Arial" w:cs="Arial"/>
          <w:bCs/>
          <w:i/>
          <w:sz w:val="18"/>
          <w:szCs w:val="18"/>
          <w:shd w:val="clear" w:color="auto" w:fill="FFFFFF" w:themeFill="background1"/>
        </w:rPr>
        <w:fldChar w:fldCharType="begin"/>
      </w:r>
      <w:r w:rsidRPr="00720D91">
        <w:rPr>
          <w:rFonts w:ascii="Arial" w:hAnsi="Arial" w:cs="Arial"/>
          <w:bCs/>
          <w:i/>
          <w:sz w:val="18"/>
          <w:szCs w:val="18"/>
          <w:shd w:val="clear" w:color="auto" w:fill="FFFFFF" w:themeFill="background1"/>
          <w:lang w:val="fr-FR"/>
        </w:rPr>
        <w:instrText xml:space="preserve"> HYPERLINK "https://hudoc.echr.coe.int/eng#{%22itemid%22:[%22001-64012%22]}" </w:instrText>
      </w:r>
      <w:r w:rsidRPr="00405792">
        <w:rPr>
          <w:rFonts w:ascii="Arial" w:hAnsi="Arial" w:cs="Arial"/>
          <w:bCs/>
          <w:i/>
          <w:sz w:val="18"/>
          <w:szCs w:val="18"/>
          <w:shd w:val="clear" w:color="auto" w:fill="FFFFFF" w:themeFill="background1"/>
        </w:rPr>
        <w:fldChar w:fldCharType="separate"/>
      </w:r>
      <w:r w:rsidRPr="00720D91">
        <w:rPr>
          <w:rStyle w:val="Hyperlink"/>
          <w:rFonts w:ascii="Arial" w:hAnsi="Arial" w:cs="Arial"/>
          <w:i/>
          <w:color w:val="auto"/>
          <w:sz w:val="18"/>
          <w:szCs w:val="18"/>
          <w:shd w:val="clear" w:color="auto" w:fill="FFFFFF" w:themeFill="background1"/>
          <w:lang w:val="fr-FR"/>
        </w:rPr>
        <w:t>Chypre</w:t>
      </w:r>
      <w:bookmarkEnd w:id="45"/>
      <w:r w:rsidRPr="00720D91">
        <w:rPr>
          <w:rStyle w:val="Hyperlink"/>
          <w:rFonts w:ascii="Arial" w:hAnsi="Arial" w:cs="Arial"/>
          <w:i/>
          <w:color w:val="auto"/>
          <w:sz w:val="18"/>
          <w:szCs w:val="18"/>
          <w:shd w:val="clear" w:color="auto" w:fill="FFFFFF" w:themeFill="background1"/>
          <w:lang w:val="fr-FR"/>
        </w:rPr>
        <w:t xml:space="preserve"> c. Turquie</w:t>
      </w:r>
      <w:r w:rsidRPr="00405792">
        <w:rPr>
          <w:rFonts w:ascii="Arial" w:hAnsi="Arial" w:cs="Arial"/>
          <w:bCs/>
          <w:i/>
          <w:sz w:val="18"/>
          <w:szCs w:val="18"/>
          <w:shd w:val="clear" w:color="auto" w:fill="FFFFFF" w:themeFill="background1"/>
        </w:rPr>
        <w:fldChar w:fldCharType="end"/>
      </w:r>
      <w:r w:rsidRPr="00720D91">
        <w:rPr>
          <w:rFonts w:ascii="Arial" w:hAnsi="Arial" w:cs="Arial"/>
          <w:bCs/>
          <w:i/>
          <w:sz w:val="18"/>
          <w:szCs w:val="18"/>
          <w:shd w:val="clear" w:color="auto" w:fill="FFFFFF" w:themeFill="background1"/>
          <w:lang w:val="fr-FR"/>
        </w:rPr>
        <w:t xml:space="preserve"> </w:t>
      </w:r>
      <w:r w:rsidRPr="00720D91">
        <w:rPr>
          <w:rFonts w:ascii="Arial" w:hAnsi="Arial" w:cs="Arial"/>
          <w:bCs/>
          <w:sz w:val="18"/>
          <w:szCs w:val="18"/>
          <w:shd w:val="clear" w:color="auto" w:fill="FFFFFF" w:themeFill="background1"/>
          <w:lang w:val="fr-FR"/>
        </w:rPr>
        <w:t xml:space="preserve">[GC], n° 25781/94, § 113 ; </w:t>
      </w:r>
      <w:hyperlink r:id="rId228" w:history="1">
        <w:r w:rsidRPr="00720D91">
          <w:rPr>
            <w:rStyle w:val="Hyperlink"/>
            <w:rFonts w:ascii="Arial" w:hAnsi="Arial" w:cs="Arial"/>
            <w:i/>
            <w:color w:val="auto"/>
            <w:sz w:val="18"/>
            <w:szCs w:val="18"/>
            <w:shd w:val="clear" w:color="auto" w:fill="FFFFFF" w:themeFill="background1"/>
            <w:lang w:val="fr-FR"/>
          </w:rPr>
          <w:t xml:space="preserve">Géorgie c. Russie </w:t>
        </w:r>
        <w:r w:rsidRPr="00720D91">
          <w:rPr>
            <w:rStyle w:val="Hyperlink"/>
            <w:rFonts w:ascii="Arial" w:hAnsi="Arial" w:cs="Arial"/>
            <w:color w:val="auto"/>
            <w:sz w:val="18"/>
            <w:szCs w:val="18"/>
            <w:shd w:val="clear" w:color="auto" w:fill="FFFFFF" w:themeFill="background1"/>
            <w:lang w:val="fr-FR"/>
          </w:rPr>
          <w:t>(I)</w:t>
        </w:r>
      </w:hyperlink>
      <w:r w:rsidRPr="00720D91">
        <w:rPr>
          <w:rFonts w:ascii="Arial" w:hAnsi="Arial" w:cs="Arial"/>
          <w:bCs/>
          <w:sz w:val="18"/>
          <w:szCs w:val="18"/>
          <w:shd w:val="clear" w:color="auto" w:fill="FFFFFF" w:themeFill="background1"/>
          <w:lang w:val="fr-FR"/>
        </w:rPr>
        <w:t xml:space="preserve">, précité, § 94 ; </w:t>
      </w:r>
      <w:hyperlink r:id="rId229" w:history="1">
        <w:r w:rsidRPr="00720D91">
          <w:rPr>
            <w:rStyle w:val="Hyperlink"/>
            <w:rFonts w:ascii="Arial" w:hAnsi="Arial" w:cs="Arial"/>
            <w:i/>
            <w:iCs/>
            <w:color w:val="auto"/>
            <w:sz w:val="18"/>
            <w:szCs w:val="18"/>
            <w:shd w:val="clear" w:color="auto" w:fill="FFFFFF" w:themeFill="background1"/>
            <w:lang w:val="fr-FR"/>
          </w:rPr>
          <w:t xml:space="preserve">Géorgie c. Russie </w:t>
        </w:r>
      </w:hyperlink>
      <w:r w:rsidRPr="00720D91">
        <w:rPr>
          <w:rFonts w:ascii="Arial" w:hAnsi="Arial" w:cs="Arial"/>
          <w:bCs/>
          <w:sz w:val="18"/>
          <w:szCs w:val="18"/>
          <w:shd w:val="clear" w:color="auto" w:fill="FFFFFF" w:themeFill="background1"/>
          <w:lang w:val="fr-FR"/>
        </w:rPr>
        <w:t>(II) (fond) [GC] n° 38263/08, § 59, 21 janvier 2021.</w:t>
      </w:r>
    </w:p>
  </w:footnote>
  <w:footnote w:id="157">
    <w:p w14:paraId="1FDBDD3D" w14:textId="77777777" w:rsidR="00B41728" w:rsidRPr="00720D91" w:rsidRDefault="00B41728" w:rsidP="00F331F8">
      <w:pPr>
        <w:pStyle w:val="FootnoteText"/>
        <w:rPr>
          <w:rFonts w:ascii="Arial" w:hAnsi="Arial" w:cs="Arial"/>
          <w:sz w:val="18"/>
          <w:szCs w:val="18"/>
          <w:lang w:val="fr-FR"/>
        </w:rPr>
      </w:pPr>
      <w:r w:rsidRPr="002D305B">
        <w:rPr>
          <w:rStyle w:val="FootnoteReference"/>
          <w:rFonts w:ascii="Arial" w:hAnsi="Arial" w:cs="Arial"/>
          <w:sz w:val="18"/>
          <w:szCs w:val="18"/>
        </w:rPr>
        <w:footnoteRef/>
      </w:r>
      <w:r w:rsidRPr="00720D91">
        <w:rPr>
          <w:rFonts w:ascii="Arial" w:hAnsi="Arial" w:cs="Arial"/>
          <w:sz w:val="18"/>
          <w:szCs w:val="18"/>
          <w:lang w:val="fr-FR"/>
        </w:rPr>
        <w:t xml:space="preserve"> Voir en détail : Seibert-Fohr, Journal du droit des droits de l'homme, 38 (2018) 8 (12).</w:t>
      </w:r>
    </w:p>
  </w:footnote>
  <w:footnote w:id="158">
    <w:p w14:paraId="50C32E46" w14:textId="77777777" w:rsidR="00B41728" w:rsidRPr="00720D91" w:rsidRDefault="00B41728" w:rsidP="00F331F8">
      <w:pPr>
        <w:pStyle w:val="FootnoteText"/>
        <w:rPr>
          <w:lang w:val="fr-FR"/>
        </w:rPr>
      </w:pPr>
      <w:r w:rsidRPr="0022321E">
        <w:rPr>
          <w:rStyle w:val="FootnoteReference"/>
          <w:shd w:val="clear" w:color="auto" w:fill="FFFFFF" w:themeFill="background1"/>
        </w:rPr>
        <w:footnoteRef/>
      </w:r>
      <w:r w:rsidRPr="00720D91">
        <w:rPr>
          <w:rFonts w:ascii="Arial" w:hAnsi="Arial" w:cs="Arial"/>
          <w:sz w:val="18"/>
          <w:szCs w:val="18"/>
          <w:shd w:val="clear" w:color="auto" w:fill="FFFFFF" w:themeFill="background1"/>
          <w:lang w:val="fr-FR"/>
        </w:rPr>
        <w:t xml:space="preserve"> </w:t>
      </w:r>
      <w:hyperlink r:id="rId230" w:history="1">
        <w:r w:rsidRPr="00720D91">
          <w:rPr>
            <w:rStyle w:val="Hyperlink"/>
            <w:rFonts w:ascii="Arial" w:hAnsi="Arial" w:cs="Arial"/>
            <w:i/>
            <w:color w:val="auto"/>
            <w:sz w:val="18"/>
            <w:szCs w:val="18"/>
            <w:shd w:val="clear" w:color="auto" w:fill="FFFFFF" w:themeFill="background1"/>
            <w:lang w:val="fr-FR"/>
          </w:rPr>
          <w:t xml:space="preserve">Géorgie c. Russie </w:t>
        </w:r>
        <w:r w:rsidRPr="00720D91">
          <w:rPr>
            <w:rStyle w:val="Hyperlink"/>
            <w:rFonts w:ascii="Arial" w:hAnsi="Arial" w:cs="Arial"/>
            <w:color w:val="auto"/>
            <w:sz w:val="18"/>
            <w:szCs w:val="18"/>
            <w:shd w:val="clear" w:color="auto" w:fill="FFFFFF" w:themeFill="background1"/>
            <w:lang w:val="fr-FR"/>
          </w:rPr>
          <w:t>(I)</w:t>
        </w:r>
      </w:hyperlink>
      <w:r w:rsidRPr="00720D91">
        <w:rPr>
          <w:rFonts w:ascii="Arial" w:hAnsi="Arial" w:cs="Arial"/>
          <w:sz w:val="18"/>
          <w:szCs w:val="18"/>
          <w:shd w:val="clear" w:color="auto" w:fill="FFFFFF" w:themeFill="background1"/>
          <w:lang w:val="fr-FR"/>
        </w:rPr>
        <w:t xml:space="preserve">, précité, § 94 ; </w:t>
      </w:r>
      <w:hyperlink r:id="rId231" w:history="1">
        <w:r w:rsidRPr="00720D91">
          <w:rPr>
            <w:rStyle w:val="Hyperlink"/>
            <w:rFonts w:ascii="Arial" w:hAnsi="Arial" w:cs="Arial"/>
            <w:i/>
            <w:iCs/>
            <w:color w:val="auto"/>
            <w:sz w:val="18"/>
            <w:szCs w:val="18"/>
            <w:shd w:val="clear" w:color="auto" w:fill="FFFFFF" w:themeFill="background1"/>
            <w:lang w:val="fr-FR"/>
          </w:rPr>
          <w:t xml:space="preserve">Géorgie c. Russie </w:t>
        </w:r>
      </w:hyperlink>
      <w:r w:rsidRPr="00720D91">
        <w:rPr>
          <w:rFonts w:ascii="Arial" w:hAnsi="Arial" w:cs="Arial"/>
          <w:sz w:val="18"/>
          <w:szCs w:val="18"/>
          <w:shd w:val="clear" w:color="auto" w:fill="FFFFFF" w:themeFill="background1"/>
          <w:lang w:val="fr-FR"/>
        </w:rPr>
        <w:t>(II) (fond) [GC] no. 38263/08, § 59, 21 janvier 2021.</w:t>
      </w:r>
    </w:p>
  </w:footnote>
  <w:footnote w:id="159">
    <w:p w14:paraId="6AD30759" w14:textId="77777777" w:rsidR="00B41728" w:rsidRPr="0022321E" w:rsidRDefault="00B41728" w:rsidP="00F331F8">
      <w:pPr>
        <w:pStyle w:val="NoSpacing"/>
        <w:shd w:val="clear" w:color="auto" w:fill="FFFFFF" w:themeFill="background1"/>
        <w:jc w:val="both"/>
        <w:rPr>
          <w:rFonts w:ascii="Arial" w:hAnsi="Arial" w:cs="Arial"/>
          <w:sz w:val="18"/>
          <w:szCs w:val="18"/>
        </w:rPr>
      </w:pPr>
      <w:r w:rsidRPr="002D305B">
        <w:rPr>
          <w:rStyle w:val="FootnoteReference"/>
          <w:rFonts w:ascii="Arial" w:hAnsi="Arial" w:cs="Arial"/>
          <w:sz w:val="18"/>
          <w:szCs w:val="18"/>
        </w:rPr>
        <w:footnoteRef/>
      </w:r>
      <w:hyperlink r:id="rId232" w:history="1">
        <w:r w:rsidRPr="002D305B">
          <w:rPr>
            <w:rStyle w:val="Hyperlink"/>
            <w:rFonts w:ascii="Arial" w:eastAsiaTheme="majorEastAsia" w:hAnsi="Arial" w:cs="Arial"/>
            <w:i/>
            <w:sz w:val="18"/>
            <w:szCs w:val="18"/>
          </w:rPr>
          <w:t xml:space="preserve"> Nachova et autres c. Bulgarie</w:t>
        </w:r>
      </w:hyperlink>
      <w:r w:rsidRPr="002D305B">
        <w:rPr>
          <w:rFonts w:ascii="Arial" w:hAnsi="Arial" w:cs="Arial"/>
          <w:sz w:val="18"/>
          <w:szCs w:val="18"/>
        </w:rPr>
        <w:t>, nos 43577/98 et 43579/</w:t>
      </w:r>
      <w:r w:rsidRPr="0022321E">
        <w:rPr>
          <w:rFonts w:ascii="Arial" w:hAnsi="Arial" w:cs="Arial"/>
          <w:sz w:val="18"/>
          <w:szCs w:val="18"/>
        </w:rPr>
        <w:t xml:space="preserve">98, § 147, 6 juillet 2005, CEDH 2005-VII ; </w:t>
      </w:r>
      <w:hyperlink r:id="rId233" w:history="1">
        <w:r w:rsidRPr="0022321E">
          <w:rPr>
            <w:rStyle w:val="Hyperlink"/>
            <w:rFonts w:ascii="Arial" w:eastAsiaTheme="majorEastAsia" w:hAnsi="Arial" w:cs="Arial"/>
            <w:i/>
            <w:color w:val="auto"/>
            <w:sz w:val="18"/>
            <w:szCs w:val="18"/>
          </w:rPr>
          <w:t xml:space="preserve">Géorgie c. Russie </w:t>
        </w:r>
        <w:r w:rsidRPr="0022321E">
          <w:rPr>
            <w:rStyle w:val="Hyperlink"/>
            <w:rFonts w:ascii="Arial" w:eastAsiaTheme="majorEastAsia" w:hAnsi="Arial" w:cs="Arial"/>
            <w:color w:val="auto"/>
            <w:sz w:val="18"/>
            <w:szCs w:val="18"/>
          </w:rPr>
          <w:t>(I)</w:t>
        </w:r>
      </w:hyperlink>
      <w:r w:rsidRPr="0022321E">
        <w:rPr>
          <w:rFonts w:ascii="Arial" w:hAnsi="Arial" w:cs="Arial"/>
          <w:sz w:val="18"/>
          <w:szCs w:val="18"/>
        </w:rPr>
        <w:t xml:space="preserve">, précité, § 94. </w:t>
      </w:r>
      <w:hyperlink r:id="rId234" w:history="1">
        <w:r w:rsidRPr="0022321E">
          <w:rPr>
            <w:rStyle w:val="Hyperlink"/>
            <w:rFonts w:ascii="Arial" w:eastAsiaTheme="majorEastAsia" w:hAnsi="Arial" w:cs="Arial"/>
            <w:i/>
            <w:iCs/>
            <w:color w:val="auto"/>
            <w:sz w:val="18"/>
            <w:szCs w:val="18"/>
          </w:rPr>
          <w:t xml:space="preserve">Géorgie c. Russie </w:t>
        </w:r>
      </w:hyperlink>
      <w:r w:rsidRPr="0022321E">
        <w:rPr>
          <w:rFonts w:ascii="Arial" w:hAnsi="Arial" w:cs="Arial"/>
          <w:sz w:val="18"/>
          <w:szCs w:val="18"/>
        </w:rPr>
        <w:t xml:space="preserve">(II) </w:t>
      </w:r>
      <w:r w:rsidRPr="0022321E">
        <w:rPr>
          <w:rFonts w:ascii="Arial" w:hAnsi="Arial" w:cs="Arial"/>
          <w:sz w:val="18"/>
          <w:szCs w:val="18"/>
          <w:shd w:val="clear" w:color="auto" w:fill="FFFFFF" w:themeFill="background1"/>
        </w:rPr>
        <w:t>(fond) no. 38263/08, § 59, 21 janvier 2021.</w:t>
      </w:r>
    </w:p>
  </w:footnote>
  <w:footnote w:id="160">
    <w:p w14:paraId="3CCDCBF5" w14:textId="77777777" w:rsidR="00B41728" w:rsidRPr="00720D91" w:rsidRDefault="00B41728" w:rsidP="00F331F8">
      <w:pPr>
        <w:pStyle w:val="FootnoteText"/>
        <w:shd w:val="clear" w:color="auto" w:fill="FFFFFF" w:themeFill="background1"/>
        <w:rPr>
          <w:rFonts w:ascii="Arial" w:hAnsi="Arial" w:cs="Arial"/>
          <w:sz w:val="18"/>
          <w:szCs w:val="18"/>
          <w:shd w:val="clear" w:color="auto" w:fill="FFFFFF" w:themeFill="background1"/>
          <w:lang w:val="fr-FR"/>
        </w:rPr>
      </w:pPr>
      <w:r w:rsidRPr="0022321E">
        <w:rPr>
          <w:rStyle w:val="FootnoteReference"/>
          <w:shd w:val="clear" w:color="auto" w:fill="FFFFFF" w:themeFill="background1"/>
        </w:rPr>
        <w:footnoteRef/>
      </w:r>
      <w:r w:rsidRPr="00720D91">
        <w:rPr>
          <w:rFonts w:ascii="Arial" w:hAnsi="Arial" w:cs="Arial"/>
          <w:sz w:val="18"/>
          <w:szCs w:val="18"/>
          <w:shd w:val="clear" w:color="auto" w:fill="FFFFFF" w:themeFill="background1"/>
          <w:lang w:val="fr-FR"/>
        </w:rPr>
        <w:t xml:space="preserve"> </w:t>
      </w:r>
      <w:hyperlink r:id="rId235" w:history="1">
        <w:r w:rsidRPr="00720D91">
          <w:rPr>
            <w:rStyle w:val="Hyperlink"/>
            <w:rFonts w:ascii="Arial" w:hAnsi="Arial" w:cs="Arial"/>
            <w:i/>
            <w:iCs/>
            <w:color w:val="auto"/>
            <w:sz w:val="18"/>
            <w:szCs w:val="18"/>
            <w:shd w:val="clear" w:color="auto" w:fill="FFFFFF" w:themeFill="background1"/>
            <w:lang w:val="fr-FR"/>
          </w:rPr>
          <w:t xml:space="preserve">Ukraine c. Russie </w:t>
        </w:r>
      </w:hyperlink>
      <w:r w:rsidRPr="00720D91">
        <w:rPr>
          <w:rFonts w:ascii="Arial" w:hAnsi="Arial" w:cs="Arial"/>
          <w:i/>
          <w:iCs/>
          <w:sz w:val="18"/>
          <w:szCs w:val="18"/>
          <w:shd w:val="clear" w:color="auto" w:fill="FFFFFF" w:themeFill="background1"/>
          <w:lang w:val="fr-FR"/>
        </w:rPr>
        <w:t>(déc) [GC]</w:t>
      </w:r>
      <w:r w:rsidRPr="00720D91">
        <w:rPr>
          <w:rFonts w:ascii="Arial" w:hAnsi="Arial" w:cs="Arial"/>
          <w:sz w:val="18"/>
          <w:szCs w:val="18"/>
          <w:shd w:val="clear" w:color="auto" w:fill="FFFFFF" w:themeFill="background1"/>
          <w:lang w:val="fr-FR"/>
        </w:rPr>
        <w:t>, nos 20958/14 et 38334/18, § 255, 16 décembre 2020.</w:t>
      </w:r>
    </w:p>
  </w:footnote>
  <w:footnote w:id="161">
    <w:p w14:paraId="3E163BC3" w14:textId="77777777" w:rsidR="00B41728" w:rsidRPr="00720D91" w:rsidRDefault="00B41728" w:rsidP="00F331F8">
      <w:pPr>
        <w:pStyle w:val="FootnoteText"/>
        <w:shd w:val="clear" w:color="auto" w:fill="FFFFFF" w:themeFill="background1"/>
        <w:rPr>
          <w:lang w:val="fr-FR"/>
        </w:rPr>
      </w:pPr>
      <w:r w:rsidRPr="0022321E">
        <w:rPr>
          <w:rStyle w:val="FootnoteReference"/>
          <w:shd w:val="clear" w:color="auto" w:fill="FFFFFF" w:themeFill="background1"/>
        </w:rPr>
        <w:footnoteRef/>
      </w:r>
      <w:r w:rsidRPr="00720D91">
        <w:rPr>
          <w:rFonts w:ascii="Arial" w:hAnsi="Arial" w:cs="Arial"/>
          <w:sz w:val="18"/>
          <w:szCs w:val="18"/>
          <w:shd w:val="clear" w:color="auto" w:fill="FFFFFF" w:themeFill="background1"/>
          <w:lang w:val="fr-FR"/>
        </w:rPr>
        <w:t xml:space="preserve"> </w:t>
      </w:r>
      <w:hyperlink r:id="rId236" w:history="1">
        <w:r w:rsidRPr="00720D91">
          <w:rPr>
            <w:rStyle w:val="Hyperlink"/>
            <w:rFonts w:ascii="Arial" w:hAnsi="Arial" w:cs="Arial"/>
            <w:i/>
            <w:iCs/>
            <w:color w:val="auto"/>
            <w:sz w:val="18"/>
            <w:szCs w:val="18"/>
            <w:shd w:val="clear" w:color="auto" w:fill="FFFFFF" w:themeFill="background1"/>
            <w:lang w:val="fr-FR"/>
          </w:rPr>
          <w:t xml:space="preserve">Ukraine c. Russie </w:t>
        </w:r>
      </w:hyperlink>
      <w:r w:rsidRPr="00720D91">
        <w:rPr>
          <w:rFonts w:ascii="Arial" w:hAnsi="Arial" w:cs="Arial"/>
          <w:i/>
          <w:iCs/>
          <w:sz w:val="18"/>
          <w:szCs w:val="18"/>
          <w:shd w:val="clear" w:color="auto" w:fill="FFFFFF" w:themeFill="background1"/>
          <w:lang w:val="fr-FR"/>
        </w:rPr>
        <w:t>(déc) [GC]</w:t>
      </w:r>
      <w:r w:rsidRPr="00720D91">
        <w:rPr>
          <w:rFonts w:ascii="Arial" w:hAnsi="Arial" w:cs="Arial"/>
          <w:sz w:val="18"/>
          <w:szCs w:val="18"/>
          <w:shd w:val="clear" w:color="auto" w:fill="FFFFFF" w:themeFill="background1"/>
          <w:lang w:val="fr-FR"/>
        </w:rPr>
        <w:t>, nos 20958/14 et 38334/18, § 256, 16 décembre 2020.</w:t>
      </w:r>
    </w:p>
  </w:footnote>
  <w:footnote w:id="162">
    <w:p w14:paraId="75FF85CC" w14:textId="77777777" w:rsidR="00B41728" w:rsidRPr="00720D91" w:rsidRDefault="00B41728" w:rsidP="00F331F8">
      <w:pPr>
        <w:pStyle w:val="FootnoteText"/>
        <w:shd w:val="clear" w:color="auto" w:fill="FFFFFF" w:themeFill="background1"/>
        <w:rPr>
          <w:lang w:val="fr-FR"/>
        </w:rPr>
      </w:pPr>
      <w:r w:rsidRPr="0022321E">
        <w:rPr>
          <w:rStyle w:val="FootnoteReference"/>
          <w:shd w:val="clear" w:color="auto" w:fill="FFFFFF" w:themeFill="background1"/>
        </w:rPr>
        <w:footnoteRef/>
      </w:r>
      <w:r w:rsidRPr="00720D91">
        <w:rPr>
          <w:rFonts w:ascii="Arial" w:hAnsi="Arial" w:cs="Arial"/>
          <w:sz w:val="18"/>
          <w:szCs w:val="18"/>
          <w:shd w:val="clear" w:color="auto" w:fill="FFFFFF" w:themeFill="background1"/>
          <w:lang w:val="fr-FR"/>
        </w:rPr>
        <w:t xml:space="preserve"> </w:t>
      </w:r>
      <w:hyperlink r:id="rId237" w:history="1">
        <w:r w:rsidRPr="00720D91">
          <w:rPr>
            <w:rStyle w:val="Hyperlink"/>
            <w:rFonts w:ascii="Arial" w:hAnsi="Arial" w:cs="Arial"/>
            <w:i/>
            <w:iCs/>
            <w:color w:val="auto"/>
            <w:sz w:val="18"/>
            <w:szCs w:val="18"/>
            <w:shd w:val="clear" w:color="auto" w:fill="FFFFFF" w:themeFill="background1"/>
            <w:lang w:val="fr-FR"/>
          </w:rPr>
          <w:t xml:space="preserve">Ukraine c. Russie </w:t>
        </w:r>
      </w:hyperlink>
      <w:r w:rsidRPr="00720D91">
        <w:rPr>
          <w:rFonts w:ascii="Arial" w:hAnsi="Arial" w:cs="Arial"/>
          <w:i/>
          <w:iCs/>
          <w:sz w:val="18"/>
          <w:szCs w:val="18"/>
          <w:shd w:val="clear" w:color="auto" w:fill="FFFFFF" w:themeFill="background1"/>
          <w:lang w:val="fr-FR"/>
        </w:rPr>
        <w:t>(déc) [GC]</w:t>
      </w:r>
      <w:r w:rsidRPr="00720D91">
        <w:rPr>
          <w:rFonts w:ascii="Arial" w:hAnsi="Arial" w:cs="Arial"/>
          <w:sz w:val="18"/>
          <w:szCs w:val="18"/>
          <w:shd w:val="clear" w:color="auto" w:fill="FFFFFF" w:themeFill="background1"/>
          <w:lang w:val="fr-FR"/>
        </w:rPr>
        <w:t>, nos 20958/14 et 38334/18, § 256, 16 décembre 2020.</w:t>
      </w:r>
    </w:p>
  </w:footnote>
  <w:footnote w:id="163">
    <w:p w14:paraId="66BCDAC5" w14:textId="77777777" w:rsidR="00B41728" w:rsidRPr="00720D91" w:rsidRDefault="00B41728" w:rsidP="00F331F8">
      <w:pPr>
        <w:pStyle w:val="FootnoteText"/>
        <w:shd w:val="clear" w:color="auto" w:fill="FFFFFF" w:themeFill="background1"/>
        <w:rPr>
          <w:lang w:val="fr-FR"/>
        </w:rPr>
      </w:pPr>
      <w:r w:rsidRPr="0022321E">
        <w:rPr>
          <w:rStyle w:val="FootnoteReference"/>
          <w:shd w:val="clear" w:color="auto" w:fill="FFFFFF" w:themeFill="background1"/>
        </w:rPr>
        <w:footnoteRef/>
      </w:r>
      <w:r w:rsidRPr="00720D91">
        <w:rPr>
          <w:rFonts w:ascii="Arial" w:hAnsi="Arial" w:cs="Arial"/>
          <w:sz w:val="18"/>
          <w:szCs w:val="18"/>
          <w:shd w:val="clear" w:color="auto" w:fill="FFFFFF" w:themeFill="background1"/>
          <w:lang w:val="fr-FR"/>
        </w:rPr>
        <w:t xml:space="preserve"> </w:t>
      </w:r>
      <w:hyperlink r:id="rId238" w:history="1">
        <w:r w:rsidRPr="00720D91">
          <w:rPr>
            <w:rStyle w:val="Hyperlink"/>
            <w:rFonts w:ascii="Arial" w:hAnsi="Arial" w:cs="Arial"/>
            <w:i/>
            <w:iCs/>
            <w:color w:val="auto"/>
            <w:sz w:val="18"/>
            <w:szCs w:val="18"/>
            <w:shd w:val="clear" w:color="auto" w:fill="FFFFFF" w:themeFill="background1"/>
            <w:lang w:val="fr-FR"/>
          </w:rPr>
          <w:t xml:space="preserve">Ukraine c. Russie </w:t>
        </w:r>
      </w:hyperlink>
      <w:r w:rsidRPr="00720D91">
        <w:rPr>
          <w:rFonts w:ascii="Arial" w:hAnsi="Arial" w:cs="Arial"/>
          <w:i/>
          <w:iCs/>
          <w:sz w:val="18"/>
          <w:szCs w:val="18"/>
          <w:shd w:val="clear" w:color="auto" w:fill="FFFFFF" w:themeFill="background1"/>
          <w:lang w:val="fr-FR"/>
        </w:rPr>
        <w:t>(déc) [GC]</w:t>
      </w:r>
      <w:r w:rsidRPr="00720D91">
        <w:rPr>
          <w:rFonts w:ascii="Arial" w:hAnsi="Arial" w:cs="Arial"/>
          <w:sz w:val="18"/>
          <w:szCs w:val="18"/>
          <w:shd w:val="clear" w:color="auto" w:fill="FFFFFF" w:themeFill="background1"/>
          <w:lang w:val="fr-FR"/>
        </w:rPr>
        <w:t>, nos 20958/14 et 38334/18, § 256, 16 décembre 2020.</w:t>
      </w:r>
    </w:p>
  </w:footnote>
  <w:footnote w:id="164">
    <w:p w14:paraId="7621948D" w14:textId="77777777" w:rsidR="00B41728" w:rsidRPr="00720D91" w:rsidRDefault="00B41728" w:rsidP="00F331F8">
      <w:pPr>
        <w:pStyle w:val="FootnoteText"/>
        <w:shd w:val="clear" w:color="auto" w:fill="FFFFFF" w:themeFill="background1"/>
        <w:jc w:val="both"/>
        <w:rPr>
          <w:lang w:val="fr-FR"/>
        </w:rPr>
      </w:pPr>
      <w:r w:rsidRPr="0022321E">
        <w:rPr>
          <w:rStyle w:val="FootnoteReference"/>
          <w:shd w:val="clear" w:color="auto" w:fill="FFFFFF" w:themeFill="background1"/>
        </w:rPr>
        <w:footnoteRef/>
      </w:r>
      <w:r w:rsidRPr="00720D91">
        <w:rPr>
          <w:rFonts w:ascii="Arial" w:hAnsi="Arial" w:cs="Arial"/>
          <w:sz w:val="18"/>
          <w:szCs w:val="18"/>
          <w:shd w:val="clear" w:color="auto" w:fill="FFFFFF" w:themeFill="background1"/>
          <w:lang w:val="fr-FR"/>
        </w:rPr>
        <w:t xml:space="preserve"> </w:t>
      </w:r>
      <w:hyperlink r:id="rId239" w:history="1">
        <w:r w:rsidRPr="00720D91">
          <w:rPr>
            <w:rStyle w:val="Hyperlink"/>
            <w:rFonts w:ascii="Arial" w:hAnsi="Arial" w:cs="Arial"/>
            <w:i/>
            <w:iCs/>
            <w:color w:val="auto"/>
            <w:sz w:val="18"/>
            <w:szCs w:val="18"/>
            <w:shd w:val="clear" w:color="auto" w:fill="FFFFFF" w:themeFill="background1"/>
            <w:lang w:val="fr-FR"/>
          </w:rPr>
          <w:t>Géorgie c. Russie (I),</w:t>
        </w:r>
      </w:hyperlink>
      <w:r w:rsidRPr="00720D91">
        <w:rPr>
          <w:sz w:val="18"/>
          <w:szCs w:val="18"/>
          <w:shd w:val="clear" w:color="auto" w:fill="FFFFFF" w:themeFill="background1"/>
          <w:lang w:val="fr-FR"/>
        </w:rPr>
        <w:t xml:space="preserve"> </w:t>
      </w:r>
      <w:r w:rsidRPr="00720D91">
        <w:rPr>
          <w:rFonts w:ascii="Arial" w:hAnsi="Arial" w:cs="Arial"/>
          <w:sz w:val="18"/>
          <w:szCs w:val="18"/>
          <w:shd w:val="clear" w:color="auto" w:fill="FFFFFF" w:themeFill="background1"/>
          <w:lang w:val="fr-FR"/>
        </w:rPr>
        <w:t xml:space="preserve">précité, § 94 ; </w:t>
      </w:r>
      <w:hyperlink r:id="rId240" w:history="1">
        <w:r w:rsidRPr="00720D91">
          <w:rPr>
            <w:rStyle w:val="Hyperlink"/>
            <w:rFonts w:ascii="Arial" w:hAnsi="Arial" w:cs="Arial"/>
            <w:i/>
            <w:iCs/>
            <w:color w:val="auto"/>
            <w:sz w:val="18"/>
            <w:szCs w:val="18"/>
            <w:shd w:val="clear" w:color="auto" w:fill="FFFFFF" w:themeFill="background1"/>
            <w:lang w:val="fr-FR"/>
          </w:rPr>
          <w:t xml:space="preserve">Ukraine c. Russie </w:t>
        </w:r>
      </w:hyperlink>
      <w:r w:rsidRPr="00720D91">
        <w:rPr>
          <w:rFonts w:ascii="Arial" w:hAnsi="Arial" w:cs="Arial"/>
          <w:i/>
          <w:iCs/>
          <w:sz w:val="18"/>
          <w:szCs w:val="18"/>
          <w:shd w:val="clear" w:color="auto" w:fill="FFFFFF" w:themeFill="background1"/>
          <w:lang w:val="fr-FR"/>
        </w:rPr>
        <w:t>(déc) [GC]</w:t>
      </w:r>
      <w:r w:rsidRPr="00720D91">
        <w:rPr>
          <w:rFonts w:ascii="Arial" w:hAnsi="Arial" w:cs="Arial"/>
          <w:sz w:val="18"/>
          <w:szCs w:val="18"/>
          <w:shd w:val="clear" w:color="auto" w:fill="FFFFFF" w:themeFill="background1"/>
          <w:lang w:val="fr-FR"/>
        </w:rPr>
        <w:t>, nos 20958/14 et 38334/18, § 257, 16 décembre 2020.</w:t>
      </w:r>
    </w:p>
  </w:footnote>
  <w:footnote w:id="165">
    <w:p w14:paraId="014CCF07" w14:textId="77777777" w:rsidR="00B41728" w:rsidRPr="00720D91" w:rsidRDefault="00B41728" w:rsidP="00F331F8">
      <w:pPr>
        <w:pStyle w:val="FootnoteText"/>
        <w:shd w:val="clear" w:color="auto" w:fill="FFFFFF" w:themeFill="background1"/>
        <w:rPr>
          <w:lang w:val="fr-FR"/>
        </w:rPr>
      </w:pPr>
      <w:r w:rsidRPr="0022321E">
        <w:rPr>
          <w:rStyle w:val="FootnoteReference"/>
          <w:shd w:val="clear" w:color="auto" w:fill="FFFFFF" w:themeFill="background1"/>
        </w:rPr>
        <w:footnoteRef/>
      </w:r>
      <w:r w:rsidRPr="00720D91">
        <w:rPr>
          <w:rFonts w:ascii="Arial" w:hAnsi="Arial" w:cs="Arial"/>
          <w:sz w:val="18"/>
          <w:szCs w:val="18"/>
          <w:shd w:val="clear" w:color="auto" w:fill="FFFFFF" w:themeFill="background1"/>
          <w:lang w:val="fr-FR"/>
        </w:rPr>
        <w:t xml:space="preserve"> </w:t>
      </w:r>
      <w:hyperlink r:id="rId241" w:history="1">
        <w:r w:rsidRPr="00720D91">
          <w:rPr>
            <w:rStyle w:val="Hyperlink"/>
            <w:rFonts w:ascii="Arial" w:hAnsi="Arial" w:cs="Arial"/>
            <w:i/>
            <w:iCs/>
            <w:color w:val="auto"/>
            <w:sz w:val="18"/>
            <w:szCs w:val="18"/>
            <w:shd w:val="clear" w:color="auto" w:fill="FFFFFF" w:themeFill="background1"/>
            <w:lang w:val="fr-FR"/>
          </w:rPr>
          <w:t xml:space="preserve">Ukraine c. Russie </w:t>
        </w:r>
      </w:hyperlink>
      <w:r w:rsidRPr="00720D91">
        <w:rPr>
          <w:rFonts w:ascii="Arial" w:hAnsi="Arial" w:cs="Arial"/>
          <w:i/>
          <w:iCs/>
          <w:sz w:val="18"/>
          <w:szCs w:val="18"/>
          <w:shd w:val="clear" w:color="auto" w:fill="FFFFFF" w:themeFill="background1"/>
          <w:lang w:val="fr-FR"/>
        </w:rPr>
        <w:t>(déc)</w:t>
      </w:r>
      <w:r w:rsidRPr="00720D91">
        <w:rPr>
          <w:rFonts w:ascii="Arial" w:hAnsi="Arial" w:cs="Arial"/>
          <w:sz w:val="18"/>
          <w:szCs w:val="18"/>
          <w:shd w:val="clear" w:color="auto" w:fill="FFFFFF" w:themeFill="background1"/>
          <w:lang w:val="fr-FR"/>
        </w:rPr>
        <w:t>, nos 20958/14 et 38334/18 § 257, 16 décembre 2020.</w:t>
      </w:r>
    </w:p>
  </w:footnote>
  <w:footnote w:id="166">
    <w:p w14:paraId="7AAEDEEF" w14:textId="77777777" w:rsidR="00B41728" w:rsidRPr="00720D91" w:rsidRDefault="00B41728" w:rsidP="00F331F8">
      <w:pPr>
        <w:pStyle w:val="FootnoteText"/>
        <w:shd w:val="clear" w:color="auto" w:fill="FFFFFF" w:themeFill="background1"/>
        <w:jc w:val="both"/>
        <w:rPr>
          <w:lang w:val="fr-FR"/>
        </w:rPr>
      </w:pPr>
      <w:r w:rsidRPr="0022321E">
        <w:rPr>
          <w:rStyle w:val="FootnoteReference"/>
          <w:rFonts w:ascii="Arial" w:hAnsi="Arial" w:cs="Arial"/>
          <w:sz w:val="18"/>
          <w:szCs w:val="18"/>
          <w:shd w:val="clear" w:color="auto" w:fill="FFFFFF" w:themeFill="background1"/>
        </w:rPr>
        <w:footnoteRef/>
      </w:r>
      <w:r w:rsidRPr="00720D91">
        <w:rPr>
          <w:rFonts w:ascii="Arial" w:hAnsi="Arial" w:cs="Arial"/>
          <w:sz w:val="18"/>
          <w:szCs w:val="18"/>
          <w:shd w:val="clear" w:color="auto" w:fill="FFFFFF" w:themeFill="background1"/>
          <w:lang w:val="fr-FR"/>
        </w:rPr>
        <w:t xml:space="preserve"> </w:t>
      </w:r>
      <w:hyperlink r:id="rId242" w:anchor="{%22itemid%22:[%22001-62064%22]}" w:history="1">
        <w:r w:rsidRPr="00720D91">
          <w:rPr>
            <w:rStyle w:val="Hyperlink"/>
            <w:rFonts w:ascii="Arial" w:hAnsi="Arial" w:cs="Arial"/>
            <w:i/>
            <w:color w:val="auto"/>
            <w:sz w:val="18"/>
            <w:szCs w:val="18"/>
            <w:shd w:val="clear" w:color="auto" w:fill="FFFFFF" w:themeFill="background1"/>
            <w:lang w:val="fr-FR"/>
          </w:rPr>
          <w:t>Irlande c. Royaume-Uni</w:t>
        </w:r>
      </w:hyperlink>
      <w:r w:rsidRPr="00720D91">
        <w:rPr>
          <w:rFonts w:ascii="Arial" w:hAnsi="Arial" w:cs="Arial"/>
          <w:sz w:val="18"/>
          <w:szCs w:val="18"/>
          <w:shd w:val="clear" w:color="auto" w:fill="FFFFFF" w:themeFill="background1"/>
          <w:lang w:val="fr-FR"/>
        </w:rPr>
        <w:t xml:space="preserve">, 18 janvier 1978, § 161 ; </w:t>
      </w:r>
      <w:hyperlink r:id="rId243" w:anchor="{%22itemid%22:[%22001-64012%22]}" w:history="1">
        <w:r w:rsidRPr="00720D91">
          <w:rPr>
            <w:rStyle w:val="Hyperlink"/>
            <w:rFonts w:ascii="Arial" w:hAnsi="Arial" w:cs="Arial"/>
            <w:i/>
            <w:color w:val="auto"/>
            <w:sz w:val="18"/>
            <w:szCs w:val="18"/>
            <w:shd w:val="clear" w:color="auto" w:fill="FFFFFF" w:themeFill="background1"/>
            <w:lang w:val="fr-FR"/>
          </w:rPr>
          <w:t>Chypre c. Turquie</w:t>
        </w:r>
      </w:hyperlink>
      <w:r w:rsidRPr="00720D91">
        <w:rPr>
          <w:rFonts w:ascii="Arial" w:hAnsi="Arial" w:cs="Arial"/>
          <w:i/>
          <w:sz w:val="18"/>
          <w:szCs w:val="18"/>
          <w:shd w:val="clear" w:color="auto" w:fill="FFFFFF" w:themeFill="background1"/>
          <w:lang w:val="fr-FR"/>
        </w:rPr>
        <w:t xml:space="preserve"> </w:t>
      </w:r>
      <w:r w:rsidRPr="00720D91">
        <w:rPr>
          <w:rFonts w:ascii="Arial" w:hAnsi="Arial" w:cs="Arial"/>
          <w:sz w:val="18"/>
          <w:szCs w:val="18"/>
          <w:shd w:val="clear" w:color="auto" w:fill="FFFFFF" w:themeFill="background1"/>
          <w:lang w:val="fr-FR"/>
        </w:rPr>
        <w:t xml:space="preserve">[GC], n° 25781/94, § 113 ; </w:t>
      </w:r>
      <w:hyperlink r:id="rId244" w:history="1">
        <w:r w:rsidRPr="00720D91">
          <w:rPr>
            <w:rStyle w:val="Hyperlink"/>
            <w:rFonts w:ascii="Arial" w:hAnsi="Arial" w:cs="Arial"/>
            <w:i/>
            <w:color w:val="auto"/>
            <w:sz w:val="18"/>
            <w:szCs w:val="18"/>
            <w:shd w:val="clear" w:color="auto" w:fill="FFFFFF" w:themeFill="background1"/>
            <w:lang w:val="fr-FR"/>
          </w:rPr>
          <w:t xml:space="preserve">Géorgie c. Russie </w:t>
        </w:r>
        <w:r w:rsidRPr="00720D91">
          <w:rPr>
            <w:rStyle w:val="Hyperlink"/>
            <w:rFonts w:ascii="Arial" w:hAnsi="Arial" w:cs="Arial"/>
            <w:color w:val="auto"/>
            <w:sz w:val="18"/>
            <w:szCs w:val="18"/>
            <w:shd w:val="clear" w:color="auto" w:fill="FFFFFF" w:themeFill="background1"/>
            <w:lang w:val="fr-FR"/>
          </w:rPr>
          <w:t>(I)</w:t>
        </w:r>
      </w:hyperlink>
      <w:r w:rsidRPr="00720D91">
        <w:rPr>
          <w:rFonts w:ascii="Arial" w:hAnsi="Arial" w:cs="Arial"/>
          <w:sz w:val="18"/>
          <w:szCs w:val="18"/>
          <w:shd w:val="clear" w:color="auto" w:fill="FFFFFF" w:themeFill="background1"/>
          <w:lang w:val="fr-FR"/>
        </w:rPr>
        <w:t xml:space="preserve">, précité, § 95 ; </w:t>
      </w:r>
      <w:hyperlink r:id="rId245" w:history="1">
        <w:r w:rsidRPr="00720D91">
          <w:rPr>
            <w:rStyle w:val="Hyperlink"/>
            <w:rFonts w:ascii="Arial" w:hAnsi="Arial" w:cs="Arial"/>
            <w:i/>
            <w:iCs/>
            <w:color w:val="auto"/>
            <w:sz w:val="18"/>
            <w:szCs w:val="18"/>
            <w:shd w:val="clear" w:color="auto" w:fill="FFFFFF" w:themeFill="background1"/>
            <w:lang w:val="fr-FR"/>
          </w:rPr>
          <w:t xml:space="preserve">Géorgie c. Russie </w:t>
        </w:r>
      </w:hyperlink>
      <w:r w:rsidRPr="00720D91">
        <w:rPr>
          <w:rFonts w:ascii="Arial" w:hAnsi="Arial" w:cs="Arial"/>
          <w:sz w:val="18"/>
          <w:szCs w:val="18"/>
          <w:shd w:val="clear" w:color="auto" w:fill="FFFFFF" w:themeFill="background1"/>
          <w:lang w:val="fr-FR"/>
        </w:rPr>
        <w:t>(II) (fond) n° 38263/08, § 59, 21 janvier 2021.</w:t>
      </w:r>
    </w:p>
  </w:footnote>
  <w:footnote w:id="167">
    <w:p w14:paraId="21AB7B27" w14:textId="77777777" w:rsidR="00B41728" w:rsidRPr="00720D91" w:rsidRDefault="00B41728" w:rsidP="00F331F8">
      <w:pPr>
        <w:pStyle w:val="FootnoteText"/>
        <w:shd w:val="clear" w:color="auto" w:fill="FFFFFF" w:themeFill="background1"/>
        <w:jc w:val="both"/>
        <w:rPr>
          <w:lang w:val="fr-FR"/>
        </w:rPr>
      </w:pPr>
      <w:r w:rsidRPr="0022321E">
        <w:rPr>
          <w:rStyle w:val="FootnoteReference"/>
          <w:shd w:val="clear" w:color="auto" w:fill="FFFFFF" w:themeFill="background1"/>
        </w:rPr>
        <w:footnoteRef/>
      </w:r>
      <w:r w:rsidRPr="00720D91">
        <w:rPr>
          <w:rFonts w:ascii="Arial" w:hAnsi="Arial" w:cs="Arial"/>
          <w:sz w:val="18"/>
          <w:szCs w:val="18"/>
          <w:shd w:val="clear" w:color="auto" w:fill="FFFFFF" w:themeFill="background1"/>
          <w:lang w:val="fr-FR"/>
        </w:rPr>
        <w:t xml:space="preserve"> </w:t>
      </w:r>
      <w:hyperlink r:id="rId246" w:anchor="{&quot;tabview&quot;:[&quot;document&quot;],&quot;itemid&quot;:[&quot;001-57506&quot;]}" w:history="1">
        <w:r w:rsidRPr="00720D91">
          <w:rPr>
            <w:rStyle w:val="Hyperlink"/>
            <w:rFonts w:ascii="Arial" w:hAnsi="Arial" w:cs="Arial"/>
            <w:i/>
            <w:color w:val="auto"/>
            <w:sz w:val="18"/>
            <w:szCs w:val="18"/>
            <w:shd w:val="clear" w:color="auto" w:fill="FFFFFF" w:themeFill="background1"/>
            <w:lang w:val="fr-FR"/>
          </w:rPr>
          <w:t>Irlande c. Royaume-Uni</w:t>
        </w:r>
      </w:hyperlink>
      <w:r w:rsidRPr="00720D91">
        <w:rPr>
          <w:rFonts w:ascii="Arial" w:hAnsi="Arial" w:cs="Arial"/>
          <w:sz w:val="18"/>
          <w:szCs w:val="18"/>
          <w:shd w:val="clear" w:color="auto" w:fill="FFFFFF" w:themeFill="background1"/>
          <w:lang w:val="fr-FR"/>
        </w:rPr>
        <w:t xml:space="preserve">, no. 5310/71, § 161, 18 janvier 1978 ; </w:t>
      </w:r>
      <w:hyperlink r:id="rId247" w:history="1">
        <w:r w:rsidRPr="00720D91">
          <w:rPr>
            <w:rStyle w:val="Hyperlink"/>
            <w:rFonts w:ascii="Arial" w:hAnsi="Arial" w:cs="Arial"/>
            <w:i/>
            <w:color w:val="auto"/>
            <w:sz w:val="18"/>
            <w:szCs w:val="18"/>
            <w:shd w:val="clear" w:color="auto" w:fill="FFFFFF" w:themeFill="background1"/>
            <w:lang w:val="fr-FR"/>
          </w:rPr>
          <w:t xml:space="preserve">Géorgie c. Russie </w:t>
        </w:r>
        <w:r w:rsidRPr="00720D91">
          <w:rPr>
            <w:rStyle w:val="Hyperlink"/>
            <w:rFonts w:ascii="Arial" w:hAnsi="Arial" w:cs="Arial"/>
            <w:color w:val="auto"/>
            <w:sz w:val="18"/>
            <w:szCs w:val="18"/>
            <w:shd w:val="clear" w:color="auto" w:fill="FFFFFF" w:themeFill="background1"/>
            <w:lang w:val="fr-FR"/>
          </w:rPr>
          <w:t>(I)</w:t>
        </w:r>
      </w:hyperlink>
      <w:r w:rsidRPr="00720D91">
        <w:rPr>
          <w:rFonts w:ascii="Arial" w:hAnsi="Arial" w:cs="Arial"/>
          <w:sz w:val="18"/>
          <w:szCs w:val="18"/>
          <w:shd w:val="clear" w:color="auto" w:fill="FFFFFF" w:themeFill="background1"/>
          <w:lang w:val="fr-FR"/>
        </w:rPr>
        <w:t xml:space="preserve">, précité, § 95 ; </w:t>
      </w:r>
      <w:hyperlink r:id="rId248" w:history="1">
        <w:r w:rsidRPr="00720D91">
          <w:rPr>
            <w:rFonts w:ascii="Arial" w:hAnsi="Arial" w:cs="Arial"/>
            <w:i/>
            <w:iCs/>
            <w:sz w:val="18"/>
            <w:szCs w:val="18"/>
            <w:u w:val="single"/>
            <w:shd w:val="clear" w:color="auto" w:fill="FFFFFF" w:themeFill="background1"/>
            <w:lang w:val="fr-FR"/>
          </w:rPr>
          <w:t xml:space="preserve">Géorgie c. Russie </w:t>
        </w:r>
      </w:hyperlink>
      <w:r w:rsidRPr="00720D91">
        <w:rPr>
          <w:rFonts w:ascii="Arial" w:hAnsi="Arial" w:cs="Arial"/>
          <w:sz w:val="18"/>
          <w:szCs w:val="18"/>
          <w:u w:val="single"/>
          <w:shd w:val="clear" w:color="auto" w:fill="FFFFFF" w:themeFill="background1"/>
          <w:lang w:val="fr-FR"/>
        </w:rPr>
        <w:t xml:space="preserve">(II) (fond) </w:t>
      </w:r>
      <w:r w:rsidRPr="00720D91">
        <w:rPr>
          <w:rFonts w:ascii="Arial" w:hAnsi="Arial" w:cs="Arial"/>
          <w:sz w:val="18"/>
          <w:szCs w:val="18"/>
          <w:shd w:val="clear" w:color="auto" w:fill="FFFFFF" w:themeFill="background1"/>
          <w:lang w:val="fr-FR"/>
        </w:rPr>
        <w:t>n° 38263/08, § 59, 21 janvier 2021.</w:t>
      </w:r>
    </w:p>
  </w:footnote>
  <w:footnote w:id="168">
    <w:p w14:paraId="4AA03DA4" w14:textId="77777777" w:rsidR="00B41728" w:rsidRPr="00720D91" w:rsidRDefault="00B41728" w:rsidP="00F331F8">
      <w:pPr>
        <w:pStyle w:val="FootnoteText"/>
        <w:shd w:val="clear" w:color="auto" w:fill="FFFFFF" w:themeFill="background1"/>
        <w:rPr>
          <w:lang w:val="fr-FR"/>
        </w:rPr>
      </w:pPr>
      <w:r w:rsidRPr="0022321E">
        <w:rPr>
          <w:rStyle w:val="FootnoteReference"/>
          <w:shd w:val="clear" w:color="auto" w:fill="FFFFFF" w:themeFill="background1"/>
        </w:rPr>
        <w:footnoteRef/>
      </w:r>
      <w:r w:rsidRPr="00720D91">
        <w:rPr>
          <w:rFonts w:ascii="Arial" w:hAnsi="Arial" w:cs="Arial"/>
          <w:sz w:val="18"/>
          <w:szCs w:val="18"/>
          <w:shd w:val="clear" w:color="auto" w:fill="FFFFFF" w:themeFill="background1"/>
          <w:lang w:val="fr-FR"/>
        </w:rPr>
        <w:t xml:space="preserve"> Chypre c. Turquie (fond) [GC], n° 25781/94, § 116.</w:t>
      </w:r>
      <w:r w:rsidRPr="00720D91">
        <w:rPr>
          <w:rFonts w:ascii="Arial" w:hAnsi="Arial" w:cs="Arial"/>
          <w:b/>
          <w:bCs/>
          <w:sz w:val="18"/>
          <w:szCs w:val="18"/>
          <w:shd w:val="clear" w:color="auto" w:fill="D9D9D9" w:themeFill="background1" w:themeFillShade="D9"/>
          <w:lang w:val="fr-FR"/>
        </w:rPr>
        <w:t xml:space="preserve"> </w:t>
      </w:r>
    </w:p>
  </w:footnote>
  <w:footnote w:id="169">
    <w:p w14:paraId="00699872" w14:textId="77777777" w:rsidR="00B41728" w:rsidRPr="00405792" w:rsidRDefault="00B41728" w:rsidP="00F331F8">
      <w:pPr>
        <w:pStyle w:val="NoSpacing"/>
        <w:shd w:val="clear" w:color="auto" w:fill="FFFFFF" w:themeFill="background1"/>
        <w:jc w:val="both"/>
        <w:rPr>
          <w:rFonts w:ascii="Arial" w:hAnsi="Arial" w:cs="Arial"/>
          <w:bCs/>
          <w:sz w:val="18"/>
          <w:szCs w:val="18"/>
        </w:rPr>
      </w:pPr>
      <w:r w:rsidRPr="00405792">
        <w:rPr>
          <w:rStyle w:val="FootnoteReference"/>
          <w:rFonts w:ascii="Arial" w:hAnsi="Arial" w:cs="Arial"/>
          <w:bCs/>
          <w:sz w:val="18"/>
          <w:szCs w:val="18"/>
        </w:rPr>
        <w:footnoteRef/>
      </w:r>
      <w:r w:rsidRPr="00405792">
        <w:rPr>
          <w:rFonts w:ascii="Arial" w:hAnsi="Arial" w:cs="Arial"/>
          <w:bCs/>
          <w:sz w:val="18"/>
          <w:szCs w:val="18"/>
        </w:rPr>
        <w:t xml:space="preserve"> </w:t>
      </w:r>
      <w:bookmarkStart w:id="48" w:name="_Hlk67308998"/>
      <w:r w:rsidRPr="00405792">
        <w:rPr>
          <w:rFonts w:ascii="Arial" w:hAnsi="Arial" w:cs="Arial"/>
          <w:bCs/>
          <w:i/>
          <w:sz w:val="18"/>
          <w:szCs w:val="18"/>
          <w:u w:val="single"/>
        </w:rPr>
        <w:fldChar w:fldCharType="begin"/>
      </w:r>
      <w:r>
        <w:rPr>
          <w:rFonts w:ascii="Arial" w:hAnsi="Arial" w:cs="Arial"/>
          <w:bCs/>
          <w:i/>
          <w:sz w:val="18"/>
          <w:szCs w:val="18"/>
          <w:u w:val="single"/>
        </w:rPr>
        <w:instrText>HYPERLINK</w:instrText>
      </w:r>
      <w:r w:rsidRPr="00405792">
        <w:rPr>
          <w:rFonts w:ascii="Arial" w:hAnsi="Arial" w:cs="Arial"/>
          <w:bCs/>
          <w:i/>
          <w:sz w:val="18"/>
          <w:szCs w:val="18"/>
          <w:u w:val="single"/>
        </w:rPr>
        <w:instrText xml:space="preserve"> "http://hudoc.echr.coe.int/eng?i=001-93426"</w:instrText>
      </w:r>
      <w:r w:rsidRPr="00405792">
        <w:rPr>
          <w:rFonts w:ascii="Arial" w:hAnsi="Arial" w:cs="Arial"/>
          <w:bCs/>
          <w:i/>
          <w:sz w:val="18"/>
          <w:szCs w:val="18"/>
          <w:u w:val="single"/>
        </w:rPr>
        <w:fldChar w:fldCharType="separate"/>
      </w:r>
      <w:r w:rsidRPr="00405792">
        <w:rPr>
          <w:rStyle w:val="Hyperlink"/>
          <w:rFonts w:ascii="Arial" w:eastAsiaTheme="majorEastAsia" w:hAnsi="Arial" w:cs="Arial"/>
          <w:i/>
          <w:color w:val="auto"/>
          <w:sz w:val="18"/>
          <w:szCs w:val="18"/>
        </w:rPr>
        <w:t>Géorgie c. Russie (I)</w:t>
      </w:r>
      <w:r w:rsidRPr="00405792">
        <w:rPr>
          <w:rFonts w:ascii="Arial" w:hAnsi="Arial" w:cs="Arial"/>
          <w:bCs/>
          <w:i/>
          <w:sz w:val="18"/>
          <w:szCs w:val="18"/>
          <w:u w:val="single"/>
        </w:rPr>
        <w:fldChar w:fldCharType="end"/>
      </w:r>
      <w:r w:rsidRPr="00405792">
        <w:rPr>
          <w:rFonts w:ascii="Arial" w:hAnsi="Arial" w:cs="Arial"/>
          <w:bCs/>
          <w:i/>
          <w:sz w:val="18"/>
          <w:szCs w:val="18"/>
          <w:u w:val="single"/>
        </w:rPr>
        <w:t xml:space="preserve"> </w:t>
      </w:r>
      <w:r w:rsidRPr="00405792">
        <w:rPr>
          <w:rFonts w:ascii="Arial" w:hAnsi="Arial" w:cs="Arial"/>
          <w:bCs/>
          <w:i/>
          <w:sz w:val="18"/>
          <w:szCs w:val="18"/>
        </w:rPr>
        <w:t xml:space="preserve">(déc.), </w:t>
      </w:r>
      <w:r w:rsidRPr="00405792">
        <w:rPr>
          <w:rFonts w:ascii="Arial" w:hAnsi="Arial" w:cs="Arial"/>
          <w:bCs/>
          <w:sz w:val="18"/>
          <w:szCs w:val="18"/>
        </w:rPr>
        <w:t xml:space="preserve">no 13255/07, § 48, 30 juin 2009 </w:t>
      </w:r>
      <w:bookmarkEnd w:id="48"/>
      <w:r w:rsidRPr="00405792">
        <w:rPr>
          <w:rFonts w:ascii="Arial" w:hAnsi="Arial" w:cs="Arial"/>
          <w:bCs/>
          <w:sz w:val="18"/>
          <w:szCs w:val="18"/>
        </w:rPr>
        <w:t xml:space="preserve">; </w:t>
      </w:r>
      <w:hyperlink r:id="rId249" w:history="1">
        <w:r w:rsidRPr="00405792">
          <w:rPr>
            <w:rStyle w:val="Hyperlink"/>
            <w:rFonts w:ascii="Arial" w:eastAsiaTheme="majorEastAsia" w:hAnsi="Arial" w:cs="Arial"/>
            <w:i/>
            <w:color w:val="auto"/>
            <w:sz w:val="18"/>
            <w:szCs w:val="18"/>
          </w:rPr>
          <w:t>Géorgie c. Russie</w:t>
        </w:r>
        <w:r w:rsidRPr="00405792">
          <w:rPr>
            <w:rStyle w:val="Hyperlink"/>
            <w:rFonts w:ascii="Arial" w:eastAsiaTheme="majorEastAsia" w:hAnsi="Arial" w:cs="Arial"/>
            <w:color w:val="auto"/>
            <w:sz w:val="18"/>
            <w:szCs w:val="18"/>
          </w:rPr>
          <w:t xml:space="preserve"> (II) (dec)</w:t>
        </w:r>
      </w:hyperlink>
      <w:r w:rsidRPr="00405792">
        <w:rPr>
          <w:rStyle w:val="Hyperlink"/>
          <w:rFonts w:ascii="Arial" w:eastAsiaTheme="majorEastAsia" w:hAnsi="Arial" w:cs="Arial"/>
          <w:color w:val="auto"/>
          <w:sz w:val="18"/>
          <w:szCs w:val="18"/>
        </w:rPr>
        <w:t>,</w:t>
      </w:r>
      <w:r w:rsidRPr="00405792">
        <w:rPr>
          <w:rFonts w:ascii="Arial" w:hAnsi="Arial" w:cs="Arial"/>
          <w:bCs/>
          <w:sz w:val="18"/>
          <w:szCs w:val="18"/>
        </w:rPr>
        <w:t xml:space="preserve"> n° 38263/08, §91.</w:t>
      </w:r>
    </w:p>
  </w:footnote>
  <w:footnote w:id="170">
    <w:p w14:paraId="6E09F50C" w14:textId="77777777" w:rsidR="00B41728" w:rsidRPr="00405792" w:rsidRDefault="00B41728" w:rsidP="00F331F8">
      <w:pPr>
        <w:pStyle w:val="NoSpacing"/>
        <w:shd w:val="clear" w:color="auto" w:fill="FFFFFF" w:themeFill="background1"/>
        <w:jc w:val="both"/>
        <w:rPr>
          <w:rFonts w:ascii="Arial" w:hAnsi="Arial" w:cs="Arial"/>
          <w:bCs/>
          <w:sz w:val="18"/>
          <w:szCs w:val="18"/>
        </w:rPr>
      </w:pPr>
      <w:r w:rsidRPr="00405792">
        <w:rPr>
          <w:rStyle w:val="FootnoteReference"/>
          <w:rFonts w:ascii="Arial" w:hAnsi="Arial" w:cs="Arial"/>
          <w:bCs/>
          <w:sz w:val="18"/>
          <w:szCs w:val="18"/>
        </w:rPr>
        <w:footnoteRef/>
      </w:r>
      <w:r w:rsidRPr="00405792">
        <w:rPr>
          <w:rFonts w:ascii="Arial" w:hAnsi="Arial" w:cs="Arial"/>
          <w:bCs/>
          <w:sz w:val="18"/>
          <w:szCs w:val="18"/>
        </w:rPr>
        <w:t xml:space="preserve"> </w:t>
      </w:r>
      <w:hyperlink r:id="rId250" w:history="1">
        <w:r w:rsidRPr="00405792">
          <w:rPr>
            <w:rStyle w:val="Hyperlink"/>
            <w:rFonts w:ascii="Arial" w:eastAsiaTheme="majorEastAsia" w:hAnsi="Arial" w:cs="Arial"/>
            <w:i/>
            <w:color w:val="auto"/>
            <w:sz w:val="18"/>
            <w:szCs w:val="18"/>
          </w:rPr>
          <w:t>Géorgie c. Russie (I)</w:t>
        </w:r>
      </w:hyperlink>
      <w:r w:rsidRPr="00405792">
        <w:rPr>
          <w:rFonts w:ascii="Arial" w:hAnsi="Arial" w:cs="Arial"/>
          <w:bCs/>
          <w:i/>
          <w:sz w:val="18"/>
          <w:szCs w:val="18"/>
          <w:u w:val="single"/>
        </w:rPr>
        <w:t xml:space="preserve"> </w:t>
      </w:r>
      <w:r w:rsidRPr="00405792">
        <w:rPr>
          <w:rFonts w:ascii="Arial" w:hAnsi="Arial" w:cs="Arial"/>
          <w:bCs/>
          <w:i/>
          <w:sz w:val="18"/>
          <w:szCs w:val="18"/>
        </w:rPr>
        <w:t xml:space="preserve">(déc.), </w:t>
      </w:r>
      <w:r w:rsidRPr="00405792">
        <w:rPr>
          <w:rFonts w:ascii="Arial" w:hAnsi="Arial" w:cs="Arial"/>
          <w:bCs/>
          <w:sz w:val="18"/>
          <w:szCs w:val="18"/>
        </w:rPr>
        <w:t xml:space="preserve">no 13255/07, § 48, 30 juin 2009 ; </w:t>
      </w:r>
      <w:hyperlink r:id="rId251" w:history="1">
        <w:r w:rsidRPr="00405792">
          <w:rPr>
            <w:rStyle w:val="Hyperlink"/>
            <w:rFonts w:ascii="Arial" w:eastAsiaTheme="majorEastAsia" w:hAnsi="Arial" w:cs="Arial"/>
            <w:i/>
            <w:color w:val="auto"/>
            <w:sz w:val="18"/>
            <w:szCs w:val="18"/>
          </w:rPr>
          <w:t>Géorgie c. Russie</w:t>
        </w:r>
        <w:r w:rsidRPr="00405792">
          <w:rPr>
            <w:rStyle w:val="Hyperlink"/>
            <w:rFonts w:ascii="Arial" w:eastAsiaTheme="majorEastAsia" w:hAnsi="Arial" w:cs="Arial"/>
            <w:color w:val="auto"/>
            <w:sz w:val="18"/>
            <w:szCs w:val="18"/>
          </w:rPr>
          <w:t xml:space="preserve"> (II) (dec)</w:t>
        </w:r>
      </w:hyperlink>
      <w:r w:rsidRPr="00405792">
        <w:rPr>
          <w:rStyle w:val="Hyperlink"/>
          <w:rFonts w:ascii="Arial" w:eastAsiaTheme="majorEastAsia" w:hAnsi="Arial" w:cs="Arial"/>
          <w:color w:val="auto"/>
          <w:sz w:val="18"/>
          <w:szCs w:val="18"/>
        </w:rPr>
        <w:t xml:space="preserve">, </w:t>
      </w:r>
      <w:r w:rsidRPr="00405792">
        <w:rPr>
          <w:rFonts w:ascii="Arial" w:hAnsi="Arial" w:cs="Arial"/>
          <w:bCs/>
          <w:sz w:val="18"/>
          <w:szCs w:val="18"/>
        </w:rPr>
        <w:t>n° 38263/08, §91.</w:t>
      </w:r>
    </w:p>
  </w:footnote>
  <w:footnote w:id="171">
    <w:p w14:paraId="0F0AD0F0" w14:textId="77777777" w:rsidR="00B41728" w:rsidRPr="00405792" w:rsidRDefault="00B41728" w:rsidP="00F331F8">
      <w:pPr>
        <w:pStyle w:val="NoSpacing"/>
        <w:shd w:val="clear" w:color="auto" w:fill="FFFFFF" w:themeFill="background1"/>
        <w:rPr>
          <w:rFonts w:ascii="Arial" w:hAnsi="Arial" w:cs="Arial"/>
          <w:bCs/>
          <w:sz w:val="18"/>
          <w:szCs w:val="18"/>
        </w:rPr>
      </w:pPr>
      <w:r w:rsidRPr="00405792">
        <w:rPr>
          <w:rStyle w:val="FootnoteReference"/>
          <w:rFonts w:ascii="Arial" w:hAnsi="Arial" w:cs="Arial"/>
          <w:bCs/>
          <w:sz w:val="18"/>
          <w:szCs w:val="18"/>
        </w:rPr>
        <w:footnoteRef/>
      </w:r>
      <w:r w:rsidRPr="00405792">
        <w:rPr>
          <w:rFonts w:ascii="Arial" w:hAnsi="Arial" w:cs="Arial"/>
          <w:bCs/>
          <w:i/>
          <w:sz w:val="18"/>
          <w:szCs w:val="18"/>
          <w:u w:val="single"/>
        </w:rPr>
        <w:t xml:space="preserve"> Chypre c. Turquie (fond) [GC], </w:t>
      </w:r>
      <w:r w:rsidRPr="00405792">
        <w:rPr>
          <w:rFonts w:ascii="Arial" w:hAnsi="Arial" w:cs="Arial"/>
          <w:bCs/>
          <w:sz w:val="18"/>
          <w:szCs w:val="18"/>
        </w:rPr>
        <w:t>n° 25781/94, § 116.</w:t>
      </w:r>
    </w:p>
  </w:footnote>
  <w:footnote w:id="172">
    <w:p w14:paraId="2CFE478D" w14:textId="77777777" w:rsidR="00B41728" w:rsidRPr="00405792" w:rsidRDefault="00B41728" w:rsidP="00F331F8">
      <w:pPr>
        <w:pStyle w:val="NoSpacing"/>
        <w:shd w:val="clear" w:color="auto" w:fill="FFFFFF" w:themeFill="background1"/>
        <w:jc w:val="both"/>
        <w:rPr>
          <w:rFonts w:ascii="Arial" w:hAnsi="Arial" w:cs="Arial"/>
          <w:bCs/>
          <w:i/>
          <w:sz w:val="18"/>
          <w:szCs w:val="18"/>
        </w:rPr>
      </w:pPr>
      <w:r w:rsidRPr="00405792">
        <w:rPr>
          <w:rStyle w:val="FootnoteReference"/>
          <w:rFonts w:ascii="Arial" w:hAnsi="Arial" w:cs="Arial"/>
          <w:bCs/>
          <w:sz w:val="18"/>
          <w:szCs w:val="18"/>
        </w:rPr>
        <w:footnoteRef/>
      </w:r>
      <w:r w:rsidRPr="00405792">
        <w:rPr>
          <w:rFonts w:ascii="Arial" w:hAnsi="Arial" w:cs="Arial"/>
          <w:bCs/>
          <w:sz w:val="18"/>
          <w:szCs w:val="18"/>
        </w:rPr>
        <w:t xml:space="preserve"> </w:t>
      </w:r>
      <w:hyperlink r:id="rId252" w:history="1">
        <w:r w:rsidRPr="00405792">
          <w:rPr>
            <w:rStyle w:val="Hyperlink"/>
            <w:rFonts w:ascii="Arial" w:eastAsiaTheme="majorEastAsia" w:hAnsi="Arial" w:cs="Arial"/>
            <w:i/>
            <w:color w:val="auto"/>
            <w:sz w:val="18"/>
            <w:szCs w:val="18"/>
          </w:rPr>
          <w:t>Géorgie c. Russie (I)</w:t>
        </w:r>
      </w:hyperlink>
      <w:r w:rsidRPr="00405792">
        <w:rPr>
          <w:rFonts w:ascii="Arial" w:hAnsi="Arial" w:cs="Arial"/>
          <w:bCs/>
          <w:i/>
          <w:sz w:val="18"/>
          <w:szCs w:val="18"/>
          <w:u w:val="single"/>
        </w:rPr>
        <w:t xml:space="preserve"> </w:t>
      </w:r>
      <w:r w:rsidRPr="00405792">
        <w:rPr>
          <w:rFonts w:ascii="Arial" w:hAnsi="Arial" w:cs="Arial"/>
          <w:bCs/>
          <w:i/>
          <w:sz w:val="18"/>
          <w:szCs w:val="18"/>
        </w:rPr>
        <w:t xml:space="preserve">(déc.), </w:t>
      </w:r>
      <w:r w:rsidRPr="00405792">
        <w:rPr>
          <w:rFonts w:ascii="Arial" w:hAnsi="Arial" w:cs="Arial"/>
          <w:bCs/>
          <w:sz w:val="18"/>
          <w:szCs w:val="18"/>
        </w:rPr>
        <w:t xml:space="preserve">n° 13255/07, § 48, 30 juin 2009 ; </w:t>
      </w:r>
      <w:hyperlink r:id="rId253" w:history="1">
        <w:r w:rsidRPr="00405792">
          <w:rPr>
            <w:rStyle w:val="Hyperlink"/>
            <w:rFonts w:ascii="Arial" w:eastAsiaTheme="majorEastAsia" w:hAnsi="Arial" w:cs="Arial"/>
            <w:i/>
            <w:color w:val="auto"/>
            <w:sz w:val="18"/>
            <w:szCs w:val="18"/>
          </w:rPr>
          <w:t>Géorgie c. Russie</w:t>
        </w:r>
        <w:r w:rsidRPr="00405792">
          <w:rPr>
            <w:rStyle w:val="Hyperlink"/>
            <w:rFonts w:ascii="Arial" w:eastAsiaTheme="majorEastAsia" w:hAnsi="Arial" w:cs="Arial"/>
            <w:color w:val="auto"/>
            <w:sz w:val="18"/>
            <w:szCs w:val="18"/>
          </w:rPr>
          <w:t xml:space="preserve"> (II) (dec)</w:t>
        </w:r>
      </w:hyperlink>
      <w:r w:rsidRPr="00405792">
        <w:rPr>
          <w:rFonts w:ascii="Arial" w:hAnsi="Arial" w:cs="Arial"/>
          <w:sz w:val="18"/>
          <w:szCs w:val="18"/>
        </w:rPr>
        <w:t xml:space="preserve">, </w:t>
      </w:r>
      <w:r w:rsidRPr="00405792">
        <w:rPr>
          <w:rFonts w:ascii="Arial" w:hAnsi="Arial" w:cs="Arial"/>
          <w:bCs/>
          <w:sz w:val="18"/>
          <w:szCs w:val="18"/>
        </w:rPr>
        <w:t>n° 38263/08, §91.</w:t>
      </w:r>
    </w:p>
  </w:footnote>
  <w:footnote w:id="173">
    <w:p w14:paraId="320BC730" w14:textId="77777777" w:rsidR="00B41728" w:rsidRPr="00405792" w:rsidRDefault="00B41728" w:rsidP="00F331F8">
      <w:pPr>
        <w:pStyle w:val="NoSpacing"/>
        <w:shd w:val="clear" w:color="auto" w:fill="FFFFFF" w:themeFill="background1"/>
        <w:rPr>
          <w:rFonts w:ascii="Arial" w:hAnsi="Arial" w:cs="Arial"/>
          <w:bCs/>
          <w:sz w:val="18"/>
          <w:szCs w:val="18"/>
        </w:rPr>
      </w:pPr>
      <w:r w:rsidRPr="00405792">
        <w:rPr>
          <w:rStyle w:val="FootnoteReference"/>
          <w:rFonts w:ascii="Arial" w:hAnsi="Arial" w:cs="Arial"/>
          <w:bCs/>
          <w:sz w:val="18"/>
          <w:szCs w:val="18"/>
        </w:rPr>
        <w:footnoteRef/>
      </w:r>
      <w:r w:rsidRPr="00405792">
        <w:rPr>
          <w:rFonts w:ascii="Arial" w:hAnsi="Arial" w:cs="Arial"/>
          <w:bCs/>
          <w:i/>
          <w:sz w:val="18"/>
          <w:szCs w:val="18"/>
          <w:u w:val="single"/>
        </w:rPr>
        <w:t xml:space="preserve"> Chypre c. Turquie (fond) [GC], </w:t>
      </w:r>
      <w:r w:rsidRPr="00405792">
        <w:rPr>
          <w:rFonts w:ascii="Arial" w:hAnsi="Arial" w:cs="Arial"/>
          <w:bCs/>
          <w:sz w:val="18"/>
          <w:szCs w:val="18"/>
        </w:rPr>
        <w:t>n° 25781/94, § 116.</w:t>
      </w:r>
    </w:p>
  </w:footnote>
  <w:footnote w:id="174">
    <w:p w14:paraId="08E5438C" w14:textId="77777777" w:rsidR="00B41728" w:rsidRPr="004A17D4" w:rsidRDefault="00B41728" w:rsidP="00F331F8">
      <w:pPr>
        <w:pStyle w:val="NoSpacing"/>
        <w:shd w:val="clear" w:color="auto" w:fill="FFFFFF" w:themeFill="background1"/>
      </w:pPr>
      <w:r w:rsidRPr="00405792">
        <w:rPr>
          <w:rStyle w:val="FootnoteReference"/>
          <w:rFonts w:ascii="Arial" w:hAnsi="Arial" w:cs="Arial"/>
          <w:bCs/>
          <w:sz w:val="18"/>
          <w:szCs w:val="18"/>
        </w:rPr>
        <w:footnoteRef/>
      </w:r>
      <w:r w:rsidRPr="00405792">
        <w:rPr>
          <w:rFonts w:ascii="Arial" w:hAnsi="Arial" w:cs="Arial"/>
          <w:bCs/>
          <w:i/>
          <w:sz w:val="18"/>
          <w:szCs w:val="18"/>
          <w:u w:val="single"/>
        </w:rPr>
        <w:t xml:space="preserve"> Chypre c. Turquie (fond) [GC], </w:t>
      </w:r>
      <w:r w:rsidRPr="00405792">
        <w:rPr>
          <w:rFonts w:ascii="Arial" w:hAnsi="Arial" w:cs="Arial"/>
          <w:bCs/>
          <w:sz w:val="18"/>
          <w:szCs w:val="18"/>
        </w:rPr>
        <w:t>n° 25781/94, § 116.</w:t>
      </w:r>
    </w:p>
  </w:footnote>
  <w:footnote w:id="175">
    <w:p w14:paraId="5E5D13CB" w14:textId="77777777" w:rsidR="00B41728" w:rsidRPr="00720D91" w:rsidRDefault="00B41728" w:rsidP="00F331F8">
      <w:pPr>
        <w:pStyle w:val="FootnoteText"/>
        <w:shd w:val="clear" w:color="auto" w:fill="FFFFFF" w:themeFill="background1"/>
        <w:rPr>
          <w:bCs/>
          <w:lang w:val="fr-FR"/>
        </w:rPr>
      </w:pPr>
      <w:r w:rsidRPr="00405792">
        <w:rPr>
          <w:rStyle w:val="FootnoteReference"/>
          <w:bCs/>
        </w:rPr>
        <w:footnoteRef/>
      </w:r>
      <w:r w:rsidRPr="00720D91">
        <w:rPr>
          <w:rFonts w:ascii="Arial" w:hAnsi="Arial" w:cs="Arial"/>
          <w:bCs/>
          <w:sz w:val="18"/>
          <w:szCs w:val="18"/>
          <w:lang w:val="fr-FR"/>
        </w:rPr>
        <w:t xml:space="preserve"> </w:t>
      </w:r>
      <w:bookmarkStart w:id="49" w:name="_Hlk67309303"/>
      <w:r w:rsidRPr="00405792">
        <w:fldChar w:fldCharType="begin"/>
      </w:r>
      <w:r w:rsidRPr="00720D91">
        <w:rPr>
          <w:lang w:val="fr-FR"/>
        </w:rPr>
        <w:instrText>HYPERLINK "http://hudoc.echr.coe.int/eng?i=001-189852"</w:instrText>
      </w:r>
      <w:r w:rsidRPr="00405792">
        <w:fldChar w:fldCharType="separate"/>
      </w:r>
      <w:r w:rsidRPr="00720D91">
        <w:rPr>
          <w:rStyle w:val="Hyperlink"/>
          <w:rFonts w:ascii="Arial" w:hAnsi="Arial" w:cs="Arial"/>
          <w:i/>
          <w:color w:val="auto"/>
          <w:sz w:val="18"/>
          <w:szCs w:val="18"/>
          <w:lang w:val="fr-FR"/>
        </w:rPr>
        <w:t xml:space="preserve">Géorgie c. Russie </w:t>
      </w:r>
      <w:r w:rsidRPr="00720D91">
        <w:rPr>
          <w:rStyle w:val="Hyperlink"/>
          <w:rFonts w:ascii="Arial" w:hAnsi="Arial" w:cs="Arial"/>
          <w:color w:val="auto"/>
          <w:sz w:val="18"/>
          <w:szCs w:val="18"/>
          <w:lang w:val="fr-FR"/>
        </w:rPr>
        <w:t>(I) (satisfaction équitable)</w:t>
      </w:r>
      <w:r w:rsidRPr="00405792">
        <w:rPr>
          <w:rStyle w:val="Hyperlink"/>
          <w:rFonts w:ascii="Arial" w:hAnsi="Arial" w:cs="Arial"/>
          <w:bCs/>
          <w:color w:val="auto"/>
          <w:sz w:val="18"/>
          <w:szCs w:val="18"/>
        </w:rPr>
        <w:fldChar w:fldCharType="end"/>
      </w:r>
      <w:r w:rsidRPr="00720D91">
        <w:rPr>
          <w:rFonts w:ascii="Arial" w:hAnsi="Arial" w:cs="Arial"/>
          <w:bCs/>
          <w:sz w:val="18"/>
          <w:szCs w:val="18"/>
          <w:lang w:val="fr-FR"/>
        </w:rPr>
        <w:t>, n° 13255/07, § 69, 31 janvier 2019.</w:t>
      </w:r>
      <w:bookmarkEnd w:id="49"/>
    </w:p>
  </w:footnote>
  <w:footnote w:id="176">
    <w:p w14:paraId="33CD4CF5" w14:textId="77777777" w:rsidR="00B41728" w:rsidRPr="00486B14" w:rsidRDefault="00B41728" w:rsidP="00F331F8">
      <w:pPr>
        <w:pStyle w:val="FootnoteText"/>
        <w:shd w:val="clear" w:color="auto" w:fill="FFFFFF" w:themeFill="background1"/>
        <w:jc w:val="both"/>
        <w:rPr>
          <w:rFonts w:ascii="Arial" w:hAnsi="Arial" w:cs="Arial"/>
          <w:bCs/>
          <w:color w:val="FF0000"/>
          <w:sz w:val="18"/>
          <w:szCs w:val="18"/>
          <w:shd w:val="clear" w:color="auto" w:fill="D9D9D9" w:themeFill="background1" w:themeFillShade="D9"/>
          <w:lang w:val="en-US"/>
        </w:rPr>
      </w:pPr>
      <w:r w:rsidRPr="00405792">
        <w:rPr>
          <w:rStyle w:val="FootnoteReference"/>
          <w:rFonts w:ascii="Arial" w:hAnsi="Arial" w:cs="Arial"/>
          <w:sz w:val="18"/>
          <w:szCs w:val="18"/>
        </w:rPr>
        <w:footnoteRef/>
      </w:r>
      <w:r w:rsidRPr="00872A89">
        <w:rPr>
          <w:rFonts w:ascii="Arial" w:hAnsi="Arial" w:cs="Arial"/>
          <w:bCs/>
          <w:sz w:val="18"/>
          <w:szCs w:val="18"/>
          <w:lang w:val="fr-FR"/>
        </w:rPr>
        <w:t xml:space="preserve"> </w:t>
      </w:r>
      <w:hyperlink r:id="rId254" w:history="1">
        <w:r w:rsidRPr="00720D91">
          <w:rPr>
            <w:rStyle w:val="Hyperlink"/>
            <w:rFonts w:ascii="Arial" w:hAnsi="Arial" w:cs="Arial"/>
            <w:i/>
            <w:color w:val="auto"/>
            <w:sz w:val="18"/>
            <w:szCs w:val="18"/>
            <w:lang w:val="fr-FR"/>
          </w:rPr>
          <w:t xml:space="preserve">Géorgie c. Russie </w:t>
        </w:r>
        <w:r w:rsidRPr="00720D91">
          <w:rPr>
            <w:rStyle w:val="Hyperlink"/>
            <w:rFonts w:ascii="Arial" w:hAnsi="Arial" w:cs="Arial"/>
            <w:color w:val="auto"/>
            <w:sz w:val="18"/>
            <w:szCs w:val="18"/>
            <w:lang w:val="fr-FR"/>
          </w:rPr>
          <w:t>(I)</w:t>
        </w:r>
      </w:hyperlink>
      <w:r w:rsidRPr="00720D91">
        <w:rPr>
          <w:rFonts w:ascii="Arial" w:hAnsi="Arial" w:cs="Arial"/>
          <w:sz w:val="18"/>
          <w:szCs w:val="18"/>
          <w:lang w:val="fr-FR"/>
        </w:rPr>
        <w:t>, précité, §§ 83-84</w:t>
      </w:r>
      <w:r w:rsidRPr="00720D91">
        <w:rPr>
          <w:rFonts w:ascii="Arial" w:hAnsi="Arial" w:cs="Arial"/>
          <w:sz w:val="18"/>
          <w:szCs w:val="18"/>
          <w:shd w:val="clear" w:color="auto" w:fill="FFFFFF" w:themeFill="background1"/>
          <w:lang w:val="fr-FR"/>
        </w:rPr>
        <w:t>.</w:t>
      </w:r>
      <w:bookmarkStart w:id="53" w:name="_Hlk63238899"/>
      <w:r w:rsidRPr="00720D91">
        <w:rPr>
          <w:rFonts w:ascii="Arial" w:hAnsi="Arial" w:cs="Arial"/>
          <w:bCs/>
          <w:sz w:val="18"/>
          <w:szCs w:val="18"/>
          <w:shd w:val="clear" w:color="auto" w:fill="FFFFFF" w:themeFill="background1"/>
          <w:lang w:val="fr-FR"/>
        </w:rPr>
        <w:t xml:space="preserve"> </w:t>
      </w:r>
      <w:hyperlink r:id="rId255" w:history="1">
        <w:r w:rsidRPr="00486B14">
          <w:rPr>
            <w:rStyle w:val="Hyperlink"/>
            <w:rFonts w:ascii="Arial" w:hAnsi="Arial" w:cs="Arial"/>
            <w:i/>
            <w:iCs/>
            <w:color w:val="auto"/>
            <w:sz w:val="18"/>
            <w:szCs w:val="18"/>
            <w:shd w:val="clear" w:color="auto" w:fill="FFFFFF" w:themeFill="background1"/>
            <w:lang w:val="en-US"/>
          </w:rPr>
          <w:t xml:space="preserve">Géorgie c. Russie </w:t>
        </w:r>
      </w:hyperlink>
      <w:r w:rsidRPr="00486B14">
        <w:rPr>
          <w:rFonts w:ascii="Arial" w:hAnsi="Arial" w:cs="Arial"/>
          <w:bCs/>
          <w:sz w:val="18"/>
          <w:szCs w:val="18"/>
          <w:shd w:val="clear" w:color="auto" w:fill="FFFFFF" w:themeFill="background1"/>
          <w:lang w:val="en-US"/>
        </w:rPr>
        <w:t>(II) (fond) n° 38263/08, §§ 63-66, 21 janvier 2021.</w:t>
      </w:r>
      <w:r w:rsidRPr="00486B14">
        <w:rPr>
          <w:rFonts w:ascii="Arial" w:hAnsi="Arial" w:cs="Arial"/>
          <w:bCs/>
          <w:sz w:val="18"/>
          <w:szCs w:val="18"/>
          <w:shd w:val="clear" w:color="auto" w:fill="D9D9D9" w:themeFill="background1" w:themeFillShade="D9"/>
          <w:lang w:val="en-US"/>
        </w:rPr>
        <w:t xml:space="preserve"> </w:t>
      </w:r>
      <w:bookmarkEnd w:id="53"/>
    </w:p>
  </w:footnote>
  <w:footnote w:id="177">
    <w:p w14:paraId="660E104B" w14:textId="77777777" w:rsidR="00B41728" w:rsidRPr="00720D91" w:rsidRDefault="00B41728" w:rsidP="00F331F8">
      <w:pPr>
        <w:pStyle w:val="NoSpacing"/>
        <w:jc w:val="both"/>
        <w:rPr>
          <w:rFonts w:ascii="Arial" w:hAnsi="Arial" w:cs="Arial"/>
          <w:sz w:val="18"/>
          <w:szCs w:val="18"/>
          <w:lang w:val="en-US"/>
        </w:rPr>
      </w:pPr>
      <w:r w:rsidRPr="00405792">
        <w:rPr>
          <w:rStyle w:val="FootnoteReference"/>
          <w:rFonts w:ascii="Arial" w:hAnsi="Arial" w:cs="Arial"/>
          <w:sz w:val="18"/>
          <w:szCs w:val="18"/>
        </w:rPr>
        <w:footnoteRef/>
      </w:r>
      <w:r w:rsidRPr="00720D91">
        <w:rPr>
          <w:rFonts w:ascii="Arial" w:hAnsi="Arial" w:cs="Arial"/>
          <w:sz w:val="18"/>
          <w:szCs w:val="18"/>
          <w:lang w:val="en-US"/>
        </w:rPr>
        <w:t xml:space="preserve"> Voir Philip Leach, Costas Paraskeva, Gordana Uzelac, International Human Rights and Fact-Finding; An Analysis of the fact-finding missions conducted by the European Commission and the European Court of Human Rights, Human Rights and Social Justice, Research Institute, February 2009, pg 45.</w:t>
      </w:r>
    </w:p>
  </w:footnote>
  <w:footnote w:id="178">
    <w:p w14:paraId="4493FD6A" w14:textId="77777777" w:rsidR="00B41728" w:rsidRPr="002D305B" w:rsidRDefault="00B41728" w:rsidP="00F331F8">
      <w:pPr>
        <w:pStyle w:val="NoSpacing"/>
        <w:jc w:val="both"/>
        <w:rPr>
          <w:rFonts w:ascii="Arial" w:hAnsi="Arial" w:cs="Arial"/>
          <w:sz w:val="18"/>
          <w:szCs w:val="18"/>
        </w:rPr>
      </w:pPr>
      <w:r w:rsidRPr="002D305B">
        <w:rPr>
          <w:rStyle w:val="FootnoteReference"/>
          <w:rFonts w:ascii="Arial" w:hAnsi="Arial" w:cs="Arial"/>
          <w:sz w:val="18"/>
          <w:szCs w:val="18"/>
        </w:rPr>
        <w:footnoteRef/>
      </w:r>
      <w:r w:rsidRPr="002D305B">
        <w:rPr>
          <w:rFonts w:ascii="Arial" w:hAnsi="Arial" w:cs="Arial"/>
          <w:sz w:val="18"/>
          <w:szCs w:val="18"/>
        </w:rPr>
        <w:t xml:space="preserve"> Ibid.</w:t>
      </w:r>
    </w:p>
  </w:footnote>
  <w:footnote w:id="179">
    <w:p w14:paraId="7C6DA21F" w14:textId="77777777" w:rsidR="00B41728" w:rsidRPr="002D305B" w:rsidRDefault="00B41728" w:rsidP="00F331F8">
      <w:pPr>
        <w:pStyle w:val="NoSpacing"/>
        <w:jc w:val="both"/>
        <w:rPr>
          <w:rFonts w:ascii="Arial" w:hAnsi="Arial" w:cs="Arial"/>
          <w:sz w:val="18"/>
          <w:szCs w:val="18"/>
        </w:rPr>
      </w:pPr>
      <w:r w:rsidRPr="002D305B">
        <w:rPr>
          <w:rStyle w:val="FootnoteReference"/>
          <w:rFonts w:ascii="Arial" w:hAnsi="Arial" w:cs="Arial"/>
          <w:sz w:val="18"/>
          <w:szCs w:val="18"/>
        </w:rPr>
        <w:footnoteRef/>
      </w:r>
      <w:r w:rsidRPr="002D305B">
        <w:rPr>
          <w:rFonts w:ascii="Arial" w:hAnsi="Arial" w:cs="Arial"/>
          <w:sz w:val="18"/>
          <w:szCs w:val="18"/>
        </w:rPr>
        <w:t xml:space="preserve"> Ibid.</w:t>
      </w:r>
    </w:p>
  </w:footnote>
  <w:footnote w:id="180">
    <w:p w14:paraId="14F17E91" w14:textId="77777777" w:rsidR="00B41728" w:rsidRPr="002D305B" w:rsidRDefault="00B41728" w:rsidP="00F331F8">
      <w:pPr>
        <w:pStyle w:val="NoSpacing"/>
        <w:jc w:val="both"/>
        <w:rPr>
          <w:rFonts w:ascii="Arial" w:hAnsi="Arial" w:cs="Arial"/>
          <w:sz w:val="18"/>
          <w:szCs w:val="18"/>
        </w:rPr>
      </w:pPr>
      <w:r w:rsidRPr="002D305B">
        <w:rPr>
          <w:rStyle w:val="FootnoteReference"/>
          <w:rFonts w:ascii="Arial" w:hAnsi="Arial" w:cs="Arial"/>
          <w:sz w:val="18"/>
          <w:szCs w:val="18"/>
        </w:rPr>
        <w:footnoteRef/>
      </w:r>
      <w:hyperlink r:id="rId256" w:history="1">
        <w:r w:rsidRPr="002D305B">
          <w:rPr>
            <w:rStyle w:val="Hyperlink"/>
            <w:rFonts w:ascii="Arial" w:eastAsiaTheme="majorEastAsia" w:hAnsi="Arial" w:cs="Arial"/>
            <w:sz w:val="18"/>
            <w:szCs w:val="18"/>
          </w:rPr>
          <w:t xml:space="preserve"> </w:t>
        </w:r>
      </w:hyperlink>
      <w:r w:rsidRPr="002D305B">
        <w:rPr>
          <w:rFonts w:ascii="Arial" w:hAnsi="Arial" w:cs="Arial"/>
          <w:sz w:val="18"/>
          <w:szCs w:val="18"/>
        </w:rPr>
        <w:t xml:space="preserve">Annexe au </w:t>
      </w:r>
      <w:hyperlink r:id="rId257" w:history="1">
        <w:r w:rsidRPr="002D305B">
          <w:rPr>
            <w:rStyle w:val="Hyperlink"/>
            <w:rFonts w:ascii="Arial" w:eastAsiaTheme="majorEastAsia" w:hAnsi="Arial" w:cs="Arial"/>
            <w:sz w:val="18"/>
            <w:szCs w:val="18"/>
          </w:rPr>
          <w:t>Règlement de la Cour</w:t>
        </w:r>
      </w:hyperlink>
      <w:r w:rsidRPr="002D305B">
        <w:rPr>
          <w:rFonts w:ascii="Arial" w:hAnsi="Arial" w:cs="Arial"/>
          <w:sz w:val="18"/>
          <w:szCs w:val="18"/>
        </w:rPr>
        <w:t xml:space="preserve">, article A1 3). </w:t>
      </w:r>
    </w:p>
  </w:footnote>
  <w:footnote w:id="181">
    <w:p w14:paraId="0F914B88" w14:textId="77777777" w:rsidR="00B41728" w:rsidRPr="002D305B" w:rsidRDefault="00B41728" w:rsidP="00F331F8">
      <w:pPr>
        <w:pStyle w:val="NoSpacing"/>
        <w:jc w:val="both"/>
        <w:rPr>
          <w:rFonts w:ascii="Arial" w:hAnsi="Arial" w:cs="Arial"/>
          <w:sz w:val="18"/>
          <w:szCs w:val="18"/>
        </w:rPr>
      </w:pPr>
      <w:r w:rsidRPr="002D305B">
        <w:rPr>
          <w:rStyle w:val="FootnoteReference"/>
          <w:rFonts w:ascii="Arial" w:hAnsi="Arial" w:cs="Arial"/>
          <w:sz w:val="18"/>
          <w:szCs w:val="18"/>
        </w:rPr>
        <w:footnoteRef/>
      </w:r>
      <w:r w:rsidRPr="002D305B">
        <w:rPr>
          <w:rFonts w:ascii="Arial" w:hAnsi="Arial" w:cs="Arial"/>
          <w:sz w:val="18"/>
          <w:szCs w:val="18"/>
        </w:rPr>
        <w:t xml:space="preserve"> Annexe au </w:t>
      </w:r>
      <w:hyperlink r:id="rId258" w:history="1">
        <w:r w:rsidRPr="002D305B">
          <w:rPr>
            <w:rStyle w:val="Hyperlink"/>
            <w:rFonts w:ascii="Arial" w:eastAsiaTheme="majorEastAsia" w:hAnsi="Arial" w:cs="Arial"/>
            <w:sz w:val="18"/>
            <w:szCs w:val="18"/>
          </w:rPr>
          <w:t>Règlement de la Cour</w:t>
        </w:r>
      </w:hyperlink>
      <w:r w:rsidRPr="002D305B">
        <w:rPr>
          <w:rStyle w:val="Hyperlink"/>
          <w:rFonts w:ascii="Arial" w:eastAsiaTheme="majorEastAsia" w:hAnsi="Arial" w:cs="Arial"/>
          <w:sz w:val="18"/>
          <w:szCs w:val="18"/>
        </w:rPr>
        <w:t>, article A1 3).</w:t>
      </w:r>
    </w:p>
  </w:footnote>
  <w:footnote w:id="182">
    <w:p w14:paraId="540B657D" w14:textId="77777777" w:rsidR="00B41728" w:rsidRPr="00486B14" w:rsidRDefault="00B41728" w:rsidP="00F331F8">
      <w:pPr>
        <w:pStyle w:val="SingleTxtG"/>
        <w:spacing w:after="0" w:line="180" w:lineRule="exact"/>
        <w:ind w:left="0" w:right="0"/>
        <w:rPr>
          <w:rFonts w:ascii="Arial" w:hAnsi="Arial" w:cs="Arial"/>
          <w:color w:val="FF0000"/>
          <w:sz w:val="18"/>
          <w:szCs w:val="18"/>
          <w:shd w:val="clear" w:color="auto" w:fill="D9D9D9" w:themeFill="background1" w:themeFillShade="D9"/>
          <w:lang w:val="en-US"/>
        </w:rPr>
      </w:pPr>
      <w:r w:rsidRPr="00560F13">
        <w:rPr>
          <w:rStyle w:val="FootnoteReference"/>
          <w:rFonts w:ascii="Arial" w:hAnsi="Arial" w:cs="Arial"/>
          <w:sz w:val="18"/>
          <w:szCs w:val="18"/>
        </w:rPr>
        <w:footnoteRef/>
      </w:r>
      <w:r w:rsidRPr="00486B14">
        <w:rPr>
          <w:rFonts w:ascii="Arial" w:hAnsi="Arial" w:cs="Arial"/>
          <w:sz w:val="18"/>
          <w:szCs w:val="18"/>
          <w:lang w:val="en-US"/>
        </w:rPr>
        <w:t xml:space="preserve"> </w:t>
      </w:r>
      <w:hyperlink r:id="rId259" w:history="1">
        <w:r w:rsidRPr="00486B14">
          <w:rPr>
            <w:rFonts w:ascii="Arial" w:hAnsi="Arial" w:cs="Arial"/>
            <w:i/>
            <w:iCs/>
            <w:sz w:val="18"/>
            <w:szCs w:val="18"/>
            <w:u w:val="single"/>
            <w:lang w:val="en-US"/>
          </w:rPr>
          <w:t>Georgia v. Russia</w:t>
        </w:r>
      </w:hyperlink>
      <w:r w:rsidRPr="00486B14">
        <w:rPr>
          <w:rFonts w:ascii="Arial" w:hAnsi="Arial" w:cs="Arial"/>
          <w:sz w:val="18"/>
          <w:szCs w:val="18"/>
          <w:u w:val="single"/>
          <w:lang w:val="en-US"/>
        </w:rPr>
        <w:t xml:space="preserve"> (II) (merits)</w:t>
      </w:r>
      <w:r w:rsidRPr="00486B14">
        <w:rPr>
          <w:rFonts w:ascii="Arial" w:hAnsi="Arial" w:cs="Arial"/>
          <w:sz w:val="18"/>
          <w:szCs w:val="18"/>
          <w:lang w:val="en-US"/>
        </w:rPr>
        <w:t xml:space="preserve"> no. 38263/08, § 74, 21 January 2021.</w:t>
      </w:r>
    </w:p>
  </w:footnote>
  <w:footnote w:id="183">
    <w:p w14:paraId="54415862" w14:textId="77777777" w:rsidR="00B41728" w:rsidRPr="002D305B" w:rsidRDefault="00B41728" w:rsidP="00F331F8">
      <w:pPr>
        <w:pStyle w:val="NoSpacing"/>
        <w:jc w:val="both"/>
        <w:rPr>
          <w:rFonts w:ascii="Arial" w:hAnsi="Arial" w:cs="Arial"/>
          <w:sz w:val="18"/>
          <w:szCs w:val="18"/>
        </w:rPr>
      </w:pPr>
      <w:r w:rsidRPr="002D305B">
        <w:rPr>
          <w:rStyle w:val="FootnoteReference"/>
          <w:rFonts w:ascii="Arial" w:hAnsi="Arial" w:cs="Arial"/>
          <w:sz w:val="18"/>
          <w:szCs w:val="18"/>
        </w:rPr>
        <w:footnoteRef/>
      </w:r>
      <w:r w:rsidRPr="002D305B">
        <w:rPr>
          <w:rFonts w:ascii="Arial" w:hAnsi="Arial" w:cs="Arial"/>
          <w:sz w:val="18"/>
          <w:szCs w:val="18"/>
        </w:rPr>
        <w:t xml:space="preserve"> Ibid, Règle A5 § 1 ; la même règle s'applique également aux experts et aux autres personnes. </w:t>
      </w:r>
    </w:p>
  </w:footnote>
  <w:footnote w:id="184">
    <w:p w14:paraId="69E8779F" w14:textId="77777777" w:rsidR="00B41728" w:rsidRPr="002D305B" w:rsidRDefault="00B41728" w:rsidP="00F331F8">
      <w:pPr>
        <w:pStyle w:val="NoSpacing"/>
        <w:jc w:val="both"/>
        <w:rPr>
          <w:rFonts w:ascii="Arial" w:hAnsi="Arial" w:cs="Arial"/>
          <w:sz w:val="18"/>
          <w:szCs w:val="18"/>
        </w:rPr>
      </w:pPr>
      <w:r w:rsidRPr="002D305B">
        <w:rPr>
          <w:rStyle w:val="FootnoteReference"/>
          <w:rFonts w:ascii="Arial" w:hAnsi="Arial" w:cs="Arial"/>
          <w:sz w:val="18"/>
          <w:szCs w:val="18"/>
        </w:rPr>
        <w:footnoteRef/>
      </w:r>
      <w:r w:rsidRPr="002D305B">
        <w:rPr>
          <w:rFonts w:ascii="Arial" w:hAnsi="Arial" w:cs="Arial"/>
          <w:sz w:val="18"/>
          <w:szCs w:val="18"/>
        </w:rPr>
        <w:t xml:space="preserve"> Voir le </w:t>
      </w:r>
      <w:hyperlink r:id="rId260" w:history="1">
        <w:r w:rsidRPr="002D305B">
          <w:rPr>
            <w:rStyle w:val="Hyperlink"/>
            <w:rFonts w:ascii="Arial" w:eastAsiaTheme="majorEastAsia" w:hAnsi="Arial" w:cs="Arial"/>
            <w:sz w:val="18"/>
            <w:szCs w:val="18"/>
          </w:rPr>
          <w:t>Règlement de la Cour</w:t>
        </w:r>
      </w:hyperlink>
      <w:r w:rsidRPr="002D305B">
        <w:rPr>
          <w:rFonts w:ascii="Arial" w:hAnsi="Arial" w:cs="Arial"/>
          <w:sz w:val="18"/>
          <w:szCs w:val="18"/>
        </w:rPr>
        <w:t xml:space="preserve">, articles 37 § 2 et A5 § 4 de l’annexe. </w:t>
      </w:r>
    </w:p>
  </w:footnote>
  <w:footnote w:id="185">
    <w:p w14:paraId="16420EAB" w14:textId="77777777" w:rsidR="00B41728" w:rsidRPr="002D305B" w:rsidRDefault="00B41728" w:rsidP="00F331F8">
      <w:pPr>
        <w:pStyle w:val="NoSpacing"/>
        <w:jc w:val="both"/>
        <w:rPr>
          <w:rFonts w:ascii="Arial" w:hAnsi="Arial" w:cs="Arial"/>
          <w:sz w:val="18"/>
          <w:szCs w:val="18"/>
        </w:rPr>
      </w:pPr>
      <w:r w:rsidRPr="002D305B">
        <w:rPr>
          <w:rStyle w:val="FootnoteReference"/>
          <w:rFonts w:ascii="Arial" w:hAnsi="Arial" w:cs="Arial"/>
          <w:sz w:val="18"/>
          <w:szCs w:val="18"/>
        </w:rPr>
        <w:footnoteRef/>
      </w:r>
      <w:r w:rsidRPr="002D305B">
        <w:rPr>
          <w:rFonts w:ascii="Arial" w:hAnsi="Arial" w:cs="Arial"/>
          <w:sz w:val="18"/>
          <w:szCs w:val="18"/>
        </w:rPr>
        <w:t xml:space="preserve"> Ibid, Article A4 § 2 de l'Annexe.</w:t>
      </w:r>
    </w:p>
  </w:footnote>
  <w:footnote w:id="186">
    <w:p w14:paraId="7F396BEB" w14:textId="77777777" w:rsidR="00B41728" w:rsidRPr="002D305B" w:rsidRDefault="00B41728" w:rsidP="00F331F8">
      <w:pPr>
        <w:pStyle w:val="NoSpacing"/>
        <w:jc w:val="both"/>
        <w:rPr>
          <w:rFonts w:ascii="Arial" w:hAnsi="Arial" w:cs="Arial"/>
          <w:sz w:val="18"/>
          <w:szCs w:val="18"/>
        </w:rPr>
      </w:pPr>
      <w:r w:rsidRPr="002D305B">
        <w:rPr>
          <w:rStyle w:val="FootnoteReference"/>
          <w:rFonts w:ascii="Arial" w:hAnsi="Arial" w:cs="Arial"/>
          <w:sz w:val="18"/>
          <w:szCs w:val="18"/>
        </w:rPr>
        <w:footnoteRef/>
      </w:r>
      <w:r w:rsidRPr="002D305B">
        <w:rPr>
          <w:rFonts w:ascii="Arial" w:hAnsi="Arial" w:cs="Arial"/>
          <w:sz w:val="18"/>
          <w:szCs w:val="18"/>
        </w:rPr>
        <w:t xml:space="preserve"> </w:t>
      </w:r>
      <w:hyperlink r:id="rId261" w:history="1">
        <w:r w:rsidRPr="002D305B">
          <w:rPr>
            <w:rStyle w:val="Hyperlink"/>
            <w:rFonts w:ascii="Arial" w:eastAsiaTheme="majorEastAsia" w:hAnsi="Arial" w:cs="Arial"/>
            <w:i/>
            <w:sz w:val="18"/>
            <w:szCs w:val="18"/>
          </w:rPr>
          <w:t>Chypre c. Turquie</w:t>
        </w:r>
      </w:hyperlink>
      <w:r w:rsidRPr="002D305B">
        <w:rPr>
          <w:rStyle w:val="Hyperlink"/>
          <w:rFonts w:ascii="Arial" w:eastAsiaTheme="majorEastAsia" w:hAnsi="Arial" w:cs="Arial"/>
          <w:i/>
          <w:sz w:val="18"/>
          <w:szCs w:val="18"/>
        </w:rPr>
        <w:t xml:space="preserve"> [GC]</w:t>
      </w:r>
      <w:r w:rsidRPr="002D305B">
        <w:rPr>
          <w:rFonts w:ascii="Arial" w:hAnsi="Arial" w:cs="Arial"/>
          <w:sz w:val="18"/>
          <w:szCs w:val="18"/>
        </w:rPr>
        <w:t xml:space="preserve">, précité, §§ 110 et 339.  </w:t>
      </w:r>
    </w:p>
  </w:footnote>
  <w:footnote w:id="187">
    <w:p w14:paraId="58EE003E" w14:textId="77777777" w:rsidR="00B41728" w:rsidRPr="00720D91" w:rsidRDefault="00B41728" w:rsidP="00F331F8">
      <w:pPr>
        <w:pStyle w:val="FootnoteText"/>
        <w:jc w:val="both"/>
        <w:rPr>
          <w:lang w:val="fr-FR"/>
        </w:rPr>
      </w:pPr>
      <w:r w:rsidRPr="00F54CE3">
        <w:rPr>
          <w:rStyle w:val="FootnoteReference"/>
          <w:shd w:val="clear" w:color="auto" w:fill="FFFFFF" w:themeFill="background1"/>
        </w:rPr>
        <w:footnoteRef/>
      </w:r>
      <w:r w:rsidRPr="00720D91">
        <w:rPr>
          <w:rFonts w:ascii="Arial" w:hAnsi="Arial" w:cs="Arial"/>
          <w:sz w:val="18"/>
          <w:szCs w:val="18"/>
          <w:shd w:val="clear" w:color="auto" w:fill="FFFFFF" w:themeFill="background1"/>
          <w:lang w:val="fr-FR"/>
        </w:rPr>
        <w:t xml:space="preserve"> Dans l'affaire </w:t>
      </w:r>
      <w:hyperlink r:id="rId262" w:history="1">
        <w:r w:rsidRPr="00720D91">
          <w:rPr>
            <w:rStyle w:val="Hyperlink"/>
            <w:rFonts w:ascii="Arial" w:hAnsi="Arial" w:cs="Arial"/>
            <w:i/>
            <w:iCs/>
            <w:color w:val="auto"/>
            <w:sz w:val="18"/>
            <w:szCs w:val="18"/>
            <w:shd w:val="clear" w:color="auto" w:fill="FFFFFF" w:themeFill="background1"/>
            <w:lang w:val="fr-FR"/>
          </w:rPr>
          <w:t xml:space="preserve">Géorgie c. Russie </w:t>
        </w:r>
      </w:hyperlink>
      <w:r w:rsidRPr="00720D91">
        <w:rPr>
          <w:rFonts w:ascii="Arial" w:hAnsi="Arial" w:cs="Arial"/>
          <w:sz w:val="18"/>
          <w:szCs w:val="18"/>
          <w:shd w:val="clear" w:color="auto" w:fill="FFFFFF" w:themeFill="background1"/>
          <w:lang w:val="fr-FR"/>
        </w:rPr>
        <w:t xml:space="preserve">(II) (fond) la Cour a entendu un total de 33 témoins ; 15 avaient été cités par le gouvernement requérant, 12 par le gouvernement défendeur et 6 directement par la Cour. </w:t>
      </w:r>
      <w:hyperlink r:id="rId263" w:history="1">
        <w:r w:rsidRPr="00720D91">
          <w:rPr>
            <w:rFonts w:ascii="Arial" w:hAnsi="Arial" w:cs="Arial"/>
            <w:i/>
            <w:iCs/>
            <w:sz w:val="18"/>
            <w:szCs w:val="18"/>
            <w:shd w:val="clear" w:color="auto" w:fill="FFFFFF" w:themeFill="background1"/>
            <w:lang w:val="fr-FR"/>
          </w:rPr>
          <w:t xml:space="preserve">Géorgie c. Russie </w:t>
        </w:r>
      </w:hyperlink>
      <w:r w:rsidRPr="00720D91">
        <w:rPr>
          <w:rFonts w:ascii="Arial" w:hAnsi="Arial" w:cs="Arial"/>
          <w:sz w:val="18"/>
          <w:szCs w:val="18"/>
          <w:shd w:val="clear" w:color="auto" w:fill="FFFFFF" w:themeFill="background1"/>
          <w:lang w:val="fr-FR"/>
        </w:rPr>
        <w:t>(II) (fond) n° 38263/08, § 74, 21 janvier 2021.</w:t>
      </w:r>
    </w:p>
  </w:footnote>
  <w:footnote w:id="188">
    <w:p w14:paraId="3D8C3DB0" w14:textId="77777777" w:rsidR="00B41728" w:rsidRPr="002D305B" w:rsidRDefault="00B41728" w:rsidP="00F331F8">
      <w:pPr>
        <w:pStyle w:val="NoSpacing"/>
        <w:jc w:val="both"/>
        <w:rPr>
          <w:rFonts w:ascii="Arial" w:hAnsi="Arial" w:cs="Arial"/>
          <w:sz w:val="18"/>
          <w:szCs w:val="18"/>
        </w:rPr>
      </w:pPr>
      <w:r w:rsidRPr="002D305B">
        <w:rPr>
          <w:rStyle w:val="FootnoteReference"/>
          <w:rFonts w:ascii="Arial" w:hAnsi="Arial" w:cs="Arial"/>
          <w:sz w:val="18"/>
          <w:szCs w:val="18"/>
        </w:rPr>
        <w:footnoteRef/>
      </w:r>
      <w:r w:rsidRPr="002D305B">
        <w:rPr>
          <w:rFonts w:ascii="Arial" w:hAnsi="Arial" w:cs="Arial"/>
          <w:sz w:val="18"/>
          <w:szCs w:val="18"/>
        </w:rPr>
        <w:t xml:space="preserve"> Voir </w:t>
      </w:r>
      <w:r w:rsidRPr="002D305B">
        <w:rPr>
          <w:rStyle w:val="Hyperlink"/>
          <w:rFonts w:ascii="Arial" w:eastAsiaTheme="majorEastAsia" w:hAnsi="Arial" w:cs="Arial"/>
          <w:sz w:val="18"/>
          <w:szCs w:val="18"/>
        </w:rPr>
        <w:t>article A5 § 6</w:t>
      </w:r>
      <w:r w:rsidRPr="002D305B">
        <w:rPr>
          <w:rFonts w:ascii="Arial" w:hAnsi="Arial" w:cs="Arial"/>
          <w:sz w:val="18"/>
          <w:szCs w:val="18"/>
        </w:rPr>
        <w:t xml:space="preserve"> de l’annexe au </w:t>
      </w:r>
      <w:hyperlink r:id="rId264" w:history="1">
        <w:r w:rsidRPr="002D305B">
          <w:rPr>
            <w:rStyle w:val="Hyperlink"/>
            <w:rFonts w:ascii="Arial" w:eastAsiaTheme="majorEastAsia" w:hAnsi="Arial" w:cs="Arial"/>
            <w:sz w:val="18"/>
            <w:szCs w:val="18"/>
          </w:rPr>
          <w:t>Règlement de la Cour</w:t>
        </w:r>
      </w:hyperlink>
      <w:r w:rsidRPr="002D305B">
        <w:rPr>
          <w:rStyle w:val="Hyperlink"/>
          <w:rFonts w:ascii="Arial" w:eastAsiaTheme="majorEastAsia" w:hAnsi="Arial" w:cs="Arial"/>
          <w:sz w:val="18"/>
          <w:szCs w:val="18"/>
        </w:rPr>
        <w:t xml:space="preserve">. </w:t>
      </w:r>
    </w:p>
  </w:footnote>
  <w:footnote w:id="189">
    <w:p w14:paraId="482769BF" w14:textId="77777777" w:rsidR="00B41728" w:rsidRPr="002D305B" w:rsidRDefault="00B41728" w:rsidP="00F331F8">
      <w:pPr>
        <w:pStyle w:val="NoSpacing"/>
        <w:jc w:val="both"/>
        <w:rPr>
          <w:rFonts w:ascii="Arial" w:hAnsi="Arial" w:cs="Arial"/>
          <w:sz w:val="18"/>
          <w:szCs w:val="18"/>
        </w:rPr>
      </w:pPr>
      <w:r w:rsidRPr="002D305B">
        <w:rPr>
          <w:rStyle w:val="FootnoteReference"/>
          <w:rFonts w:ascii="Arial" w:hAnsi="Arial" w:cs="Arial"/>
          <w:sz w:val="18"/>
          <w:szCs w:val="18"/>
        </w:rPr>
        <w:footnoteRef/>
      </w:r>
      <w:r w:rsidRPr="002D305B">
        <w:rPr>
          <w:rFonts w:ascii="Arial" w:hAnsi="Arial" w:cs="Arial"/>
          <w:sz w:val="18"/>
          <w:szCs w:val="18"/>
        </w:rPr>
        <w:t xml:space="preserve"> Ibid, article A2 § 2.</w:t>
      </w:r>
    </w:p>
  </w:footnote>
  <w:footnote w:id="190">
    <w:p w14:paraId="2B1091F0" w14:textId="77777777" w:rsidR="00B41728" w:rsidRPr="002D305B" w:rsidRDefault="00B41728" w:rsidP="00F331F8">
      <w:pPr>
        <w:pStyle w:val="NoSpacing"/>
        <w:jc w:val="both"/>
        <w:rPr>
          <w:rFonts w:ascii="Arial" w:hAnsi="Arial" w:cs="Arial"/>
          <w:sz w:val="18"/>
          <w:szCs w:val="18"/>
        </w:rPr>
      </w:pPr>
      <w:r w:rsidRPr="002D305B">
        <w:rPr>
          <w:rStyle w:val="FootnoteReference"/>
          <w:rFonts w:ascii="Arial" w:hAnsi="Arial" w:cs="Arial"/>
          <w:sz w:val="18"/>
          <w:szCs w:val="18"/>
        </w:rPr>
        <w:footnoteRef/>
      </w:r>
      <w:r w:rsidRPr="002D305B">
        <w:rPr>
          <w:rFonts w:ascii="Arial" w:hAnsi="Arial" w:cs="Arial"/>
          <w:sz w:val="18"/>
          <w:szCs w:val="18"/>
        </w:rPr>
        <w:t xml:space="preserve"> Voir les commentaires de Chypre contenus dans le document </w:t>
      </w:r>
      <w:hyperlink r:id="rId265" w:history="1">
        <w:r w:rsidRPr="002D305B">
          <w:rPr>
            <w:rStyle w:val="Hyperlink"/>
            <w:rFonts w:ascii="Arial" w:eastAsiaTheme="majorEastAsia" w:hAnsi="Arial" w:cs="Arial"/>
            <w:sz w:val="18"/>
            <w:szCs w:val="18"/>
          </w:rPr>
          <w:t>CDDH(2019)12</w:t>
        </w:r>
      </w:hyperlink>
      <w:r w:rsidRPr="002D305B">
        <w:rPr>
          <w:rStyle w:val="Hyperlink"/>
          <w:rFonts w:ascii="Arial" w:eastAsiaTheme="majorEastAsia" w:hAnsi="Arial" w:cs="Arial"/>
          <w:sz w:val="18"/>
          <w:szCs w:val="18"/>
        </w:rPr>
        <w:t xml:space="preserve">. </w:t>
      </w:r>
      <w:r w:rsidRPr="002D305B">
        <w:rPr>
          <w:rFonts w:ascii="Arial" w:hAnsi="Arial" w:cs="Arial"/>
          <w:sz w:val="18"/>
          <w:szCs w:val="18"/>
        </w:rPr>
        <w:t xml:space="preserve">La </w:t>
      </w:r>
      <w:hyperlink r:id="rId266" w:history="1">
        <w:r w:rsidRPr="002D305B">
          <w:rPr>
            <w:rStyle w:val="Hyperlink"/>
            <w:rFonts w:ascii="Arial" w:eastAsiaTheme="majorEastAsia" w:hAnsi="Arial" w:cs="Arial"/>
            <w:sz w:val="18"/>
            <w:szCs w:val="18"/>
          </w:rPr>
          <w:t>Résolution 1571 (2007)</w:t>
        </w:r>
      </w:hyperlink>
      <w:r w:rsidRPr="002D305B">
        <w:rPr>
          <w:rFonts w:ascii="Arial" w:hAnsi="Arial" w:cs="Arial"/>
          <w:sz w:val="18"/>
          <w:szCs w:val="18"/>
        </w:rPr>
        <w:t xml:space="preserve"> de l'Assemblée parlementaire, « Devoir des États membres de coopérer avec la Cour européenne des droits de l’homme », appelle tous les États membres à prendre des mesures positives pour protéger les requérants, leurs avocats ou les membres de leur famille de représailles de la part d’individus ou de groupes et notamment, s’il y a lieu, à permettre aux requérants de prendre part à des programmes de protection des témoins, de leur accorder une protection policière spéciale ou d’accorder aux individus et aux membres de leur famille qui sont l’objet de menaces une protection temporaire ou l’asile politique de manière non bureaucratique, voir par. 17 § 2. </w:t>
      </w:r>
    </w:p>
  </w:footnote>
  <w:footnote w:id="191">
    <w:p w14:paraId="35BB7DF4" w14:textId="77777777" w:rsidR="00B41728" w:rsidRPr="002D305B" w:rsidRDefault="00B41728" w:rsidP="00F331F8">
      <w:pPr>
        <w:pStyle w:val="NoSpacing"/>
        <w:jc w:val="both"/>
        <w:rPr>
          <w:rFonts w:ascii="Arial" w:hAnsi="Arial" w:cs="Arial"/>
          <w:sz w:val="18"/>
          <w:szCs w:val="18"/>
        </w:rPr>
      </w:pPr>
      <w:r w:rsidRPr="002D305B">
        <w:rPr>
          <w:rStyle w:val="FootnoteReference"/>
          <w:rFonts w:ascii="Arial" w:hAnsi="Arial" w:cs="Arial"/>
          <w:sz w:val="18"/>
          <w:szCs w:val="18"/>
        </w:rPr>
        <w:footnoteRef/>
      </w:r>
      <w:r w:rsidRPr="002D305B">
        <w:rPr>
          <w:rFonts w:ascii="Arial" w:hAnsi="Arial" w:cs="Arial"/>
          <w:sz w:val="18"/>
          <w:szCs w:val="18"/>
        </w:rPr>
        <w:t xml:space="preserve"> </w:t>
      </w:r>
      <w:r w:rsidRPr="002D305B">
        <w:rPr>
          <w:rStyle w:val="Hyperlink"/>
          <w:rFonts w:ascii="Arial" w:eastAsiaTheme="majorEastAsia" w:hAnsi="Arial" w:cs="Arial"/>
          <w:sz w:val="18"/>
          <w:szCs w:val="18"/>
        </w:rPr>
        <w:t>Article A7 § 4 de l’a</w:t>
      </w:r>
      <w:r w:rsidRPr="002D305B">
        <w:rPr>
          <w:rFonts w:ascii="Arial" w:hAnsi="Arial" w:cs="Arial"/>
          <w:sz w:val="18"/>
          <w:szCs w:val="18"/>
        </w:rPr>
        <w:t xml:space="preserve">nnexe au </w:t>
      </w:r>
      <w:hyperlink r:id="rId267" w:history="1">
        <w:r w:rsidRPr="002D305B">
          <w:rPr>
            <w:rStyle w:val="Hyperlink"/>
            <w:rFonts w:ascii="Arial" w:eastAsiaTheme="majorEastAsia" w:hAnsi="Arial" w:cs="Arial"/>
            <w:sz w:val="18"/>
            <w:szCs w:val="18"/>
          </w:rPr>
          <w:t>Règlement de la Cour</w:t>
        </w:r>
      </w:hyperlink>
      <w:r w:rsidRPr="002D305B">
        <w:rPr>
          <w:rStyle w:val="Hyperlink"/>
          <w:rFonts w:ascii="Arial" w:eastAsiaTheme="majorEastAsia" w:hAnsi="Arial" w:cs="Arial"/>
          <w:sz w:val="18"/>
          <w:szCs w:val="18"/>
        </w:rPr>
        <w:t>.</w:t>
      </w:r>
    </w:p>
  </w:footnote>
  <w:footnote w:id="192">
    <w:p w14:paraId="74DBC457" w14:textId="77777777" w:rsidR="00B41728" w:rsidRPr="002D305B" w:rsidRDefault="00B41728" w:rsidP="00F331F8">
      <w:pPr>
        <w:pStyle w:val="NoSpacing"/>
        <w:jc w:val="both"/>
        <w:rPr>
          <w:rFonts w:ascii="Arial" w:hAnsi="Arial" w:cs="Arial"/>
          <w:sz w:val="18"/>
          <w:szCs w:val="18"/>
        </w:rPr>
      </w:pPr>
      <w:r w:rsidRPr="002D305B">
        <w:rPr>
          <w:rStyle w:val="FootnoteReference"/>
          <w:rFonts w:ascii="Arial" w:hAnsi="Arial" w:cs="Arial"/>
          <w:sz w:val="18"/>
          <w:szCs w:val="18"/>
        </w:rPr>
        <w:footnoteRef/>
      </w:r>
      <w:r w:rsidRPr="002D305B">
        <w:rPr>
          <w:rFonts w:ascii="Arial" w:hAnsi="Arial" w:cs="Arial"/>
          <w:sz w:val="18"/>
          <w:szCs w:val="18"/>
        </w:rPr>
        <w:t xml:space="preserve"> Voir le </w:t>
      </w:r>
      <w:hyperlink r:id="rId268" w:history="1">
        <w:r w:rsidRPr="002D305B">
          <w:rPr>
            <w:rStyle w:val="Hyperlink"/>
            <w:rFonts w:ascii="Arial" w:eastAsiaTheme="majorEastAsia" w:hAnsi="Arial" w:cs="Arial"/>
            <w:sz w:val="18"/>
            <w:szCs w:val="18"/>
          </w:rPr>
          <w:t>rapport de la Commission</w:t>
        </w:r>
      </w:hyperlink>
      <w:r w:rsidRPr="002D305B">
        <w:rPr>
          <w:rFonts w:ascii="Arial" w:hAnsi="Arial" w:cs="Arial"/>
          <w:sz w:val="18"/>
          <w:szCs w:val="18"/>
        </w:rPr>
        <w:t xml:space="preserve"> dans l'affaire </w:t>
      </w:r>
      <w:r w:rsidRPr="002D305B">
        <w:rPr>
          <w:rFonts w:ascii="Arial" w:hAnsi="Arial" w:cs="Arial"/>
          <w:i/>
          <w:sz w:val="18"/>
          <w:szCs w:val="18"/>
        </w:rPr>
        <w:t>Chypre c. Turquie</w:t>
      </w:r>
      <w:r w:rsidRPr="002D305B">
        <w:rPr>
          <w:rFonts w:ascii="Arial" w:hAnsi="Arial" w:cs="Arial"/>
          <w:sz w:val="18"/>
          <w:szCs w:val="18"/>
        </w:rPr>
        <w:t xml:space="preserve">, §§ 33-47 et l'arrêt dans la même affaire, §§ </w:t>
      </w:r>
      <w:r w:rsidRPr="002D305B">
        <w:rPr>
          <w:rStyle w:val="column"/>
          <w:rFonts w:ascii="Arial" w:eastAsiaTheme="majorEastAsia" w:hAnsi="Arial" w:cs="Arial"/>
          <w:sz w:val="18"/>
          <w:szCs w:val="18"/>
        </w:rPr>
        <w:t>105-118.</w:t>
      </w:r>
    </w:p>
  </w:footnote>
  <w:footnote w:id="193">
    <w:p w14:paraId="2E08417B" w14:textId="77777777" w:rsidR="00B41728" w:rsidRPr="002D305B" w:rsidRDefault="00B41728" w:rsidP="00F331F8">
      <w:pPr>
        <w:pStyle w:val="NoSpacing"/>
        <w:jc w:val="both"/>
        <w:rPr>
          <w:rFonts w:ascii="Arial" w:hAnsi="Arial" w:cs="Arial"/>
          <w:sz w:val="18"/>
          <w:szCs w:val="18"/>
        </w:rPr>
      </w:pPr>
      <w:r w:rsidRPr="002D305B">
        <w:rPr>
          <w:rStyle w:val="FootnoteReference"/>
          <w:rFonts w:ascii="Arial" w:hAnsi="Arial" w:cs="Arial"/>
          <w:sz w:val="18"/>
          <w:szCs w:val="18"/>
        </w:rPr>
        <w:footnoteRef/>
      </w:r>
      <w:r w:rsidRPr="002D305B">
        <w:rPr>
          <w:rFonts w:ascii="Arial" w:hAnsi="Arial" w:cs="Arial"/>
          <w:sz w:val="18"/>
          <w:szCs w:val="18"/>
        </w:rPr>
        <w:t xml:space="preserve"> </w:t>
      </w:r>
      <w:hyperlink r:id="rId269" w:anchor="{%22itemid%22:[%22001-145552%22]}" w:history="1">
        <w:r w:rsidRPr="002D305B">
          <w:rPr>
            <w:rStyle w:val="Hyperlink"/>
            <w:rFonts w:ascii="Arial" w:eastAsiaTheme="majorEastAsia" w:hAnsi="Arial" w:cs="Arial"/>
            <w:i/>
            <w:sz w:val="18"/>
            <w:szCs w:val="18"/>
          </w:rPr>
          <w:t>Géorgie c. Russie</w:t>
        </w:r>
        <w:r w:rsidRPr="002D305B">
          <w:rPr>
            <w:rStyle w:val="Hyperlink"/>
            <w:rFonts w:ascii="Arial" w:eastAsiaTheme="majorEastAsia" w:hAnsi="Arial" w:cs="Arial"/>
            <w:sz w:val="18"/>
            <w:szCs w:val="18"/>
          </w:rPr>
          <w:t xml:space="preserve"> </w:t>
        </w:r>
        <w:r w:rsidRPr="002D305B">
          <w:rPr>
            <w:rStyle w:val="Hyperlink"/>
            <w:rFonts w:ascii="Arial" w:eastAsiaTheme="majorEastAsia" w:hAnsi="Arial" w:cs="Arial"/>
            <w:i/>
            <w:sz w:val="18"/>
            <w:szCs w:val="18"/>
          </w:rPr>
          <w:t>(I)</w:t>
        </w:r>
      </w:hyperlink>
      <w:r w:rsidRPr="002D305B">
        <w:rPr>
          <w:rFonts w:ascii="Arial" w:hAnsi="Arial" w:cs="Arial"/>
          <w:sz w:val="18"/>
          <w:szCs w:val="18"/>
        </w:rPr>
        <w:t>, précité, §§ 90-92.</w:t>
      </w:r>
    </w:p>
  </w:footnote>
  <w:footnote w:id="194">
    <w:p w14:paraId="0DC4D98A" w14:textId="77777777" w:rsidR="00B41728" w:rsidRPr="00486B14" w:rsidRDefault="00B41728" w:rsidP="00F331F8">
      <w:pPr>
        <w:pStyle w:val="FootnoteText"/>
        <w:jc w:val="both"/>
        <w:rPr>
          <w:lang w:val="en-US"/>
        </w:rPr>
      </w:pPr>
      <w:r w:rsidRPr="002D305B">
        <w:rPr>
          <w:rStyle w:val="FootnoteReference"/>
        </w:rPr>
        <w:footnoteRef/>
      </w:r>
      <w:r w:rsidRPr="00486B14">
        <w:rPr>
          <w:rFonts w:ascii="Arial" w:hAnsi="Arial" w:cs="Arial"/>
          <w:sz w:val="18"/>
          <w:szCs w:val="18"/>
          <w:lang w:val="en-US"/>
        </w:rPr>
        <w:t xml:space="preserve"> Voir Philip Leach, Costas Paraskeva, Gordana Uzelac, International Human Rights and Fact-Finding ; An Analysis of the fact-finding missions conducted by the European Commission and the European Court of Human Rights, Human Rights and Social Justice, Research Institute, February 2009, pg 82.</w:t>
      </w:r>
    </w:p>
  </w:footnote>
  <w:footnote w:id="195">
    <w:p w14:paraId="53DA2C0B" w14:textId="77777777" w:rsidR="00B41728" w:rsidRPr="002D305B" w:rsidRDefault="00B41728" w:rsidP="00F331F8">
      <w:pPr>
        <w:pStyle w:val="NoSpacing"/>
        <w:jc w:val="both"/>
        <w:rPr>
          <w:rFonts w:ascii="Arial" w:hAnsi="Arial" w:cs="Arial"/>
          <w:sz w:val="18"/>
          <w:szCs w:val="18"/>
        </w:rPr>
      </w:pPr>
      <w:r w:rsidRPr="002D305B">
        <w:rPr>
          <w:rStyle w:val="FootnoteReference"/>
          <w:rFonts w:ascii="Arial" w:hAnsi="Arial" w:cs="Arial"/>
          <w:sz w:val="18"/>
          <w:szCs w:val="18"/>
        </w:rPr>
        <w:footnoteRef/>
      </w:r>
      <w:r w:rsidRPr="002D305B">
        <w:rPr>
          <w:rFonts w:ascii="Arial" w:eastAsiaTheme="minorHAnsi" w:hAnsi="Arial" w:cs="Arial"/>
          <w:color w:val="231F20"/>
          <w:sz w:val="18"/>
          <w:szCs w:val="18"/>
          <w:lang w:eastAsia="en-US"/>
        </w:rPr>
        <w:t xml:space="preserve"> </w:t>
      </w:r>
      <w:hyperlink r:id="rId270" w:history="1">
        <w:r w:rsidRPr="002D305B">
          <w:rPr>
            <w:rStyle w:val="Hyperlink"/>
            <w:rFonts w:ascii="Arial" w:eastAsiaTheme="majorEastAsia" w:hAnsi="Arial" w:cs="Arial"/>
            <w:i/>
            <w:sz w:val="18"/>
            <w:szCs w:val="18"/>
          </w:rPr>
          <w:t>Taş c. Turquie</w:t>
        </w:r>
      </w:hyperlink>
      <w:r w:rsidRPr="002D305B">
        <w:rPr>
          <w:rFonts w:ascii="Arial" w:hAnsi="Arial" w:cs="Arial"/>
          <w:sz w:val="18"/>
          <w:szCs w:val="18"/>
        </w:rPr>
        <w:t>, précité</w:t>
      </w:r>
      <w:r w:rsidRPr="002D305B">
        <w:rPr>
          <w:rFonts w:ascii="Arial" w:eastAsiaTheme="minorHAnsi" w:hAnsi="Arial" w:cs="Arial"/>
          <w:color w:val="231F20"/>
          <w:sz w:val="18"/>
          <w:szCs w:val="18"/>
          <w:lang w:eastAsia="en-US"/>
        </w:rPr>
        <w:t>, § 54.</w:t>
      </w:r>
    </w:p>
  </w:footnote>
  <w:footnote w:id="196">
    <w:p w14:paraId="73D88293" w14:textId="77777777" w:rsidR="00B41728" w:rsidRPr="002D305B" w:rsidRDefault="00B41728" w:rsidP="00F331F8">
      <w:pPr>
        <w:pStyle w:val="NoSpacing"/>
        <w:jc w:val="both"/>
        <w:rPr>
          <w:rFonts w:ascii="Arial" w:eastAsiaTheme="minorHAnsi" w:hAnsi="Arial" w:cs="Arial"/>
          <w:color w:val="231F20"/>
          <w:sz w:val="18"/>
          <w:szCs w:val="18"/>
          <w:lang w:eastAsia="en-US"/>
        </w:rPr>
      </w:pPr>
      <w:r w:rsidRPr="002D305B">
        <w:rPr>
          <w:rStyle w:val="FootnoteReference"/>
          <w:rFonts w:ascii="Arial" w:hAnsi="Arial" w:cs="Arial"/>
          <w:sz w:val="18"/>
          <w:szCs w:val="18"/>
        </w:rPr>
        <w:footnoteRef/>
      </w:r>
      <w:r w:rsidRPr="002D305B">
        <w:rPr>
          <w:rFonts w:ascii="Arial" w:eastAsiaTheme="minorHAnsi" w:hAnsi="Arial" w:cs="Arial"/>
          <w:color w:val="231F20"/>
          <w:sz w:val="18"/>
          <w:szCs w:val="18"/>
          <w:lang w:eastAsia="en-US"/>
        </w:rPr>
        <w:t xml:space="preserve"> </w:t>
      </w:r>
      <w:r w:rsidRPr="002D305B">
        <w:rPr>
          <w:rFonts w:ascii="Arial" w:hAnsi="Arial" w:cs="Arial"/>
          <w:sz w:val="18"/>
          <w:szCs w:val="18"/>
        </w:rPr>
        <w:t>Ibid.</w:t>
      </w:r>
      <w:r w:rsidRPr="002D305B">
        <w:rPr>
          <w:rFonts w:ascii="Arial" w:eastAsiaTheme="minorHAnsi" w:hAnsi="Arial" w:cs="Arial"/>
          <w:color w:val="231F20"/>
          <w:sz w:val="18"/>
          <w:szCs w:val="18"/>
          <w:lang w:eastAsia="en-US"/>
        </w:rPr>
        <w:t xml:space="preserve"> La Cour a conclu que l’État défendeur avait manqué à son obligation de fournir toutes facilités nécessaires en vertu de l’article 38 de la Convention en présentant tardivement des informations demandées à plusieurs reprises par la Commission, ce qui a privé cette dernière de la possibilité de convoquer des témoins qui auraient pu apporter des preuves importantes. </w:t>
      </w:r>
    </w:p>
  </w:footnote>
  <w:footnote w:id="197">
    <w:p w14:paraId="541646C6" w14:textId="77777777" w:rsidR="00B41728" w:rsidRPr="002D305B" w:rsidRDefault="00B41728" w:rsidP="00F331F8">
      <w:pPr>
        <w:pStyle w:val="NoSpacing"/>
        <w:jc w:val="both"/>
        <w:rPr>
          <w:rFonts w:ascii="Arial" w:hAnsi="Arial" w:cs="Arial"/>
          <w:sz w:val="18"/>
          <w:szCs w:val="18"/>
        </w:rPr>
      </w:pPr>
      <w:r w:rsidRPr="002D305B">
        <w:rPr>
          <w:rStyle w:val="FootnoteReference"/>
          <w:rFonts w:ascii="Arial" w:hAnsi="Arial" w:cs="Arial"/>
          <w:sz w:val="18"/>
          <w:szCs w:val="18"/>
        </w:rPr>
        <w:footnoteRef/>
      </w:r>
      <w:r w:rsidRPr="002D305B">
        <w:rPr>
          <w:rFonts w:ascii="Arial" w:eastAsiaTheme="minorHAnsi" w:hAnsi="Arial" w:cs="Arial"/>
          <w:color w:val="231F20"/>
          <w:sz w:val="18"/>
          <w:szCs w:val="18"/>
          <w:lang w:eastAsia="en-US"/>
        </w:rPr>
        <w:t xml:space="preserve"> </w:t>
      </w:r>
      <w:hyperlink r:id="rId271" w:history="1">
        <w:r w:rsidRPr="002D305B">
          <w:rPr>
            <w:rStyle w:val="Hyperlink"/>
            <w:rFonts w:ascii="Arial" w:eastAsiaTheme="majorEastAsia" w:hAnsi="Arial" w:cs="Arial"/>
            <w:i/>
            <w:sz w:val="18"/>
            <w:szCs w:val="18"/>
          </w:rPr>
          <w:t>Orhan c. Turquie</w:t>
        </w:r>
      </w:hyperlink>
      <w:r w:rsidRPr="002D305B">
        <w:rPr>
          <w:rFonts w:ascii="Arial" w:hAnsi="Arial" w:cs="Arial"/>
          <w:sz w:val="18"/>
          <w:szCs w:val="18"/>
        </w:rPr>
        <w:t xml:space="preserve">, </w:t>
      </w:r>
      <w:r w:rsidRPr="002D305B">
        <w:rPr>
          <w:rFonts w:ascii="Arial" w:eastAsiaTheme="minorHAnsi" w:hAnsi="Arial" w:cs="Arial"/>
          <w:color w:val="231F20"/>
          <w:sz w:val="18"/>
          <w:szCs w:val="18"/>
          <w:lang w:eastAsia="en-US"/>
        </w:rPr>
        <w:t xml:space="preserve">n° 25656/94, </w:t>
      </w:r>
      <w:r w:rsidRPr="002D305B">
        <w:rPr>
          <w:rFonts w:ascii="Arial" w:hAnsi="Arial" w:cs="Arial"/>
          <w:sz w:val="18"/>
          <w:szCs w:val="18"/>
        </w:rPr>
        <w:t xml:space="preserve">§ </w:t>
      </w:r>
      <w:r w:rsidRPr="002D305B">
        <w:rPr>
          <w:rFonts w:ascii="Arial" w:eastAsiaTheme="minorHAnsi" w:hAnsi="Arial" w:cs="Arial"/>
          <w:color w:val="231F20"/>
          <w:sz w:val="18"/>
          <w:szCs w:val="18"/>
          <w:lang w:eastAsia="en-US"/>
        </w:rPr>
        <w:t xml:space="preserve">274, 18 juin 2002. </w:t>
      </w:r>
    </w:p>
  </w:footnote>
  <w:footnote w:id="198">
    <w:p w14:paraId="75A6000E" w14:textId="77777777" w:rsidR="00B41728" w:rsidRPr="002D305B" w:rsidRDefault="00B41728" w:rsidP="00F331F8">
      <w:pPr>
        <w:pStyle w:val="NoSpacing"/>
        <w:jc w:val="both"/>
        <w:rPr>
          <w:rFonts w:ascii="Arial" w:hAnsi="Arial" w:cs="Arial"/>
          <w:sz w:val="18"/>
          <w:szCs w:val="18"/>
        </w:rPr>
      </w:pPr>
      <w:r w:rsidRPr="002D305B">
        <w:rPr>
          <w:rStyle w:val="FootnoteReference"/>
          <w:rFonts w:ascii="Arial" w:hAnsi="Arial" w:cs="Arial"/>
          <w:sz w:val="18"/>
          <w:szCs w:val="18"/>
        </w:rPr>
        <w:footnoteRef/>
      </w:r>
      <w:r w:rsidRPr="002D305B">
        <w:rPr>
          <w:rFonts w:ascii="Arial" w:hAnsi="Arial" w:cs="Arial"/>
          <w:sz w:val="18"/>
          <w:szCs w:val="18"/>
        </w:rPr>
        <w:t xml:space="preserve"> Article 44 C inséré par la Cour le 13 décembre 2004.</w:t>
      </w:r>
    </w:p>
  </w:footnote>
  <w:footnote w:id="199">
    <w:p w14:paraId="7C5D0907" w14:textId="77777777" w:rsidR="00B41728" w:rsidRPr="00720D91" w:rsidRDefault="00B41728" w:rsidP="00F331F8">
      <w:pPr>
        <w:pStyle w:val="SingleTxtG"/>
        <w:spacing w:after="0" w:line="180" w:lineRule="exact"/>
        <w:ind w:left="0" w:right="0"/>
        <w:rPr>
          <w:rFonts w:ascii="Arial" w:hAnsi="Arial" w:cs="Arial"/>
          <w:sz w:val="18"/>
          <w:szCs w:val="18"/>
          <w:lang w:val="fr-FR"/>
        </w:rPr>
      </w:pPr>
      <w:r w:rsidRPr="00560F13">
        <w:rPr>
          <w:rStyle w:val="FootnoteReference"/>
          <w:rFonts w:ascii="Arial" w:hAnsi="Arial" w:cs="Arial"/>
          <w:sz w:val="18"/>
          <w:szCs w:val="18"/>
        </w:rPr>
        <w:footnoteRef/>
      </w:r>
      <w:r w:rsidRPr="00720D91">
        <w:rPr>
          <w:rFonts w:ascii="Arial" w:hAnsi="Arial" w:cs="Arial"/>
          <w:sz w:val="18"/>
          <w:szCs w:val="18"/>
          <w:lang w:val="fr-FR"/>
        </w:rPr>
        <w:t xml:space="preserve"> </w:t>
      </w:r>
      <w:hyperlink r:id="rId272" w:history="1">
        <w:r w:rsidRPr="00720D91">
          <w:rPr>
            <w:rStyle w:val="Hyperlink"/>
            <w:rFonts w:ascii="Arial" w:eastAsiaTheme="minorHAnsi" w:hAnsi="Arial" w:cs="Arial"/>
            <w:i/>
            <w:iCs/>
            <w:sz w:val="18"/>
            <w:szCs w:val="18"/>
            <w:lang w:val="fr-FR" w:eastAsia="en-US"/>
          </w:rPr>
          <w:t>Danemark, Norvège, Suède et Pays-Bas contre Grèce</w:t>
        </w:r>
      </w:hyperlink>
      <w:r w:rsidRPr="00720D91">
        <w:rPr>
          <w:rStyle w:val="Hyperlink"/>
          <w:rFonts w:ascii="Arial" w:eastAsiaTheme="minorHAnsi" w:hAnsi="Arial" w:cs="Arial"/>
          <w:sz w:val="18"/>
          <w:szCs w:val="18"/>
          <w:lang w:val="fr-FR" w:eastAsia="en-US"/>
        </w:rPr>
        <w:t xml:space="preserve">, </w:t>
      </w:r>
      <w:r w:rsidRPr="00720D91">
        <w:rPr>
          <w:rFonts w:ascii="Arial" w:hAnsi="Arial" w:cs="Arial"/>
          <w:sz w:val="18"/>
          <w:szCs w:val="18"/>
          <w:lang w:val="fr-FR"/>
        </w:rPr>
        <w:t xml:space="preserve">précité. </w:t>
      </w:r>
    </w:p>
  </w:footnote>
  <w:footnote w:id="200">
    <w:p w14:paraId="183039C5" w14:textId="77777777" w:rsidR="00B41728" w:rsidRPr="00486B14" w:rsidRDefault="00B41728" w:rsidP="00F331F8">
      <w:pPr>
        <w:pStyle w:val="SingleTxtG"/>
        <w:spacing w:after="0" w:line="180" w:lineRule="exact"/>
        <w:ind w:left="0" w:right="0"/>
        <w:rPr>
          <w:rFonts w:ascii="Arial" w:hAnsi="Arial" w:cs="Arial"/>
          <w:sz w:val="18"/>
          <w:szCs w:val="18"/>
          <w:lang w:val="en-US"/>
        </w:rPr>
      </w:pPr>
      <w:r w:rsidRPr="00560F13">
        <w:rPr>
          <w:rStyle w:val="FootnoteReference"/>
          <w:rFonts w:ascii="Arial" w:hAnsi="Arial" w:cs="Arial"/>
          <w:sz w:val="18"/>
          <w:szCs w:val="18"/>
        </w:rPr>
        <w:footnoteRef/>
      </w:r>
      <w:r w:rsidRPr="00720D91">
        <w:rPr>
          <w:rFonts w:ascii="Arial" w:hAnsi="Arial" w:cs="Arial"/>
          <w:sz w:val="18"/>
          <w:szCs w:val="18"/>
          <w:lang w:val="fr-FR"/>
        </w:rPr>
        <w:t xml:space="preserve"> </w:t>
      </w:r>
      <w:hyperlink r:id="rId273" w:history="1">
        <w:r w:rsidRPr="00720D91">
          <w:rPr>
            <w:rStyle w:val="Hyperlink"/>
            <w:rFonts w:ascii="Arial" w:hAnsi="Arial" w:cs="Arial"/>
            <w:i/>
            <w:sz w:val="18"/>
            <w:szCs w:val="18"/>
            <w:lang w:val="fr-FR"/>
          </w:rPr>
          <w:t>Chypre c. Turquie</w:t>
        </w:r>
      </w:hyperlink>
      <w:r w:rsidRPr="00720D91">
        <w:rPr>
          <w:rFonts w:ascii="Arial" w:hAnsi="Arial" w:cs="Arial"/>
          <w:sz w:val="18"/>
          <w:szCs w:val="18"/>
          <w:lang w:val="fr-FR"/>
        </w:rPr>
        <w:t xml:space="preserve">, </w:t>
      </w:r>
      <w:r w:rsidRPr="00720D91">
        <w:rPr>
          <w:rFonts w:ascii="Arial" w:eastAsiaTheme="minorHAnsi" w:hAnsi="Arial" w:cs="Arial"/>
          <w:color w:val="231F20"/>
          <w:sz w:val="18"/>
          <w:szCs w:val="18"/>
          <w:lang w:val="fr-FR" w:eastAsia="en-US"/>
        </w:rPr>
        <w:t>n° 6780/74 et 6950/75, 26.5.75 et suivants</w:t>
      </w:r>
      <w:r w:rsidRPr="00720D91">
        <w:rPr>
          <w:rFonts w:ascii="Arial" w:eastAsiaTheme="minorHAnsi" w:hAnsi="Arial" w:cs="Arial"/>
          <w:i/>
          <w:iCs/>
          <w:color w:val="231F20"/>
          <w:sz w:val="18"/>
          <w:szCs w:val="18"/>
          <w:lang w:val="fr-FR" w:eastAsia="en-US"/>
        </w:rPr>
        <w:t xml:space="preserve">. </w:t>
      </w:r>
      <w:r w:rsidRPr="00486B14">
        <w:rPr>
          <w:rFonts w:ascii="Arial" w:eastAsiaTheme="minorHAnsi" w:hAnsi="Arial" w:cs="Arial"/>
          <w:color w:val="231F20"/>
          <w:sz w:val="18"/>
          <w:szCs w:val="18"/>
          <w:lang w:val="en-US" w:eastAsia="en-US"/>
        </w:rPr>
        <w:t xml:space="preserve">Rapport de la Commission du 10.07.76. </w:t>
      </w:r>
    </w:p>
  </w:footnote>
  <w:footnote w:id="201">
    <w:p w14:paraId="0D250785" w14:textId="77777777" w:rsidR="00B41728" w:rsidRPr="00486B14" w:rsidRDefault="00B41728" w:rsidP="00F331F8">
      <w:pPr>
        <w:pStyle w:val="SingleTxtG"/>
        <w:spacing w:after="0" w:line="180" w:lineRule="exact"/>
        <w:ind w:left="0" w:right="0"/>
        <w:rPr>
          <w:rFonts w:ascii="Arial" w:hAnsi="Arial" w:cs="Arial"/>
          <w:sz w:val="18"/>
          <w:szCs w:val="18"/>
          <w:lang w:val="en-US"/>
        </w:rPr>
      </w:pPr>
      <w:r w:rsidRPr="00560F13">
        <w:rPr>
          <w:rStyle w:val="FootnoteReference"/>
          <w:rFonts w:ascii="Arial" w:hAnsi="Arial" w:cs="Arial"/>
          <w:sz w:val="18"/>
          <w:szCs w:val="18"/>
        </w:rPr>
        <w:footnoteRef/>
      </w:r>
      <w:r w:rsidRPr="00486B14">
        <w:rPr>
          <w:rFonts w:ascii="Arial" w:hAnsi="Arial" w:cs="Arial"/>
          <w:sz w:val="18"/>
          <w:szCs w:val="18"/>
          <w:lang w:val="en-US"/>
        </w:rPr>
        <w:t xml:space="preserve"> Voir Philip Leach, Costas Paraskeva, Gordana Uzelac, International Human Rights and Fact-Finding; An Analysis of the fact-finding missions conducted by the European Commission and the European Court of Human Rights, Human Rights and Social Justice, Research Institute, February 2009, page 45.</w:t>
      </w:r>
    </w:p>
  </w:footnote>
  <w:footnote w:id="202">
    <w:p w14:paraId="609E41B2" w14:textId="77777777" w:rsidR="00B41728" w:rsidRPr="002D305B" w:rsidRDefault="00B41728" w:rsidP="00F331F8">
      <w:pPr>
        <w:pStyle w:val="NoSpacing"/>
        <w:jc w:val="both"/>
        <w:rPr>
          <w:rFonts w:ascii="Arial" w:hAnsi="Arial" w:cs="Arial"/>
          <w:sz w:val="18"/>
          <w:szCs w:val="18"/>
        </w:rPr>
      </w:pPr>
      <w:r w:rsidRPr="002D305B">
        <w:rPr>
          <w:rStyle w:val="FootnoteReference"/>
          <w:rFonts w:ascii="Arial" w:hAnsi="Arial" w:cs="Arial"/>
          <w:sz w:val="18"/>
          <w:szCs w:val="18"/>
        </w:rPr>
        <w:footnoteRef/>
      </w:r>
      <w:r w:rsidRPr="002D305B">
        <w:rPr>
          <w:rFonts w:ascii="Arial" w:eastAsiaTheme="minorHAnsi" w:hAnsi="Arial" w:cs="Arial"/>
          <w:color w:val="231F20"/>
          <w:sz w:val="18"/>
          <w:szCs w:val="18"/>
          <w:lang w:eastAsia="en-US"/>
        </w:rPr>
        <w:t xml:space="preserve"> </w:t>
      </w:r>
      <w:hyperlink r:id="rId274" w:history="1">
        <w:r w:rsidRPr="002D305B">
          <w:rPr>
            <w:rStyle w:val="Hyperlink"/>
            <w:rFonts w:ascii="Arial" w:eastAsiaTheme="majorEastAsia" w:hAnsi="Arial" w:cs="Arial"/>
            <w:i/>
            <w:sz w:val="18"/>
            <w:szCs w:val="18"/>
          </w:rPr>
          <w:t>Chypre c. Turquie</w:t>
        </w:r>
      </w:hyperlink>
      <w:r w:rsidRPr="002D305B">
        <w:rPr>
          <w:rFonts w:ascii="Arial" w:hAnsi="Arial" w:cs="Arial"/>
          <w:sz w:val="18"/>
          <w:szCs w:val="18"/>
        </w:rPr>
        <w:t xml:space="preserve">, </w:t>
      </w:r>
      <w:r w:rsidRPr="002D305B">
        <w:rPr>
          <w:rFonts w:ascii="Arial" w:eastAsiaTheme="minorHAnsi" w:hAnsi="Arial" w:cs="Arial"/>
          <w:color w:val="231F20"/>
          <w:sz w:val="18"/>
          <w:szCs w:val="18"/>
          <w:lang w:eastAsia="en-US"/>
        </w:rPr>
        <w:t>n° 6780/74 et 6950/75, 26.5.75 et suivants</w:t>
      </w:r>
      <w:r w:rsidRPr="002D305B">
        <w:rPr>
          <w:rFonts w:ascii="Arial" w:eastAsiaTheme="minorHAnsi" w:hAnsi="Arial" w:cs="Arial"/>
          <w:i/>
          <w:iCs/>
          <w:color w:val="231F20"/>
          <w:sz w:val="18"/>
          <w:szCs w:val="18"/>
          <w:lang w:eastAsia="en-US"/>
        </w:rPr>
        <w:t xml:space="preserve">. </w:t>
      </w:r>
      <w:r w:rsidRPr="002D305B">
        <w:rPr>
          <w:rFonts w:ascii="Arial" w:eastAsiaTheme="minorHAnsi" w:hAnsi="Arial" w:cs="Arial"/>
          <w:color w:val="231F20"/>
          <w:sz w:val="18"/>
          <w:szCs w:val="18"/>
          <w:lang w:eastAsia="en-US"/>
        </w:rPr>
        <w:t>Rapport de la Commission du 10.07.76.</w:t>
      </w:r>
    </w:p>
  </w:footnote>
  <w:footnote w:id="203">
    <w:p w14:paraId="324B3556" w14:textId="77777777" w:rsidR="00B41728" w:rsidRPr="00F331F8" w:rsidRDefault="00B41728" w:rsidP="00F331F8">
      <w:pPr>
        <w:autoSpaceDE w:val="0"/>
        <w:autoSpaceDN w:val="0"/>
        <w:adjustRightInd w:val="0"/>
        <w:jc w:val="both"/>
        <w:rPr>
          <w:rFonts w:ascii="Arial" w:hAnsi="Arial" w:cs="Arial"/>
          <w:sz w:val="18"/>
          <w:szCs w:val="18"/>
          <w:lang w:val="fr-FR"/>
        </w:rPr>
      </w:pPr>
      <w:r w:rsidRPr="002D305B">
        <w:rPr>
          <w:rStyle w:val="FootnoteReference"/>
          <w:rFonts w:ascii="Arial" w:hAnsi="Arial" w:cs="Arial"/>
          <w:sz w:val="18"/>
          <w:szCs w:val="18"/>
        </w:rPr>
        <w:footnoteRef/>
      </w:r>
      <w:r w:rsidRPr="00F331F8">
        <w:rPr>
          <w:rFonts w:ascii="Arial" w:hAnsi="Arial" w:cs="Arial"/>
          <w:i/>
          <w:iCs/>
          <w:sz w:val="18"/>
          <w:szCs w:val="18"/>
          <w:lang w:val="fr-FR"/>
        </w:rPr>
        <w:t xml:space="preserve"> </w:t>
      </w:r>
      <w:r w:rsidRPr="00F331F8">
        <w:rPr>
          <w:rFonts w:ascii="Arial" w:hAnsi="Arial" w:cs="Arial"/>
          <w:sz w:val="18"/>
          <w:szCs w:val="18"/>
          <w:lang w:val="fr-FR"/>
        </w:rPr>
        <w:t xml:space="preserve">Rapport de la Commission dans l'affaire </w:t>
      </w:r>
      <w:hyperlink r:id="rId275" w:history="1">
        <w:r w:rsidRPr="00F331F8">
          <w:rPr>
            <w:rStyle w:val="Hyperlink"/>
            <w:rFonts w:ascii="Arial" w:hAnsi="Arial" w:cs="Arial"/>
            <w:i/>
            <w:iCs/>
            <w:sz w:val="18"/>
            <w:szCs w:val="18"/>
            <w:lang w:val="fr-FR"/>
          </w:rPr>
          <w:t>Danemark, Norvège, Suède et Pays-Bas contre Grèce</w:t>
        </w:r>
      </w:hyperlink>
      <w:r w:rsidRPr="00F331F8">
        <w:rPr>
          <w:rStyle w:val="Hyperlink"/>
          <w:rFonts w:ascii="Arial" w:hAnsi="Arial" w:cs="Arial"/>
          <w:sz w:val="18"/>
          <w:szCs w:val="18"/>
          <w:lang w:val="fr-FR"/>
        </w:rPr>
        <w:t xml:space="preserve">, </w:t>
      </w:r>
      <w:r w:rsidRPr="00F331F8">
        <w:rPr>
          <w:rFonts w:ascii="Arial" w:hAnsi="Arial" w:cs="Arial"/>
          <w:sz w:val="18"/>
          <w:szCs w:val="18"/>
          <w:lang w:val="fr-FR"/>
        </w:rPr>
        <w:t>n° 3321/67, n° 3322/67, n° 3323/67, n° 3344/67, 5 novembre 1969.</w:t>
      </w:r>
    </w:p>
  </w:footnote>
  <w:footnote w:id="204">
    <w:p w14:paraId="0A49FEC2" w14:textId="77777777" w:rsidR="00B41728" w:rsidRPr="002D305B" w:rsidRDefault="00B41728" w:rsidP="00F331F8">
      <w:pPr>
        <w:pStyle w:val="NoSpacing"/>
        <w:jc w:val="both"/>
        <w:rPr>
          <w:rFonts w:ascii="Arial" w:eastAsiaTheme="minorHAnsi" w:hAnsi="Arial" w:cs="Arial"/>
          <w:color w:val="231F20"/>
          <w:sz w:val="18"/>
          <w:szCs w:val="18"/>
          <w:lang w:eastAsia="en-US"/>
        </w:rPr>
      </w:pPr>
      <w:r w:rsidRPr="002D305B">
        <w:rPr>
          <w:rStyle w:val="FootnoteReference"/>
          <w:rFonts w:ascii="Arial" w:hAnsi="Arial" w:cs="Arial"/>
          <w:sz w:val="18"/>
          <w:szCs w:val="18"/>
        </w:rPr>
        <w:footnoteRef/>
      </w:r>
      <w:hyperlink r:id="rId276" w:history="1">
        <w:r w:rsidRPr="002D305B">
          <w:rPr>
            <w:rStyle w:val="Hyperlink"/>
            <w:rFonts w:ascii="Arial" w:eastAsiaTheme="majorEastAsia" w:hAnsi="Arial" w:cs="Arial"/>
            <w:i/>
            <w:sz w:val="18"/>
            <w:szCs w:val="18"/>
          </w:rPr>
          <w:t>Chamaïev et autres c. Géorgie et Russie</w:t>
        </w:r>
      </w:hyperlink>
      <w:r w:rsidRPr="002D305B">
        <w:rPr>
          <w:rFonts w:ascii="Arial" w:hAnsi="Arial" w:cs="Arial"/>
          <w:sz w:val="18"/>
          <w:szCs w:val="18"/>
        </w:rPr>
        <w:t xml:space="preserve">, </w:t>
      </w:r>
      <w:r w:rsidRPr="002D305B">
        <w:rPr>
          <w:rFonts w:ascii="Arial" w:eastAsiaTheme="minorHAnsi" w:hAnsi="Arial" w:cs="Arial"/>
          <w:color w:val="231F20"/>
          <w:sz w:val="18"/>
          <w:szCs w:val="18"/>
          <w:lang w:eastAsia="en-US"/>
        </w:rPr>
        <w:t xml:space="preserve">n° 36378/02, </w:t>
      </w:r>
      <w:r w:rsidRPr="002D305B">
        <w:rPr>
          <w:rFonts w:ascii="Arial" w:hAnsi="Arial" w:cs="Arial"/>
          <w:sz w:val="18"/>
          <w:szCs w:val="18"/>
        </w:rPr>
        <w:t xml:space="preserve">§§ </w:t>
      </w:r>
      <w:r w:rsidRPr="002D305B">
        <w:rPr>
          <w:rFonts w:ascii="Arial" w:eastAsiaTheme="minorHAnsi" w:hAnsi="Arial" w:cs="Arial"/>
          <w:color w:val="231F20"/>
          <w:sz w:val="18"/>
          <w:szCs w:val="18"/>
          <w:lang w:eastAsia="en-US"/>
        </w:rPr>
        <w:t xml:space="preserve">26-49, 12 avril 2005. </w:t>
      </w:r>
    </w:p>
  </w:footnote>
  <w:footnote w:id="205">
    <w:p w14:paraId="53BF1C23" w14:textId="77777777" w:rsidR="00B41728" w:rsidRPr="002D305B" w:rsidRDefault="00B41728" w:rsidP="00F331F8">
      <w:pPr>
        <w:pStyle w:val="NoSpacing"/>
        <w:jc w:val="both"/>
        <w:rPr>
          <w:rFonts w:ascii="Arial" w:hAnsi="Arial" w:cs="Arial"/>
          <w:sz w:val="18"/>
          <w:szCs w:val="18"/>
        </w:rPr>
      </w:pPr>
      <w:r w:rsidRPr="002D305B">
        <w:rPr>
          <w:rStyle w:val="FootnoteReference"/>
          <w:rFonts w:ascii="Arial" w:hAnsi="Arial" w:cs="Arial"/>
          <w:sz w:val="18"/>
          <w:szCs w:val="18"/>
        </w:rPr>
        <w:footnoteRef/>
      </w:r>
      <w:r w:rsidRPr="002D305B">
        <w:t xml:space="preserve"> </w:t>
      </w:r>
      <w:hyperlink r:id="rId277" w:history="1">
        <w:r w:rsidRPr="002D305B">
          <w:rPr>
            <w:rStyle w:val="Hyperlink"/>
            <w:rFonts w:ascii="Arial" w:eastAsiaTheme="majorEastAsia" w:hAnsi="Arial" w:cs="Arial"/>
            <w:i/>
            <w:sz w:val="18"/>
            <w:szCs w:val="18"/>
          </w:rPr>
          <w:t>Chypre c. Turquie (satisfaction équitable) [GC]</w:t>
        </w:r>
      </w:hyperlink>
      <w:r w:rsidRPr="002D305B">
        <w:rPr>
          <w:rFonts w:ascii="Arial" w:hAnsi="Arial" w:cs="Arial"/>
          <w:sz w:val="18"/>
          <w:szCs w:val="18"/>
        </w:rPr>
        <w:t xml:space="preserve">, n° 25781/94, 12 mai 2014. </w:t>
      </w:r>
    </w:p>
  </w:footnote>
  <w:footnote w:id="206">
    <w:p w14:paraId="65A74560" w14:textId="77777777" w:rsidR="00B41728" w:rsidRPr="00720D91" w:rsidRDefault="00B41728" w:rsidP="00F331F8">
      <w:pPr>
        <w:pStyle w:val="FootnoteText"/>
        <w:rPr>
          <w:lang w:val="fr-FR"/>
        </w:rPr>
      </w:pPr>
      <w:r w:rsidRPr="002D305B">
        <w:rPr>
          <w:rStyle w:val="FootnoteReference"/>
        </w:rPr>
        <w:footnoteRef/>
      </w:r>
      <w:r w:rsidRPr="00720D91">
        <w:rPr>
          <w:rFonts w:ascii="Arial" w:hAnsi="Arial" w:cs="Arial"/>
          <w:sz w:val="18"/>
          <w:szCs w:val="18"/>
          <w:lang w:val="fr-FR"/>
        </w:rPr>
        <w:t xml:space="preserve"> Ibid, §§ 40-46.</w:t>
      </w:r>
    </w:p>
  </w:footnote>
  <w:footnote w:id="207">
    <w:p w14:paraId="5D1D6BD5" w14:textId="77777777" w:rsidR="00B41728" w:rsidRPr="002D305B" w:rsidRDefault="00B41728" w:rsidP="00F331F8">
      <w:pPr>
        <w:pStyle w:val="NoSpacing"/>
        <w:jc w:val="both"/>
        <w:rPr>
          <w:rFonts w:ascii="Arial" w:hAnsi="Arial" w:cs="Arial"/>
          <w:sz w:val="18"/>
          <w:szCs w:val="18"/>
        </w:rPr>
      </w:pPr>
      <w:r w:rsidRPr="002D305B">
        <w:rPr>
          <w:rStyle w:val="FootnoteReference"/>
          <w:rFonts w:ascii="Arial" w:hAnsi="Arial" w:cs="Arial"/>
          <w:sz w:val="18"/>
          <w:szCs w:val="18"/>
        </w:rPr>
        <w:footnoteRef/>
      </w:r>
      <w:r w:rsidRPr="002074A1">
        <w:rPr>
          <w:rFonts w:ascii="Arial" w:hAnsi="Arial" w:cs="Arial"/>
          <w:sz w:val="18"/>
          <w:szCs w:val="18"/>
        </w:rPr>
        <w:t xml:space="preserve"> </w:t>
      </w:r>
      <w:hyperlink r:id="rId278" w:history="1">
        <w:r w:rsidRPr="002D305B">
          <w:rPr>
            <w:rStyle w:val="Hyperlink"/>
            <w:rFonts w:ascii="Arial" w:eastAsiaTheme="majorEastAsia" w:hAnsi="Arial" w:cs="Arial"/>
            <w:i/>
            <w:sz w:val="18"/>
            <w:szCs w:val="18"/>
          </w:rPr>
          <w:t>Chypre c. Turquie (satisfaction équitable) [GC]</w:t>
        </w:r>
      </w:hyperlink>
      <w:r>
        <w:rPr>
          <w:rFonts w:ascii="Arial" w:hAnsi="Arial" w:cs="Arial"/>
          <w:sz w:val="18"/>
          <w:szCs w:val="18"/>
        </w:rPr>
        <w:t>, n° 25781/94,</w:t>
      </w:r>
      <w:r w:rsidRPr="002D305B">
        <w:rPr>
          <w:rFonts w:ascii="Arial" w:hAnsi="Arial" w:cs="Arial"/>
          <w:sz w:val="18"/>
          <w:szCs w:val="18"/>
        </w:rPr>
        <w:t xml:space="preserve"> §§ 43-45. Voir aussi </w:t>
      </w:r>
      <w:hyperlink r:id="rId279" w:history="1">
        <w:r w:rsidRPr="002D305B">
          <w:rPr>
            <w:rStyle w:val="Hyperlink"/>
            <w:rFonts w:ascii="Arial" w:eastAsiaTheme="majorEastAsia" w:hAnsi="Arial" w:cs="Arial"/>
            <w:i/>
            <w:sz w:val="18"/>
            <w:szCs w:val="18"/>
          </w:rPr>
          <w:t>Géorgie c. Russie (I)</w:t>
        </w:r>
        <w:r w:rsidRPr="002D305B">
          <w:rPr>
            <w:rStyle w:val="Hyperlink"/>
            <w:rFonts w:ascii="Arial" w:eastAsiaTheme="majorEastAsia" w:hAnsi="Arial" w:cs="Arial"/>
            <w:sz w:val="18"/>
            <w:szCs w:val="18"/>
          </w:rPr>
          <w:t xml:space="preserve"> (satisfaction équitable)</w:t>
        </w:r>
      </w:hyperlink>
      <w:r w:rsidRPr="002D305B">
        <w:rPr>
          <w:rFonts w:ascii="Arial" w:hAnsi="Arial" w:cs="Arial"/>
          <w:sz w:val="18"/>
          <w:szCs w:val="18"/>
        </w:rPr>
        <w:t>, n° 13255/07, par</w:t>
      </w:r>
      <w:r>
        <w:rPr>
          <w:rFonts w:ascii="Arial" w:hAnsi="Arial" w:cs="Arial"/>
          <w:sz w:val="18"/>
          <w:szCs w:val="18"/>
        </w:rPr>
        <w:t>a</w:t>
      </w:r>
      <w:r w:rsidRPr="002D305B">
        <w:rPr>
          <w:rFonts w:ascii="Arial" w:hAnsi="Arial" w:cs="Arial"/>
          <w:sz w:val="18"/>
          <w:szCs w:val="18"/>
        </w:rPr>
        <w:t xml:space="preserve">. 22, 31 janvier 2019. </w:t>
      </w:r>
    </w:p>
  </w:footnote>
  <w:footnote w:id="208">
    <w:p w14:paraId="4CBEC32A" w14:textId="77777777" w:rsidR="00B41728" w:rsidRPr="002D305B" w:rsidRDefault="00B41728" w:rsidP="00F331F8">
      <w:pPr>
        <w:pStyle w:val="NoSpacing"/>
        <w:jc w:val="both"/>
        <w:rPr>
          <w:rFonts w:ascii="Arial" w:hAnsi="Arial" w:cs="Arial"/>
          <w:sz w:val="18"/>
          <w:szCs w:val="18"/>
        </w:rPr>
      </w:pPr>
      <w:r w:rsidRPr="002D305B">
        <w:rPr>
          <w:rStyle w:val="FootnoteReference"/>
          <w:rFonts w:ascii="Arial" w:hAnsi="Arial" w:cs="Arial"/>
          <w:sz w:val="18"/>
          <w:szCs w:val="18"/>
        </w:rPr>
        <w:footnoteRef/>
      </w:r>
      <w:r w:rsidRPr="002D305B">
        <w:rPr>
          <w:rStyle w:val="sb8d990e2"/>
          <w:rFonts w:ascii="Arial" w:eastAsiaTheme="majorEastAsia" w:hAnsi="Arial" w:cs="Arial"/>
          <w:sz w:val="18"/>
          <w:szCs w:val="18"/>
        </w:rPr>
        <w:t xml:space="preserve"> Article 46 (e).</w:t>
      </w:r>
    </w:p>
  </w:footnote>
  <w:footnote w:id="209">
    <w:p w14:paraId="4D51F49B" w14:textId="77777777" w:rsidR="00B41728" w:rsidRPr="002D305B" w:rsidRDefault="00B41728" w:rsidP="00F331F8">
      <w:pPr>
        <w:pStyle w:val="NoSpacing"/>
        <w:jc w:val="both"/>
        <w:rPr>
          <w:rFonts w:ascii="Arial" w:hAnsi="Arial" w:cs="Arial"/>
          <w:sz w:val="18"/>
          <w:szCs w:val="18"/>
        </w:rPr>
      </w:pPr>
      <w:r w:rsidRPr="002D305B">
        <w:rPr>
          <w:rStyle w:val="FootnoteReference"/>
          <w:rFonts w:ascii="Arial" w:hAnsi="Arial" w:cs="Arial"/>
          <w:sz w:val="18"/>
          <w:szCs w:val="18"/>
        </w:rPr>
        <w:footnoteRef/>
      </w:r>
      <w:r w:rsidRPr="002D305B">
        <w:rPr>
          <w:rFonts w:ascii="Arial" w:hAnsi="Arial" w:cs="Arial"/>
          <w:sz w:val="18"/>
          <w:szCs w:val="18"/>
        </w:rPr>
        <w:t xml:space="preserve"> Article 60 tel que modifié par la Cour le 13 décembre 2004.</w:t>
      </w:r>
    </w:p>
  </w:footnote>
  <w:footnote w:id="210">
    <w:p w14:paraId="5C21A9AF" w14:textId="77777777" w:rsidR="00B41728" w:rsidRPr="00720D91" w:rsidRDefault="00B41728" w:rsidP="00F331F8">
      <w:pPr>
        <w:pStyle w:val="FootnoteText"/>
        <w:jc w:val="both"/>
        <w:rPr>
          <w:rFonts w:ascii="Arial" w:hAnsi="Arial" w:cs="Arial"/>
          <w:sz w:val="18"/>
          <w:szCs w:val="18"/>
          <w:lang w:val="fr-FR"/>
        </w:rPr>
      </w:pPr>
      <w:r w:rsidRPr="009E5B2F">
        <w:rPr>
          <w:rStyle w:val="FootnoteReference"/>
          <w:shd w:val="clear" w:color="auto" w:fill="FFFFFF" w:themeFill="background1"/>
        </w:rPr>
        <w:footnoteRef/>
      </w:r>
      <w:r w:rsidRPr="00720D91">
        <w:rPr>
          <w:rFonts w:ascii="Arial" w:hAnsi="Arial" w:cs="Arial"/>
          <w:sz w:val="18"/>
          <w:szCs w:val="18"/>
          <w:shd w:val="clear" w:color="auto" w:fill="FFFFFF" w:themeFill="background1"/>
          <w:lang w:val="fr-FR"/>
        </w:rPr>
        <w:t xml:space="preserve"> </w:t>
      </w:r>
      <w:hyperlink r:id="rId280" w:history="1">
        <w:r w:rsidRPr="00720D91">
          <w:rPr>
            <w:rStyle w:val="Hyperlink"/>
            <w:rFonts w:ascii="Arial" w:hAnsi="Arial" w:cs="Arial"/>
            <w:i/>
            <w:color w:val="auto"/>
            <w:sz w:val="18"/>
            <w:szCs w:val="18"/>
            <w:shd w:val="clear" w:color="auto" w:fill="FFFFFF" w:themeFill="background1"/>
            <w:lang w:val="fr-FR"/>
          </w:rPr>
          <w:t>Chypre c. Turquie (satisfaction équitable) [GC]</w:t>
        </w:r>
      </w:hyperlink>
      <w:r w:rsidRPr="00720D91">
        <w:rPr>
          <w:rFonts w:ascii="Arial" w:hAnsi="Arial" w:cs="Arial"/>
          <w:sz w:val="18"/>
          <w:szCs w:val="18"/>
          <w:shd w:val="clear" w:color="auto" w:fill="FFFFFF" w:themeFill="background1"/>
          <w:lang w:val="fr-FR"/>
        </w:rPr>
        <w:t xml:space="preserve">, n° 25781/94, § 43, 12 mai 2014 ; </w:t>
      </w:r>
      <w:hyperlink r:id="rId281" w:history="1">
        <w:r w:rsidRPr="00720D91">
          <w:rPr>
            <w:rStyle w:val="Hyperlink"/>
            <w:rFonts w:ascii="Arial" w:hAnsi="Arial" w:cs="Arial"/>
            <w:i/>
            <w:color w:val="auto"/>
            <w:sz w:val="18"/>
            <w:szCs w:val="18"/>
            <w:shd w:val="clear" w:color="auto" w:fill="FFFFFF" w:themeFill="background1"/>
            <w:lang w:val="fr-FR"/>
          </w:rPr>
          <w:t xml:space="preserve">Géorgie c. Russie (I) </w:t>
        </w:r>
        <w:r w:rsidRPr="00720D91">
          <w:rPr>
            <w:rStyle w:val="Hyperlink"/>
            <w:rFonts w:ascii="Arial" w:hAnsi="Arial" w:cs="Arial"/>
            <w:color w:val="auto"/>
            <w:sz w:val="18"/>
            <w:szCs w:val="18"/>
            <w:shd w:val="clear" w:color="auto" w:fill="FFFFFF" w:themeFill="background1"/>
            <w:lang w:val="fr-FR"/>
          </w:rPr>
          <w:t>(satisfaction équitable)</w:t>
        </w:r>
      </w:hyperlink>
      <w:r w:rsidRPr="00720D91">
        <w:rPr>
          <w:rFonts w:ascii="Arial" w:hAnsi="Arial" w:cs="Arial"/>
          <w:sz w:val="18"/>
          <w:szCs w:val="18"/>
          <w:shd w:val="clear" w:color="auto" w:fill="FFFFFF" w:themeFill="background1"/>
          <w:lang w:val="fr-FR"/>
        </w:rPr>
        <w:t xml:space="preserve"> [GC], n° 13255/07, § 20, 29 janvier 2019 ; </w:t>
      </w:r>
      <w:hyperlink r:id="rId282" w:history="1">
        <w:r w:rsidRPr="00720D91">
          <w:rPr>
            <w:rStyle w:val="Hyperlink"/>
            <w:rFonts w:ascii="Arial" w:hAnsi="Arial" w:cs="Arial"/>
            <w:i/>
            <w:iCs/>
            <w:color w:val="auto"/>
            <w:sz w:val="18"/>
            <w:szCs w:val="18"/>
            <w:shd w:val="clear" w:color="auto" w:fill="FFFFFF" w:themeFill="background1"/>
            <w:lang w:val="fr-FR"/>
          </w:rPr>
          <w:t xml:space="preserve">Géorgie c. Russie </w:t>
        </w:r>
      </w:hyperlink>
      <w:r w:rsidRPr="00720D91">
        <w:rPr>
          <w:rFonts w:ascii="Arial" w:hAnsi="Arial" w:cs="Arial"/>
          <w:sz w:val="18"/>
          <w:szCs w:val="18"/>
          <w:shd w:val="clear" w:color="auto" w:fill="FFFFFF" w:themeFill="background1"/>
          <w:lang w:val="fr-FR"/>
        </w:rPr>
        <w:t>(II) (fond) n° 38263/08, § 350, 21 janvier 2021.</w:t>
      </w:r>
    </w:p>
  </w:footnote>
  <w:footnote w:id="211">
    <w:p w14:paraId="12779471" w14:textId="77777777" w:rsidR="00B41728" w:rsidRPr="002D305B" w:rsidRDefault="00B41728" w:rsidP="00F331F8">
      <w:pPr>
        <w:pStyle w:val="NoSpacing"/>
        <w:jc w:val="both"/>
        <w:rPr>
          <w:rFonts w:ascii="Arial" w:hAnsi="Arial" w:cs="Arial"/>
          <w:sz w:val="18"/>
          <w:szCs w:val="18"/>
        </w:rPr>
      </w:pPr>
      <w:r w:rsidRPr="002D305B">
        <w:rPr>
          <w:rStyle w:val="FootnoteReference"/>
          <w:rFonts w:ascii="Arial" w:hAnsi="Arial" w:cs="Arial"/>
          <w:sz w:val="18"/>
          <w:szCs w:val="18"/>
        </w:rPr>
        <w:footnoteRef/>
      </w:r>
      <w:r w:rsidRPr="002D305B">
        <w:rPr>
          <w:rFonts w:ascii="Arial" w:hAnsi="Arial" w:cs="Arial"/>
          <w:sz w:val="18"/>
          <w:szCs w:val="18"/>
        </w:rPr>
        <w:t xml:space="preserve"> Ibid, §§ 43. Voir aussi </w:t>
      </w:r>
      <w:hyperlink r:id="rId283" w:history="1">
        <w:r w:rsidRPr="002D305B">
          <w:rPr>
            <w:rStyle w:val="Hyperlink"/>
            <w:rFonts w:ascii="Arial" w:eastAsiaTheme="majorEastAsia" w:hAnsi="Arial" w:cs="Arial"/>
            <w:i/>
            <w:sz w:val="18"/>
            <w:szCs w:val="18"/>
          </w:rPr>
          <w:t xml:space="preserve">Géorgie c. Russie </w:t>
        </w:r>
        <w:r w:rsidRPr="002D305B">
          <w:rPr>
            <w:rStyle w:val="Hyperlink"/>
            <w:rFonts w:ascii="Arial" w:eastAsiaTheme="majorEastAsia" w:hAnsi="Arial" w:cs="Arial"/>
            <w:sz w:val="18"/>
            <w:szCs w:val="18"/>
          </w:rPr>
          <w:t>(I) (satisfaction équitable)</w:t>
        </w:r>
      </w:hyperlink>
      <w:r w:rsidRPr="002D305B">
        <w:rPr>
          <w:rFonts w:ascii="Arial" w:hAnsi="Arial" w:cs="Arial"/>
          <w:sz w:val="18"/>
          <w:szCs w:val="18"/>
        </w:rPr>
        <w:t>, n° 13255/07, § 22, 31 janvier 2019.</w:t>
      </w:r>
    </w:p>
  </w:footnote>
  <w:footnote w:id="212">
    <w:p w14:paraId="10865BD1" w14:textId="77777777" w:rsidR="00B41728" w:rsidRPr="00720D91" w:rsidRDefault="00B41728" w:rsidP="00F331F8">
      <w:pPr>
        <w:pStyle w:val="FootnoteText"/>
        <w:jc w:val="both"/>
        <w:rPr>
          <w:lang w:val="fr-FR"/>
        </w:rPr>
      </w:pPr>
      <w:r w:rsidRPr="009E5B2F">
        <w:rPr>
          <w:rStyle w:val="FootnoteReference"/>
          <w:shd w:val="clear" w:color="auto" w:fill="FFFFFF" w:themeFill="background1"/>
        </w:rPr>
        <w:footnoteRef/>
      </w:r>
      <w:r w:rsidRPr="00720D91">
        <w:rPr>
          <w:rFonts w:ascii="Arial" w:hAnsi="Arial" w:cs="Arial"/>
          <w:sz w:val="18"/>
          <w:szCs w:val="18"/>
          <w:shd w:val="clear" w:color="auto" w:fill="FFFFFF" w:themeFill="background1"/>
          <w:lang w:val="fr-FR"/>
        </w:rPr>
        <w:t xml:space="preserve"> </w:t>
      </w:r>
      <w:hyperlink r:id="rId284" w:history="1">
        <w:r w:rsidRPr="00720D91">
          <w:rPr>
            <w:rStyle w:val="Hyperlink"/>
            <w:rFonts w:ascii="Arial" w:hAnsi="Arial" w:cs="Arial"/>
            <w:i/>
            <w:color w:val="auto"/>
            <w:sz w:val="18"/>
            <w:szCs w:val="18"/>
            <w:shd w:val="clear" w:color="auto" w:fill="FFFFFF" w:themeFill="background1"/>
            <w:lang w:val="fr-FR"/>
          </w:rPr>
          <w:t xml:space="preserve">Géorgie c. Russie </w:t>
        </w:r>
        <w:r w:rsidRPr="00720D91">
          <w:rPr>
            <w:rStyle w:val="Hyperlink"/>
            <w:rFonts w:ascii="Arial" w:hAnsi="Arial" w:cs="Arial"/>
            <w:color w:val="auto"/>
            <w:sz w:val="18"/>
            <w:szCs w:val="18"/>
            <w:shd w:val="clear" w:color="auto" w:fill="FFFFFF" w:themeFill="background1"/>
            <w:lang w:val="fr-FR"/>
          </w:rPr>
          <w:t>(I) (satisfaction équitable)</w:t>
        </w:r>
      </w:hyperlink>
      <w:r w:rsidRPr="00720D91">
        <w:rPr>
          <w:rFonts w:ascii="Arial" w:hAnsi="Arial" w:cs="Arial"/>
          <w:sz w:val="18"/>
          <w:szCs w:val="18"/>
          <w:shd w:val="clear" w:color="auto" w:fill="FFFFFF" w:themeFill="background1"/>
          <w:lang w:val="fr-FR"/>
        </w:rPr>
        <w:t>, n° 13255/07, § 55, 31 janvier 2019.</w:t>
      </w:r>
    </w:p>
  </w:footnote>
  <w:footnote w:id="213">
    <w:p w14:paraId="0D7D0D36" w14:textId="77777777" w:rsidR="00B41728" w:rsidRPr="002D305B" w:rsidRDefault="00B41728" w:rsidP="00F331F8">
      <w:pPr>
        <w:pStyle w:val="NoSpacing"/>
        <w:jc w:val="both"/>
        <w:rPr>
          <w:rFonts w:ascii="Arial" w:hAnsi="Arial" w:cs="Arial"/>
          <w:sz w:val="18"/>
          <w:szCs w:val="18"/>
        </w:rPr>
      </w:pPr>
      <w:r w:rsidRPr="002D305B">
        <w:rPr>
          <w:rStyle w:val="FootnoteReference"/>
          <w:rFonts w:ascii="Arial" w:hAnsi="Arial" w:cs="Arial"/>
          <w:sz w:val="18"/>
          <w:szCs w:val="18"/>
        </w:rPr>
        <w:footnoteRef/>
      </w:r>
      <w:r w:rsidRPr="002D305B">
        <w:rPr>
          <w:rFonts w:ascii="Arial" w:hAnsi="Arial" w:cs="Arial"/>
          <w:sz w:val="18"/>
          <w:szCs w:val="18"/>
        </w:rPr>
        <w:t xml:space="preserve"> Ibid. § 28.</w:t>
      </w:r>
    </w:p>
  </w:footnote>
  <w:footnote w:id="214">
    <w:p w14:paraId="11709182" w14:textId="77777777" w:rsidR="00B41728" w:rsidRPr="00720D91" w:rsidRDefault="00B41728" w:rsidP="00F331F8">
      <w:pPr>
        <w:pStyle w:val="FootnoteText"/>
        <w:rPr>
          <w:lang w:val="fr-FR"/>
        </w:rPr>
      </w:pPr>
      <w:r w:rsidRPr="009E5B2F">
        <w:rPr>
          <w:rStyle w:val="FootnoteReference"/>
          <w:shd w:val="clear" w:color="auto" w:fill="FFFFFF" w:themeFill="background1"/>
        </w:rPr>
        <w:footnoteRef/>
      </w:r>
      <w:hyperlink r:id="rId285" w:history="1">
        <w:r w:rsidRPr="00720D91">
          <w:rPr>
            <w:rStyle w:val="Hyperlink"/>
            <w:rFonts w:ascii="Arial" w:hAnsi="Arial" w:cs="Arial"/>
            <w:color w:val="auto"/>
            <w:sz w:val="18"/>
            <w:szCs w:val="18"/>
            <w:shd w:val="clear" w:color="auto" w:fill="FFFFFF" w:themeFill="background1"/>
            <w:lang w:val="fr-FR"/>
          </w:rPr>
          <w:t xml:space="preserve"> </w:t>
        </w:r>
        <w:r w:rsidRPr="00720D91">
          <w:rPr>
            <w:rStyle w:val="Hyperlink"/>
            <w:rFonts w:ascii="Arial" w:hAnsi="Arial" w:cs="Arial"/>
            <w:i/>
            <w:color w:val="auto"/>
            <w:sz w:val="18"/>
            <w:szCs w:val="18"/>
            <w:shd w:val="clear" w:color="auto" w:fill="FFFFFF" w:themeFill="background1"/>
            <w:lang w:val="fr-FR"/>
          </w:rPr>
          <w:t xml:space="preserve">Géorgie c. Russie </w:t>
        </w:r>
        <w:r w:rsidRPr="00720D91">
          <w:rPr>
            <w:rStyle w:val="Hyperlink"/>
            <w:rFonts w:ascii="Arial" w:hAnsi="Arial" w:cs="Arial"/>
            <w:color w:val="auto"/>
            <w:sz w:val="18"/>
            <w:szCs w:val="18"/>
            <w:shd w:val="clear" w:color="auto" w:fill="FFFFFF" w:themeFill="background1"/>
            <w:lang w:val="fr-FR"/>
          </w:rPr>
          <w:t>(I) (satisfaction équitable)</w:t>
        </w:r>
      </w:hyperlink>
      <w:r w:rsidRPr="00720D91">
        <w:rPr>
          <w:rFonts w:ascii="Arial" w:hAnsi="Arial" w:cs="Arial"/>
          <w:sz w:val="18"/>
          <w:szCs w:val="18"/>
          <w:shd w:val="clear" w:color="auto" w:fill="FFFFFF" w:themeFill="background1"/>
          <w:lang w:val="fr-FR"/>
        </w:rPr>
        <w:t>, n° 13255/07, §§ 56, 57, 31 janvier 2019.</w:t>
      </w:r>
    </w:p>
  </w:footnote>
  <w:footnote w:id="215">
    <w:p w14:paraId="268AE73E" w14:textId="77777777" w:rsidR="00B41728" w:rsidRPr="00720D91" w:rsidRDefault="00B41728" w:rsidP="00F331F8">
      <w:pPr>
        <w:pStyle w:val="FootnoteText"/>
        <w:jc w:val="both"/>
        <w:rPr>
          <w:lang w:val="fr-FR"/>
        </w:rPr>
      </w:pPr>
      <w:r w:rsidRPr="002D305B">
        <w:rPr>
          <w:rStyle w:val="FootnoteReference"/>
        </w:rPr>
        <w:footnoteRef/>
      </w:r>
      <w:r w:rsidRPr="00720D91">
        <w:rPr>
          <w:rStyle w:val="sb8d990e2"/>
          <w:rFonts w:ascii="Arial" w:hAnsi="Arial" w:cs="Arial"/>
          <w:color w:val="000000"/>
          <w:sz w:val="18"/>
          <w:szCs w:val="18"/>
          <w:lang w:val="fr-FR"/>
        </w:rPr>
        <w:t xml:space="preserve"> Dans l'arrêt principal, la Cour a estimé qu'à l'automne 2006, une « politique coordonnée d'arrestation, de détention et d'expulsion de ressortissants géorgiens " avait été mise en place dans la Fédération de Russie » qui s'apparentait à une pratique administrative aux fins de la jurisprudence de la Convention </w:t>
      </w:r>
      <w:r w:rsidRPr="00720D91">
        <w:rPr>
          <w:rStyle w:val="sb8d990e2"/>
          <w:rFonts w:ascii="Arial" w:hAnsi="Arial" w:cs="Arial"/>
          <w:color w:val="000000"/>
          <w:sz w:val="18"/>
          <w:szCs w:val="18"/>
          <w:lang w:val="fr-FR"/>
        </w:rPr>
        <w:noBreakHyphen/>
        <w:t xml:space="preserve">", voir </w:t>
      </w:r>
      <w:hyperlink r:id="rId286" w:history="1">
        <w:r w:rsidRPr="00720D91">
          <w:rPr>
            <w:rStyle w:val="Hyperlink"/>
            <w:rFonts w:ascii="Arial" w:hAnsi="Arial" w:cs="Arial"/>
            <w:i/>
            <w:iCs/>
            <w:sz w:val="18"/>
            <w:szCs w:val="18"/>
            <w:lang w:val="fr-FR"/>
          </w:rPr>
          <w:t>Géorgie c. Russie (I)</w:t>
        </w:r>
      </w:hyperlink>
      <w:r w:rsidRPr="00720D91">
        <w:rPr>
          <w:rStyle w:val="s6b621b36"/>
          <w:rFonts w:ascii="Arial" w:hAnsi="Arial" w:cs="Arial"/>
          <w:i/>
          <w:iCs/>
          <w:color w:val="000000"/>
          <w:sz w:val="18"/>
          <w:szCs w:val="18"/>
          <w:lang w:val="fr-FR"/>
        </w:rPr>
        <w:t xml:space="preserve">, </w:t>
      </w:r>
      <w:r w:rsidRPr="00720D91">
        <w:rPr>
          <w:rStyle w:val="sb8d990e2"/>
          <w:rFonts w:ascii="Arial" w:hAnsi="Arial" w:cs="Arial"/>
          <w:color w:val="000000"/>
          <w:sz w:val="18"/>
          <w:szCs w:val="18"/>
          <w:lang w:val="fr-FR"/>
        </w:rPr>
        <w:t>précité, § 159.</w:t>
      </w:r>
    </w:p>
  </w:footnote>
  <w:footnote w:id="216">
    <w:p w14:paraId="39D60626" w14:textId="77777777" w:rsidR="00B41728" w:rsidRPr="00720D91" w:rsidRDefault="00B41728" w:rsidP="00F331F8">
      <w:pPr>
        <w:pStyle w:val="FootnoteText"/>
        <w:rPr>
          <w:lang w:val="fr-FR"/>
        </w:rPr>
      </w:pPr>
      <w:r w:rsidRPr="002D305B">
        <w:rPr>
          <w:rStyle w:val="FootnoteReference"/>
        </w:rPr>
        <w:footnoteRef/>
      </w:r>
      <w:hyperlink r:id="rId287" w:history="1">
        <w:r w:rsidRPr="00720D91">
          <w:rPr>
            <w:rStyle w:val="Hyperlink"/>
            <w:rFonts w:ascii="Arial" w:hAnsi="Arial" w:cs="Arial"/>
            <w:sz w:val="18"/>
            <w:szCs w:val="18"/>
            <w:lang w:val="fr-FR"/>
          </w:rPr>
          <w:t xml:space="preserve"> </w:t>
        </w:r>
        <w:r w:rsidRPr="00720D91">
          <w:rPr>
            <w:rStyle w:val="Hyperlink"/>
            <w:rFonts w:ascii="Arial" w:hAnsi="Arial" w:cs="Arial"/>
            <w:i/>
            <w:sz w:val="18"/>
            <w:szCs w:val="18"/>
            <w:lang w:val="fr-FR"/>
          </w:rPr>
          <w:t xml:space="preserve">Géorgie c. Russie </w:t>
        </w:r>
        <w:r w:rsidRPr="00720D91">
          <w:rPr>
            <w:rStyle w:val="Hyperlink"/>
            <w:rFonts w:ascii="Arial" w:hAnsi="Arial" w:cs="Arial"/>
            <w:sz w:val="18"/>
            <w:szCs w:val="18"/>
            <w:lang w:val="fr-FR"/>
          </w:rPr>
          <w:t>(I) (satisfaction équitable)</w:t>
        </w:r>
      </w:hyperlink>
      <w:r w:rsidRPr="00720D91">
        <w:rPr>
          <w:rFonts w:ascii="Arial" w:hAnsi="Arial" w:cs="Arial"/>
          <w:sz w:val="18"/>
          <w:szCs w:val="18"/>
          <w:lang w:val="fr-FR"/>
        </w:rPr>
        <w:t>, cité ci-dessus § 58.</w:t>
      </w:r>
    </w:p>
  </w:footnote>
  <w:footnote w:id="217">
    <w:p w14:paraId="62B6A45D" w14:textId="77777777" w:rsidR="00B41728" w:rsidRPr="00872A89" w:rsidRDefault="00B41728" w:rsidP="00872A89">
      <w:pPr>
        <w:pStyle w:val="NoSpacing"/>
        <w:rPr>
          <w:rFonts w:ascii="Arial" w:hAnsi="Arial" w:cs="Arial"/>
          <w:sz w:val="18"/>
          <w:szCs w:val="18"/>
        </w:rPr>
      </w:pPr>
      <w:r w:rsidRPr="00872A89">
        <w:rPr>
          <w:rStyle w:val="FootnoteReference"/>
          <w:rFonts w:ascii="Arial" w:hAnsi="Arial" w:cs="Arial"/>
          <w:sz w:val="18"/>
          <w:szCs w:val="18"/>
        </w:rPr>
        <w:footnoteRef/>
      </w:r>
      <w:r w:rsidRPr="00872A89">
        <w:rPr>
          <w:rFonts w:ascii="Arial" w:hAnsi="Arial" w:cs="Arial"/>
          <w:sz w:val="18"/>
          <w:szCs w:val="18"/>
        </w:rPr>
        <w:t xml:space="preserve"> Ibid., §§63-65.</w:t>
      </w:r>
    </w:p>
  </w:footnote>
  <w:footnote w:id="218">
    <w:p w14:paraId="13CC6558" w14:textId="77777777" w:rsidR="00B41728" w:rsidRPr="00872A89" w:rsidRDefault="00B41728" w:rsidP="00872A89">
      <w:pPr>
        <w:pStyle w:val="NoSpacing"/>
        <w:rPr>
          <w:rFonts w:ascii="Arial" w:hAnsi="Arial" w:cs="Arial"/>
          <w:sz w:val="18"/>
          <w:szCs w:val="18"/>
        </w:rPr>
      </w:pPr>
      <w:r w:rsidRPr="009E5B2F">
        <w:rPr>
          <w:rStyle w:val="FootnoteReference"/>
          <w:rFonts w:ascii="Arial" w:eastAsiaTheme="majorEastAsia" w:hAnsi="Arial" w:cs="Arial"/>
          <w:sz w:val="18"/>
          <w:szCs w:val="18"/>
          <w:shd w:val="clear" w:color="auto" w:fill="FFFFFF" w:themeFill="background1"/>
        </w:rPr>
        <w:footnoteRef/>
      </w:r>
      <w:r w:rsidRPr="009E5B2F">
        <w:rPr>
          <w:rStyle w:val="sfbbfee58"/>
          <w:rFonts w:ascii="Arial" w:eastAsiaTheme="majorEastAsia" w:hAnsi="Arial" w:cs="Arial"/>
          <w:sz w:val="18"/>
          <w:szCs w:val="18"/>
          <w:shd w:val="clear" w:color="auto" w:fill="FFFFFF" w:themeFill="background1"/>
        </w:rPr>
        <w:t xml:space="preserve"> </w:t>
      </w:r>
      <w:hyperlink r:id="rId288" w:history="1">
        <w:r w:rsidRPr="009E5B2F">
          <w:rPr>
            <w:rStyle w:val="Hyperlink"/>
            <w:rFonts w:ascii="Arial" w:eastAsiaTheme="majorEastAsia" w:hAnsi="Arial" w:cs="Arial"/>
            <w:i/>
            <w:color w:val="auto"/>
            <w:sz w:val="18"/>
            <w:szCs w:val="18"/>
            <w:shd w:val="clear" w:color="auto" w:fill="FFFFFF" w:themeFill="background1"/>
          </w:rPr>
          <w:t xml:space="preserve">Géorgie c. Russie </w:t>
        </w:r>
        <w:r w:rsidRPr="009E5B2F">
          <w:rPr>
            <w:rStyle w:val="Hyperlink"/>
            <w:rFonts w:ascii="Arial" w:eastAsiaTheme="majorEastAsia" w:hAnsi="Arial" w:cs="Arial"/>
            <w:color w:val="auto"/>
            <w:sz w:val="18"/>
            <w:szCs w:val="18"/>
            <w:shd w:val="clear" w:color="auto" w:fill="FFFFFF" w:themeFill="background1"/>
          </w:rPr>
          <w:t>(I) (satisfaction équitable)</w:t>
        </w:r>
      </w:hyperlink>
      <w:r w:rsidRPr="009E5B2F">
        <w:rPr>
          <w:shd w:val="clear" w:color="auto" w:fill="FFFFFF" w:themeFill="background1"/>
        </w:rPr>
        <w:t xml:space="preserve">, </w:t>
      </w:r>
      <w:r w:rsidRPr="00872A89">
        <w:rPr>
          <w:rFonts w:ascii="Arial" w:hAnsi="Arial" w:cs="Arial"/>
          <w:sz w:val="18"/>
          <w:szCs w:val="18"/>
          <w:shd w:val="clear" w:color="auto" w:fill="FFFFFF" w:themeFill="background1"/>
        </w:rPr>
        <w:t>précité § 70, note 3</w:t>
      </w:r>
      <w:r w:rsidRPr="009E5B2F">
        <w:rPr>
          <w:shd w:val="clear" w:color="auto" w:fill="FFFFFF" w:themeFill="background1"/>
        </w:rPr>
        <w:t xml:space="preserve"> : « </w:t>
      </w:r>
      <w:r w:rsidRPr="009E5B2F">
        <w:rPr>
          <w:rStyle w:val="sfbbfee58"/>
          <w:rFonts w:ascii="Arial" w:eastAsiaTheme="majorEastAsia" w:hAnsi="Arial" w:cs="Arial"/>
          <w:sz w:val="18"/>
          <w:szCs w:val="18"/>
          <w:shd w:val="clear" w:color="auto" w:fill="FFFFFF" w:themeFill="background1"/>
        </w:rPr>
        <w:t xml:space="preserve">23 requérants ont introduit 10 requêtes individuelles relatives à l'affaire </w:t>
      </w:r>
      <w:r w:rsidRPr="009E5B2F">
        <w:rPr>
          <w:rStyle w:val="s1a844bc0"/>
          <w:rFonts w:ascii="Arial" w:eastAsiaTheme="minorEastAsia" w:hAnsi="Arial" w:cs="Arial"/>
          <w:i/>
          <w:iCs/>
          <w:sz w:val="18"/>
          <w:szCs w:val="18"/>
          <w:shd w:val="clear" w:color="auto" w:fill="FFFFFF" w:themeFill="background1"/>
        </w:rPr>
        <w:t xml:space="preserve">Géorgie c. Russie </w:t>
      </w:r>
      <w:r w:rsidRPr="009E5B2F">
        <w:rPr>
          <w:rStyle w:val="sfbbfee58"/>
          <w:rFonts w:ascii="Arial" w:eastAsiaTheme="majorEastAsia" w:hAnsi="Arial" w:cs="Arial"/>
          <w:sz w:val="18"/>
          <w:szCs w:val="18"/>
          <w:shd w:val="clear" w:color="auto" w:fill="FFFFFF" w:themeFill="background1"/>
        </w:rPr>
        <w:t xml:space="preserve">(I) devant la Cour, qui a statué comme suit : - Par un arrêt du 3 mai 2016, la Cour a rayé du rôle la requête introduite par MM. Shakhi Kvaratskhelia et Shakhi Kvaratskhelia (n° </w:t>
      </w:r>
      <w:hyperlink r:id="rId289" w:anchor="{%22appno%22:[%2214985/07%22]}" w:tgtFrame="_blank" w:history="1">
        <w:r w:rsidRPr="009E5B2F">
          <w:rPr>
            <w:rStyle w:val="Hyperlink"/>
            <w:rFonts w:ascii="Arial" w:eastAsiaTheme="minorEastAsia" w:hAnsi="Arial" w:cs="Arial"/>
            <w:color w:val="auto"/>
            <w:sz w:val="18"/>
            <w:szCs w:val="18"/>
            <w:shd w:val="clear" w:color="auto" w:fill="FFFFFF" w:themeFill="background1"/>
          </w:rPr>
          <w:t>14985/07)</w:t>
        </w:r>
      </w:hyperlink>
      <w:r w:rsidRPr="009E5B2F">
        <w:rPr>
          <w:rStyle w:val="sfbbfee58"/>
          <w:rFonts w:ascii="Arial" w:eastAsiaTheme="majorEastAsia" w:hAnsi="Arial" w:cs="Arial"/>
          <w:sz w:val="18"/>
          <w:szCs w:val="18"/>
          <w:shd w:val="clear" w:color="auto" w:fill="FFFFFF" w:themeFill="background1"/>
        </w:rPr>
        <w:t xml:space="preserve">, respectivement père et fils de Mme Manana Jabelia, suite à un règlement amiable intervenu entre les requérants et le gouvernement défendeur ; - Par un arrêt du 20 décembre 2016, la Cour a dit qu'il y avait eu violation des articles 2 et 3 de la Convention, ainsi que de l'article 13 combiné avec l'article 3, et a accordé 40 000 euros de satisfaction équitable concernant la requête introduite par Mme Nino Dzidzava (n° </w:t>
      </w:r>
      <w:hyperlink r:id="rId290" w:anchor="{%22appno%22:[%2216363/07%22]}" w:tgtFrame="_blank" w:history="1">
        <w:r w:rsidRPr="009E5B2F">
          <w:rPr>
            <w:rStyle w:val="Hyperlink"/>
            <w:rFonts w:ascii="Arial" w:eastAsiaTheme="minorEastAsia" w:hAnsi="Arial" w:cs="Arial"/>
            <w:color w:val="auto"/>
            <w:sz w:val="18"/>
            <w:szCs w:val="18"/>
            <w:shd w:val="clear" w:color="auto" w:fill="FFFFFF" w:themeFill="background1"/>
          </w:rPr>
          <w:t>16363/07)</w:t>
        </w:r>
      </w:hyperlink>
      <w:r w:rsidRPr="009E5B2F">
        <w:rPr>
          <w:rStyle w:val="sfbbfee58"/>
          <w:rFonts w:ascii="Arial" w:eastAsiaTheme="majorEastAsia" w:hAnsi="Arial" w:cs="Arial"/>
          <w:sz w:val="18"/>
          <w:szCs w:val="18"/>
          <w:shd w:val="clear" w:color="auto" w:fill="FFFFFF" w:themeFill="background1"/>
        </w:rPr>
        <w:t xml:space="preserve">, épouse de M. Tengiz Togonidze. </w:t>
      </w:r>
      <w:r w:rsidRPr="009E5B2F">
        <w:rPr>
          <w:rStyle w:val="sfbbfee58"/>
          <w:rFonts w:ascii="Arial" w:hAnsi="Arial" w:cs="Arial"/>
          <w:sz w:val="18"/>
          <w:szCs w:val="18"/>
          <w:shd w:val="clear" w:color="auto" w:fill="FFFFFF" w:themeFill="background1"/>
        </w:rPr>
        <w:t>- S'agissant des autres requêtes, la Cour les a regroupées et a rendu un arrêt sur le fond (</w:t>
      </w:r>
      <w:r w:rsidRPr="009E5B2F">
        <w:rPr>
          <w:rStyle w:val="s1a844bc0"/>
          <w:rFonts w:ascii="Arial" w:hAnsi="Arial" w:cs="Arial"/>
          <w:i/>
          <w:iCs/>
          <w:sz w:val="18"/>
          <w:szCs w:val="18"/>
          <w:shd w:val="clear" w:color="auto" w:fill="FFFFFF" w:themeFill="background1"/>
        </w:rPr>
        <w:t>Berdzenishvili et autres</w:t>
      </w:r>
      <w:r w:rsidRPr="009E5B2F">
        <w:rPr>
          <w:rStyle w:val="sfbbfee58"/>
          <w:rFonts w:ascii="Arial" w:hAnsi="Arial" w:cs="Arial"/>
          <w:sz w:val="18"/>
          <w:szCs w:val="18"/>
          <w:shd w:val="clear" w:color="auto" w:fill="FFFFFF" w:themeFill="background1"/>
        </w:rPr>
        <w:t xml:space="preserve">, n° </w:t>
      </w:r>
      <w:hyperlink r:id="rId291" w:anchor="{%22appno%22:[%2214594/07%22]}" w:tgtFrame="_blank" w:history="1">
        <w:r w:rsidRPr="009E5B2F">
          <w:rPr>
            <w:rStyle w:val="Hyperlink"/>
            <w:rFonts w:ascii="Arial" w:eastAsiaTheme="majorEastAsia" w:hAnsi="Arial" w:cs="Arial"/>
            <w:color w:val="auto"/>
            <w:sz w:val="18"/>
            <w:szCs w:val="18"/>
            <w:shd w:val="clear" w:color="auto" w:fill="FFFFFF" w:themeFill="background1"/>
          </w:rPr>
          <w:t>14594/07</w:t>
        </w:r>
      </w:hyperlink>
      <w:r w:rsidRPr="009E5B2F">
        <w:rPr>
          <w:rStyle w:val="sfbbfee58"/>
          <w:rFonts w:ascii="Arial" w:hAnsi="Arial" w:cs="Arial"/>
          <w:sz w:val="18"/>
          <w:szCs w:val="18"/>
          <w:shd w:val="clear" w:color="auto" w:fill="FFFFFF" w:themeFill="background1"/>
        </w:rPr>
        <w:t xml:space="preserve">) le 20 décembre 2016. Dans cet arrêt, elle a dit qu'il n'y avait pas eu violation des articles de la Convention invoqués par Mme Nato Shavshishvili au motif que ses griefs n'étaient pas suffisamment étayés. En ce qui concerne les requêtes pour lesquelles la Cour a constaté une violation de la Convention, elle a réservé la question de l'application de l'article 41 en attendant l'adoption du présent arrêt de satisfaction équitable." Dans l'arrêt sur la satisfaction équitable dans l'affaire </w:t>
      </w:r>
      <w:r w:rsidRPr="009E5B2F">
        <w:rPr>
          <w:rStyle w:val="s1a844bc0"/>
          <w:rFonts w:ascii="Arial" w:hAnsi="Arial" w:cs="Arial"/>
          <w:i/>
          <w:iCs/>
          <w:sz w:val="18"/>
          <w:szCs w:val="18"/>
          <w:shd w:val="clear" w:color="auto" w:fill="FFFFFF" w:themeFill="background1"/>
        </w:rPr>
        <w:t>Berdzenishvili et autres</w:t>
      </w:r>
      <w:r w:rsidRPr="009E5B2F">
        <w:rPr>
          <w:rStyle w:val="s1a844bc0"/>
          <w:rFonts w:ascii="Arial" w:hAnsi="Arial" w:cs="Arial"/>
          <w:sz w:val="18"/>
          <w:szCs w:val="18"/>
          <w:shd w:val="clear" w:color="auto" w:fill="FFFFFF" w:themeFill="background1"/>
        </w:rPr>
        <w:t xml:space="preserve">, la Cour a </w:t>
      </w:r>
      <w:r w:rsidRPr="009E5B2F">
        <w:rPr>
          <w:rStyle w:val="sb8d990e2"/>
          <w:rFonts w:ascii="Arial" w:eastAsiaTheme="majorEastAsia" w:hAnsi="Arial" w:cs="Arial"/>
          <w:sz w:val="18"/>
          <w:szCs w:val="18"/>
          <w:shd w:val="clear" w:color="auto" w:fill="FFFFFF" w:themeFill="background1"/>
        </w:rPr>
        <w:t>précisé « que, pour le calcul du montant forfaitaire qu'elle avait accordé dans l'affaire interétatique concernant la satisfaction équitable (</w:t>
      </w:r>
      <w:r w:rsidRPr="009E5B2F">
        <w:rPr>
          <w:rStyle w:val="s6b621b36"/>
          <w:rFonts w:ascii="Arial" w:eastAsiaTheme="minorEastAsia" w:hAnsi="Arial" w:cs="Arial"/>
          <w:i/>
          <w:iCs/>
          <w:sz w:val="18"/>
          <w:szCs w:val="18"/>
          <w:shd w:val="clear" w:color="auto" w:fill="FFFFFF" w:themeFill="background1"/>
        </w:rPr>
        <w:t xml:space="preserve">Géorgie c. Russie (I), </w:t>
      </w:r>
      <w:r w:rsidRPr="009E5B2F">
        <w:rPr>
          <w:rStyle w:val="sb8d990e2"/>
          <w:rFonts w:ascii="Arial" w:eastAsiaTheme="majorEastAsia" w:hAnsi="Arial" w:cs="Arial"/>
          <w:sz w:val="18"/>
          <w:szCs w:val="18"/>
          <w:shd w:val="clear" w:color="auto" w:fill="FFFFFF" w:themeFill="background1"/>
        </w:rPr>
        <w:t xml:space="preserve">elle avait exclu de la liste des victimes, </w:t>
      </w:r>
      <w:r w:rsidRPr="009E5B2F">
        <w:rPr>
          <w:rStyle w:val="s6b621b36"/>
          <w:rFonts w:ascii="Arial" w:eastAsiaTheme="minorEastAsia" w:hAnsi="Arial" w:cs="Arial"/>
          <w:i/>
          <w:iCs/>
          <w:sz w:val="18"/>
          <w:szCs w:val="18"/>
          <w:shd w:val="clear" w:color="auto" w:fill="FFFFFF" w:themeFill="background1"/>
        </w:rPr>
        <w:t xml:space="preserve">entre autres, </w:t>
      </w:r>
      <w:r w:rsidRPr="009E5B2F">
        <w:rPr>
          <w:rStyle w:val="sb8d990e2"/>
          <w:rFonts w:ascii="Arial" w:eastAsiaTheme="majorEastAsia" w:hAnsi="Arial" w:cs="Arial"/>
          <w:sz w:val="18"/>
          <w:szCs w:val="18"/>
          <w:shd w:val="clear" w:color="auto" w:fill="FFFFFF" w:themeFill="background1"/>
        </w:rPr>
        <w:t xml:space="preserve">tous les individus qui avaient introduit des requêtes individuelles contre la Russie concernant l'application de la pratique administrative susmentionnée à l'automne 2006 (ibid., § 70) ». </w:t>
      </w:r>
      <w:r w:rsidRPr="00872A89">
        <w:rPr>
          <w:rStyle w:val="sb8d990e2"/>
          <w:rFonts w:ascii="Arial" w:eastAsiaTheme="majorEastAsia" w:hAnsi="Arial" w:cs="Arial"/>
          <w:sz w:val="18"/>
          <w:szCs w:val="18"/>
          <w:shd w:val="clear" w:color="auto" w:fill="FFFFFF" w:themeFill="background1"/>
        </w:rPr>
        <w:t xml:space="preserve">Voir </w:t>
      </w:r>
      <w:hyperlink r:id="rId292" w:anchor="{%22itemid%22:[%22001-191926%22]}" w:history="1">
        <w:r w:rsidRPr="00872A89">
          <w:rPr>
            <w:rStyle w:val="Hyperlink"/>
            <w:rFonts w:ascii="Arial" w:eastAsiaTheme="majorEastAsia" w:hAnsi="Arial" w:cs="Arial"/>
            <w:i/>
            <w:color w:val="auto"/>
            <w:sz w:val="18"/>
            <w:szCs w:val="18"/>
            <w:shd w:val="clear" w:color="auto" w:fill="FFFFFF" w:themeFill="background1"/>
          </w:rPr>
          <w:t xml:space="preserve">Berdzenishvili et autres c. Russie </w:t>
        </w:r>
      </w:hyperlink>
      <w:r w:rsidRPr="00872A89">
        <w:rPr>
          <w:rFonts w:ascii="Arial" w:hAnsi="Arial" w:cs="Arial"/>
          <w:i/>
          <w:sz w:val="18"/>
          <w:szCs w:val="18"/>
        </w:rPr>
        <w:t>(satisfaction équitable)</w:t>
      </w:r>
      <w:r w:rsidRPr="00872A89">
        <w:rPr>
          <w:rFonts w:ascii="Arial" w:hAnsi="Arial" w:cs="Arial"/>
          <w:sz w:val="18"/>
          <w:szCs w:val="18"/>
        </w:rPr>
        <w:t xml:space="preserve">, § 7, nos 14594/07 et 6 autres, 26 juin 2019. </w:t>
      </w:r>
    </w:p>
  </w:footnote>
  <w:footnote w:id="219">
    <w:p w14:paraId="2358A77A" w14:textId="77777777" w:rsidR="00B41728" w:rsidRPr="002D305B" w:rsidRDefault="00B41728" w:rsidP="00F331F8">
      <w:pPr>
        <w:pStyle w:val="NoSpacing"/>
        <w:shd w:val="clear" w:color="auto" w:fill="FFFFFF" w:themeFill="background1"/>
        <w:jc w:val="both"/>
        <w:rPr>
          <w:rFonts w:ascii="Arial" w:hAnsi="Arial" w:cs="Arial"/>
          <w:sz w:val="18"/>
          <w:szCs w:val="18"/>
        </w:rPr>
      </w:pPr>
      <w:r w:rsidRPr="002D305B">
        <w:rPr>
          <w:rStyle w:val="FootnoteReference"/>
          <w:rFonts w:ascii="Arial" w:hAnsi="Arial" w:cs="Arial"/>
          <w:sz w:val="18"/>
          <w:szCs w:val="18"/>
        </w:rPr>
        <w:footnoteRef/>
      </w:r>
      <w:r w:rsidRPr="002D305B">
        <w:rPr>
          <w:rFonts w:ascii="Arial" w:hAnsi="Arial" w:cs="Arial"/>
          <w:sz w:val="18"/>
          <w:szCs w:val="18"/>
        </w:rPr>
        <w:t xml:space="preserve"> Voir le document </w:t>
      </w:r>
      <w:hyperlink r:id="rId293" w:history="1">
        <w:r w:rsidRPr="002D305B">
          <w:rPr>
            <w:rStyle w:val="Hyperlink"/>
            <w:rFonts w:ascii="Arial" w:eastAsiaTheme="majorEastAsia" w:hAnsi="Arial" w:cs="Arial"/>
            <w:sz w:val="18"/>
            <w:szCs w:val="18"/>
          </w:rPr>
          <w:t>CDDH(2019)22</w:t>
        </w:r>
      </w:hyperlink>
      <w:r w:rsidRPr="002D305B">
        <w:rPr>
          <w:rFonts w:ascii="Arial" w:hAnsi="Arial" w:cs="Arial"/>
          <w:sz w:val="18"/>
          <w:szCs w:val="18"/>
        </w:rPr>
        <w:t>, § 31.</w:t>
      </w:r>
    </w:p>
  </w:footnote>
  <w:footnote w:id="220">
    <w:p w14:paraId="1B1DCA3D" w14:textId="77777777" w:rsidR="00B41728" w:rsidRPr="00720D91" w:rsidRDefault="00B41728" w:rsidP="00F331F8">
      <w:pPr>
        <w:pStyle w:val="FootnoteText"/>
        <w:shd w:val="clear" w:color="auto" w:fill="FFFFFF" w:themeFill="background1"/>
        <w:jc w:val="both"/>
        <w:rPr>
          <w:rFonts w:ascii="Arial" w:hAnsi="Arial" w:cs="Arial"/>
          <w:sz w:val="18"/>
          <w:szCs w:val="18"/>
          <w:shd w:val="clear" w:color="auto" w:fill="D9D9D9" w:themeFill="background1" w:themeFillShade="D9"/>
          <w:lang w:val="fr-FR"/>
        </w:rPr>
      </w:pPr>
      <w:r w:rsidRPr="009C51FA">
        <w:rPr>
          <w:rStyle w:val="FootnoteReference"/>
          <w:shd w:val="clear" w:color="auto" w:fill="FFFFFF" w:themeFill="background1"/>
        </w:rPr>
        <w:footnoteRef/>
      </w:r>
      <w:r w:rsidRPr="00720D91">
        <w:rPr>
          <w:rFonts w:ascii="Arial" w:hAnsi="Arial" w:cs="Arial"/>
          <w:sz w:val="18"/>
          <w:szCs w:val="18"/>
          <w:shd w:val="clear" w:color="auto" w:fill="FFFFFF" w:themeFill="background1"/>
          <w:lang w:val="fr-FR"/>
        </w:rPr>
        <w:t xml:space="preserve"> </w:t>
      </w:r>
      <w:hyperlink r:id="rId294" w:history="1">
        <w:r w:rsidRPr="00720D91">
          <w:rPr>
            <w:rStyle w:val="Hyperlink"/>
            <w:rFonts w:ascii="Arial" w:hAnsi="Arial" w:cs="Arial"/>
            <w:i/>
            <w:color w:val="auto"/>
            <w:sz w:val="18"/>
            <w:szCs w:val="18"/>
            <w:shd w:val="clear" w:color="auto" w:fill="FFFFFF" w:themeFill="background1"/>
            <w:lang w:val="fr-FR"/>
          </w:rPr>
          <w:t xml:space="preserve">Géorgie c. Russie (I) </w:t>
        </w:r>
        <w:r w:rsidRPr="00720D91">
          <w:rPr>
            <w:rStyle w:val="Hyperlink"/>
            <w:rFonts w:ascii="Arial" w:hAnsi="Arial" w:cs="Arial"/>
            <w:color w:val="auto"/>
            <w:sz w:val="18"/>
            <w:szCs w:val="18"/>
            <w:shd w:val="clear" w:color="auto" w:fill="FFFFFF" w:themeFill="background1"/>
            <w:lang w:val="fr-FR"/>
          </w:rPr>
          <w:t>(satisfaction équitable)</w:t>
        </w:r>
      </w:hyperlink>
      <w:r w:rsidRPr="00720D91">
        <w:rPr>
          <w:rFonts w:ascii="Arial" w:hAnsi="Arial" w:cs="Arial"/>
          <w:sz w:val="18"/>
          <w:szCs w:val="18"/>
          <w:shd w:val="clear" w:color="auto" w:fill="FFFFFF" w:themeFill="background1"/>
          <w:lang w:val="fr-FR"/>
        </w:rPr>
        <w:t xml:space="preserve"> [GC], n° 13255/07, § 60, 29 janvier 2019 ; </w:t>
      </w:r>
      <w:hyperlink r:id="rId295" w:history="1">
        <w:r w:rsidRPr="00720D91">
          <w:rPr>
            <w:rStyle w:val="Hyperlink"/>
            <w:rFonts w:ascii="Arial" w:hAnsi="Arial" w:cs="Arial"/>
            <w:i/>
            <w:iCs/>
            <w:color w:val="auto"/>
            <w:sz w:val="18"/>
            <w:szCs w:val="18"/>
            <w:shd w:val="clear" w:color="auto" w:fill="FFFFFF" w:themeFill="background1"/>
            <w:lang w:val="fr-FR"/>
          </w:rPr>
          <w:t xml:space="preserve">Géorgie c. Russie </w:t>
        </w:r>
        <w:r w:rsidRPr="00720D91">
          <w:rPr>
            <w:rStyle w:val="Hyperlink"/>
            <w:rFonts w:ascii="Arial" w:hAnsi="Arial" w:cs="Arial"/>
            <w:color w:val="auto"/>
            <w:sz w:val="18"/>
            <w:szCs w:val="18"/>
            <w:shd w:val="clear" w:color="auto" w:fill="FFFFFF" w:themeFill="background1"/>
            <w:lang w:val="fr-FR"/>
          </w:rPr>
          <w:t>(II)</w:t>
        </w:r>
      </w:hyperlink>
      <w:r w:rsidRPr="00720D91">
        <w:rPr>
          <w:rFonts w:ascii="Arial" w:hAnsi="Arial" w:cs="Arial"/>
          <w:sz w:val="18"/>
          <w:szCs w:val="18"/>
          <w:shd w:val="clear" w:color="auto" w:fill="FFFFFF" w:themeFill="background1"/>
          <w:lang w:val="fr-FR"/>
        </w:rPr>
        <w:t xml:space="preserve"> (fond) n° 38263/08, § 351, 21 janvier 2021.</w:t>
      </w:r>
    </w:p>
  </w:footnote>
  <w:footnote w:id="221">
    <w:p w14:paraId="60E4549C" w14:textId="77777777" w:rsidR="00B41728" w:rsidRPr="002D305B" w:rsidRDefault="00B41728" w:rsidP="00F331F8">
      <w:pPr>
        <w:pStyle w:val="NoSpacing"/>
        <w:shd w:val="clear" w:color="auto" w:fill="FFFFFF" w:themeFill="background1"/>
        <w:jc w:val="both"/>
        <w:rPr>
          <w:rFonts w:ascii="Arial" w:hAnsi="Arial" w:cs="Arial"/>
          <w:sz w:val="18"/>
          <w:szCs w:val="18"/>
        </w:rPr>
      </w:pPr>
      <w:r w:rsidRPr="009C51FA">
        <w:rPr>
          <w:rStyle w:val="FootnoteReference"/>
          <w:rFonts w:ascii="Arial" w:hAnsi="Arial" w:cs="Arial"/>
          <w:sz w:val="18"/>
          <w:szCs w:val="18"/>
          <w:shd w:val="clear" w:color="auto" w:fill="FFFFFF" w:themeFill="background1"/>
        </w:rPr>
        <w:footnoteRef/>
      </w:r>
      <w:r w:rsidRPr="009C51FA">
        <w:rPr>
          <w:rFonts w:ascii="Arial" w:hAnsi="Arial" w:cs="Arial"/>
          <w:sz w:val="18"/>
          <w:szCs w:val="18"/>
          <w:shd w:val="clear" w:color="auto" w:fill="FFFFFF" w:themeFill="background1"/>
        </w:rPr>
        <w:t xml:space="preserve"> Voir le document </w:t>
      </w:r>
      <w:hyperlink r:id="rId296" w:history="1">
        <w:r w:rsidRPr="009C51FA">
          <w:rPr>
            <w:rStyle w:val="Hyperlink"/>
            <w:rFonts w:ascii="Arial" w:eastAsiaTheme="majorEastAsia" w:hAnsi="Arial" w:cs="Arial"/>
            <w:color w:val="auto"/>
            <w:sz w:val="18"/>
            <w:szCs w:val="18"/>
            <w:shd w:val="clear" w:color="auto" w:fill="FFFFFF" w:themeFill="background1"/>
          </w:rPr>
          <w:t>CDDH(2019)22</w:t>
        </w:r>
      </w:hyperlink>
      <w:r w:rsidRPr="009C51FA">
        <w:rPr>
          <w:rFonts w:ascii="Arial" w:hAnsi="Arial" w:cs="Arial"/>
          <w:sz w:val="18"/>
          <w:szCs w:val="18"/>
          <w:shd w:val="clear" w:color="auto" w:fill="FFFFFF" w:themeFill="background1"/>
        </w:rPr>
        <w:t>, § 31.</w:t>
      </w:r>
      <w:r w:rsidRPr="009C51FA">
        <w:rPr>
          <w:rFonts w:ascii="Arial" w:hAnsi="Arial" w:cs="Arial"/>
          <w:sz w:val="18"/>
          <w:szCs w:val="18"/>
          <w:shd w:val="clear" w:color="auto" w:fill="FFFFFF" w:themeFill="background1"/>
        </w:rPr>
        <w:tab/>
      </w:r>
    </w:p>
  </w:footnote>
  <w:footnote w:id="222">
    <w:p w14:paraId="328EC555" w14:textId="77777777" w:rsidR="00B41728" w:rsidRPr="00720D91" w:rsidRDefault="00B41728" w:rsidP="00F331F8">
      <w:pPr>
        <w:pStyle w:val="FootnoteText"/>
        <w:jc w:val="both"/>
        <w:rPr>
          <w:lang w:val="fr-FR"/>
        </w:rPr>
      </w:pPr>
      <w:r w:rsidRPr="002D305B">
        <w:rPr>
          <w:rStyle w:val="FootnoteReference"/>
        </w:rPr>
        <w:footnoteRef/>
      </w:r>
      <w:r w:rsidRPr="00720D91">
        <w:rPr>
          <w:rFonts w:ascii="Arial" w:eastAsia="Times New Roman" w:hAnsi="Arial" w:cs="Arial"/>
          <w:sz w:val="18"/>
          <w:szCs w:val="18"/>
          <w:lang w:val="fr-FR"/>
        </w:rPr>
        <w:t xml:space="preserve"> Il </w:t>
      </w:r>
      <w:r w:rsidRPr="00720D91">
        <w:rPr>
          <w:rFonts w:ascii="Arial" w:hAnsi="Arial" w:cs="Arial"/>
          <w:sz w:val="18"/>
          <w:szCs w:val="18"/>
          <w:lang w:val="fr-FR"/>
        </w:rPr>
        <w:t xml:space="preserve">convient de noter que dans l'affaire </w:t>
      </w:r>
      <w:r w:rsidRPr="00720D91">
        <w:rPr>
          <w:rFonts w:ascii="Arial" w:eastAsia="Times New Roman" w:hAnsi="Arial" w:cs="Arial"/>
          <w:sz w:val="18"/>
          <w:szCs w:val="18"/>
          <w:lang w:val="fr-FR"/>
        </w:rPr>
        <w:t>Chypre c. Turquie (IV), n° 25781/94, 22.11.1994 : l'arrêt sur le fond a été rendu le 10 mai 2001 tandis que l'arrêt sur la satisfaction équitable le 12 mai 2014. Dans l'affaire Géorgie c. Fédération de Russie (I), requête n° 13255/07, 26.03.2007 : l'</w:t>
      </w:r>
      <w:r w:rsidRPr="00720D91">
        <w:rPr>
          <w:rFonts w:ascii="Arial" w:eastAsia="Times New Roman" w:hAnsi="Arial" w:cs="Arial"/>
          <w:color w:val="000000" w:themeColor="text1"/>
          <w:sz w:val="18"/>
          <w:szCs w:val="18"/>
          <w:lang w:val="fr-FR"/>
        </w:rPr>
        <w:t xml:space="preserve">arrêt sur le fond a été rendu </w:t>
      </w:r>
      <w:r w:rsidRPr="00720D91">
        <w:rPr>
          <w:rFonts w:ascii="Arial" w:eastAsia="Times New Roman" w:hAnsi="Arial" w:cs="Arial"/>
          <w:sz w:val="18"/>
          <w:szCs w:val="18"/>
          <w:lang w:val="fr-FR"/>
        </w:rPr>
        <w:t>le 3 juillet 2014 et l'arrêt sur la satisfaction équitable le 31 janvier 2019.</w:t>
      </w:r>
    </w:p>
  </w:footnote>
  <w:footnote w:id="223">
    <w:p w14:paraId="2A350D7F" w14:textId="77777777" w:rsidR="00B41728" w:rsidRPr="00720D91" w:rsidRDefault="00B41728" w:rsidP="00F331F8">
      <w:pPr>
        <w:pStyle w:val="FootnoteText"/>
        <w:rPr>
          <w:rFonts w:ascii="Arial" w:hAnsi="Arial" w:cs="Arial"/>
          <w:lang w:val="fr-FR"/>
        </w:rPr>
      </w:pPr>
      <w:r w:rsidRPr="002074A1">
        <w:rPr>
          <w:rStyle w:val="FootnoteReference"/>
          <w:rFonts w:ascii="Arial" w:hAnsi="Arial" w:cs="Arial"/>
          <w:sz w:val="18"/>
        </w:rPr>
        <w:footnoteRef/>
      </w:r>
      <w:r w:rsidRPr="00720D91">
        <w:rPr>
          <w:rFonts w:ascii="Arial" w:hAnsi="Arial" w:cs="Arial"/>
          <w:sz w:val="18"/>
          <w:lang w:val="fr-FR"/>
        </w:rPr>
        <w:t xml:space="preserve"> </w:t>
      </w:r>
      <w:r w:rsidRPr="00720D91">
        <w:rPr>
          <w:rFonts w:ascii="Arial" w:hAnsi="Arial" w:cs="Arial"/>
          <w:i/>
          <w:iCs/>
          <w:sz w:val="18"/>
          <w:lang w:val="fr-FR"/>
        </w:rPr>
        <w:t>Géorgie c. Russie (II)</w:t>
      </w:r>
      <w:r w:rsidRPr="00720D91">
        <w:rPr>
          <w:rFonts w:ascii="Arial" w:hAnsi="Arial" w:cs="Arial"/>
          <w:sz w:val="18"/>
          <w:lang w:val="fr-FR"/>
        </w:rPr>
        <w:t xml:space="preserve"> (fond), n° 38263/08, §16 du dispositif, 21 janvier 2021.</w:t>
      </w:r>
    </w:p>
  </w:footnote>
  <w:footnote w:id="224">
    <w:p w14:paraId="50537CC7" w14:textId="77777777" w:rsidR="00B41728" w:rsidRPr="00720D91" w:rsidRDefault="00B41728" w:rsidP="00F331F8">
      <w:pPr>
        <w:pStyle w:val="FootnoteText"/>
        <w:jc w:val="both"/>
        <w:rPr>
          <w:rFonts w:ascii="Arial" w:hAnsi="Arial" w:cs="Arial"/>
          <w:sz w:val="18"/>
          <w:szCs w:val="18"/>
          <w:lang w:val="fr-FR"/>
        </w:rPr>
      </w:pPr>
      <w:r w:rsidRPr="002D305B">
        <w:rPr>
          <w:rStyle w:val="FootnoteReference"/>
          <w:rFonts w:ascii="Arial" w:hAnsi="Arial" w:cs="Arial"/>
          <w:sz w:val="18"/>
          <w:szCs w:val="18"/>
        </w:rPr>
        <w:footnoteRef/>
      </w:r>
      <w:r w:rsidRPr="00720D91">
        <w:rPr>
          <w:rFonts w:ascii="Arial" w:hAnsi="Arial" w:cs="Arial"/>
          <w:sz w:val="18"/>
          <w:szCs w:val="18"/>
          <w:lang w:val="fr-FR"/>
        </w:rPr>
        <w:t xml:space="preserve"> </w:t>
      </w:r>
      <w:bookmarkStart w:id="79" w:name="_Hlk42182954"/>
      <w:r w:rsidRPr="002D305B">
        <w:fldChar w:fldCharType="begin"/>
      </w:r>
      <w:r w:rsidRPr="00720D91">
        <w:rPr>
          <w:lang w:val="fr-FR"/>
        </w:rPr>
        <w:instrText xml:space="preserve"> HYPERLINK "http://hudoc.echr.coe.int/eng?i=001-144153" </w:instrText>
      </w:r>
      <w:r w:rsidRPr="002D305B">
        <w:fldChar w:fldCharType="separate"/>
      </w:r>
      <w:r w:rsidRPr="00720D91">
        <w:rPr>
          <w:rStyle w:val="Hyperlink"/>
          <w:rFonts w:ascii="Arial" w:hAnsi="Arial" w:cs="Arial"/>
          <w:i/>
          <w:sz w:val="18"/>
          <w:szCs w:val="18"/>
          <w:lang w:val="fr-FR"/>
        </w:rPr>
        <w:t>Chypre c. Turquie (satisfaction équitable) [GC]</w:t>
      </w:r>
      <w:r w:rsidRPr="002D305B">
        <w:rPr>
          <w:rStyle w:val="Hyperlink"/>
          <w:rFonts w:ascii="Arial" w:hAnsi="Arial" w:cs="Arial"/>
          <w:i/>
          <w:sz w:val="18"/>
          <w:szCs w:val="18"/>
        </w:rPr>
        <w:fldChar w:fldCharType="end"/>
      </w:r>
      <w:r w:rsidRPr="00720D91">
        <w:rPr>
          <w:rFonts w:ascii="Arial" w:hAnsi="Arial" w:cs="Arial"/>
          <w:sz w:val="18"/>
          <w:szCs w:val="18"/>
          <w:lang w:val="fr-FR"/>
        </w:rPr>
        <w:t>, précité, par. 56</w:t>
      </w:r>
      <w:bookmarkEnd w:id="79"/>
      <w:r w:rsidRPr="00720D91">
        <w:rPr>
          <w:rFonts w:ascii="Arial" w:hAnsi="Arial" w:cs="Arial"/>
          <w:sz w:val="18"/>
          <w:szCs w:val="18"/>
          <w:lang w:val="fr-FR"/>
        </w:rPr>
        <w:t xml:space="preserve">. </w:t>
      </w:r>
      <w:hyperlink r:id="rId297" w:history="1">
        <w:r w:rsidRPr="00720D91">
          <w:rPr>
            <w:rStyle w:val="Hyperlink"/>
            <w:rFonts w:ascii="Arial" w:hAnsi="Arial" w:cs="Arial"/>
            <w:i/>
            <w:sz w:val="18"/>
            <w:szCs w:val="18"/>
            <w:lang w:val="fr-FR"/>
          </w:rPr>
          <w:t>Géorgie c. Russie (I)</w:t>
        </w:r>
        <w:r w:rsidRPr="00720D91">
          <w:rPr>
            <w:rStyle w:val="Hyperlink"/>
            <w:rFonts w:ascii="Arial" w:hAnsi="Arial" w:cs="Arial"/>
            <w:sz w:val="18"/>
            <w:szCs w:val="18"/>
            <w:lang w:val="fr-FR"/>
          </w:rPr>
          <w:t xml:space="preserve"> (satisfaction équitable)</w:t>
        </w:r>
      </w:hyperlink>
      <w:r w:rsidRPr="00720D91">
        <w:rPr>
          <w:rFonts w:ascii="Arial" w:hAnsi="Arial" w:cs="Arial"/>
          <w:sz w:val="18"/>
          <w:szCs w:val="18"/>
          <w:lang w:val="fr-FR"/>
        </w:rPr>
        <w:t>, précité, par. 73.</w:t>
      </w:r>
    </w:p>
  </w:footnote>
  <w:footnote w:id="225">
    <w:p w14:paraId="2DE6CE9D" w14:textId="77777777" w:rsidR="00B41728" w:rsidRPr="00720D91" w:rsidRDefault="00B41728" w:rsidP="00F331F8">
      <w:pPr>
        <w:pStyle w:val="FootnoteText"/>
        <w:jc w:val="both"/>
        <w:rPr>
          <w:rFonts w:ascii="Arial" w:hAnsi="Arial" w:cs="Arial"/>
          <w:sz w:val="18"/>
          <w:szCs w:val="18"/>
          <w:lang w:val="fr-FR"/>
        </w:rPr>
      </w:pPr>
      <w:r w:rsidRPr="002D305B">
        <w:rPr>
          <w:rStyle w:val="FootnoteReference"/>
          <w:rFonts w:ascii="Arial" w:hAnsi="Arial" w:cs="Arial"/>
          <w:sz w:val="18"/>
          <w:szCs w:val="18"/>
        </w:rPr>
        <w:footnoteRef/>
      </w:r>
      <w:r w:rsidRPr="00720D91">
        <w:rPr>
          <w:rFonts w:ascii="Arial" w:hAnsi="Arial" w:cs="Arial"/>
          <w:sz w:val="18"/>
          <w:szCs w:val="18"/>
          <w:lang w:val="fr-FR"/>
        </w:rPr>
        <w:t xml:space="preserve"> </w:t>
      </w:r>
      <w:hyperlink r:id="rId298" w:history="1">
        <w:r w:rsidRPr="00720D91">
          <w:rPr>
            <w:rStyle w:val="Hyperlink"/>
            <w:rFonts w:ascii="Arial" w:hAnsi="Arial" w:cs="Arial"/>
            <w:i/>
            <w:sz w:val="18"/>
            <w:szCs w:val="18"/>
            <w:lang w:val="fr-FR"/>
          </w:rPr>
          <w:t>Géorgie c. Russie (I)</w:t>
        </w:r>
        <w:r w:rsidRPr="00720D91">
          <w:rPr>
            <w:rStyle w:val="Hyperlink"/>
            <w:rFonts w:ascii="Arial" w:hAnsi="Arial" w:cs="Arial"/>
            <w:sz w:val="18"/>
            <w:szCs w:val="18"/>
            <w:lang w:val="fr-FR"/>
          </w:rPr>
          <w:t xml:space="preserve"> (satisfaction équitable)</w:t>
        </w:r>
      </w:hyperlink>
      <w:r w:rsidRPr="00720D91">
        <w:rPr>
          <w:rFonts w:ascii="Arial" w:hAnsi="Arial" w:cs="Arial"/>
          <w:sz w:val="18"/>
          <w:szCs w:val="18"/>
          <w:lang w:val="fr-FR"/>
        </w:rPr>
        <w:t xml:space="preserve">, précité, par. 73. </w:t>
      </w:r>
    </w:p>
  </w:footnote>
  <w:footnote w:id="226">
    <w:p w14:paraId="0A911B3B" w14:textId="77777777" w:rsidR="00B41728" w:rsidRPr="00720D91" w:rsidRDefault="00B41728" w:rsidP="00F331F8">
      <w:pPr>
        <w:pStyle w:val="FootnoteText"/>
        <w:rPr>
          <w:lang w:val="fr-FR"/>
        </w:rPr>
      </w:pPr>
      <w:r w:rsidRPr="002D305B">
        <w:rPr>
          <w:rStyle w:val="FootnoteReference"/>
        </w:rPr>
        <w:footnoteRef/>
      </w:r>
      <w:r w:rsidRPr="00720D91">
        <w:rPr>
          <w:lang w:val="fr-FR"/>
        </w:rPr>
        <w:t xml:space="preserve"> </w:t>
      </w:r>
      <w:r w:rsidRPr="00720D91">
        <w:rPr>
          <w:rFonts w:ascii="Arial" w:hAnsi="Arial" w:cs="Arial"/>
          <w:sz w:val="18"/>
          <w:szCs w:val="18"/>
          <w:lang w:val="fr-FR"/>
        </w:rPr>
        <w:t>Ibid</w:t>
      </w:r>
      <w:r w:rsidRPr="00720D91">
        <w:rPr>
          <w:lang w:val="fr-FR"/>
        </w:rPr>
        <w:t xml:space="preserve">. </w:t>
      </w:r>
      <w:r w:rsidRPr="00720D91">
        <w:rPr>
          <w:rFonts w:ascii="Arial" w:hAnsi="Arial" w:cs="Arial"/>
          <w:sz w:val="18"/>
          <w:szCs w:val="18"/>
          <w:lang w:val="fr-FR"/>
        </w:rPr>
        <w:t>§ 75.</w:t>
      </w:r>
    </w:p>
  </w:footnote>
  <w:footnote w:id="227">
    <w:p w14:paraId="7BCE50C4" w14:textId="77777777" w:rsidR="00B41728" w:rsidRPr="002D305B" w:rsidRDefault="00B41728" w:rsidP="00F331F8">
      <w:pPr>
        <w:pStyle w:val="NoSpacing"/>
        <w:jc w:val="both"/>
        <w:rPr>
          <w:rFonts w:ascii="Arial" w:hAnsi="Arial" w:cs="Arial"/>
          <w:color w:val="000000"/>
          <w:sz w:val="18"/>
          <w:szCs w:val="18"/>
        </w:rPr>
      </w:pPr>
      <w:r w:rsidRPr="002D305B">
        <w:rPr>
          <w:rStyle w:val="FootnoteReference"/>
          <w:rFonts w:ascii="Arial" w:hAnsi="Arial" w:cs="Arial"/>
          <w:sz w:val="18"/>
          <w:szCs w:val="18"/>
        </w:rPr>
        <w:footnoteRef/>
      </w:r>
      <w:r w:rsidRPr="002D305B">
        <w:rPr>
          <w:rStyle w:val="sb8d990e2"/>
          <w:rFonts w:ascii="Arial" w:eastAsiaTheme="majorEastAsia" w:hAnsi="Arial" w:cs="Arial"/>
          <w:color w:val="000000"/>
          <w:sz w:val="18"/>
          <w:szCs w:val="18"/>
        </w:rPr>
        <w:t xml:space="preserve"> </w:t>
      </w:r>
      <w:hyperlink r:id="rId299" w:history="1">
        <w:r w:rsidRPr="002D305B">
          <w:rPr>
            <w:rStyle w:val="Hyperlink"/>
            <w:rFonts w:ascii="Arial" w:eastAsiaTheme="majorEastAsia" w:hAnsi="Arial" w:cs="Arial"/>
            <w:i/>
            <w:sz w:val="18"/>
            <w:szCs w:val="18"/>
          </w:rPr>
          <w:t>Konstantin Markin c. Russie</w:t>
        </w:r>
      </w:hyperlink>
      <w:r w:rsidRPr="002D305B">
        <w:rPr>
          <w:rFonts w:ascii="Arial" w:hAnsi="Arial" w:cs="Arial"/>
          <w:sz w:val="18"/>
          <w:szCs w:val="18"/>
        </w:rPr>
        <w:t>, n° 30078/06, par</w:t>
      </w:r>
      <w:r>
        <w:rPr>
          <w:rFonts w:ascii="Arial" w:hAnsi="Arial" w:cs="Arial"/>
          <w:sz w:val="18"/>
          <w:szCs w:val="18"/>
        </w:rPr>
        <w:t>a</w:t>
      </w:r>
      <w:r w:rsidRPr="002D305B">
        <w:rPr>
          <w:rFonts w:ascii="Arial" w:hAnsi="Arial" w:cs="Arial"/>
          <w:sz w:val="18"/>
          <w:szCs w:val="18"/>
        </w:rPr>
        <w:t>. 89 à 92, 22 mars</w:t>
      </w:r>
      <w:r w:rsidRPr="002D305B">
        <w:rPr>
          <w:rStyle w:val="sb8d990e2"/>
          <w:rFonts w:ascii="Arial" w:eastAsiaTheme="majorEastAsia" w:hAnsi="Arial" w:cs="Arial"/>
          <w:color w:val="000000"/>
          <w:sz w:val="18"/>
          <w:szCs w:val="18"/>
        </w:rPr>
        <w:t xml:space="preserve"> 2012. La Cour a également refusé de rayer des affaires du rôle alors que les requérants souhaitaient renoncer à leur requête, car elle jugeait que l’affaire soulevait des questions générales affectant le respect de la Convention ; voir par exemple </w:t>
      </w:r>
      <w:hyperlink r:id="rId300" w:history="1">
        <w:r w:rsidRPr="002D305B">
          <w:rPr>
            <w:rStyle w:val="Hyperlink"/>
            <w:rFonts w:ascii="Arial" w:eastAsiaTheme="majorEastAsia" w:hAnsi="Arial" w:cs="Arial"/>
            <w:i/>
            <w:sz w:val="18"/>
            <w:szCs w:val="18"/>
          </w:rPr>
          <w:t>Tyrer c. Royaume-Uni</w:t>
        </w:r>
      </w:hyperlink>
      <w:r w:rsidRPr="002D305B">
        <w:rPr>
          <w:rStyle w:val="sb8d990e2"/>
          <w:rFonts w:ascii="Arial" w:eastAsiaTheme="majorEastAsia" w:hAnsi="Arial" w:cs="Arial"/>
          <w:color w:val="000000"/>
          <w:sz w:val="18"/>
          <w:szCs w:val="18"/>
        </w:rPr>
        <w:t>, n° </w:t>
      </w:r>
      <w:r w:rsidRPr="002D305B">
        <w:rPr>
          <w:rFonts w:ascii="Arial" w:hAnsi="Arial" w:cs="Arial"/>
          <w:sz w:val="18"/>
          <w:szCs w:val="18"/>
        </w:rPr>
        <w:t>5856/72</w:t>
      </w:r>
      <w:r w:rsidRPr="002D305B">
        <w:rPr>
          <w:rFonts w:ascii="Arial" w:hAnsi="Arial" w:cs="Arial"/>
          <w:color w:val="000000"/>
          <w:sz w:val="18"/>
          <w:szCs w:val="18"/>
        </w:rPr>
        <w:t xml:space="preserve">, 25 avril 1978. </w:t>
      </w:r>
    </w:p>
  </w:footnote>
  <w:footnote w:id="228">
    <w:p w14:paraId="34FD6118" w14:textId="77777777" w:rsidR="00B41728" w:rsidRPr="002D305B" w:rsidRDefault="00B41728" w:rsidP="00F331F8">
      <w:pPr>
        <w:pStyle w:val="NoSpacing"/>
        <w:jc w:val="both"/>
        <w:rPr>
          <w:rFonts w:ascii="Arial" w:hAnsi="Arial" w:cs="Arial"/>
          <w:sz w:val="18"/>
          <w:szCs w:val="18"/>
        </w:rPr>
      </w:pPr>
      <w:r w:rsidRPr="002D305B">
        <w:rPr>
          <w:rStyle w:val="FootnoteReference"/>
          <w:rFonts w:ascii="Arial" w:hAnsi="Arial" w:cs="Arial"/>
          <w:sz w:val="18"/>
          <w:szCs w:val="18"/>
        </w:rPr>
        <w:footnoteRef/>
      </w:r>
      <w:r w:rsidRPr="002D305B">
        <w:rPr>
          <w:rFonts w:ascii="Arial" w:hAnsi="Arial" w:cs="Arial"/>
          <w:sz w:val="18"/>
          <w:szCs w:val="18"/>
        </w:rPr>
        <w:t xml:space="preserve"> </w:t>
      </w:r>
      <w:hyperlink r:id="rId301" w:history="1">
        <w:r w:rsidRPr="002D305B">
          <w:rPr>
            <w:rStyle w:val="Hyperlink"/>
            <w:rFonts w:ascii="Arial" w:eastAsiaTheme="majorEastAsia" w:hAnsi="Arial" w:cs="Arial"/>
            <w:i/>
            <w:sz w:val="18"/>
            <w:szCs w:val="18"/>
          </w:rPr>
          <w:t>Quattrini c. Italie</w:t>
        </w:r>
      </w:hyperlink>
      <w:r w:rsidRPr="002D305B">
        <w:rPr>
          <w:rFonts w:ascii="Arial" w:hAnsi="Arial" w:cs="Arial"/>
          <w:sz w:val="18"/>
          <w:szCs w:val="18"/>
        </w:rPr>
        <w:t xml:space="preserve">, n° 68189/01, 8 décembre 2005. </w:t>
      </w:r>
    </w:p>
  </w:footnote>
  <w:footnote w:id="229">
    <w:p w14:paraId="7782B327" w14:textId="77777777" w:rsidR="00B41728" w:rsidRPr="002D305B" w:rsidRDefault="00B41728" w:rsidP="00F331F8">
      <w:pPr>
        <w:pStyle w:val="NoSpacing"/>
        <w:jc w:val="both"/>
        <w:rPr>
          <w:rFonts w:ascii="Arial" w:hAnsi="Arial" w:cs="Arial"/>
          <w:sz w:val="18"/>
          <w:szCs w:val="18"/>
        </w:rPr>
      </w:pPr>
      <w:r w:rsidRPr="002D305B">
        <w:rPr>
          <w:rStyle w:val="FootnoteReference"/>
          <w:rFonts w:ascii="Arial" w:hAnsi="Arial" w:cs="Arial"/>
          <w:sz w:val="18"/>
          <w:szCs w:val="18"/>
        </w:rPr>
        <w:footnoteRef/>
      </w:r>
      <w:r w:rsidRPr="002D305B">
        <w:rPr>
          <w:rFonts w:ascii="Arial" w:hAnsi="Arial" w:cs="Arial"/>
          <w:sz w:val="18"/>
          <w:szCs w:val="18"/>
        </w:rPr>
        <w:t xml:space="preserve"> Article 62 du Règlement de la Cour, tel que modifié par la Cour le 17 juin et le 8 juillet 2002 et le 13 novembre 2006.</w:t>
      </w:r>
    </w:p>
  </w:footnote>
  <w:footnote w:id="230">
    <w:p w14:paraId="6C1FCC69" w14:textId="77777777" w:rsidR="00B41728" w:rsidRPr="002D305B" w:rsidRDefault="00B41728" w:rsidP="00F331F8">
      <w:pPr>
        <w:pStyle w:val="NoSpacing"/>
        <w:jc w:val="both"/>
        <w:rPr>
          <w:rFonts w:ascii="Arial" w:hAnsi="Arial" w:cs="Arial"/>
          <w:sz w:val="18"/>
          <w:szCs w:val="18"/>
        </w:rPr>
      </w:pPr>
      <w:r w:rsidRPr="002D305B">
        <w:rPr>
          <w:rStyle w:val="FootnoteReference"/>
          <w:rFonts w:ascii="Arial" w:hAnsi="Arial" w:cs="Arial"/>
          <w:sz w:val="18"/>
          <w:szCs w:val="18"/>
        </w:rPr>
        <w:footnoteRef/>
      </w:r>
      <w:r w:rsidRPr="002D305B">
        <w:rPr>
          <w:rFonts w:ascii="Arial" w:hAnsi="Arial" w:cs="Arial"/>
          <w:sz w:val="18"/>
          <w:szCs w:val="18"/>
        </w:rPr>
        <w:t xml:space="preserve"> Voir par exemple</w:t>
      </w:r>
      <w:r w:rsidRPr="002D305B">
        <w:rPr>
          <w:rFonts w:ascii="Arial" w:hAnsi="Arial" w:cs="Arial"/>
          <w:i/>
          <w:sz w:val="18"/>
          <w:szCs w:val="18"/>
        </w:rPr>
        <w:t xml:space="preserve"> </w:t>
      </w:r>
      <w:hyperlink r:id="rId302" w:history="1">
        <w:r w:rsidRPr="002D305B">
          <w:rPr>
            <w:rStyle w:val="Hyperlink"/>
            <w:rFonts w:ascii="Arial" w:eastAsiaTheme="majorEastAsia" w:hAnsi="Arial" w:cs="Arial"/>
            <w:i/>
            <w:sz w:val="18"/>
            <w:szCs w:val="18"/>
          </w:rPr>
          <w:t>Hadrabová et autres c. République tchèque</w:t>
        </w:r>
      </w:hyperlink>
      <w:r w:rsidRPr="002D305B">
        <w:rPr>
          <w:rFonts w:ascii="Arial" w:hAnsi="Arial" w:cs="Arial"/>
          <w:sz w:val="18"/>
          <w:szCs w:val="18"/>
        </w:rPr>
        <w:t xml:space="preserve"> (déc.), n° 42165/02 et 466/03, 25 septembre 2007, et </w:t>
      </w:r>
      <w:hyperlink r:id="rId303" w:history="1">
        <w:r w:rsidRPr="002D305B">
          <w:rPr>
            <w:rStyle w:val="Hyperlink"/>
            <w:rFonts w:ascii="Arial" w:eastAsiaTheme="majorEastAsia" w:hAnsi="Arial" w:cs="Arial"/>
            <w:i/>
            <w:sz w:val="18"/>
            <w:szCs w:val="18"/>
          </w:rPr>
          <w:t>MiroĮubovs et autres c. Lettonie</w:t>
        </w:r>
      </w:hyperlink>
      <w:r w:rsidRPr="002D305B">
        <w:rPr>
          <w:rFonts w:ascii="Arial" w:hAnsi="Arial" w:cs="Arial"/>
          <w:sz w:val="18"/>
          <w:szCs w:val="18"/>
        </w:rPr>
        <w:t xml:space="preserve">, n° 798/05, 15 septembre 2009. </w:t>
      </w:r>
    </w:p>
  </w:footnote>
  <w:footnote w:id="231">
    <w:p w14:paraId="1AF1D20E" w14:textId="77777777" w:rsidR="00B41728" w:rsidRPr="002D305B" w:rsidRDefault="00B41728" w:rsidP="00F331F8">
      <w:pPr>
        <w:pStyle w:val="NoSpacing"/>
        <w:jc w:val="both"/>
        <w:rPr>
          <w:rFonts w:ascii="Arial" w:hAnsi="Arial" w:cs="Arial"/>
          <w:sz w:val="18"/>
          <w:szCs w:val="18"/>
        </w:rPr>
      </w:pPr>
      <w:r w:rsidRPr="002D305B">
        <w:rPr>
          <w:rStyle w:val="FootnoteReference"/>
          <w:rFonts w:ascii="Arial" w:hAnsi="Arial" w:cs="Arial"/>
          <w:sz w:val="18"/>
          <w:szCs w:val="18"/>
        </w:rPr>
        <w:footnoteRef/>
      </w:r>
      <w:hyperlink r:id="rId304" w:history="1">
        <w:r w:rsidRPr="002D305B">
          <w:rPr>
            <w:rStyle w:val="Hyperlink"/>
            <w:rFonts w:ascii="Arial" w:eastAsiaTheme="majorEastAsia" w:hAnsi="Arial" w:cs="Arial"/>
            <w:sz w:val="18"/>
            <w:szCs w:val="18"/>
          </w:rPr>
          <w:t xml:space="preserve"> </w:t>
        </w:r>
        <w:hyperlink r:id="rId305" w:history="1">
          <w:r w:rsidRPr="002D305B">
            <w:rPr>
              <w:rStyle w:val="Hyperlink"/>
              <w:rFonts w:ascii="Arial" w:eastAsiaTheme="majorEastAsia" w:hAnsi="Arial" w:cs="Arial"/>
              <w:sz w:val="18"/>
              <w:szCs w:val="18"/>
            </w:rPr>
            <w:t>https://www.echr.coe.int/Documents/Stats_analysis_2019_FRA.pdf</w:t>
          </w:r>
        </w:hyperlink>
      </w:hyperlink>
    </w:p>
  </w:footnote>
  <w:footnote w:id="232">
    <w:p w14:paraId="4A142AF1" w14:textId="77777777" w:rsidR="00B41728" w:rsidRPr="00720D91" w:rsidRDefault="00B41728" w:rsidP="00F331F8">
      <w:pPr>
        <w:pStyle w:val="FootnoteText"/>
        <w:jc w:val="both"/>
        <w:rPr>
          <w:rFonts w:ascii="Arial" w:hAnsi="Arial"/>
          <w:sz w:val="18"/>
          <w:szCs w:val="18"/>
          <w:lang w:val="fr-FR"/>
        </w:rPr>
      </w:pPr>
      <w:r w:rsidRPr="002D305B">
        <w:rPr>
          <w:rStyle w:val="FootnoteReference"/>
          <w:rFonts w:ascii="Arial" w:hAnsi="Arial"/>
          <w:sz w:val="18"/>
          <w:szCs w:val="18"/>
        </w:rPr>
        <w:footnoteRef/>
      </w:r>
      <w:r w:rsidRPr="00720D91">
        <w:rPr>
          <w:rFonts w:ascii="Arial" w:hAnsi="Arial" w:cs="Arial"/>
          <w:sz w:val="18"/>
          <w:szCs w:val="18"/>
          <w:lang w:val="fr-FR"/>
        </w:rPr>
        <w:t xml:space="preserve"> </w:t>
      </w:r>
      <w:r w:rsidRPr="00720D91">
        <w:rPr>
          <w:rFonts w:ascii="Arial" w:hAnsi="Arial" w:cs="Arial"/>
          <w:i/>
          <w:sz w:val="18"/>
          <w:szCs w:val="18"/>
          <w:lang w:val="fr-FR"/>
        </w:rPr>
        <w:t>Grèce c. Royaume-Uni</w:t>
      </w:r>
      <w:r w:rsidRPr="00720D91">
        <w:rPr>
          <w:rFonts w:ascii="Arial" w:hAnsi="Arial" w:cs="Arial"/>
          <w:sz w:val="18"/>
          <w:szCs w:val="18"/>
          <w:lang w:val="fr-FR"/>
        </w:rPr>
        <w:t xml:space="preserve">, n° 176/56, </w:t>
      </w:r>
      <w:hyperlink r:id="rId306" w:history="1">
        <w:r w:rsidRPr="00720D91">
          <w:rPr>
            <w:rStyle w:val="Hyperlink"/>
            <w:rFonts w:ascii="Arial" w:hAnsi="Arial" w:cs="Arial"/>
            <w:sz w:val="18"/>
            <w:szCs w:val="18"/>
            <w:lang w:val="fr-FR"/>
          </w:rPr>
          <w:t>Rapport de la Commission</w:t>
        </w:r>
      </w:hyperlink>
      <w:r w:rsidRPr="00720D91">
        <w:rPr>
          <w:rFonts w:ascii="Arial" w:hAnsi="Arial" w:cs="Arial"/>
          <w:sz w:val="18"/>
          <w:szCs w:val="18"/>
          <w:lang w:val="fr-FR"/>
        </w:rPr>
        <w:t xml:space="preserve"> (volume I), 26 septembre 1958, par. 68. Après plusieurs tentatives infructueuses de règlement amiable, la Commission a décidé de ne pas poursuivre ses efforts en ce sens. </w:t>
      </w:r>
    </w:p>
  </w:footnote>
  <w:footnote w:id="233">
    <w:p w14:paraId="02C040D0" w14:textId="77777777" w:rsidR="00B41728" w:rsidRPr="00720D91" w:rsidRDefault="00B41728" w:rsidP="00F331F8">
      <w:pPr>
        <w:pStyle w:val="FootnoteText"/>
        <w:jc w:val="both"/>
        <w:rPr>
          <w:rFonts w:ascii="Arial" w:hAnsi="Arial"/>
          <w:sz w:val="18"/>
          <w:szCs w:val="18"/>
          <w:lang w:val="fr-FR"/>
        </w:rPr>
      </w:pPr>
      <w:r w:rsidRPr="002D305B">
        <w:rPr>
          <w:rStyle w:val="FootnoteReference"/>
          <w:rFonts w:ascii="Arial" w:hAnsi="Arial"/>
          <w:sz w:val="18"/>
          <w:szCs w:val="18"/>
        </w:rPr>
        <w:footnoteRef/>
      </w:r>
      <w:r w:rsidRPr="00720D91">
        <w:rPr>
          <w:rFonts w:ascii="Arial" w:hAnsi="Arial"/>
          <w:i/>
          <w:iCs/>
          <w:sz w:val="18"/>
          <w:szCs w:val="18"/>
          <w:lang w:val="fr-FR"/>
        </w:rPr>
        <w:t xml:space="preserve"> Ibid</w:t>
      </w:r>
      <w:r w:rsidRPr="00720D91">
        <w:rPr>
          <w:rFonts w:ascii="Arial" w:hAnsi="Arial"/>
          <w:sz w:val="18"/>
          <w:szCs w:val="18"/>
          <w:lang w:val="fr-FR"/>
        </w:rPr>
        <w:t>.</w:t>
      </w:r>
    </w:p>
  </w:footnote>
  <w:footnote w:id="234">
    <w:p w14:paraId="24831633" w14:textId="77777777" w:rsidR="00B41728" w:rsidRPr="00720D91" w:rsidRDefault="00B41728" w:rsidP="00F331F8">
      <w:pPr>
        <w:pStyle w:val="FootnoteText"/>
        <w:jc w:val="both"/>
        <w:rPr>
          <w:b/>
          <w:bCs/>
          <w:lang w:val="fr-FR"/>
        </w:rPr>
      </w:pPr>
      <w:r w:rsidRPr="002D305B">
        <w:rPr>
          <w:rStyle w:val="FootnoteReference"/>
          <w:rFonts w:ascii="Arial" w:hAnsi="Arial"/>
          <w:sz w:val="18"/>
          <w:szCs w:val="18"/>
        </w:rPr>
        <w:footnoteRef/>
      </w:r>
      <w:r w:rsidRPr="00720D91">
        <w:rPr>
          <w:rStyle w:val="Strong"/>
          <w:rFonts w:ascii="Arial" w:hAnsi="Arial"/>
          <w:b w:val="0"/>
          <w:sz w:val="18"/>
          <w:szCs w:val="18"/>
          <w:lang w:val="fr-FR"/>
        </w:rPr>
        <w:t xml:space="preserve"> </w:t>
      </w:r>
      <w:hyperlink r:id="rId307" w:history="1">
        <w:r w:rsidRPr="00720D91">
          <w:rPr>
            <w:rStyle w:val="Hyperlink"/>
            <w:rFonts w:ascii="Arial" w:hAnsi="Arial" w:cs="Arial"/>
            <w:sz w:val="18"/>
            <w:szCs w:val="18"/>
            <w:lang w:val="fr-FR"/>
          </w:rPr>
          <w:t>Résolution (59) 12</w:t>
        </w:r>
      </w:hyperlink>
      <w:r w:rsidRPr="00720D91">
        <w:rPr>
          <w:rStyle w:val="Strong"/>
          <w:rFonts w:ascii="Arial" w:hAnsi="Arial" w:cs="Arial"/>
          <w:b w:val="0"/>
          <w:sz w:val="18"/>
          <w:szCs w:val="18"/>
          <w:lang w:val="fr-FR"/>
        </w:rPr>
        <w:t xml:space="preserve">, adoptée par le Comité des Ministres le 20 avril 1959 (requête n° 176/56). </w:t>
      </w:r>
    </w:p>
  </w:footnote>
  <w:footnote w:id="235">
    <w:p w14:paraId="53F76391" w14:textId="77777777" w:rsidR="00B41728" w:rsidRPr="00720D91" w:rsidRDefault="00B41728" w:rsidP="00F331F8">
      <w:pPr>
        <w:pStyle w:val="FootnoteText"/>
        <w:jc w:val="both"/>
        <w:rPr>
          <w:rFonts w:ascii="Arial" w:hAnsi="Arial" w:cs="Arial"/>
          <w:sz w:val="18"/>
          <w:szCs w:val="18"/>
          <w:lang w:val="fr-FR"/>
        </w:rPr>
      </w:pPr>
      <w:r w:rsidRPr="002D305B">
        <w:rPr>
          <w:rStyle w:val="FootnoteReference"/>
          <w:sz w:val="18"/>
        </w:rPr>
        <w:footnoteRef/>
      </w:r>
      <w:r w:rsidRPr="00720D91">
        <w:rPr>
          <w:rFonts w:ascii="Arial" w:hAnsi="Arial" w:cs="Arial"/>
          <w:sz w:val="18"/>
          <w:szCs w:val="18"/>
          <w:lang w:val="fr-FR"/>
        </w:rPr>
        <w:t xml:space="preserve"> </w:t>
      </w:r>
      <w:hyperlink r:id="rId308" w:history="1">
        <w:r w:rsidRPr="00720D91">
          <w:rPr>
            <w:rStyle w:val="Hyperlink"/>
            <w:rFonts w:ascii="Arial" w:hAnsi="Arial" w:cs="Arial"/>
            <w:sz w:val="18"/>
            <w:szCs w:val="18"/>
            <w:lang w:val="fr-FR"/>
          </w:rPr>
          <w:t>Grèce c. Royaume-Uni (II)</w:t>
        </w:r>
      </w:hyperlink>
      <w:r w:rsidRPr="00720D91">
        <w:rPr>
          <w:rFonts w:ascii="Arial" w:hAnsi="Arial" w:cs="Arial"/>
          <w:sz w:val="18"/>
          <w:szCs w:val="18"/>
          <w:lang w:val="fr-FR"/>
        </w:rPr>
        <w:t>, no. 299/57</w:t>
      </w:r>
    </w:p>
  </w:footnote>
  <w:footnote w:id="236">
    <w:p w14:paraId="54B395A1" w14:textId="77777777" w:rsidR="00B41728" w:rsidRPr="00720D91" w:rsidRDefault="00B41728" w:rsidP="00F331F8">
      <w:pPr>
        <w:pStyle w:val="FootnoteText"/>
        <w:jc w:val="both"/>
        <w:rPr>
          <w:rFonts w:ascii="Arial" w:hAnsi="Arial" w:cs="Arial"/>
          <w:sz w:val="18"/>
          <w:szCs w:val="18"/>
          <w:lang w:val="fr-FR"/>
        </w:rPr>
      </w:pPr>
      <w:r w:rsidRPr="002D305B">
        <w:rPr>
          <w:rStyle w:val="FootnoteReference"/>
          <w:sz w:val="18"/>
        </w:rPr>
        <w:footnoteRef/>
      </w:r>
      <w:hyperlink r:id="rId309" w:history="1">
        <w:r w:rsidRPr="00720D91">
          <w:rPr>
            <w:rStyle w:val="Hyperlink"/>
            <w:rFonts w:ascii="Arial" w:hAnsi="Arial" w:cs="Arial"/>
            <w:sz w:val="18"/>
            <w:szCs w:val="18"/>
            <w:lang w:val="fr-FR"/>
          </w:rPr>
          <w:t xml:space="preserve"> </w:t>
        </w:r>
      </w:hyperlink>
      <w:r w:rsidRPr="00720D91">
        <w:rPr>
          <w:rFonts w:ascii="Arial" w:hAnsi="Arial" w:cs="Arial"/>
          <w:sz w:val="18"/>
          <w:szCs w:val="18"/>
          <w:lang w:val="fr-FR"/>
        </w:rPr>
        <w:t xml:space="preserve">Grèce c. Royaume-Uni (II), no. 299/57, </w:t>
      </w:r>
      <w:hyperlink r:id="rId310" w:history="1">
        <w:r w:rsidRPr="00720D91">
          <w:rPr>
            <w:rStyle w:val="Hyperlink"/>
            <w:rFonts w:ascii="Arial" w:hAnsi="Arial" w:cs="Arial"/>
            <w:sz w:val="18"/>
            <w:szCs w:val="18"/>
            <w:lang w:val="fr-FR"/>
          </w:rPr>
          <w:t>Rapport de la Commission</w:t>
        </w:r>
      </w:hyperlink>
      <w:r w:rsidRPr="00720D91">
        <w:rPr>
          <w:rFonts w:ascii="Arial" w:hAnsi="Arial" w:cs="Arial"/>
          <w:sz w:val="18"/>
          <w:szCs w:val="18"/>
          <w:lang w:val="fr-FR"/>
        </w:rPr>
        <w:t>, 8 juillet 1959</w:t>
      </w:r>
    </w:p>
  </w:footnote>
  <w:footnote w:id="237">
    <w:p w14:paraId="0880272B" w14:textId="77777777" w:rsidR="00B41728" w:rsidRPr="00720D91" w:rsidRDefault="00B41728" w:rsidP="00F331F8">
      <w:pPr>
        <w:pStyle w:val="FootnoteText"/>
        <w:jc w:val="both"/>
        <w:rPr>
          <w:rFonts w:ascii="Arial" w:hAnsi="Arial" w:cs="Arial"/>
          <w:sz w:val="18"/>
          <w:szCs w:val="18"/>
          <w:lang w:val="fr-FR"/>
        </w:rPr>
      </w:pPr>
      <w:r w:rsidRPr="002D305B">
        <w:rPr>
          <w:rStyle w:val="FootnoteReference"/>
          <w:sz w:val="18"/>
        </w:rPr>
        <w:footnoteRef/>
      </w:r>
      <w:r w:rsidRPr="00720D91">
        <w:rPr>
          <w:rFonts w:ascii="Arial" w:hAnsi="Arial" w:cs="Arial"/>
          <w:sz w:val="18"/>
          <w:szCs w:val="18"/>
          <w:lang w:val="fr-FR"/>
        </w:rPr>
        <w:t xml:space="preserve"> Résolution du Comité des Ministres </w:t>
      </w:r>
      <w:hyperlink r:id="rId311" w:history="1">
        <w:r w:rsidRPr="00720D91">
          <w:rPr>
            <w:rStyle w:val="Hyperlink"/>
            <w:rFonts w:ascii="Arial" w:hAnsi="Arial" w:cs="Arial"/>
            <w:sz w:val="18"/>
            <w:szCs w:val="18"/>
            <w:lang w:val="fr-FR"/>
          </w:rPr>
          <w:t>ResDH(2006)24</w:t>
        </w:r>
      </w:hyperlink>
      <w:r w:rsidRPr="00720D91">
        <w:rPr>
          <w:rFonts w:ascii="Arial" w:hAnsi="Arial" w:cs="Arial"/>
          <w:sz w:val="18"/>
          <w:szCs w:val="18"/>
          <w:lang w:val="fr-FR"/>
        </w:rPr>
        <w:t xml:space="preserve">, 5 avril 2006. </w:t>
      </w:r>
    </w:p>
  </w:footnote>
  <w:footnote w:id="238">
    <w:p w14:paraId="376B62C1" w14:textId="77777777" w:rsidR="00B41728" w:rsidRPr="00720D91" w:rsidRDefault="00B41728" w:rsidP="00F331F8">
      <w:pPr>
        <w:pStyle w:val="FootnoteText"/>
        <w:jc w:val="both"/>
        <w:rPr>
          <w:rFonts w:ascii="Arial" w:hAnsi="Arial" w:cs="Arial"/>
          <w:sz w:val="18"/>
          <w:szCs w:val="18"/>
          <w:lang w:val="fr-FR"/>
        </w:rPr>
      </w:pPr>
      <w:r w:rsidRPr="002D305B">
        <w:rPr>
          <w:rFonts w:ascii="Arial" w:hAnsi="Arial" w:cs="Arial"/>
          <w:sz w:val="18"/>
          <w:szCs w:val="18"/>
          <w:vertAlign w:val="superscript"/>
        </w:rPr>
        <w:footnoteRef/>
      </w:r>
      <w:r w:rsidRPr="00720D91">
        <w:rPr>
          <w:rFonts w:ascii="Arial" w:hAnsi="Arial" w:cs="Arial"/>
          <w:sz w:val="18"/>
          <w:szCs w:val="18"/>
          <w:vertAlign w:val="superscript"/>
          <w:lang w:val="fr-FR"/>
        </w:rPr>
        <w:t xml:space="preserve"> </w:t>
      </w:r>
      <w:hyperlink r:id="rId312" w:history="1">
        <w:r w:rsidRPr="00720D91">
          <w:rPr>
            <w:rStyle w:val="Hyperlink"/>
            <w:rFonts w:ascii="Arial" w:hAnsi="Arial" w:cs="Arial"/>
            <w:sz w:val="18"/>
            <w:szCs w:val="18"/>
            <w:lang w:val="fr-FR"/>
          </w:rPr>
          <w:t>Résolution (59) 32</w:t>
        </w:r>
      </w:hyperlink>
      <w:r w:rsidRPr="00720D91">
        <w:rPr>
          <w:rFonts w:ascii="Arial" w:hAnsi="Arial" w:cs="Arial"/>
          <w:sz w:val="18"/>
          <w:szCs w:val="18"/>
          <w:lang w:val="fr-FR"/>
        </w:rPr>
        <w:t xml:space="preserve">, adoptée par le Comité des Ministres le 14 décembre 1959 (requête n° 229/57). </w:t>
      </w:r>
    </w:p>
  </w:footnote>
  <w:footnote w:id="239">
    <w:p w14:paraId="2DB8608E" w14:textId="77777777" w:rsidR="00B41728" w:rsidRPr="00720D91" w:rsidRDefault="00B41728" w:rsidP="00F331F8">
      <w:pPr>
        <w:pStyle w:val="FootnoteText"/>
        <w:jc w:val="both"/>
        <w:rPr>
          <w:rFonts w:ascii="Arial" w:hAnsi="Arial" w:cs="Arial"/>
          <w:sz w:val="18"/>
          <w:szCs w:val="18"/>
          <w:lang w:val="fr-FR"/>
        </w:rPr>
      </w:pPr>
      <w:r w:rsidRPr="002D305B">
        <w:rPr>
          <w:rFonts w:ascii="Arial" w:hAnsi="Arial" w:cs="Arial"/>
          <w:sz w:val="18"/>
          <w:szCs w:val="18"/>
          <w:vertAlign w:val="superscript"/>
        </w:rPr>
        <w:footnoteRef/>
      </w:r>
      <w:hyperlink r:id="rId313" w:history="1">
        <w:r w:rsidRPr="00720D91">
          <w:rPr>
            <w:rStyle w:val="Hyperlink"/>
            <w:rFonts w:ascii="Arial" w:hAnsi="Arial" w:cs="Arial"/>
            <w:i/>
            <w:sz w:val="18"/>
            <w:szCs w:val="18"/>
            <w:lang w:val="fr-FR"/>
          </w:rPr>
          <w:t>Danemark, Norvège et Suède c. Grèce (II)</w:t>
        </w:r>
      </w:hyperlink>
      <w:r w:rsidRPr="00720D91">
        <w:rPr>
          <w:rFonts w:ascii="Arial" w:hAnsi="Arial" w:cs="Arial"/>
          <w:sz w:val="18"/>
          <w:szCs w:val="18"/>
          <w:lang w:val="fr-FR"/>
        </w:rPr>
        <w:t xml:space="preserve">, n° 4448/70, Rapport de la Commission, 4 octobre 1976. </w:t>
      </w:r>
    </w:p>
  </w:footnote>
  <w:footnote w:id="240">
    <w:p w14:paraId="155CE448" w14:textId="77777777" w:rsidR="00B41728" w:rsidRPr="00720D91" w:rsidRDefault="00B41728" w:rsidP="00F331F8">
      <w:pPr>
        <w:pStyle w:val="FootnoteText"/>
        <w:jc w:val="both"/>
        <w:rPr>
          <w:rFonts w:ascii="Arial" w:hAnsi="Arial" w:cs="Arial"/>
          <w:sz w:val="18"/>
          <w:szCs w:val="18"/>
          <w:lang w:val="fr-FR"/>
        </w:rPr>
      </w:pPr>
      <w:r w:rsidRPr="002D305B">
        <w:rPr>
          <w:rFonts w:ascii="Arial" w:hAnsi="Arial" w:cs="Arial"/>
          <w:sz w:val="18"/>
          <w:szCs w:val="18"/>
          <w:vertAlign w:val="superscript"/>
        </w:rPr>
        <w:footnoteRef/>
      </w:r>
      <w:r w:rsidRPr="00720D91">
        <w:rPr>
          <w:rFonts w:ascii="Arial" w:hAnsi="Arial" w:cs="Arial"/>
          <w:i/>
          <w:iCs/>
          <w:sz w:val="18"/>
          <w:szCs w:val="18"/>
          <w:lang w:val="fr-FR"/>
        </w:rPr>
        <w:t xml:space="preserve"> Ibid</w:t>
      </w:r>
      <w:r w:rsidRPr="00720D91">
        <w:rPr>
          <w:rFonts w:ascii="Arial" w:hAnsi="Arial" w:cs="Arial"/>
          <w:sz w:val="18"/>
          <w:szCs w:val="18"/>
          <w:lang w:val="fr-FR"/>
        </w:rPr>
        <w:t xml:space="preserve">. </w:t>
      </w:r>
    </w:p>
  </w:footnote>
  <w:footnote w:id="241">
    <w:p w14:paraId="27AE5694" w14:textId="77777777" w:rsidR="00B41728" w:rsidRPr="00720D91" w:rsidRDefault="00B41728" w:rsidP="00F331F8">
      <w:pPr>
        <w:pStyle w:val="FootnoteText"/>
        <w:jc w:val="both"/>
        <w:rPr>
          <w:rFonts w:ascii="Arial" w:hAnsi="Arial" w:cs="Arial"/>
          <w:sz w:val="18"/>
          <w:szCs w:val="18"/>
          <w:lang w:val="fr-FR"/>
        </w:rPr>
      </w:pPr>
      <w:r w:rsidRPr="002D305B">
        <w:rPr>
          <w:rStyle w:val="FootnoteReference"/>
          <w:rFonts w:ascii="Arial" w:hAnsi="Arial" w:cs="Arial"/>
          <w:sz w:val="18"/>
          <w:szCs w:val="18"/>
        </w:rPr>
        <w:footnoteRef/>
      </w:r>
      <w:r w:rsidRPr="00720D91">
        <w:rPr>
          <w:rFonts w:ascii="Arial" w:hAnsi="Arial" w:cs="Arial"/>
          <w:i/>
          <w:sz w:val="18"/>
          <w:szCs w:val="18"/>
          <w:u w:val="single"/>
          <w:lang w:val="fr-FR"/>
        </w:rPr>
        <w:t xml:space="preserve"> </w:t>
      </w:r>
      <w:hyperlink r:id="rId314" w:history="1">
        <w:r w:rsidRPr="00720D91">
          <w:rPr>
            <w:rStyle w:val="Hyperlink"/>
            <w:rFonts w:ascii="Arial" w:hAnsi="Arial" w:cs="Arial"/>
            <w:i/>
            <w:sz w:val="18"/>
            <w:szCs w:val="18"/>
            <w:lang w:val="fr-FR"/>
          </w:rPr>
          <w:t>Danemark, France, Norvège, Suède et Pays-Bas c. Turquie</w:t>
        </w:r>
        <w:r w:rsidRPr="00720D91">
          <w:rPr>
            <w:rStyle w:val="Hyperlink"/>
            <w:rFonts w:ascii="Arial" w:hAnsi="Arial" w:cs="Arial"/>
            <w:sz w:val="18"/>
            <w:szCs w:val="18"/>
            <w:lang w:val="fr-FR"/>
          </w:rPr>
          <w:t>, nos 9940-44/82</w:t>
        </w:r>
      </w:hyperlink>
      <w:r w:rsidRPr="00720D91">
        <w:rPr>
          <w:rFonts w:ascii="Arial" w:hAnsi="Arial" w:cs="Arial"/>
          <w:sz w:val="18"/>
          <w:szCs w:val="18"/>
          <w:lang w:val="fr-FR"/>
        </w:rPr>
        <w:t xml:space="preserve"> </w:t>
      </w:r>
    </w:p>
  </w:footnote>
  <w:footnote w:id="242">
    <w:p w14:paraId="663C3CFC" w14:textId="77777777" w:rsidR="00B41728" w:rsidRPr="00720D91" w:rsidRDefault="00B41728" w:rsidP="00F331F8">
      <w:pPr>
        <w:pStyle w:val="FootnoteText"/>
        <w:jc w:val="both"/>
        <w:rPr>
          <w:rFonts w:ascii="Arial" w:hAnsi="Arial"/>
          <w:sz w:val="18"/>
          <w:szCs w:val="18"/>
          <w:lang w:val="fr-FR"/>
        </w:rPr>
      </w:pPr>
      <w:r w:rsidRPr="002D305B">
        <w:rPr>
          <w:rStyle w:val="FootnoteReference"/>
          <w:rFonts w:ascii="Arial" w:hAnsi="Arial" w:cs="Arial"/>
          <w:sz w:val="18"/>
          <w:szCs w:val="18"/>
        </w:rPr>
        <w:footnoteRef/>
      </w:r>
      <w:r w:rsidRPr="00720D91">
        <w:rPr>
          <w:rFonts w:ascii="Arial" w:hAnsi="Arial" w:cs="Arial"/>
          <w:iCs/>
          <w:sz w:val="18"/>
          <w:szCs w:val="18"/>
          <w:lang w:val="fr-FR"/>
        </w:rPr>
        <w:t xml:space="preserve"> Danemark, France, Norvège, Suède et Pays-Bas c. Turquie, nos</w:t>
      </w:r>
      <w:r w:rsidRPr="00720D91">
        <w:rPr>
          <w:rFonts w:ascii="Arial" w:hAnsi="Arial" w:cs="Arial"/>
          <w:sz w:val="18"/>
          <w:szCs w:val="18"/>
          <w:lang w:val="fr-FR"/>
        </w:rPr>
        <w:t xml:space="preserve"> 9940-44/82, </w:t>
      </w:r>
      <w:hyperlink r:id="rId315" w:history="1">
        <w:r w:rsidRPr="00720D91">
          <w:rPr>
            <w:rStyle w:val="Hyperlink"/>
            <w:rFonts w:ascii="Arial" w:hAnsi="Arial" w:cs="Arial"/>
            <w:sz w:val="18"/>
            <w:szCs w:val="18"/>
            <w:lang w:val="fr-FR"/>
          </w:rPr>
          <w:t>décision de recevabilité</w:t>
        </w:r>
      </w:hyperlink>
      <w:r w:rsidRPr="00720D91">
        <w:rPr>
          <w:rFonts w:ascii="Arial" w:hAnsi="Arial" w:cs="Arial"/>
          <w:sz w:val="18"/>
          <w:szCs w:val="18"/>
          <w:lang w:val="fr-FR"/>
        </w:rPr>
        <w:t>, 6 décembre 1983</w:t>
      </w:r>
    </w:p>
  </w:footnote>
  <w:footnote w:id="243">
    <w:p w14:paraId="2FFC8BDB" w14:textId="77777777" w:rsidR="00B41728" w:rsidRPr="00720D91" w:rsidRDefault="00B41728" w:rsidP="00F331F8">
      <w:pPr>
        <w:pStyle w:val="FootnoteText"/>
        <w:jc w:val="both"/>
        <w:rPr>
          <w:rFonts w:ascii="Arial" w:hAnsi="Arial"/>
          <w:sz w:val="18"/>
          <w:szCs w:val="18"/>
          <w:lang w:val="fr-FR"/>
        </w:rPr>
      </w:pPr>
      <w:r w:rsidRPr="002D305B">
        <w:rPr>
          <w:rStyle w:val="FootnoteReference"/>
          <w:rFonts w:ascii="Arial" w:hAnsi="Arial"/>
          <w:sz w:val="18"/>
          <w:szCs w:val="18"/>
        </w:rPr>
        <w:footnoteRef/>
      </w:r>
      <w:r w:rsidRPr="00720D91">
        <w:rPr>
          <w:rFonts w:ascii="Arial" w:hAnsi="Arial" w:cs="Arial"/>
          <w:iCs/>
          <w:sz w:val="18"/>
          <w:szCs w:val="18"/>
          <w:lang w:val="fr-FR"/>
        </w:rPr>
        <w:t xml:space="preserve"> Danemark, France, Norvège, Suède et Pays-Bas c. Turquie, </w:t>
      </w:r>
      <w:r w:rsidRPr="00720D91">
        <w:rPr>
          <w:rFonts w:ascii="Arial" w:hAnsi="Arial"/>
          <w:sz w:val="18"/>
          <w:szCs w:val="18"/>
          <w:lang w:val="fr-FR"/>
        </w:rPr>
        <w:t xml:space="preserve">nos 9940-44/82, </w:t>
      </w:r>
      <w:hyperlink r:id="rId316" w:history="1">
        <w:r w:rsidRPr="00720D91">
          <w:rPr>
            <w:rStyle w:val="Hyperlink"/>
            <w:rFonts w:ascii="Arial" w:hAnsi="Arial"/>
            <w:sz w:val="18"/>
            <w:szCs w:val="18"/>
            <w:lang w:val="fr-FR"/>
          </w:rPr>
          <w:t>rapport de la Commission</w:t>
        </w:r>
      </w:hyperlink>
      <w:r w:rsidRPr="00720D91">
        <w:rPr>
          <w:rFonts w:ascii="Arial" w:hAnsi="Arial"/>
          <w:sz w:val="18"/>
          <w:szCs w:val="18"/>
          <w:lang w:val="fr-FR"/>
        </w:rPr>
        <w:t xml:space="preserve">, 7 décembre 1985 (règlement amiable) </w:t>
      </w:r>
    </w:p>
  </w:footnote>
  <w:footnote w:id="244">
    <w:p w14:paraId="068E1127" w14:textId="77777777" w:rsidR="00B41728" w:rsidRPr="00720D91" w:rsidRDefault="00B41728" w:rsidP="00F331F8">
      <w:pPr>
        <w:pStyle w:val="SingleTxtG"/>
        <w:spacing w:after="0" w:line="180" w:lineRule="exact"/>
        <w:ind w:left="0" w:right="0"/>
        <w:rPr>
          <w:rFonts w:ascii="Arial" w:hAnsi="Arial" w:cs="Arial"/>
          <w:sz w:val="18"/>
          <w:szCs w:val="18"/>
          <w:lang w:val="fr-FR"/>
        </w:rPr>
      </w:pPr>
      <w:r w:rsidRPr="00560F13">
        <w:rPr>
          <w:rStyle w:val="FootnoteReference"/>
          <w:rFonts w:ascii="Arial" w:hAnsi="Arial" w:cs="Arial"/>
          <w:sz w:val="18"/>
          <w:szCs w:val="18"/>
        </w:rPr>
        <w:footnoteRef/>
      </w:r>
      <w:r w:rsidRPr="00720D91">
        <w:rPr>
          <w:rFonts w:ascii="Arial" w:hAnsi="Arial" w:cs="Arial"/>
          <w:sz w:val="18"/>
          <w:szCs w:val="18"/>
          <w:lang w:val="fr-FR"/>
        </w:rPr>
        <w:t xml:space="preserve"> </w:t>
      </w:r>
      <w:hyperlink r:id="rId317" w:history="1">
        <w:r w:rsidRPr="00720D91">
          <w:rPr>
            <w:rStyle w:val="Hyperlink"/>
            <w:rFonts w:ascii="Arial" w:hAnsi="Arial" w:cs="Arial"/>
            <w:i/>
            <w:sz w:val="18"/>
            <w:szCs w:val="18"/>
            <w:lang w:val="fr-FR"/>
          </w:rPr>
          <w:t>Danemark c. Turquie</w:t>
        </w:r>
      </w:hyperlink>
      <w:r w:rsidRPr="00720D91">
        <w:rPr>
          <w:rFonts w:ascii="Arial" w:hAnsi="Arial" w:cs="Arial"/>
          <w:sz w:val="18"/>
          <w:szCs w:val="18"/>
          <w:lang w:val="fr-FR"/>
        </w:rPr>
        <w:t xml:space="preserve">, n° 34382/97, 5 avril 2000. </w:t>
      </w:r>
    </w:p>
  </w:footnote>
  <w:footnote w:id="245">
    <w:p w14:paraId="1334A850" w14:textId="77777777" w:rsidR="00B41728" w:rsidRPr="002D305B" w:rsidRDefault="00B41728" w:rsidP="00F331F8">
      <w:pPr>
        <w:pStyle w:val="NoSpacing"/>
        <w:jc w:val="both"/>
        <w:rPr>
          <w:rFonts w:ascii="Arial" w:hAnsi="Arial" w:cs="Arial"/>
          <w:sz w:val="18"/>
          <w:szCs w:val="18"/>
        </w:rPr>
      </w:pPr>
      <w:r w:rsidRPr="002D305B">
        <w:rPr>
          <w:rStyle w:val="FootnoteReference"/>
          <w:rFonts w:ascii="Arial" w:hAnsi="Arial" w:cs="Arial"/>
          <w:sz w:val="18"/>
          <w:szCs w:val="18"/>
        </w:rPr>
        <w:footnoteRef/>
      </w:r>
      <w:r w:rsidRPr="002D305B">
        <w:t xml:space="preserve"> </w:t>
      </w:r>
      <w:hyperlink r:id="rId318" w:history="1">
        <w:r w:rsidRPr="002D305B">
          <w:rPr>
            <w:rStyle w:val="Hyperlink"/>
            <w:rFonts w:ascii="Arial" w:eastAsiaTheme="majorEastAsia" w:hAnsi="Arial" w:cs="Arial"/>
            <w:i/>
            <w:sz w:val="18"/>
            <w:szCs w:val="18"/>
          </w:rPr>
          <w:t>Danemark c. Turquie</w:t>
        </w:r>
      </w:hyperlink>
      <w:r w:rsidRPr="002D305B">
        <w:rPr>
          <w:rFonts w:ascii="Arial" w:hAnsi="Arial" w:cs="Arial"/>
          <w:sz w:val="18"/>
          <w:szCs w:val="18"/>
        </w:rPr>
        <w:t>, n° 34382/97, 5 avril 2000.</w:t>
      </w:r>
    </w:p>
  </w:footnote>
  <w:footnote w:id="246">
    <w:p w14:paraId="6629BFCE" w14:textId="77777777" w:rsidR="00B41728" w:rsidRPr="00486B14" w:rsidRDefault="00B41728" w:rsidP="00F331F8">
      <w:pPr>
        <w:pStyle w:val="SingleTxtG"/>
        <w:spacing w:after="0" w:line="180" w:lineRule="exact"/>
        <w:ind w:left="0" w:right="0"/>
        <w:rPr>
          <w:rFonts w:ascii="Arial" w:hAnsi="Arial" w:cs="Arial"/>
          <w:sz w:val="18"/>
          <w:szCs w:val="18"/>
          <w:lang w:val="en-US"/>
        </w:rPr>
      </w:pPr>
      <w:r w:rsidRPr="00560F13">
        <w:rPr>
          <w:rStyle w:val="FootnoteReference"/>
          <w:rFonts w:ascii="Arial" w:hAnsi="Arial" w:cs="Arial"/>
          <w:sz w:val="18"/>
          <w:szCs w:val="18"/>
        </w:rPr>
        <w:footnoteRef/>
      </w:r>
      <w:r w:rsidRPr="00486B14">
        <w:rPr>
          <w:rFonts w:ascii="Arial" w:hAnsi="Arial" w:cs="Arial"/>
          <w:sz w:val="18"/>
          <w:szCs w:val="18"/>
          <w:lang w:val="en-US"/>
        </w:rPr>
        <w:t xml:space="preserve"> </w:t>
      </w:r>
      <w:r w:rsidRPr="00486B14">
        <w:rPr>
          <w:rStyle w:val="author"/>
          <w:rFonts w:ascii="Arial" w:hAnsi="Arial" w:cs="Arial"/>
          <w:i/>
          <w:iCs/>
          <w:color w:val="000000"/>
          <w:sz w:val="18"/>
          <w:szCs w:val="18"/>
          <w:bdr w:val="none" w:sz="0" w:space="0" w:color="auto" w:frame="1"/>
          <w:shd w:val="clear" w:color="auto" w:fill="FFFFFF"/>
          <w:lang w:val="en-US"/>
        </w:rPr>
        <w:t>Helen Keller</w:t>
      </w:r>
      <w:r w:rsidRPr="00486B14">
        <w:rPr>
          <w:rStyle w:val="cite-authors"/>
          <w:rFonts w:ascii="Arial" w:hAnsi="Arial" w:cs="Arial"/>
          <w:i/>
          <w:iCs/>
          <w:color w:val="000000"/>
          <w:sz w:val="18"/>
          <w:szCs w:val="18"/>
          <w:bdr w:val="none" w:sz="0" w:space="0" w:color="auto" w:frame="1"/>
          <w:shd w:val="clear" w:color="auto" w:fill="FFFFFF"/>
          <w:lang w:val="en-US"/>
        </w:rPr>
        <w:t> </w:t>
      </w:r>
      <w:r w:rsidRPr="00486B14">
        <w:rPr>
          <w:rStyle w:val="author"/>
          <w:rFonts w:ascii="Arial" w:hAnsi="Arial" w:cs="Arial"/>
          <w:i/>
          <w:iCs/>
          <w:color w:val="000000"/>
          <w:sz w:val="18"/>
          <w:szCs w:val="18"/>
          <w:bdr w:val="none" w:sz="0" w:space="0" w:color="auto" w:frame="1"/>
          <w:shd w:val="clear" w:color="auto" w:fill="FFFFFF"/>
          <w:lang w:val="en-US"/>
        </w:rPr>
        <w:t>Réka Piskóty</w:t>
      </w:r>
      <w:r w:rsidRPr="00486B14">
        <w:rPr>
          <w:rStyle w:val="cite-authors"/>
          <w:rFonts w:ascii="Arial" w:hAnsi="Arial" w:cs="Arial"/>
          <w:i/>
          <w:iCs/>
          <w:color w:val="000000"/>
          <w:sz w:val="18"/>
          <w:szCs w:val="18"/>
          <w:bdr w:val="none" w:sz="0" w:space="0" w:color="auto" w:frame="1"/>
          <w:shd w:val="clear" w:color="auto" w:fill="FFFFFF"/>
          <w:lang w:val="en-US"/>
        </w:rPr>
        <w:t> </w:t>
      </w:r>
      <w:r w:rsidRPr="00486B14">
        <w:rPr>
          <w:rStyle w:val="cite-title"/>
          <w:rFonts w:ascii="Arial" w:eastAsiaTheme="majorEastAsia" w:hAnsi="Arial" w:cs="Arial"/>
          <w:color w:val="000000"/>
          <w:sz w:val="18"/>
          <w:szCs w:val="18"/>
          <w:bdr w:val="none" w:sz="0" w:space="0" w:color="auto" w:frame="1"/>
          <w:shd w:val="clear" w:color="auto" w:fill="FFFFFF"/>
          <w:lang w:val="en-US"/>
        </w:rPr>
        <w:t>Friendly Settlements as the Sleeping Beauty in Inter-State Cases: Opportunities and Risks for the European Court of Human Rights,</w:t>
      </w:r>
      <w:r w:rsidRPr="00486B14">
        <w:rPr>
          <w:rFonts w:ascii="Arial" w:hAnsi="Arial" w:cs="Arial"/>
          <w:color w:val="000000"/>
          <w:sz w:val="18"/>
          <w:szCs w:val="18"/>
          <w:shd w:val="clear" w:color="auto" w:fill="FFFFFF"/>
          <w:lang w:val="en-US"/>
        </w:rPr>
        <w:t> </w:t>
      </w:r>
      <w:r w:rsidRPr="00486B14">
        <w:rPr>
          <w:rStyle w:val="cite-blog"/>
          <w:rFonts w:ascii="Arial" w:eastAsiaTheme="majorEastAsia" w:hAnsi="Arial" w:cs="Arial"/>
          <w:i/>
          <w:iCs/>
          <w:color w:val="000000"/>
          <w:sz w:val="18"/>
          <w:szCs w:val="18"/>
          <w:bdr w:val="none" w:sz="0" w:space="0" w:color="auto" w:frame="1"/>
          <w:shd w:val="clear" w:color="auto" w:fill="FFFFFF"/>
          <w:lang w:val="en-US"/>
        </w:rPr>
        <w:t>Völkerrechtsblog,</w:t>
      </w:r>
      <w:r w:rsidRPr="00486B14">
        <w:rPr>
          <w:rFonts w:ascii="Arial" w:hAnsi="Arial" w:cs="Arial"/>
          <w:color w:val="000000"/>
          <w:sz w:val="18"/>
          <w:szCs w:val="18"/>
          <w:shd w:val="clear" w:color="auto" w:fill="FFFFFF"/>
          <w:lang w:val="en-US"/>
        </w:rPr>
        <w:t> </w:t>
      </w:r>
      <w:r w:rsidRPr="00486B14">
        <w:rPr>
          <w:rStyle w:val="cite-date"/>
          <w:rFonts w:ascii="Arial" w:eastAsiaTheme="majorEastAsia" w:hAnsi="Arial" w:cs="Arial"/>
          <w:color w:val="000000"/>
          <w:sz w:val="18"/>
          <w:szCs w:val="18"/>
          <w:bdr w:val="none" w:sz="0" w:space="0" w:color="auto" w:frame="1"/>
          <w:shd w:val="clear" w:color="auto" w:fill="FFFFFF"/>
          <w:lang w:val="en-US"/>
        </w:rPr>
        <w:t>28.04.2021</w:t>
      </w:r>
      <w:r w:rsidRPr="00486B14">
        <w:rPr>
          <w:rStyle w:val="doi"/>
          <w:rFonts w:ascii="Arial" w:eastAsiaTheme="majorEastAsia" w:hAnsi="Arial" w:cs="Arial"/>
          <w:color w:val="000000"/>
          <w:sz w:val="18"/>
          <w:szCs w:val="18"/>
          <w:bdr w:val="none" w:sz="0" w:space="0" w:color="auto" w:frame="1"/>
          <w:shd w:val="clear" w:color="auto" w:fill="FFFFFF"/>
          <w:lang w:val="en-US"/>
        </w:rPr>
        <w:t>, doi: </w:t>
      </w:r>
      <w:hyperlink r:id="rId319" w:tgtFrame="_blank" w:history="1">
        <w:r w:rsidRPr="00486B14">
          <w:rPr>
            <w:rStyle w:val="Hyperlink"/>
            <w:rFonts w:ascii="Arial" w:hAnsi="Arial" w:cs="Arial"/>
            <w:color w:val="000000"/>
            <w:sz w:val="18"/>
            <w:szCs w:val="18"/>
            <w:bdr w:val="none" w:sz="0" w:space="0" w:color="auto" w:frame="1"/>
            <w:shd w:val="clear" w:color="auto" w:fill="FFFFFF"/>
            <w:lang w:val="en-US"/>
          </w:rPr>
          <w:t>10.17176/20210428-181222-0</w:t>
        </w:r>
      </w:hyperlink>
      <w:r w:rsidRPr="00486B14">
        <w:rPr>
          <w:rStyle w:val="doi"/>
          <w:rFonts w:ascii="Arial" w:eastAsiaTheme="majorEastAsia" w:hAnsi="Arial" w:cs="Arial"/>
          <w:color w:val="000000"/>
          <w:sz w:val="18"/>
          <w:szCs w:val="18"/>
          <w:bdr w:val="none" w:sz="0" w:space="0" w:color="auto" w:frame="1"/>
          <w:shd w:val="clear" w:color="auto" w:fill="FFFFFF"/>
          <w:lang w:val="en-US"/>
        </w:rPr>
        <w:t xml:space="preserve"> </w:t>
      </w:r>
    </w:p>
  </w:footnote>
  <w:footnote w:id="247">
    <w:p w14:paraId="6AB02B42" w14:textId="77777777" w:rsidR="00B41728" w:rsidRPr="00486B14" w:rsidRDefault="00B41728" w:rsidP="00F331F8">
      <w:pPr>
        <w:pStyle w:val="SingleTxtG"/>
        <w:spacing w:after="0" w:line="180" w:lineRule="exact"/>
        <w:ind w:left="0" w:right="0"/>
        <w:rPr>
          <w:rFonts w:ascii="Arial" w:hAnsi="Arial" w:cs="Arial"/>
          <w:sz w:val="18"/>
          <w:szCs w:val="18"/>
          <w:lang w:val="en-US"/>
        </w:rPr>
      </w:pPr>
      <w:r w:rsidRPr="00560F13">
        <w:rPr>
          <w:rStyle w:val="FootnoteReference"/>
          <w:rFonts w:ascii="Arial" w:hAnsi="Arial" w:cs="Arial"/>
          <w:sz w:val="18"/>
          <w:szCs w:val="18"/>
        </w:rPr>
        <w:footnoteRef/>
      </w:r>
      <w:r w:rsidRPr="00486B14">
        <w:rPr>
          <w:rFonts w:ascii="Arial" w:hAnsi="Arial" w:cs="Arial"/>
          <w:sz w:val="18"/>
          <w:szCs w:val="18"/>
          <w:lang w:val="en-US"/>
        </w:rPr>
        <w:t xml:space="preserve"> </w:t>
      </w:r>
      <w:r w:rsidRPr="00486B14">
        <w:rPr>
          <w:rStyle w:val="author"/>
          <w:rFonts w:ascii="Arial" w:hAnsi="Arial" w:cs="Arial"/>
          <w:i/>
          <w:iCs/>
          <w:color w:val="000000"/>
          <w:sz w:val="18"/>
          <w:szCs w:val="18"/>
          <w:bdr w:val="none" w:sz="0" w:space="0" w:color="auto" w:frame="1"/>
          <w:shd w:val="clear" w:color="auto" w:fill="FFFFFF"/>
          <w:lang w:val="en-US"/>
        </w:rPr>
        <w:t>Helen Keller</w:t>
      </w:r>
      <w:r w:rsidRPr="00486B14">
        <w:rPr>
          <w:rStyle w:val="cite-authors"/>
          <w:rFonts w:ascii="Arial" w:hAnsi="Arial" w:cs="Arial"/>
          <w:i/>
          <w:iCs/>
          <w:color w:val="000000"/>
          <w:sz w:val="18"/>
          <w:szCs w:val="18"/>
          <w:bdr w:val="none" w:sz="0" w:space="0" w:color="auto" w:frame="1"/>
          <w:shd w:val="clear" w:color="auto" w:fill="FFFFFF"/>
          <w:lang w:val="en-US"/>
        </w:rPr>
        <w:t> </w:t>
      </w:r>
      <w:r w:rsidRPr="00486B14">
        <w:rPr>
          <w:rStyle w:val="author"/>
          <w:rFonts w:ascii="Arial" w:hAnsi="Arial" w:cs="Arial"/>
          <w:i/>
          <w:iCs/>
          <w:color w:val="000000"/>
          <w:sz w:val="18"/>
          <w:szCs w:val="18"/>
          <w:bdr w:val="none" w:sz="0" w:space="0" w:color="auto" w:frame="1"/>
          <w:shd w:val="clear" w:color="auto" w:fill="FFFFFF"/>
          <w:lang w:val="en-US"/>
        </w:rPr>
        <w:t>Réka Piskóty</w:t>
      </w:r>
      <w:r w:rsidRPr="00486B14">
        <w:rPr>
          <w:rStyle w:val="cite-authors"/>
          <w:rFonts w:ascii="Arial" w:hAnsi="Arial" w:cs="Arial"/>
          <w:i/>
          <w:iCs/>
          <w:color w:val="000000"/>
          <w:sz w:val="18"/>
          <w:szCs w:val="18"/>
          <w:bdr w:val="none" w:sz="0" w:space="0" w:color="auto" w:frame="1"/>
          <w:shd w:val="clear" w:color="auto" w:fill="FFFFFF"/>
          <w:lang w:val="en-US"/>
        </w:rPr>
        <w:t> </w:t>
      </w:r>
      <w:r w:rsidRPr="00486B14">
        <w:rPr>
          <w:rStyle w:val="cite-title"/>
          <w:rFonts w:ascii="Arial" w:eastAsiaTheme="majorEastAsia" w:hAnsi="Arial" w:cs="Arial"/>
          <w:color w:val="000000"/>
          <w:sz w:val="18"/>
          <w:szCs w:val="18"/>
          <w:bdr w:val="none" w:sz="0" w:space="0" w:color="auto" w:frame="1"/>
          <w:shd w:val="clear" w:color="auto" w:fill="FFFFFF"/>
          <w:lang w:val="en-US"/>
        </w:rPr>
        <w:t>Friendly Settlements as the Sleeping Beauty in Inter-State Cases: Opportunities and Risks for the European Court of Human Rights,</w:t>
      </w:r>
      <w:r w:rsidRPr="00486B14">
        <w:rPr>
          <w:rFonts w:ascii="Arial" w:hAnsi="Arial" w:cs="Arial"/>
          <w:color w:val="000000"/>
          <w:sz w:val="18"/>
          <w:szCs w:val="18"/>
          <w:shd w:val="clear" w:color="auto" w:fill="FFFFFF"/>
          <w:lang w:val="en-US"/>
        </w:rPr>
        <w:t> </w:t>
      </w:r>
      <w:r w:rsidRPr="00486B14">
        <w:rPr>
          <w:rStyle w:val="cite-blog"/>
          <w:rFonts w:ascii="Arial" w:eastAsiaTheme="majorEastAsia" w:hAnsi="Arial" w:cs="Arial"/>
          <w:i/>
          <w:iCs/>
          <w:color w:val="000000"/>
          <w:sz w:val="18"/>
          <w:szCs w:val="18"/>
          <w:bdr w:val="none" w:sz="0" w:space="0" w:color="auto" w:frame="1"/>
          <w:shd w:val="clear" w:color="auto" w:fill="FFFFFF"/>
          <w:lang w:val="en-US"/>
        </w:rPr>
        <w:t>Völkerrechtsblog,</w:t>
      </w:r>
      <w:r w:rsidRPr="00486B14">
        <w:rPr>
          <w:rFonts w:ascii="Arial" w:hAnsi="Arial" w:cs="Arial"/>
          <w:color w:val="000000"/>
          <w:sz w:val="18"/>
          <w:szCs w:val="18"/>
          <w:shd w:val="clear" w:color="auto" w:fill="FFFFFF"/>
          <w:lang w:val="en-US"/>
        </w:rPr>
        <w:t> </w:t>
      </w:r>
      <w:r w:rsidRPr="00486B14">
        <w:rPr>
          <w:rStyle w:val="cite-date"/>
          <w:rFonts w:ascii="Arial" w:eastAsiaTheme="majorEastAsia" w:hAnsi="Arial" w:cs="Arial"/>
          <w:color w:val="000000"/>
          <w:sz w:val="18"/>
          <w:szCs w:val="18"/>
          <w:bdr w:val="none" w:sz="0" w:space="0" w:color="auto" w:frame="1"/>
          <w:shd w:val="clear" w:color="auto" w:fill="FFFFFF"/>
          <w:lang w:val="en-US"/>
        </w:rPr>
        <w:t>28.04.2021</w:t>
      </w:r>
      <w:r w:rsidRPr="00486B14">
        <w:rPr>
          <w:rStyle w:val="doi"/>
          <w:rFonts w:ascii="Arial" w:eastAsiaTheme="majorEastAsia" w:hAnsi="Arial" w:cs="Arial"/>
          <w:color w:val="000000"/>
          <w:sz w:val="18"/>
          <w:szCs w:val="18"/>
          <w:bdr w:val="none" w:sz="0" w:space="0" w:color="auto" w:frame="1"/>
          <w:shd w:val="clear" w:color="auto" w:fill="FFFFFF"/>
          <w:lang w:val="en-US"/>
        </w:rPr>
        <w:t>, doi: </w:t>
      </w:r>
      <w:hyperlink r:id="rId320" w:tgtFrame="_blank" w:history="1">
        <w:r w:rsidRPr="00486B14">
          <w:rPr>
            <w:rStyle w:val="Hyperlink"/>
            <w:rFonts w:ascii="Arial" w:hAnsi="Arial" w:cs="Arial"/>
            <w:color w:val="000000"/>
            <w:sz w:val="18"/>
            <w:szCs w:val="18"/>
            <w:bdr w:val="none" w:sz="0" w:space="0" w:color="auto" w:frame="1"/>
            <w:shd w:val="clear" w:color="auto" w:fill="FFFFFF"/>
            <w:lang w:val="en-US"/>
          </w:rPr>
          <w:t>10.17176/20210428-181222-0</w:t>
        </w:r>
      </w:hyperlink>
      <w:r w:rsidRPr="00486B14">
        <w:rPr>
          <w:rStyle w:val="doi"/>
          <w:rFonts w:ascii="Arial" w:eastAsiaTheme="majorEastAsia" w:hAnsi="Arial" w:cs="Arial"/>
          <w:color w:val="000000"/>
          <w:sz w:val="18"/>
          <w:szCs w:val="18"/>
          <w:bdr w:val="none" w:sz="0" w:space="0" w:color="auto" w:frame="1"/>
          <w:shd w:val="clear" w:color="auto" w:fill="FFFFFF"/>
          <w:lang w:val="en-US"/>
        </w:rPr>
        <w:t xml:space="preserve"> </w:t>
      </w:r>
    </w:p>
  </w:footnote>
  <w:footnote w:id="248">
    <w:p w14:paraId="037872A0" w14:textId="77777777" w:rsidR="00B41728" w:rsidRPr="00486B14" w:rsidRDefault="00B41728" w:rsidP="00F331F8">
      <w:pPr>
        <w:pStyle w:val="SingleTxtG"/>
        <w:spacing w:after="0" w:line="180" w:lineRule="exact"/>
        <w:ind w:left="0" w:right="0"/>
        <w:rPr>
          <w:rFonts w:ascii="Arial" w:hAnsi="Arial" w:cs="Arial"/>
          <w:sz w:val="18"/>
          <w:szCs w:val="18"/>
          <w:lang w:val="en-US"/>
        </w:rPr>
      </w:pPr>
      <w:r w:rsidRPr="00560F13">
        <w:rPr>
          <w:rStyle w:val="FootnoteReference"/>
          <w:rFonts w:ascii="Arial" w:hAnsi="Arial" w:cs="Arial"/>
          <w:sz w:val="18"/>
          <w:szCs w:val="18"/>
        </w:rPr>
        <w:footnoteRef/>
      </w:r>
      <w:r w:rsidRPr="00486B14">
        <w:rPr>
          <w:rFonts w:ascii="Arial" w:hAnsi="Arial" w:cs="Arial"/>
          <w:sz w:val="18"/>
          <w:szCs w:val="18"/>
          <w:lang w:val="en-US"/>
        </w:rPr>
        <w:t xml:space="preserve"> </w:t>
      </w:r>
      <w:r w:rsidRPr="00486B14">
        <w:rPr>
          <w:rStyle w:val="author"/>
          <w:rFonts w:ascii="Arial" w:hAnsi="Arial" w:cs="Arial"/>
          <w:i/>
          <w:iCs/>
          <w:color w:val="000000"/>
          <w:sz w:val="18"/>
          <w:szCs w:val="18"/>
          <w:bdr w:val="none" w:sz="0" w:space="0" w:color="auto" w:frame="1"/>
          <w:shd w:val="clear" w:color="auto" w:fill="FFFFFF"/>
          <w:lang w:val="en-US"/>
        </w:rPr>
        <w:t>Helen Keller</w:t>
      </w:r>
      <w:r w:rsidRPr="00486B14">
        <w:rPr>
          <w:rStyle w:val="cite-authors"/>
          <w:rFonts w:ascii="Arial" w:hAnsi="Arial" w:cs="Arial"/>
          <w:i/>
          <w:iCs/>
          <w:color w:val="000000"/>
          <w:sz w:val="18"/>
          <w:szCs w:val="18"/>
          <w:bdr w:val="none" w:sz="0" w:space="0" w:color="auto" w:frame="1"/>
          <w:shd w:val="clear" w:color="auto" w:fill="FFFFFF"/>
          <w:lang w:val="en-US"/>
        </w:rPr>
        <w:t> </w:t>
      </w:r>
      <w:r w:rsidRPr="00486B14">
        <w:rPr>
          <w:rStyle w:val="author"/>
          <w:rFonts w:ascii="Arial" w:hAnsi="Arial" w:cs="Arial"/>
          <w:i/>
          <w:iCs/>
          <w:color w:val="000000"/>
          <w:sz w:val="18"/>
          <w:szCs w:val="18"/>
          <w:bdr w:val="none" w:sz="0" w:space="0" w:color="auto" w:frame="1"/>
          <w:shd w:val="clear" w:color="auto" w:fill="FFFFFF"/>
          <w:lang w:val="en-US"/>
        </w:rPr>
        <w:t>Réka Piskóty</w:t>
      </w:r>
      <w:r w:rsidRPr="00486B14">
        <w:rPr>
          <w:rStyle w:val="cite-authors"/>
          <w:rFonts w:ascii="Arial" w:hAnsi="Arial" w:cs="Arial"/>
          <w:i/>
          <w:iCs/>
          <w:color w:val="000000"/>
          <w:sz w:val="18"/>
          <w:szCs w:val="18"/>
          <w:bdr w:val="none" w:sz="0" w:space="0" w:color="auto" w:frame="1"/>
          <w:shd w:val="clear" w:color="auto" w:fill="FFFFFF"/>
          <w:lang w:val="en-US"/>
        </w:rPr>
        <w:t> </w:t>
      </w:r>
      <w:r w:rsidRPr="00486B14">
        <w:rPr>
          <w:rStyle w:val="cite-title"/>
          <w:rFonts w:ascii="Arial" w:eastAsiaTheme="majorEastAsia" w:hAnsi="Arial" w:cs="Arial"/>
          <w:color w:val="000000"/>
          <w:sz w:val="18"/>
          <w:szCs w:val="18"/>
          <w:bdr w:val="none" w:sz="0" w:space="0" w:color="auto" w:frame="1"/>
          <w:shd w:val="clear" w:color="auto" w:fill="FFFFFF"/>
          <w:lang w:val="en-US"/>
        </w:rPr>
        <w:t>Friendly Settlements as the Sleeping Beauty in Inter-State Cases: Opportunities and Risks for the European Court of Human Rights,</w:t>
      </w:r>
      <w:r w:rsidRPr="00486B14">
        <w:rPr>
          <w:rFonts w:ascii="Arial" w:hAnsi="Arial" w:cs="Arial"/>
          <w:color w:val="000000"/>
          <w:sz w:val="18"/>
          <w:szCs w:val="18"/>
          <w:shd w:val="clear" w:color="auto" w:fill="FFFFFF"/>
          <w:lang w:val="en-US"/>
        </w:rPr>
        <w:t> </w:t>
      </w:r>
      <w:r w:rsidRPr="00486B14">
        <w:rPr>
          <w:rStyle w:val="cite-blog"/>
          <w:rFonts w:ascii="Arial" w:eastAsiaTheme="majorEastAsia" w:hAnsi="Arial" w:cs="Arial"/>
          <w:i/>
          <w:iCs/>
          <w:color w:val="000000"/>
          <w:sz w:val="18"/>
          <w:szCs w:val="18"/>
          <w:bdr w:val="none" w:sz="0" w:space="0" w:color="auto" w:frame="1"/>
          <w:shd w:val="clear" w:color="auto" w:fill="FFFFFF"/>
          <w:lang w:val="en-US"/>
        </w:rPr>
        <w:t>Völkerrechtsblog,</w:t>
      </w:r>
      <w:r w:rsidRPr="00486B14">
        <w:rPr>
          <w:rFonts w:ascii="Arial" w:hAnsi="Arial" w:cs="Arial"/>
          <w:color w:val="000000"/>
          <w:sz w:val="18"/>
          <w:szCs w:val="18"/>
          <w:shd w:val="clear" w:color="auto" w:fill="FFFFFF"/>
          <w:lang w:val="en-US"/>
        </w:rPr>
        <w:t> </w:t>
      </w:r>
      <w:r w:rsidRPr="00486B14">
        <w:rPr>
          <w:rStyle w:val="cite-date"/>
          <w:rFonts w:ascii="Arial" w:eastAsiaTheme="majorEastAsia" w:hAnsi="Arial" w:cs="Arial"/>
          <w:color w:val="000000"/>
          <w:sz w:val="18"/>
          <w:szCs w:val="18"/>
          <w:bdr w:val="none" w:sz="0" w:space="0" w:color="auto" w:frame="1"/>
          <w:shd w:val="clear" w:color="auto" w:fill="FFFFFF"/>
          <w:lang w:val="en-US"/>
        </w:rPr>
        <w:t>28.04.2021</w:t>
      </w:r>
      <w:r w:rsidRPr="00486B14">
        <w:rPr>
          <w:rStyle w:val="doi"/>
          <w:rFonts w:ascii="Arial" w:eastAsiaTheme="majorEastAsia" w:hAnsi="Arial" w:cs="Arial"/>
          <w:color w:val="000000"/>
          <w:sz w:val="18"/>
          <w:szCs w:val="18"/>
          <w:bdr w:val="none" w:sz="0" w:space="0" w:color="auto" w:frame="1"/>
          <w:shd w:val="clear" w:color="auto" w:fill="FFFFFF"/>
          <w:lang w:val="en-US"/>
        </w:rPr>
        <w:t>, doi: </w:t>
      </w:r>
      <w:hyperlink r:id="rId321" w:tgtFrame="_blank" w:history="1">
        <w:r w:rsidRPr="00486B14">
          <w:rPr>
            <w:rStyle w:val="Hyperlink"/>
            <w:rFonts w:ascii="Arial" w:hAnsi="Arial" w:cs="Arial"/>
            <w:color w:val="000000"/>
            <w:sz w:val="18"/>
            <w:szCs w:val="18"/>
            <w:bdr w:val="none" w:sz="0" w:space="0" w:color="auto" w:frame="1"/>
            <w:shd w:val="clear" w:color="auto" w:fill="FFFFFF"/>
            <w:lang w:val="en-US"/>
          </w:rPr>
          <w:t>10.17176/20210428-181222-0</w:t>
        </w:r>
      </w:hyperlink>
      <w:r w:rsidRPr="00486B14">
        <w:rPr>
          <w:rStyle w:val="doi"/>
          <w:rFonts w:ascii="Arial" w:eastAsiaTheme="majorEastAsia" w:hAnsi="Arial" w:cs="Arial"/>
          <w:color w:val="000000"/>
          <w:sz w:val="18"/>
          <w:szCs w:val="18"/>
          <w:bdr w:val="none" w:sz="0" w:space="0" w:color="auto" w:frame="1"/>
          <w:shd w:val="clear" w:color="auto" w:fill="FFFFFF"/>
          <w:lang w:val="en-US"/>
        </w:rPr>
        <w:t xml:space="preserve"> </w:t>
      </w:r>
    </w:p>
  </w:footnote>
  <w:footnote w:id="249">
    <w:p w14:paraId="3ED209F7" w14:textId="77777777" w:rsidR="00B41728" w:rsidRPr="00704E46" w:rsidRDefault="00B41728" w:rsidP="00F331F8">
      <w:pPr>
        <w:pStyle w:val="NoSpacing"/>
        <w:jc w:val="both"/>
        <w:rPr>
          <w:rFonts w:ascii="Arial" w:hAnsi="Arial" w:cs="Arial"/>
          <w:sz w:val="18"/>
          <w:szCs w:val="18"/>
          <w:lang w:val="es-ES"/>
        </w:rPr>
      </w:pPr>
      <w:r w:rsidRPr="002D305B">
        <w:rPr>
          <w:rStyle w:val="FootnoteReference"/>
          <w:rFonts w:ascii="Arial" w:hAnsi="Arial" w:cs="Arial"/>
          <w:sz w:val="18"/>
          <w:szCs w:val="18"/>
        </w:rPr>
        <w:footnoteRef/>
      </w:r>
      <w:hyperlink r:id="rId322" w:history="1">
        <w:r w:rsidRPr="00704E46">
          <w:rPr>
            <w:rStyle w:val="Hyperlink"/>
            <w:rFonts w:ascii="Arial" w:eastAsiaTheme="majorEastAsia" w:hAnsi="Arial" w:cs="Arial"/>
            <w:i/>
            <w:iCs/>
            <w:sz w:val="18"/>
            <w:szCs w:val="18"/>
            <w:lang w:val="es-ES"/>
          </w:rPr>
          <w:t xml:space="preserve"> Tahsin Acar c. Turquie </w:t>
        </w:r>
      </w:hyperlink>
      <w:r w:rsidRPr="00704E46">
        <w:rPr>
          <w:rFonts w:ascii="Arial" w:hAnsi="Arial" w:cs="Arial"/>
          <w:sz w:val="18"/>
          <w:szCs w:val="18"/>
          <w:lang w:val="es-ES"/>
        </w:rPr>
        <w:t>[GC], n° 26307/95, §§ 78, 79, 83.</w:t>
      </w:r>
    </w:p>
  </w:footnote>
  <w:footnote w:id="250">
    <w:p w14:paraId="1AD51828" w14:textId="77777777" w:rsidR="00B41728" w:rsidRPr="002D305B" w:rsidRDefault="00B41728" w:rsidP="00F331F8">
      <w:pPr>
        <w:pStyle w:val="NoSpacing"/>
        <w:jc w:val="both"/>
        <w:rPr>
          <w:rFonts w:ascii="Arial" w:hAnsi="Arial" w:cs="Arial"/>
          <w:sz w:val="18"/>
          <w:szCs w:val="18"/>
        </w:rPr>
      </w:pPr>
      <w:r w:rsidRPr="002D305B">
        <w:rPr>
          <w:rStyle w:val="FootnoteReference"/>
          <w:rFonts w:ascii="Arial" w:hAnsi="Arial" w:cs="Arial"/>
          <w:sz w:val="18"/>
          <w:szCs w:val="18"/>
        </w:rPr>
        <w:footnoteRef/>
      </w:r>
      <w:r w:rsidRPr="002D305B">
        <w:rPr>
          <w:rFonts w:ascii="Arial" w:hAnsi="Arial" w:cs="Arial"/>
          <w:sz w:val="18"/>
          <w:szCs w:val="18"/>
        </w:rPr>
        <w:t xml:space="preserve"> </w:t>
      </w:r>
      <w:hyperlink r:id="rId323" w:history="1">
        <w:r w:rsidRPr="002D305B">
          <w:rPr>
            <w:rStyle w:val="Hyperlink"/>
            <w:rFonts w:ascii="Arial" w:eastAsiaTheme="majorEastAsia" w:hAnsi="Arial" w:cs="Arial"/>
            <w:i/>
            <w:sz w:val="18"/>
            <w:szCs w:val="18"/>
          </w:rPr>
          <w:t>Rantsev c. Chypre et Russie</w:t>
        </w:r>
      </w:hyperlink>
      <w:r w:rsidRPr="002D305B">
        <w:rPr>
          <w:rFonts w:ascii="Arial" w:hAnsi="Arial" w:cs="Arial"/>
          <w:sz w:val="18"/>
          <w:szCs w:val="18"/>
        </w:rPr>
        <w:t xml:space="preserve">, n° 25965/04, 7 janvier 2010. Dans cette affaire qui concernait le décès de la fille du requérant à Chypre, la Cour a rejeté la déclaration unilatérale proposée par le gouvernement chypriote, alors que cette déclaration reconnaissait les violations des articles 2, 3 et 4 de la Convention et proposait une indemnisation, en soulignant la gravité des allégations – il s’agissait de traite d’êtres humains – et la quasi-absence de jurisprudence sur l’article 4 CEDH. </w:t>
      </w:r>
    </w:p>
  </w:footnote>
  <w:footnote w:id="251">
    <w:p w14:paraId="7C0C7EAF" w14:textId="77777777" w:rsidR="00B41728" w:rsidRPr="002D305B" w:rsidRDefault="00B41728" w:rsidP="00F331F8">
      <w:pPr>
        <w:pStyle w:val="NoSpacing"/>
        <w:jc w:val="both"/>
        <w:rPr>
          <w:rFonts w:ascii="Arial" w:hAnsi="Arial" w:cs="Arial"/>
          <w:sz w:val="18"/>
          <w:szCs w:val="18"/>
        </w:rPr>
      </w:pPr>
      <w:r w:rsidRPr="002D305B">
        <w:rPr>
          <w:rStyle w:val="FootnoteReference"/>
          <w:rFonts w:ascii="Arial" w:hAnsi="Arial" w:cs="Arial"/>
          <w:sz w:val="18"/>
          <w:szCs w:val="18"/>
        </w:rPr>
        <w:footnoteRef/>
      </w:r>
      <w:hyperlink r:id="rId324" w:history="1">
        <w:r w:rsidRPr="002D305B">
          <w:rPr>
            <w:rStyle w:val="Hyperlink"/>
            <w:rFonts w:ascii="Arial" w:eastAsiaTheme="majorEastAsia" w:hAnsi="Arial" w:cs="Arial"/>
            <w:i/>
            <w:sz w:val="18"/>
            <w:szCs w:val="18"/>
          </w:rPr>
          <w:t>Tomov et autres c. Russie</w:t>
        </w:r>
      </w:hyperlink>
      <w:r w:rsidRPr="002D305B">
        <w:rPr>
          <w:rFonts w:ascii="Arial" w:hAnsi="Arial" w:cs="Arial"/>
          <w:sz w:val="18"/>
          <w:szCs w:val="18"/>
        </w:rPr>
        <w:t>, n° 18255/10 et autres, § 100, 9 avril 2019.</w:t>
      </w:r>
    </w:p>
  </w:footnote>
  <w:footnote w:id="252">
    <w:p w14:paraId="0664FCB5" w14:textId="77777777" w:rsidR="00B41728" w:rsidRPr="002D305B" w:rsidRDefault="00B41728" w:rsidP="00F331F8">
      <w:pPr>
        <w:pStyle w:val="NoSpacing"/>
        <w:jc w:val="both"/>
        <w:rPr>
          <w:rFonts w:ascii="Arial" w:hAnsi="Arial" w:cs="Arial"/>
          <w:sz w:val="18"/>
          <w:szCs w:val="18"/>
        </w:rPr>
      </w:pPr>
      <w:r w:rsidRPr="002D305B">
        <w:rPr>
          <w:rStyle w:val="FootnoteReference"/>
          <w:rFonts w:ascii="Arial" w:hAnsi="Arial" w:cs="Arial"/>
          <w:sz w:val="18"/>
          <w:szCs w:val="18"/>
        </w:rPr>
        <w:footnoteRef/>
      </w:r>
      <w:r w:rsidRPr="002D305B">
        <w:rPr>
          <w:rFonts w:ascii="Arial" w:hAnsi="Arial" w:cs="Arial"/>
          <w:sz w:val="18"/>
          <w:szCs w:val="18"/>
        </w:rPr>
        <w:t xml:space="preserve"> </w:t>
      </w:r>
      <w:hyperlink r:id="rId325" w:history="1">
        <w:r w:rsidRPr="002D305B">
          <w:rPr>
            <w:rStyle w:val="Hyperlink"/>
            <w:rFonts w:ascii="Arial" w:eastAsiaTheme="majorEastAsia" w:hAnsi="Arial" w:cs="Arial"/>
            <w:sz w:val="18"/>
            <w:szCs w:val="18"/>
          </w:rPr>
          <w:t>https://www.echr.coe.int/Documents/Stats_analysis_2019_FRA.pdf</w:t>
        </w:r>
      </w:hyperlink>
      <w:r w:rsidRPr="002D305B">
        <w:rPr>
          <w:rStyle w:val="Hyperlink"/>
          <w:rFonts w:ascii="Arial" w:eastAsiaTheme="majorEastAsia" w:hAnsi="Arial" w:cs="Arial"/>
          <w:sz w:val="18"/>
          <w:szCs w:val="18"/>
        </w:rPr>
        <w:t xml:space="preserve"> </w:t>
      </w:r>
      <w:r w:rsidRPr="002D305B">
        <w:rPr>
          <w:rFonts w:ascii="Arial" w:hAnsi="Arial" w:cs="Arial"/>
          <w:sz w:val="18"/>
          <w:szCs w:val="18"/>
        </w:rPr>
        <w:t>En 2015, 2 970 déclarations unilatérales ont été acceptées par la Cour. Ce nombre est tombé en 2016 à 1 766, et a de nouveau diminué de manière significative en 2017 pour atteindre 754 DU.</w:t>
      </w:r>
    </w:p>
  </w:footnote>
  <w:footnote w:id="253">
    <w:p w14:paraId="6B3F6C6A" w14:textId="77777777" w:rsidR="00B41728" w:rsidRPr="002D305B" w:rsidRDefault="00B41728" w:rsidP="00F331F8">
      <w:pPr>
        <w:pStyle w:val="NoSpacing"/>
        <w:jc w:val="both"/>
        <w:rPr>
          <w:rFonts w:ascii="Arial" w:hAnsi="Arial" w:cs="Arial"/>
          <w:sz w:val="18"/>
          <w:szCs w:val="18"/>
        </w:rPr>
      </w:pPr>
      <w:r w:rsidRPr="002D305B">
        <w:rPr>
          <w:rStyle w:val="FootnoteReference"/>
          <w:rFonts w:ascii="Arial" w:hAnsi="Arial" w:cs="Arial"/>
          <w:sz w:val="18"/>
          <w:szCs w:val="18"/>
        </w:rPr>
        <w:footnoteRef/>
      </w:r>
      <w:r w:rsidRPr="002D305B">
        <w:rPr>
          <w:rFonts w:ascii="Arial" w:hAnsi="Arial" w:cs="Arial"/>
          <w:sz w:val="18"/>
          <w:szCs w:val="18"/>
        </w:rPr>
        <w:t xml:space="preserve"> </w:t>
      </w:r>
      <w:hyperlink r:id="rId326" w:history="1">
        <w:r w:rsidRPr="002D305B">
          <w:rPr>
            <w:rStyle w:val="Hyperlink"/>
            <w:rFonts w:ascii="Arial" w:eastAsiaTheme="majorEastAsia" w:hAnsi="Arial" w:cs="Arial"/>
            <w:i/>
            <w:sz w:val="18"/>
            <w:szCs w:val="18"/>
          </w:rPr>
          <w:t>Xenides-Arestis c. Turquie</w:t>
        </w:r>
      </w:hyperlink>
      <w:r w:rsidRPr="002D305B">
        <w:rPr>
          <w:rFonts w:ascii="Arial" w:hAnsi="Arial" w:cs="Arial"/>
          <w:sz w:val="18"/>
          <w:szCs w:val="18"/>
        </w:rPr>
        <w:t xml:space="preserve">, </w:t>
      </w:r>
      <w:r w:rsidRPr="002D305B">
        <w:rPr>
          <w:rFonts w:ascii="Arial" w:hAnsi="Arial" w:cs="Arial"/>
          <w:iCs/>
          <w:sz w:val="18"/>
          <w:szCs w:val="18"/>
        </w:rPr>
        <w:t>n° 46347/99, par</w:t>
      </w:r>
      <w:r>
        <w:rPr>
          <w:rFonts w:ascii="Arial" w:hAnsi="Arial" w:cs="Arial"/>
          <w:iCs/>
          <w:sz w:val="18"/>
          <w:szCs w:val="18"/>
        </w:rPr>
        <w:t>a</w:t>
      </w:r>
      <w:r w:rsidRPr="002D305B">
        <w:rPr>
          <w:rFonts w:ascii="Arial" w:hAnsi="Arial" w:cs="Arial"/>
          <w:iCs/>
          <w:sz w:val="18"/>
          <w:szCs w:val="18"/>
        </w:rPr>
        <w:t xml:space="preserve">. 39 et 40, 22 décembre </w:t>
      </w:r>
      <w:r w:rsidRPr="002D305B">
        <w:rPr>
          <w:rFonts w:ascii="Arial" w:hAnsi="Arial" w:cs="Arial"/>
          <w:sz w:val="18"/>
          <w:szCs w:val="18"/>
        </w:rPr>
        <w:t xml:space="preserve">2005. </w:t>
      </w:r>
    </w:p>
  </w:footnote>
  <w:footnote w:id="254">
    <w:p w14:paraId="7B2F1557" w14:textId="77777777" w:rsidR="00B41728" w:rsidRPr="002D305B" w:rsidRDefault="00B41728" w:rsidP="00F331F8">
      <w:pPr>
        <w:pStyle w:val="NoSpacing"/>
        <w:rPr>
          <w:rFonts w:ascii="Arial" w:hAnsi="Arial" w:cs="Arial"/>
          <w:sz w:val="18"/>
          <w:szCs w:val="18"/>
        </w:rPr>
      </w:pPr>
      <w:r w:rsidRPr="002D305B">
        <w:rPr>
          <w:rStyle w:val="FootnoteReference"/>
          <w:rFonts w:ascii="Arial" w:hAnsi="Arial" w:cs="Arial"/>
          <w:sz w:val="18"/>
          <w:szCs w:val="18"/>
        </w:rPr>
        <w:footnoteRef/>
      </w:r>
      <w:r w:rsidRPr="002D305B">
        <w:rPr>
          <w:rFonts w:ascii="Arial" w:hAnsi="Arial" w:cs="Arial"/>
          <w:sz w:val="18"/>
          <w:szCs w:val="18"/>
        </w:rPr>
        <w:t xml:space="preserve"> </w:t>
      </w:r>
      <w:r w:rsidRPr="002D305B">
        <w:rPr>
          <w:rFonts w:ascii="Arial" w:hAnsi="Arial" w:cs="Arial"/>
          <w:i/>
          <w:iCs/>
          <w:sz w:val="18"/>
          <w:szCs w:val="18"/>
        </w:rPr>
        <w:t>Ibid</w:t>
      </w:r>
      <w:r w:rsidRPr="002D305B">
        <w:rPr>
          <w:rFonts w:ascii="Arial" w:hAnsi="Arial" w:cs="Arial"/>
          <w:sz w:val="18"/>
          <w:szCs w:val="18"/>
        </w:rPr>
        <w:t>, § 38.</w:t>
      </w:r>
    </w:p>
  </w:footnote>
  <w:footnote w:id="255">
    <w:p w14:paraId="5852AE1A" w14:textId="77777777" w:rsidR="00B41728" w:rsidRPr="007510C9" w:rsidRDefault="00B41728" w:rsidP="00F331F8">
      <w:pPr>
        <w:pStyle w:val="NoSpacing"/>
        <w:rPr>
          <w:rFonts w:ascii="Arial" w:hAnsi="Arial" w:cs="Arial"/>
          <w:sz w:val="18"/>
          <w:szCs w:val="18"/>
        </w:rPr>
      </w:pPr>
      <w:r w:rsidRPr="002D305B">
        <w:rPr>
          <w:rStyle w:val="FootnoteReference"/>
          <w:rFonts w:ascii="Arial" w:hAnsi="Arial" w:cs="Arial"/>
          <w:sz w:val="18"/>
          <w:szCs w:val="18"/>
        </w:rPr>
        <w:footnoteRef/>
      </w:r>
      <w:r w:rsidRPr="007510C9">
        <w:rPr>
          <w:rFonts w:ascii="Arial" w:hAnsi="Arial" w:cs="Arial"/>
          <w:i/>
          <w:iCs/>
          <w:sz w:val="18"/>
          <w:szCs w:val="18"/>
        </w:rPr>
        <w:t xml:space="preserve"> Ibid,.</w:t>
      </w:r>
    </w:p>
  </w:footnote>
  <w:footnote w:id="256">
    <w:p w14:paraId="76EE1341" w14:textId="77777777" w:rsidR="00B41728" w:rsidRPr="007510C9" w:rsidRDefault="00B41728" w:rsidP="00F331F8">
      <w:pPr>
        <w:pStyle w:val="NoSpacing"/>
        <w:rPr>
          <w:rFonts w:ascii="Arial" w:hAnsi="Arial" w:cs="Arial"/>
          <w:sz w:val="18"/>
          <w:szCs w:val="18"/>
        </w:rPr>
      </w:pPr>
      <w:r w:rsidRPr="002D305B">
        <w:rPr>
          <w:rStyle w:val="FootnoteReference"/>
          <w:rFonts w:ascii="Arial" w:hAnsi="Arial" w:cs="Arial"/>
          <w:sz w:val="18"/>
          <w:szCs w:val="18"/>
        </w:rPr>
        <w:footnoteRef/>
      </w:r>
      <w:r w:rsidRPr="007510C9">
        <w:rPr>
          <w:rFonts w:ascii="Arial" w:hAnsi="Arial" w:cs="Arial"/>
          <w:sz w:val="18"/>
          <w:szCs w:val="18"/>
        </w:rPr>
        <w:t xml:space="preserve"> </w:t>
      </w:r>
      <w:r w:rsidRPr="007510C9">
        <w:rPr>
          <w:rFonts w:ascii="Arial" w:hAnsi="Arial" w:cs="Arial"/>
          <w:i/>
          <w:iCs/>
          <w:sz w:val="18"/>
          <w:szCs w:val="18"/>
        </w:rPr>
        <w:t>Ibid</w:t>
      </w:r>
      <w:r w:rsidRPr="007510C9">
        <w:rPr>
          <w:rFonts w:ascii="Arial" w:hAnsi="Arial" w:cs="Arial"/>
          <w:sz w:val="18"/>
          <w:szCs w:val="18"/>
        </w:rPr>
        <w:t>., §§ 40.</w:t>
      </w:r>
    </w:p>
  </w:footnote>
  <w:footnote w:id="257">
    <w:p w14:paraId="26658F77" w14:textId="77777777" w:rsidR="00B41728" w:rsidRPr="00720D91" w:rsidRDefault="00B41728" w:rsidP="00F331F8">
      <w:pPr>
        <w:pStyle w:val="FootnoteText"/>
        <w:jc w:val="both"/>
        <w:rPr>
          <w:rFonts w:ascii="Arial" w:hAnsi="Arial" w:cs="Arial"/>
          <w:sz w:val="18"/>
          <w:szCs w:val="18"/>
          <w:lang w:val="fr-FR"/>
        </w:rPr>
      </w:pPr>
      <w:r w:rsidRPr="002D305B">
        <w:rPr>
          <w:rStyle w:val="FootnoteReference"/>
          <w:rFonts w:ascii="Arial" w:hAnsi="Arial" w:cs="Arial"/>
          <w:sz w:val="18"/>
          <w:szCs w:val="18"/>
        </w:rPr>
        <w:footnoteRef/>
      </w:r>
      <w:hyperlink r:id="rId327" w:history="1">
        <w:r w:rsidRPr="00720D91">
          <w:rPr>
            <w:rStyle w:val="Hyperlink"/>
            <w:rFonts w:ascii="Arial" w:hAnsi="Arial" w:cs="Arial"/>
            <w:i/>
            <w:iCs/>
            <w:sz w:val="18"/>
            <w:szCs w:val="18"/>
            <w:lang w:val="fr-FR"/>
          </w:rPr>
          <w:t xml:space="preserve"> Demopolous et autres c. Turquie </w:t>
        </w:r>
      </w:hyperlink>
      <w:r w:rsidRPr="00720D91">
        <w:rPr>
          <w:rFonts w:ascii="Arial" w:hAnsi="Arial" w:cs="Arial"/>
          <w:sz w:val="18"/>
          <w:szCs w:val="18"/>
          <w:lang w:val="fr-FR"/>
        </w:rPr>
        <w:t xml:space="preserve">(déc) </w:t>
      </w:r>
      <w:r w:rsidRPr="00720D91">
        <w:rPr>
          <w:rStyle w:val="sb8d990e2"/>
          <w:rFonts w:ascii="Arial" w:hAnsi="Arial" w:cs="Arial"/>
          <w:color w:val="000000"/>
          <w:sz w:val="18"/>
          <w:szCs w:val="18"/>
          <w:lang w:val="fr-FR"/>
        </w:rPr>
        <w:t xml:space="preserve">nos </w:t>
      </w:r>
      <w:r w:rsidRPr="00720D91">
        <w:rPr>
          <w:rFonts w:ascii="Arial" w:hAnsi="Arial" w:cs="Arial"/>
          <w:sz w:val="18"/>
          <w:szCs w:val="18"/>
          <w:lang w:val="fr-FR"/>
        </w:rPr>
        <w:t>46113/99</w:t>
      </w:r>
      <w:r w:rsidRPr="00720D91">
        <w:rPr>
          <w:rStyle w:val="sb8d990e2"/>
          <w:rFonts w:ascii="Arial" w:hAnsi="Arial" w:cs="Arial"/>
          <w:color w:val="000000"/>
          <w:sz w:val="18"/>
          <w:szCs w:val="18"/>
          <w:lang w:val="fr-FR"/>
        </w:rPr>
        <w:t xml:space="preserve">, </w:t>
      </w:r>
      <w:r w:rsidRPr="00720D91">
        <w:rPr>
          <w:rFonts w:ascii="Arial" w:hAnsi="Arial" w:cs="Arial"/>
          <w:sz w:val="18"/>
          <w:szCs w:val="18"/>
          <w:lang w:val="fr-FR"/>
        </w:rPr>
        <w:t>3843/02</w:t>
      </w:r>
      <w:r w:rsidRPr="00720D91">
        <w:rPr>
          <w:rStyle w:val="sb8d990e2"/>
          <w:rFonts w:ascii="Arial" w:hAnsi="Arial" w:cs="Arial"/>
          <w:color w:val="000000"/>
          <w:sz w:val="18"/>
          <w:szCs w:val="18"/>
          <w:lang w:val="fr-FR"/>
        </w:rPr>
        <w:t xml:space="preserve">, </w:t>
      </w:r>
      <w:bookmarkStart w:id="86" w:name="_Hlk45891438"/>
      <w:r w:rsidRPr="00720D91">
        <w:rPr>
          <w:rFonts w:ascii="Arial" w:hAnsi="Arial" w:cs="Arial"/>
          <w:sz w:val="18"/>
          <w:szCs w:val="18"/>
          <w:lang w:val="fr-FR"/>
        </w:rPr>
        <w:t>13751/02</w:t>
      </w:r>
      <w:r w:rsidRPr="00720D91">
        <w:rPr>
          <w:rStyle w:val="sb8d990e2"/>
          <w:rFonts w:ascii="Arial" w:hAnsi="Arial" w:cs="Arial"/>
          <w:color w:val="000000"/>
          <w:sz w:val="18"/>
          <w:szCs w:val="18"/>
          <w:lang w:val="fr-FR"/>
        </w:rPr>
        <w:t xml:space="preserve">, </w:t>
      </w:r>
      <w:bookmarkEnd w:id="86"/>
      <w:r w:rsidRPr="00720D91">
        <w:rPr>
          <w:rFonts w:ascii="Arial" w:hAnsi="Arial" w:cs="Arial"/>
          <w:sz w:val="18"/>
          <w:szCs w:val="18"/>
          <w:lang w:val="fr-FR"/>
        </w:rPr>
        <w:t>13466/03</w:t>
      </w:r>
      <w:r w:rsidRPr="00720D91">
        <w:rPr>
          <w:rStyle w:val="sb8d990e2"/>
          <w:rFonts w:ascii="Arial" w:hAnsi="Arial" w:cs="Arial"/>
          <w:color w:val="000000"/>
          <w:sz w:val="18"/>
          <w:szCs w:val="18"/>
          <w:lang w:val="fr-FR"/>
        </w:rPr>
        <w:t xml:space="preserve">, </w:t>
      </w:r>
      <w:r w:rsidRPr="00720D91">
        <w:rPr>
          <w:rFonts w:ascii="Arial" w:hAnsi="Arial" w:cs="Arial"/>
          <w:sz w:val="18"/>
          <w:szCs w:val="18"/>
          <w:lang w:val="fr-FR"/>
        </w:rPr>
        <w:t>10200/04</w:t>
      </w:r>
      <w:r w:rsidRPr="00720D91">
        <w:rPr>
          <w:rStyle w:val="sb8d990e2"/>
          <w:rFonts w:ascii="Arial" w:hAnsi="Arial" w:cs="Arial"/>
          <w:color w:val="000000"/>
          <w:sz w:val="18"/>
          <w:szCs w:val="18"/>
          <w:lang w:val="fr-FR"/>
        </w:rPr>
        <w:t xml:space="preserve">, </w:t>
      </w:r>
      <w:r w:rsidRPr="00720D91">
        <w:rPr>
          <w:rFonts w:ascii="Arial" w:hAnsi="Arial" w:cs="Arial"/>
          <w:sz w:val="18"/>
          <w:szCs w:val="18"/>
          <w:lang w:val="fr-FR"/>
        </w:rPr>
        <w:t>14163/04</w:t>
      </w:r>
      <w:r w:rsidRPr="00720D91">
        <w:rPr>
          <w:rStyle w:val="sb8d990e2"/>
          <w:rFonts w:ascii="Arial" w:hAnsi="Arial" w:cs="Arial"/>
          <w:color w:val="000000"/>
          <w:sz w:val="18"/>
          <w:szCs w:val="18"/>
          <w:lang w:val="fr-FR"/>
        </w:rPr>
        <w:t xml:space="preserve">, </w:t>
      </w:r>
      <w:r w:rsidRPr="00720D91">
        <w:rPr>
          <w:rFonts w:ascii="Arial" w:hAnsi="Arial" w:cs="Arial"/>
          <w:sz w:val="18"/>
          <w:szCs w:val="18"/>
          <w:lang w:val="fr-FR"/>
        </w:rPr>
        <w:t>19993/04</w:t>
      </w:r>
      <w:r w:rsidRPr="00720D91">
        <w:rPr>
          <w:rStyle w:val="sb8d990e2"/>
          <w:rFonts w:ascii="Arial" w:hAnsi="Arial" w:cs="Arial"/>
          <w:color w:val="000000"/>
          <w:sz w:val="18"/>
          <w:szCs w:val="18"/>
          <w:lang w:val="fr-FR"/>
        </w:rPr>
        <w:t xml:space="preserve">, </w:t>
      </w:r>
      <w:r w:rsidRPr="00720D91">
        <w:rPr>
          <w:rFonts w:ascii="Arial" w:hAnsi="Arial" w:cs="Arial"/>
          <w:sz w:val="18"/>
          <w:szCs w:val="18"/>
          <w:lang w:val="fr-FR"/>
        </w:rPr>
        <w:t>21819/04</w:t>
      </w:r>
      <w:r w:rsidRPr="00720D91">
        <w:rPr>
          <w:rStyle w:val="sb8d990e2"/>
          <w:rFonts w:ascii="Arial" w:hAnsi="Arial" w:cs="Arial"/>
          <w:color w:val="000000"/>
          <w:sz w:val="18"/>
          <w:szCs w:val="18"/>
          <w:lang w:val="fr-FR"/>
        </w:rPr>
        <w:t>, §127, 1er mars 2010.</w:t>
      </w:r>
    </w:p>
  </w:footnote>
  <w:footnote w:id="258">
    <w:p w14:paraId="213D7C9C" w14:textId="7A6E3A2F" w:rsidR="00B41728" w:rsidRPr="00720D91" w:rsidRDefault="00B41728" w:rsidP="00F331F8">
      <w:pPr>
        <w:pStyle w:val="FootnoteText"/>
        <w:jc w:val="both"/>
        <w:rPr>
          <w:lang w:val="fr-FR"/>
        </w:rPr>
      </w:pPr>
      <w:r w:rsidRPr="002D305B">
        <w:rPr>
          <w:rStyle w:val="FootnoteReference"/>
        </w:rPr>
        <w:footnoteRef/>
      </w:r>
      <w:r w:rsidRPr="00946EDC">
        <w:rPr>
          <w:lang w:val="fr-FR"/>
        </w:rPr>
        <w:t xml:space="preserve"> </w:t>
      </w:r>
      <w:hyperlink r:id="rId328" w:history="1">
        <w:r w:rsidRPr="00946EDC">
          <w:rPr>
            <w:rStyle w:val="Hyperlink"/>
            <w:rFonts w:ascii="Arial" w:eastAsiaTheme="majorEastAsia" w:hAnsi="Arial" w:cs="Arial"/>
            <w:i/>
            <w:sz w:val="18"/>
            <w:szCs w:val="18"/>
            <w:lang w:val="fr-FR"/>
          </w:rPr>
          <w:t>Chypre c. Turquie (satisfaction équitable) [GC]</w:t>
        </w:r>
      </w:hyperlink>
      <w:r w:rsidRPr="00946EDC">
        <w:rPr>
          <w:rFonts w:ascii="Arial" w:hAnsi="Arial" w:cs="Arial"/>
          <w:sz w:val="18"/>
          <w:szCs w:val="18"/>
          <w:lang w:val="fr-FR"/>
        </w:rPr>
        <w:t>, n° 25781/94, 12 mai 2014</w:t>
      </w:r>
      <w:r w:rsidRPr="00720D91">
        <w:rPr>
          <w:rFonts w:ascii="Arial" w:hAnsi="Arial" w:cs="Arial"/>
          <w:sz w:val="18"/>
          <w:szCs w:val="18"/>
          <w:lang w:val="fr-FR"/>
        </w:rPr>
        <w:t>, § 63.</w:t>
      </w:r>
    </w:p>
  </w:footnote>
  <w:footnote w:id="259">
    <w:p w14:paraId="4EE21EE0" w14:textId="77777777" w:rsidR="00B41728" w:rsidRPr="00720D91" w:rsidRDefault="00B41728" w:rsidP="00F331F8">
      <w:pPr>
        <w:pStyle w:val="FootnoteText"/>
        <w:jc w:val="both"/>
        <w:rPr>
          <w:lang w:val="fr-FR"/>
        </w:rPr>
      </w:pPr>
      <w:r>
        <w:rPr>
          <w:rStyle w:val="FootnoteReference"/>
        </w:rPr>
        <w:footnoteRef/>
      </w:r>
      <w:r w:rsidRPr="00720D91">
        <w:rPr>
          <w:lang w:val="fr-FR"/>
        </w:rPr>
        <w:t xml:space="preserve"> </w:t>
      </w:r>
      <w:r w:rsidRPr="00720D91">
        <w:rPr>
          <w:rFonts w:ascii="Arial" w:hAnsi="Arial" w:cs="Arial"/>
          <w:sz w:val="18"/>
          <w:szCs w:val="18"/>
          <w:lang w:val="fr-FR"/>
        </w:rPr>
        <w:t>Règle 61§1 du Règlement de la Cour. Dans un arrêt pilote, la mission de la Cour n’est pas seulement de déterminer si une violation de la Convention a eu lieu dans l’affaire en question mais également d’identifier le problème systémique et de donner au gouvernement des indications claires sur le type de mesures correctives nécessaire pour y remédier. Une caractéristique spécifique de la procédure d’arrêt pilote est la possibilité d’ajourner, ou de « geler », les affaires connexes pour une période donnée à la condition que le gouvernement agisse rapidement pour adopter les mesures nationales requises pour se conformer à l’arrêt. La Cour peut cependant reprendre l’examen des affaires ajournées dès lors que les intérêts de la justice l’exigent.</w:t>
      </w:r>
      <w:r w:rsidRPr="00720D91">
        <w:rPr>
          <w:lang w:val="fr-FR"/>
        </w:rPr>
        <w:t xml:space="preserve">  </w:t>
      </w:r>
    </w:p>
  </w:footnote>
  <w:footnote w:id="260">
    <w:p w14:paraId="53C745AD" w14:textId="77777777" w:rsidR="00B41728" w:rsidRPr="00547F76" w:rsidRDefault="00B41728" w:rsidP="00F331F8">
      <w:pPr>
        <w:pStyle w:val="NoSpacing"/>
        <w:jc w:val="both"/>
        <w:rPr>
          <w:rFonts w:ascii="Arial" w:hAnsi="Arial" w:cs="Arial"/>
          <w:sz w:val="18"/>
          <w:szCs w:val="18"/>
          <w:lang w:val="en-US"/>
        </w:rPr>
      </w:pPr>
      <w:r w:rsidRPr="00946EDC">
        <w:rPr>
          <w:rStyle w:val="FootnoteReference"/>
          <w:rFonts w:asciiTheme="minorBidi" w:hAnsiTheme="minorBidi" w:cstheme="minorBidi"/>
          <w:sz w:val="18"/>
          <w:szCs w:val="18"/>
        </w:rPr>
        <w:footnoteRef/>
      </w:r>
      <w:r w:rsidRPr="00946EDC">
        <w:rPr>
          <w:rFonts w:asciiTheme="minorBidi" w:hAnsiTheme="minorBidi" w:cstheme="minorBidi"/>
          <w:sz w:val="18"/>
          <w:szCs w:val="18"/>
          <w:lang w:val="en-US"/>
        </w:rPr>
        <w:t xml:space="preserve"> </w:t>
      </w:r>
      <w:r w:rsidRPr="00486B14">
        <w:rPr>
          <w:rFonts w:ascii="Arial" w:hAnsi="Arial" w:cs="Arial"/>
          <w:sz w:val="18"/>
          <w:szCs w:val="18"/>
          <w:lang w:val="en-US"/>
        </w:rPr>
        <w:t>L. Wildhaber,</w:t>
      </w:r>
      <w:r w:rsidRPr="00720D91">
        <w:rPr>
          <w:lang w:val="en-US"/>
        </w:rPr>
        <w:t xml:space="preserve"> </w:t>
      </w:r>
      <w:r w:rsidRPr="00CE6307">
        <w:rPr>
          <w:rFonts w:ascii="Arial" w:hAnsi="Arial" w:cs="Arial"/>
          <w:i/>
          <w:iCs/>
          <w:sz w:val="18"/>
          <w:szCs w:val="18"/>
          <w:lang w:val="en-US"/>
        </w:rPr>
        <w:t>Pilot judgment in cases of structural or systemic problems on the national level</w:t>
      </w:r>
      <w:r w:rsidRPr="00547F76">
        <w:rPr>
          <w:rFonts w:ascii="Arial" w:hAnsi="Arial" w:cs="Arial"/>
          <w:sz w:val="18"/>
          <w:szCs w:val="18"/>
          <w:lang w:val="en-US"/>
        </w:rPr>
        <w:t xml:space="preserve"> in R</w:t>
      </w:r>
      <w:r>
        <w:rPr>
          <w:rFonts w:ascii="Arial" w:hAnsi="Arial" w:cs="Arial"/>
          <w:sz w:val="18"/>
          <w:szCs w:val="18"/>
          <w:lang w:val="en-US"/>
        </w:rPr>
        <w:t>.</w:t>
      </w:r>
      <w:r w:rsidRPr="00547F76">
        <w:rPr>
          <w:rFonts w:ascii="Arial" w:hAnsi="Arial" w:cs="Arial"/>
          <w:sz w:val="18"/>
          <w:szCs w:val="18"/>
          <w:lang w:val="en-US"/>
        </w:rPr>
        <w:t xml:space="preserve"> Wolfrum, U</w:t>
      </w:r>
      <w:r>
        <w:rPr>
          <w:rFonts w:ascii="Arial" w:hAnsi="Arial" w:cs="Arial"/>
          <w:sz w:val="18"/>
          <w:szCs w:val="18"/>
          <w:lang w:val="en-US"/>
        </w:rPr>
        <w:t>.</w:t>
      </w:r>
      <w:r w:rsidRPr="00547F76">
        <w:rPr>
          <w:rFonts w:ascii="Arial" w:hAnsi="Arial" w:cs="Arial"/>
          <w:sz w:val="18"/>
          <w:szCs w:val="18"/>
          <w:lang w:val="en-US"/>
        </w:rPr>
        <w:t xml:space="preserve"> Deutsch, </w:t>
      </w:r>
      <w:r w:rsidRPr="00CE6307">
        <w:rPr>
          <w:rFonts w:ascii="Arial" w:hAnsi="Arial" w:cs="Arial"/>
          <w:i/>
          <w:iCs/>
          <w:sz w:val="18"/>
          <w:szCs w:val="18"/>
          <w:lang w:val="en-US"/>
        </w:rPr>
        <w:t>The European Court of Human Rights Overwhelmed by applications: Problems and possible solutions</w:t>
      </w:r>
      <w:r w:rsidRPr="00547F76">
        <w:rPr>
          <w:rFonts w:ascii="Arial" w:hAnsi="Arial" w:cs="Arial"/>
          <w:sz w:val="18"/>
          <w:szCs w:val="18"/>
          <w:lang w:val="en-US"/>
        </w:rPr>
        <w:t>; P</w:t>
      </w:r>
      <w:r>
        <w:rPr>
          <w:rFonts w:ascii="Arial" w:hAnsi="Arial" w:cs="Arial"/>
          <w:sz w:val="18"/>
          <w:szCs w:val="18"/>
          <w:lang w:val="en-US"/>
        </w:rPr>
        <w:t>.</w:t>
      </w:r>
      <w:r w:rsidRPr="00547F76">
        <w:rPr>
          <w:rFonts w:ascii="Arial" w:hAnsi="Arial" w:cs="Arial"/>
          <w:sz w:val="18"/>
          <w:szCs w:val="18"/>
          <w:lang w:val="en-US"/>
        </w:rPr>
        <w:t xml:space="preserve"> Leach, </w:t>
      </w:r>
      <w:r w:rsidRPr="00A17384">
        <w:rPr>
          <w:rFonts w:ascii="Arial" w:hAnsi="Arial" w:cs="Arial"/>
          <w:i/>
          <w:iCs/>
          <w:sz w:val="18"/>
          <w:szCs w:val="18"/>
          <w:lang w:val="en-US"/>
        </w:rPr>
        <w:t>Responding to systemic human rights violations: an analysis of pilot judgments of the European Court of Human</w:t>
      </w:r>
      <w:r w:rsidRPr="00547F76">
        <w:rPr>
          <w:rFonts w:ascii="Arial" w:hAnsi="Arial" w:cs="Arial"/>
          <w:sz w:val="18"/>
          <w:szCs w:val="18"/>
          <w:lang w:val="en-US"/>
        </w:rPr>
        <w:t xml:space="preserve"> </w:t>
      </w:r>
      <w:r w:rsidRPr="00A17384">
        <w:rPr>
          <w:rFonts w:ascii="Arial" w:hAnsi="Arial" w:cs="Arial"/>
          <w:i/>
          <w:iCs/>
          <w:sz w:val="18"/>
          <w:szCs w:val="18"/>
          <w:lang w:val="en-US"/>
        </w:rPr>
        <w:t>Rights and their impact at national level</w:t>
      </w:r>
      <w:r w:rsidRPr="00547F76">
        <w:rPr>
          <w:rFonts w:ascii="Arial" w:hAnsi="Arial" w:cs="Arial"/>
          <w:sz w:val="18"/>
          <w:szCs w:val="18"/>
          <w:lang w:val="en-US"/>
        </w:rPr>
        <w:t xml:space="preserve">; A Buyse, </w:t>
      </w:r>
      <w:r w:rsidRPr="003B4FBB">
        <w:rPr>
          <w:rFonts w:ascii="Arial" w:hAnsi="Arial" w:cs="Arial"/>
          <w:i/>
          <w:iCs/>
          <w:sz w:val="18"/>
          <w:szCs w:val="18"/>
          <w:lang w:val="en-US"/>
        </w:rPr>
        <w:t>Airborne or Bound to Crash? The rise of pilot judgment and their appeal as a tool to deal with the aftermath of conflict</w:t>
      </w:r>
      <w:r w:rsidRPr="00547F76">
        <w:rPr>
          <w:rFonts w:ascii="Arial" w:hAnsi="Arial" w:cs="Arial"/>
          <w:sz w:val="18"/>
          <w:szCs w:val="18"/>
          <w:lang w:val="en-US"/>
        </w:rPr>
        <w:t xml:space="preserve">.  </w:t>
      </w:r>
    </w:p>
    <w:p w14:paraId="1EC8D092" w14:textId="77777777" w:rsidR="00B41728" w:rsidRPr="00A17384" w:rsidRDefault="00B41728" w:rsidP="00F331F8">
      <w:pPr>
        <w:pStyle w:val="FootnoteText"/>
        <w:rPr>
          <w:i/>
          <w:iCs/>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D0F99" w14:textId="45E1AA42" w:rsidR="00B41728" w:rsidRDefault="00B41728" w:rsidP="00F331F8">
    <w:pPr>
      <w:pStyle w:val="Header"/>
      <w:jc w:val="right"/>
    </w:pPr>
    <w:r>
      <w:rPr>
        <w:noProof/>
      </w:rPr>
      <w:drawing>
        <wp:inline distT="0" distB="0" distL="0" distR="0" wp14:anchorId="7D4D8BCD" wp14:editId="22F931E8">
          <wp:extent cx="1209675" cy="980816"/>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0998" cy="10062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085AC83C"/>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216457F"/>
    <w:multiLevelType w:val="multilevel"/>
    <w:tmpl w:val="A90CC1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C04C70"/>
    <w:multiLevelType w:val="hybridMultilevel"/>
    <w:tmpl w:val="A1E412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F928C1"/>
    <w:multiLevelType w:val="hybridMultilevel"/>
    <w:tmpl w:val="7BD2CA70"/>
    <w:lvl w:ilvl="0" w:tplc="AF1EB208">
      <w:start w:val="30"/>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F645F1"/>
    <w:multiLevelType w:val="hybridMultilevel"/>
    <w:tmpl w:val="59C09F7E"/>
    <w:lvl w:ilvl="0" w:tplc="676E8484">
      <w:start w:val="1"/>
      <w:numFmt w:val="decimal"/>
      <w:lvlText w:val="(%1)"/>
      <w:lvlJc w:val="left"/>
      <w:pPr>
        <w:ind w:left="1004" w:hanging="72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15:restartNumberingAfterBreak="0">
    <w:nsid w:val="0B22498A"/>
    <w:multiLevelType w:val="hybridMultilevel"/>
    <w:tmpl w:val="FFC4C2E4"/>
    <w:lvl w:ilvl="0" w:tplc="850CAF8A">
      <w:start w:val="1"/>
      <w:numFmt w:val="bullet"/>
      <w:lvlText w:val="-"/>
      <w:lvlJc w:val="left"/>
      <w:pPr>
        <w:ind w:left="927" w:hanging="360"/>
      </w:pPr>
      <w:rPr>
        <w:rFonts w:ascii="Arial" w:eastAsia="Calibri" w:hAnsi="Arial" w:cs="Arial" w:hint="default"/>
      </w:rPr>
    </w:lvl>
    <w:lvl w:ilvl="1" w:tplc="08090019">
      <w:start w:val="1"/>
      <w:numFmt w:val="decimal"/>
      <w:lvlText w:val="%2."/>
      <w:lvlJc w:val="left"/>
      <w:pPr>
        <w:tabs>
          <w:tab w:val="num" w:pos="207"/>
        </w:tabs>
        <w:ind w:left="207" w:hanging="360"/>
      </w:pPr>
    </w:lvl>
    <w:lvl w:ilvl="2" w:tplc="0809001B">
      <w:start w:val="1"/>
      <w:numFmt w:val="decimal"/>
      <w:lvlText w:val="%3."/>
      <w:lvlJc w:val="left"/>
      <w:pPr>
        <w:tabs>
          <w:tab w:val="num" w:pos="927"/>
        </w:tabs>
        <w:ind w:left="927" w:hanging="360"/>
      </w:pPr>
    </w:lvl>
    <w:lvl w:ilvl="3" w:tplc="0809000F">
      <w:start w:val="1"/>
      <w:numFmt w:val="decimal"/>
      <w:lvlText w:val="%4."/>
      <w:lvlJc w:val="left"/>
      <w:pPr>
        <w:tabs>
          <w:tab w:val="num" w:pos="1647"/>
        </w:tabs>
        <w:ind w:left="1647" w:hanging="360"/>
      </w:pPr>
    </w:lvl>
    <w:lvl w:ilvl="4" w:tplc="08090019">
      <w:start w:val="1"/>
      <w:numFmt w:val="decimal"/>
      <w:lvlText w:val="%5."/>
      <w:lvlJc w:val="left"/>
      <w:pPr>
        <w:tabs>
          <w:tab w:val="num" w:pos="2367"/>
        </w:tabs>
        <w:ind w:left="2367" w:hanging="360"/>
      </w:pPr>
    </w:lvl>
    <w:lvl w:ilvl="5" w:tplc="0809001B">
      <w:start w:val="1"/>
      <w:numFmt w:val="decimal"/>
      <w:lvlText w:val="%6."/>
      <w:lvlJc w:val="left"/>
      <w:pPr>
        <w:tabs>
          <w:tab w:val="num" w:pos="3087"/>
        </w:tabs>
        <w:ind w:left="3087" w:hanging="360"/>
      </w:pPr>
    </w:lvl>
    <w:lvl w:ilvl="6" w:tplc="0809000F">
      <w:start w:val="1"/>
      <w:numFmt w:val="decimal"/>
      <w:lvlText w:val="%7."/>
      <w:lvlJc w:val="left"/>
      <w:pPr>
        <w:tabs>
          <w:tab w:val="num" w:pos="3807"/>
        </w:tabs>
        <w:ind w:left="3807" w:hanging="360"/>
      </w:pPr>
    </w:lvl>
    <w:lvl w:ilvl="7" w:tplc="08090019">
      <w:start w:val="1"/>
      <w:numFmt w:val="decimal"/>
      <w:lvlText w:val="%8."/>
      <w:lvlJc w:val="left"/>
      <w:pPr>
        <w:tabs>
          <w:tab w:val="num" w:pos="4527"/>
        </w:tabs>
        <w:ind w:left="4527" w:hanging="360"/>
      </w:pPr>
    </w:lvl>
    <w:lvl w:ilvl="8" w:tplc="0809001B">
      <w:start w:val="1"/>
      <w:numFmt w:val="decimal"/>
      <w:lvlText w:val="%9."/>
      <w:lvlJc w:val="left"/>
      <w:pPr>
        <w:tabs>
          <w:tab w:val="num" w:pos="5247"/>
        </w:tabs>
        <w:ind w:left="5247" w:hanging="360"/>
      </w:pPr>
    </w:lvl>
  </w:abstractNum>
  <w:abstractNum w:abstractNumId="6" w15:restartNumberingAfterBreak="0">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2524"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w:numFmt w:val="decimal"/>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7" w15:restartNumberingAfterBreak="0">
    <w:nsid w:val="11C90334"/>
    <w:multiLevelType w:val="hybridMultilevel"/>
    <w:tmpl w:val="CD001B0E"/>
    <w:lvl w:ilvl="0" w:tplc="D09EC78C">
      <w:start w:val="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B07F89"/>
    <w:multiLevelType w:val="hybridMultilevel"/>
    <w:tmpl w:val="DE54CB9C"/>
    <w:lvl w:ilvl="0" w:tplc="4926BDE8">
      <w:start w:val="1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26A53"/>
    <w:multiLevelType w:val="multilevel"/>
    <w:tmpl w:val="234EDD08"/>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eastAsiaTheme="minorEastAsia" w:cs="Arial" w:hint="default"/>
        <w:i w:val="0"/>
        <w:sz w:val="22"/>
      </w:rPr>
    </w:lvl>
    <w:lvl w:ilvl="2">
      <w:start w:val="1"/>
      <w:numFmt w:val="decimal"/>
      <w:isLgl/>
      <w:lvlText w:val="%1.%2.%3."/>
      <w:lvlJc w:val="left"/>
      <w:pPr>
        <w:ind w:left="1080" w:hanging="720"/>
      </w:pPr>
      <w:rPr>
        <w:rFonts w:eastAsiaTheme="minorEastAsia" w:cs="Arial" w:hint="default"/>
        <w:i w:val="0"/>
        <w:sz w:val="22"/>
      </w:rPr>
    </w:lvl>
    <w:lvl w:ilvl="3">
      <w:start w:val="1"/>
      <w:numFmt w:val="decimal"/>
      <w:isLgl/>
      <w:lvlText w:val="%1.%2.%3.%4."/>
      <w:lvlJc w:val="left"/>
      <w:pPr>
        <w:ind w:left="1440" w:hanging="1080"/>
      </w:pPr>
      <w:rPr>
        <w:rFonts w:eastAsiaTheme="minorEastAsia" w:cs="Arial" w:hint="default"/>
        <w:i w:val="0"/>
        <w:sz w:val="22"/>
      </w:rPr>
    </w:lvl>
    <w:lvl w:ilvl="4">
      <w:start w:val="1"/>
      <w:numFmt w:val="decimal"/>
      <w:isLgl/>
      <w:lvlText w:val="%1.%2.%3.%4.%5."/>
      <w:lvlJc w:val="left"/>
      <w:pPr>
        <w:ind w:left="1440" w:hanging="1080"/>
      </w:pPr>
      <w:rPr>
        <w:rFonts w:eastAsiaTheme="minorEastAsia" w:cs="Arial" w:hint="default"/>
        <w:i w:val="0"/>
        <w:sz w:val="22"/>
      </w:rPr>
    </w:lvl>
    <w:lvl w:ilvl="5">
      <w:start w:val="1"/>
      <w:numFmt w:val="decimal"/>
      <w:isLgl/>
      <w:lvlText w:val="%1.%2.%3.%4.%5.%6."/>
      <w:lvlJc w:val="left"/>
      <w:pPr>
        <w:ind w:left="1800" w:hanging="1440"/>
      </w:pPr>
      <w:rPr>
        <w:rFonts w:eastAsiaTheme="minorEastAsia" w:cs="Arial" w:hint="default"/>
        <w:i w:val="0"/>
        <w:sz w:val="22"/>
      </w:rPr>
    </w:lvl>
    <w:lvl w:ilvl="6">
      <w:start w:val="1"/>
      <w:numFmt w:val="decimal"/>
      <w:isLgl/>
      <w:lvlText w:val="%1.%2.%3.%4.%5.%6.%7."/>
      <w:lvlJc w:val="left"/>
      <w:pPr>
        <w:ind w:left="1800" w:hanging="1440"/>
      </w:pPr>
      <w:rPr>
        <w:rFonts w:eastAsiaTheme="minorEastAsia" w:cs="Arial" w:hint="default"/>
        <w:i w:val="0"/>
        <w:sz w:val="22"/>
      </w:rPr>
    </w:lvl>
    <w:lvl w:ilvl="7">
      <w:start w:val="1"/>
      <w:numFmt w:val="decimal"/>
      <w:isLgl/>
      <w:lvlText w:val="%1.%2.%3.%4.%5.%6.%7.%8."/>
      <w:lvlJc w:val="left"/>
      <w:pPr>
        <w:ind w:left="2160" w:hanging="1800"/>
      </w:pPr>
      <w:rPr>
        <w:rFonts w:eastAsiaTheme="minorEastAsia" w:cs="Arial" w:hint="default"/>
        <w:i w:val="0"/>
        <w:sz w:val="22"/>
      </w:rPr>
    </w:lvl>
    <w:lvl w:ilvl="8">
      <w:start w:val="1"/>
      <w:numFmt w:val="decimal"/>
      <w:isLgl/>
      <w:lvlText w:val="%1.%2.%3.%4.%5.%6.%7.%8.%9."/>
      <w:lvlJc w:val="left"/>
      <w:pPr>
        <w:ind w:left="2520" w:hanging="2160"/>
      </w:pPr>
      <w:rPr>
        <w:rFonts w:eastAsiaTheme="minorEastAsia" w:cs="Arial" w:hint="default"/>
        <w:i w:val="0"/>
        <w:sz w:val="22"/>
      </w:rPr>
    </w:lvl>
  </w:abstractNum>
  <w:abstractNum w:abstractNumId="10" w15:restartNumberingAfterBreak="0">
    <w:nsid w:val="1D916A3C"/>
    <w:multiLevelType w:val="multilevel"/>
    <w:tmpl w:val="A2FC3352"/>
    <w:lvl w:ilvl="0">
      <w:start w:val="2"/>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1F470CD0"/>
    <w:multiLevelType w:val="hybridMultilevel"/>
    <w:tmpl w:val="E4BA5E8A"/>
    <w:lvl w:ilvl="0" w:tplc="4926BDE8">
      <w:start w:val="1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800073"/>
    <w:multiLevelType w:val="hybridMultilevel"/>
    <w:tmpl w:val="F3A6E27A"/>
    <w:lvl w:ilvl="0" w:tplc="9112EB1A">
      <w:start w:val="9"/>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2A721EB"/>
    <w:multiLevelType w:val="hybridMultilevel"/>
    <w:tmpl w:val="97401910"/>
    <w:lvl w:ilvl="0" w:tplc="E09C63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8045048"/>
    <w:multiLevelType w:val="hybridMultilevel"/>
    <w:tmpl w:val="0868D0F4"/>
    <w:lvl w:ilvl="0" w:tplc="8674B9E4">
      <w:start w:val="30"/>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81D1E41"/>
    <w:multiLevelType w:val="hybridMultilevel"/>
    <w:tmpl w:val="D94E4574"/>
    <w:lvl w:ilvl="0" w:tplc="EC948C6C">
      <w:start w:val="1"/>
      <w:numFmt w:val="decimal"/>
      <w:lvlText w:val="%1."/>
      <w:lvlJc w:val="left"/>
      <w:pPr>
        <w:ind w:left="501" w:hanging="360"/>
      </w:pPr>
      <w:rPr>
        <w:rFonts w:hint="default"/>
        <w:b w:val="0"/>
        <w:sz w:val="22"/>
        <w:szCs w:val="22"/>
        <w:u w:val="none"/>
      </w:rPr>
    </w:lvl>
    <w:lvl w:ilvl="1" w:tplc="C5668D5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2D2019"/>
    <w:multiLevelType w:val="hybridMultilevel"/>
    <w:tmpl w:val="3BA6E2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A7D0BF6"/>
    <w:multiLevelType w:val="hybridMultilevel"/>
    <w:tmpl w:val="1506EFC8"/>
    <w:lvl w:ilvl="0" w:tplc="04090017">
      <w:start w:val="1"/>
      <w:numFmt w:val="lowerLetter"/>
      <w:lvlText w:val="%1)"/>
      <w:lvlJc w:val="left"/>
      <w:pPr>
        <w:ind w:left="1429" w:hanging="360"/>
      </w:pPr>
    </w:lvl>
    <w:lvl w:ilvl="1" w:tplc="040C0019">
      <w:start w:val="1"/>
      <w:numFmt w:val="lowerLetter"/>
      <w:lvlText w:val="%2."/>
      <w:lvlJc w:val="left"/>
      <w:pPr>
        <w:ind w:left="2149" w:hanging="360"/>
      </w:pPr>
    </w:lvl>
    <w:lvl w:ilvl="2" w:tplc="040C001B">
      <w:start w:val="1"/>
      <w:numFmt w:val="lowerRoman"/>
      <w:lvlText w:val="%3."/>
      <w:lvlJc w:val="right"/>
      <w:pPr>
        <w:ind w:left="2869" w:hanging="180"/>
      </w:pPr>
    </w:lvl>
    <w:lvl w:ilvl="3" w:tplc="040C000F">
      <w:start w:val="1"/>
      <w:numFmt w:val="decimal"/>
      <w:lvlText w:val="%4."/>
      <w:lvlJc w:val="left"/>
      <w:pPr>
        <w:ind w:left="3589" w:hanging="360"/>
      </w:pPr>
    </w:lvl>
    <w:lvl w:ilvl="4" w:tplc="040C0019">
      <w:start w:val="1"/>
      <w:numFmt w:val="lowerLetter"/>
      <w:lvlText w:val="%5."/>
      <w:lvlJc w:val="left"/>
      <w:pPr>
        <w:ind w:left="4309" w:hanging="360"/>
      </w:pPr>
    </w:lvl>
    <w:lvl w:ilvl="5" w:tplc="040C001B">
      <w:start w:val="1"/>
      <w:numFmt w:val="lowerRoman"/>
      <w:lvlText w:val="%6."/>
      <w:lvlJc w:val="right"/>
      <w:pPr>
        <w:ind w:left="5029" w:hanging="180"/>
      </w:pPr>
    </w:lvl>
    <w:lvl w:ilvl="6" w:tplc="040C000F">
      <w:start w:val="1"/>
      <w:numFmt w:val="decimal"/>
      <w:lvlText w:val="%7."/>
      <w:lvlJc w:val="left"/>
      <w:pPr>
        <w:ind w:left="5749" w:hanging="360"/>
      </w:pPr>
    </w:lvl>
    <w:lvl w:ilvl="7" w:tplc="040C0019">
      <w:start w:val="1"/>
      <w:numFmt w:val="lowerLetter"/>
      <w:lvlText w:val="%8."/>
      <w:lvlJc w:val="left"/>
      <w:pPr>
        <w:ind w:left="6469" w:hanging="360"/>
      </w:pPr>
    </w:lvl>
    <w:lvl w:ilvl="8" w:tplc="040C001B">
      <w:start w:val="1"/>
      <w:numFmt w:val="lowerRoman"/>
      <w:lvlText w:val="%9."/>
      <w:lvlJc w:val="right"/>
      <w:pPr>
        <w:ind w:left="7189" w:hanging="180"/>
      </w:pPr>
    </w:lvl>
  </w:abstractNum>
  <w:abstractNum w:abstractNumId="18" w15:restartNumberingAfterBreak="0">
    <w:nsid w:val="40053C15"/>
    <w:multiLevelType w:val="multilevel"/>
    <w:tmpl w:val="EF784CFE"/>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lang w:val="en-G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43350894"/>
    <w:multiLevelType w:val="hybridMultilevel"/>
    <w:tmpl w:val="CD46902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81B7F48"/>
    <w:multiLevelType w:val="hybridMultilevel"/>
    <w:tmpl w:val="9C001B40"/>
    <w:lvl w:ilvl="0" w:tplc="90D0FF52">
      <w:start w:val="15"/>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1A6FBB"/>
    <w:multiLevelType w:val="hybridMultilevel"/>
    <w:tmpl w:val="B7C0D28C"/>
    <w:lvl w:ilvl="0" w:tplc="EFD4190E">
      <w:start w:val="3"/>
      <w:numFmt w:val="decimal"/>
      <w:lvlText w:val="%1."/>
      <w:lvlJc w:val="left"/>
      <w:pPr>
        <w:ind w:left="1070" w:hanging="360"/>
      </w:pPr>
      <w:rPr>
        <w:rFonts w:hint="default"/>
        <w:color w:val="365F91" w:themeColor="accent1" w:themeShade="BF"/>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22" w15:restartNumberingAfterBreak="0">
    <w:nsid w:val="50AC0F4B"/>
    <w:multiLevelType w:val="hybridMultilevel"/>
    <w:tmpl w:val="08B41AF4"/>
    <w:lvl w:ilvl="0" w:tplc="C02044D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9F12B82"/>
    <w:multiLevelType w:val="hybridMultilevel"/>
    <w:tmpl w:val="A6DCD492"/>
    <w:lvl w:ilvl="0" w:tplc="D874694A">
      <w:start w:val="8"/>
      <w:numFmt w:val="bullet"/>
      <w:lvlText w:val="-"/>
      <w:lvlJc w:val="left"/>
      <w:pPr>
        <w:ind w:left="1494" w:hanging="360"/>
      </w:pPr>
      <w:rPr>
        <w:rFonts w:ascii="Arial" w:eastAsia="SimSu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4" w15:restartNumberingAfterBreak="0">
    <w:nsid w:val="5D9578BE"/>
    <w:multiLevelType w:val="multilevel"/>
    <w:tmpl w:val="EAECE730"/>
    <w:lvl w:ilvl="0">
      <w:start w:val="2"/>
      <w:numFmt w:val="decimal"/>
      <w:lvlText w:val="%1"/>
      <w:lvlJc w:val="left"/>
      <w:pPr>
        <w:ind w:left="360" w:hanging="360"/>
      </w:pPr>
      <w:rPr>
        <w:rFonts w:eastAsiaTheme="majorEastAsia" w:hint="default"/>
      </w:rPr>
    </w:lvl>
    <w:lvl w:ilvl="1">
      <w:start w:val="2"/>
      <w:numFmt w:val="decimal"/>
      <w:lvlText w:val="%1.%2"/>
      <w:lvlJc w:val="left"/>
      <w:pPr>
        <w:ind w:left="1440" w:hanging="360"/>
      </w:pPr>
      <w:rPr>
        <w:rFonts w:eastAsiaTheme="majorEastAsia" w:hint="default"/>
      </w:rPr>
    </w:lvl>
    <w:lvl w:ilvl="2">
      <w:start w:val="1"/>
      <w:numFmt w:val="decimal"/>
      <w:lvlText w:val="%1.%2.%3"/>
      <w:lvlJc w:val="left"/>
      <w:pPr>
        <w:ind w:left="2880" w:hanging="720"/>
      </w:pPr>
      <w:rPr>
        <w:rFonts w:eastAsiaTheme="majorEastAsia" w:hint="default"/>
      </w:rPr>
    </w:lvl>
    <w:lvl w:ilvl="3">
      <w:start w:val="1"/>
      <w:numFmt w:val="decimal"/>
      <w:lvlText w:val="%1.%2.%3.%4"/>
      <w:lvlJc w:val="left"/>
      <w:pPr>
        <w:ind w:left="3960" w:hanging="720"/>
      </w:pPr>
      <w:rPr>
        <w:rFonts w:eastAsiaTheme="majorEastAsia" w:hint="default"/>
      </w:rPr>
    </w:lvl>
    <w:lvl w:ilvl="4">
      <w:start w:val="1"/>
      <w:numFmt w:val="decimal"/>
      <w:lvlText w:val="%1.%2.%3.%4.%5"/>
      <w:lvlJc w:val="left"/>
      <w:pPr>
        <w:ind w:left="5400" w:hanging="1080"/>
      </w:pPr>
      <w:rPr>
        <w:rFonts w:eastAsiaTheme="majorEastAsia" w:hint="default"/>
      </w:rPr>
    </w:lvl>
    <w:lvl w:ilvl="5">
      <w:start w:val="1"/>
      <w:numFmt w:val="decimal"/>
      <w:lvlText w:val="%1.%2.%3.%4.%5.%6"/>
      <w:lvlJc w:val="left"/>
      <w:pPr>
        <w:ind w:left="6480" w:hanging="1080"/>
      </w:pPr>
      <w:rPr>
        <w:rFonts w:eastAsiaTheme="majorEastAsia" w:hint="default"/>
      </w:rPr>
    </w:lvl>
    <w:lvl w:ilvl="6">
      <w:start w:val="1"/>
      <w:numFmt w:val="decimal"/>
      <w:lvlText w:val="%1.%2.%3.%4.%5.%6.%7"/>
      <w:lvlJc w:val="left"/>
      <w:pPr>
        <w:ind w:left="7920" w:hanging="1440"/>
      </w:pPr>
      <w:rPr>
        <w:rFonts w:eastAsiaTheme="majorEastAsia" w:hint="default"/>
      </w:rPr>
    </w:lvl>
    <w:lvl w:ilvl="7">
      <w:start w:val="1"/>
      <w:numFmt w:val="decimal"/>
      <w:lvlText w:val="%1.%2.%3.%4.%5.%6.%7.%8"/>
      <w:lvlJc w:val="left"/>
      <w:pPr>
        <w:ind w:left="9000" w:hanging="1440"/>
      </w:pPr>
      <w:rPr>
        <w:rFonts w:eastAsiaTheme="majorEastAsia" w:hint="default"/>
      </w:rPr>
    </w:lvl>
    <w:lvl w:ilvl="8">
      <w:start w:val="1"/>
      <w:numFmt w:val="decimal"/>
      <w:lvlText w:val="%1.%2.%3.%4.%5.%6.%7.%8.%9"/>
      <w:lvlJc w:val="left"/>
      <w:pPr>
        <w:ind w:left="10440" w:hanging="1800"/>
      </w:pPr>
      <w:rPr>
        <w:rFonts w:eastAsiaTheme="majorEastAsia" w:hint="default"/>
      </w:rPr>
    </w:lvl>
  </w:abstractNum>
  <w:abstractNum w:abstractNumId="25" w15:restartNumberingAfterBreak="0">
    <w:nsid w:val="5F7250FC"/>
    <w:multiLevelType w:val="hybridMultilevel"/>
    <w:tmpl w:val="18B2E1E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15:restartNumberingAfterBreak="0">
    <w:nsid w:val="5FEB0ADE"/>
    <w:multiLevelType w:val="hybridMultilevel"/>
    <w:tmpl w:val="F87C6136"/>
    <w:lvl w:ilvl="0" w:tplc="04090017">
      <w:start w:val="1"/>
      <w:numFmt w:val="lowerLetter"/>
      <w:lvlText w:val="%1)"/>
      <w:lvlJc w:val="left"/>
      <w:pPr>
        <w:ind w:left="970" w:hanging="360"/>
      </w:pPr>
    </w:lvl>
    <w:lvl w:ilvl="1" w:tplc="04090019">
      <w:start w:val="1"/>
      <w:numFmt w:val="lowerLetter"/>
      <w:lvlText w:val="%2."/>
      <w:lvlJc w:val="left"/>
      <w:pPr>
        <w:ind w:left="1690" w:hanging="360"/>
      </w:pPr>
    </w:lvl>
    <w:lvl w:ilvl="2" w:tplc="0409001B">
      <w:start w:val="1"/>
      <w:numFmt w:val="lowerRoman"/>
      <w:lvlText w:val="%3."/>
      <w:lvlJc w:val="right"/>
      <w:pPr>
        <w:ind w:left="2410" w:hanging="180"/>
      </w:pPr>
    </w:lvl>
    <w:lvl w:ilvl="3" w:tplc="0409000F">
      <w:start w:val="1"/>
      <w:numFmt w:val="decimal"/>
      <w:lvlText w:val="%4."/>
      <w:lvlJc w:val="left"/>
      <w:pPr>
        <w:ind w:left="3130" w:hanging="360"/>
      </w:pPr>
    </w:lvl>
    <w:lvl w:ilvl="4" w:tplc="04090019">
      <w:start w:val="1"/>
      <w:numFmt w:val="lowerLetter"/>
      <w:lvlText w:val="%5."/>
      <w:lvlJc w:val="left"/>
      <w:pPr>
        <w:ind w:left="3850" w:hanging="360"/>
      </w:pPr>
    </w:lvl>
    <w:lvl w:ilvl="5" w:tplc="0409001B">
      <w:start w:val="1"/>
      <w:numFmt w:val="lowerRoman"/>
      <w:lvlText w:val="%6."/>
      <w:lvlJc w:val="right"/>
      <w:pPr>
        <w:ind w:left="4570" w:hanging="180"/>
      </w:pPr>
    </w:lvl>
    <w:lvl w:ilvl="6" w:tplc="0409000F">
      <w:start w:val="1"/>
      <w:numFmt w:val="decimal"/>
      <w:lvlText w:val="%7."/>
      <w:lvlJc w:val="left"/>
      <w:pPr>
        <w:ind w:left="5290" w:hanging="360"/>
      </w:pPr>
    </w:lvl>
    <w:lvl w:ilvl="7" w:tplc="04090019">
      <w:start w:val="1"/>
      <w:numFmt w:val="lowerLetter"/>
      <w:lvlText w:val="%8."/>
      <w:lvlJc w:val="left"/>
      <w:pPr>
        <w:ind w:left="6010" w:hanging="360"/>
      </w:pPr>
    </w:lvl>
    <w:lvl w:ilvl="8" w:tplc="0409001B">
      <w:start w:val="1"/>
      <w:numFmt w:val="lowerRoman"/>
      <w:lvlText w:val="%9."/>
      <w:lvlJc w:val="right"/>
      <w:pPr>
        <w:ind w:left="6730" w:hanging="180"/>
      </w:pPr>
    </w:lvl>
  </w:abstractNum>
  <w:abstractNum w:abstractNumId="27" w15:restartNumberingAfterBreak="0">
    <w:nsid w:val="658D2B05"/>
    <w:multiLevelType w:val="hybridMultilevel"/>
    <w:tmpl w:val="6810AC84"/>
    <w:lvl w:ilvl="0" w:tplc="CB482FE8">
      <w:start w:val="1"/>
      <w:numFmt w:val="low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6D982348"/>
    <w:multiLevelType w:val="hybridMultilevel"/>
    <w:tmpl w:val="41A00930"/>
    <w:lvl w:ilvl="0" w:tplc="7CF43414">
      <w:start w:val="20"/>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AEF0368"/>
    <w:multiLevelType w:val="multilevel"/>
    <w:tmpl w:val="2AAA2D9E"/>
    <w:lvl w:ilvl="0">
      <w:start w:val="1"/>
      <w:numFmt w:val="decimal"/>
      <w:lvlText w:val="%1."/>
      <w:lvlJc w:val="left"/>
      <w:pPr>
        <w:ind w:left="107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15"/>
  </w:num>
  <w:num w:numId="2">
    <w:abstractNumId w:val="9"/>
  </w:num>
  <w:num w:numId="3">
    <w:abstractNumId w:val="29"/>
  </w:num>
  <w:num w:numId="4">
    <w:abstractNumId w:val="11"/>
  </w:num>
  <w:num w:numId="5">
    <w:abstractNumId w:val="8"/>
  </w:num>
  <w:num w:numId="6">
    <w:abstractNumId w:val="7"/>
  </w:num>
  <w:num w:numId="7">
    <w:abstractNumId w:val="18"/>
  </w:num>
  <w:num w:numId="8">
    <w:abstractNumId w:val="14"/>
  </w:num>
  <w:num w:numId="9">
    <w:abstractNumId w:val="3"/>
  </w:num>
  <w:num w:numId="10">
    <w:abstractNumId w:val="13"/>
  </w:num>
  <w:num w:numId="11">
    <w:abstractNumId w:val="27"/>
  </w:num>
  <w:num w:numId="12">
    <w:abstractNumId w:val="28"/>
  </w:num>
  <w:num w:numId="13">
    <w:abstractNumId w:val="20"/>
  </w:num>
  <w:num w:numId="14">
    <w:abstractNumId w:val="22"/>
  </w:num>
  <w:num w:numId="15">
    <w:abstractNumId w:val="1"/>
  </w:num>
  <w:num w:numId="16">
    <w:abstractNumId w:val="6"/>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6"/>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1"/>
  </w:num>
  <w:num w:numId="23">
    <w:abstractNumId w:val="10"/>
  </w:num>
  <w:num w:numId="24">
    <w:abstractNumId w:val="24"/>
  </w:num>
  <w:num w:numId="25">
    <w:abstractNumId w:val="16"/>
  </w:num>
  <w:num w:numId="26">
    <w:abstractNumId w:val="2"/>
  </w:num>
  <w:num w:numId="27">
    <w:abstractNumId w:val="25"/>
  </w:num>
  <w:num w:numId="28">
    <w:abstractNumId w:val="23"/>
  </w:num>
  <w:num w:numId="29">
    <w:abstractNumId w:val="4"/>
  </w:num>
  <w:num w:numId="30">
    <w:abstractNumId w:val="12"/>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1F8"/>
    <w:rsid w:val="0008517F"/>
    <w:rsid w:val="000C031E"/>
    <w:rsid w:val="001058F5"/>
    <w:rsid w:val="001A5EA7"/>
    <w:rsid w:val="0020469C"/>
    <w:rsid w:val="002166D5"/>
    <w:rsid w:val="002C3471"/>
    <w:rsid w:val="00394753"/>
    <w:rsid w:val="0039784D"/>
    <w:rsid w:val="003E1363"/>
    <w:rsid w:val="003E5184"/>
    <w:rsid w:val="004F1B91"/>
    <w:rsid w:val="00530E6D"/>
    <w:rsid w:val="00575ED5"/>
    <w:rsid w:val="0059073A"/>
    <w:rsid w:val="0059214A"/>
    <w:rsid w:val="006D6DA5"/>
    <w:rsid w:val="00725AA8"/>
    <w:rsid w:val="00754513"/>
    <w:rsid w:val="00872A89"/>
    <w:rsid w:val="00946EDC"/>
    <w:rsid w:val="00947A74"/>
    <w:rsid w:val="00962267"/>
    <w:rsid w:val="00971933"/>
    <w:rsid w:val="00A70562"/>
    <w:rsid w:val="00AB358B"/>
    <w:rsid w:val="00B22052"/>
    <w:rsid w:val="00B41728"/>
    <w:rsid w:val="00BA2AD6"/>
    <w:rsid w:val="00BA7098"/>
    <w:rsid w:val="00BC1A89"/>
    <w:rsid w:val="00BD4F5D"/>
    <w:rsid w:val="00CD554B"/>
    <w:rsid w:val="00CF18E3"/>
    <w:rsid w:val="00D27AB6"/>
    <w:rsid w:val="00D44B9E"/>
    <w:rsid w:val="00D67D36"/>
    <w:rsid w:val="00EC6358"/>
    <w:rsid w:val="00F240BE"/>
    <w:rsid w:val="00F331F8"/>
    <w:rsid w:val="00FE62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0DFA7"/>
  <w15:chartTrackingRefBased/>
  <w15:docId w15:val="{EABAC6D7-612B-4EF0-AA69-EF2D35819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31F8"/>
    <w:pPr>
      <w:keepNext/>
      <w:keepLines/>
      <w:spacing w:before="480" w:after="0"/>
      <w:outlineLvl w:val="0"/>
    </w:pPr>
    <w:rPr>
      <w:rFonts w:asciiTheme="majorHAnsi" w:eastAsiaTheme="majorEastAsia" w:hAnsiTheme="majorHAnsi" w:cstheme="majorBidi"/>
      <w:b/>
      <w:bCs/>
      <w:color w:val="365F91" w:themeColor="accent1" w:themeShade="BF"/>
      <w:sz w:val="28"/>
      <w:szCs w:val="28"/>
      <w:lang w:val="en-GB" w:eastAsia="en-GB"/>
    </w:rPr>
  </w:style>
  <w:style w:type="paragraph" w:styleId="Heading2">
    <w:name w:val="heading 2"/>
    <w:basedOn w:val="Normal"/>
    <w:next w:val="Normal"/>
    <w:link w:val="Heading2Char"/>
    <w:uiPriority w:val="9"/>
    <w:unhideWhenUsed/>
    <w:qFormat/>
    <w:rsid w:val="00F331F8"/>
    <w:pPr>
      <w:keepNext/>
      <w:keepLines/>
      <w:spacing w:before="200" w:after="0"/>
      <w:outlineLvl w:val="1"/>
    </w:pPr>
    <w:rPr>
      <w:rFonts w:ascii="Arial" w:eastAsiaTheme="majorEastAsia" w:hAnsi="Arial" w:cstheme="majorBidi"/>
      <w:bCs/>
      <w:i/>
      <w:color w:val="4F81BD" w:themeColor="accent1"/>
      <w:sz w:val="28"/>
      <w:szCs w:val="26"/>
      <w:lang w:val="en-GB" w:eastAsia="en-GB"/>
    </w:rPr>
  </w:style>
  <w:style w:type="paragraph" w:styleId="Heading3">
    <w:name w:val="heading 3"/>
    <w:basedOn w:val="Normal"/>
    <w:next w:val="Normal"/>
    <w:link w:val="Heading3Char"/>
    <w:uiPriority w:val="9"/>
    <w:unhideWhenUsed/>
    <w:qFormat/>
    <w:rsid w:val="00F331F8"/>
    <w:pPr>
      <w:keepNext/>
      <w:keepLines/>
      <w:spacing w:before="200" w:after="0"/>
      <w:outlineLvl w:val="2"/>
    </w:pPr>
    <w:rPr>
      <w:rFonts w:asciiTheme="majorHAnsi" w:eastAsiaTheme="majorEastAsia" w:hAnsiTheme="majorHAnsi" w:cstheme="majorBidi"/>
      <w:b/>
      <w:bCs/>
      <w:color w:val="4F81BD" w:themeColor="accent1"/>
      <w:lang w:val="en-GB" w:eastAsia="en-GB"/>
    </w:rPr>
  </w:style>
  <w:style w:type="paragraph" w:styleId="Heading4">
    <w:name w:val="heading 4"/>
    <w:basedOn w:val="Normal"/>
    <w:next w:val="Normal"/>
    <w:link w:val="Heading4Char"/>
    <w:uiPriority w:val="9"/>
    <w:semiHidden/>
    <w:unhideWhenUsed/>
    <w:qFormat/>
    <w:rsid w:val="00F331F8"/>
    <w:pPr>
      <w:keepNext/>
      <w:keepLines/>
      <w:spacing w:before="40" w:after="0"/>
      <w:outlineLvl w:val="3"/>
    </w:pPr>
    <w:rPr>
      <w:rFonts w:asciiTheme="majorHAnsi" w:eastAsiaTheme="majorEastAsia" w:hAnsiTheme="majorHAnsi" w:cstheme="majorBidi"/>
      <w:i/>
      <w:iCs/>
      <w:color w:val="365F91" w:themeColor="accent1" w:themeShade="BF"/>
      <w:lang w:val="en-GB" w:eastAsia="en-GB"/>
    </w:rPr>
  </w:style>
  <w:style w:type="paragraph" w:styleId="Heading5">
    <w:name w:val="heading 5"/>
    <w:basedOn w:val="Normal"/>
    <w:next w:val="Normal"/>
    <w:link w:val="Heading5Char"/>
    <w:uiPriority w:val="9"/>
    <w:semiHidden/>
    <w:unhideWhenUsed/>
    <w:qFormat/>
    <w:rsid w:val="00F331F8"/>
    <w:pPr>
      <w:keepNext/>
      <w:keepLines/>
      <w:spacing w:before="40" w:after="0"/>
      <w:outlineLvl w:val="4"/>
    </w:pPr>
    <w:rPr>
      <w:rFonts w:asciiTheme="majorHAnsi" w:eastAsiaTheme="majorEastAsia" w:hAnsiTheme="majorHAnsi" w:cstheme="majorBidi"/>
      <w:color w:val="365F91" w:themeColor="accent1" w:themeShade="BF"/>
      <w:lang w:val="en-GB" w:eastAsia="en-GB"/>
    </w:rPr>
  </w:style>
  <w:style w:type="paragraph" w:styleId="Heading6">
    <w:name w:val="heading 6"/>
    <w:basedOn w:val="Normal"/>
    <w:next w:val="Normal"/>
    <w:link w:val="Heading6Char"/>
    <w:uiPriority w:val="9"/>
    <w:semiHidden/>
    <w:unhideWhenUsed/>
    <w:qFormat/>
    <w:rsid w:val="00F331F8"/>
    <w:pPr>
      <w:keepNext/>
      <w:keepLines/>
      <w:spacing w:before="40" w:after="0"/>
      <w:outlineLvl w:val="5"/>
    </w:pPr>
    <w:rPr>
      <w:rFonts w:asciiTheme="majorHAnsi" w:eastAsiaTheme="majorEastAsia" w:hAnsiTheme="majorHAnsi" w:cstheme="majorBidi"/>
      <w:color w:val="243F60" w:themeColor="accent1" w:themeShade="7F"/>
      <w:lang w:val="en-GB" w:eastAsia="en-GB"/>
    </w:rPr>
  </w:style>
  <w:style w:type="paragraph" w:styleId="Heading7">
    <w:name w:val="heading 7"/>
    <w:basedOn w:val="Normal"/>
    <w:next w:val="Normal"/>
    <w:link w:val="Heading7Char"/>
    <w:uiPriority w:val="9"/>
    <w:semiHidden/>
    <w:unhideWhenUsed/>
    <w:qFormat/>
    <w:rsid w:val="00F331F8"/>
    <w:pPr>
      <w:keepNext/>
      <w:keepLines/>
      <w:spacing w:before="40" w:after="0"/>
      <w:outlineLvl w:val="6"/>
    </w:pPr>
    <w:rPr>
      <w:rFonts w:asciiTheme="majorHAnsi" w:eastAsiaTheme="majorEastAsia" w:hAnsiTheme="majorHAnsi" w:cstheme="majorBidi"/>
      <w:i/>
      <w:iCs/>
      <w:color w:val="243F60" w:themeColor="accent1" w:themeShade="7F"/>
      <w:lang w:val="en-GB" w:eastAsia="en-GB"/>
    </w:rPr>
  </w:style>
  <w:style w:type="paragraph" w:styleId="Heading8">
    <w:name w:val="heading 8"/>
    <w:basedOn w:val="Normal"/>
    <w:next w:val="Normal"/>
    <w:link w:val="Heading8Char"/>
    <w:uiPriority w:val="9"/>
    <w:semiHidden/>
    <w:unhideWhenUsed/>
    <w:qFormat/>
    <w:rsid w:val="00F331F8"/>
    <w:pPr>
      <w:keepNext/>
      <w:keepLines/>
      <w:spacing w:before="40" w:after="0"/>
      <w:outlineLvl w:val="7"/>
    </w:pPr>
    <w:rPr>
      <w:rFonts w:asciiTheme="majorHAnsi" w:eastAsiaTheme="majorEastAsia" w:hAnsiTheme="majorHAnsi" w:cstheme="majorBidi"/>
      <w:color w:val="272727" w:themeColor="text1" w:themeTint="D8"/>
      <w:sz w:val="21"/>
      <w:szCs w:val="21"/>
      <w:lang w:val="en-GB" w:eastAsia="en-GB"/>
    </w:rPr>
  </w:style>
  <w:style w:type="paragraph" w:styleId="Heading9">
    <w:name w:val="heading 9"/>
    <w:basedOn w:val="Normal"/>
    <w:next w:val="Normal"/>
    <w:link w:val="Heading9Char"/>
    <w:uiPriority w:val="9"/>
    <w:semiHidden/>
    <w:unhideWhenUsed/>
    <w:qFormat/>
    <w:rsid w:val="00F331F8"/>
    <w:pPr>
      <w:keepNext/>
      <w:keepLines/>
      <w:spacing w:before="40" w:after="0"/>
      <w:outlineLvl w:val="8"/>
    </w:pPr>
    <w:rPr>
      <w:rFonts w:asciiTheme="majorHAnsi" w:eastAsiaTheme="majorEastAsia" w:hAnsiTheme="majorHAnsi" w:cstheme="majorBidi"/>
      <w:i/>
      <w:iCs/>
      <w:color w:val="272727" w:themeColor="text1" w:themeTint="D8"/>
      <w:sz w:val="21"/>
      <w:szCs w:val="21"/>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1F8"/>
    <w:rPr>
      <w:rFonts w:asciiTheme="majorHAnsi" w:eastAsiaTheme="majorEastAsia" w:hAnsiTheme="majorHAnsi" w:cstheme="majorBidi"/>
      <w:b/>
      <w:bCs/>
      <w:color w:val="365F91" w:themeColor="accent1" w:themeShade="BF"/>
      <w:sz w:val="28"/>
      <w:szCs w:val="28"/>
      <w:lang w:val="en-GB" w:eastAsia="en-GB"/>
    </w:rPr>
  </w:style>
  <w:style w:type="character" w:customStyle="1" w:styleId="Heading2Char">
    <w:name w:val="Heading 2 Char"/>
    <w:basedOn w:val="DefaultParagraphFont"/>
    <w:link w:val="Heading2"/>
    <w:uiPriority w:val="9"/>
    <w:rsid w:val="00F331F8"/>
    <w:rPr>
      <w:rFonts w:ascii="Arial" w:eastAsiaTheme="majorEastAsia" w:hAnsi="Arial" w:cstheme="majorBidi"/>
      <w:bCs/>
      <w:i/>
      <w:color w:val="4F81BD" w:themeColor="accent1"/>
      <w:sz w:val="28"/>
      <w:szCs w:val="26"/>
      <w:lang w:val="en-GB" w:eastAsia="en-GB"/>
    </w:rPr>
  </w:style>
  <w:style w:type="character" w:customStyle="1" w:styleId="Heading3Char">
    <w:name w:val="Heading 3 Char"/>
    <w:basedOn w:val="DefaultParagraphFont"/>
    <w:link w:val="Heading3"/>
    <w:uiPriority w:val="9"/>
    <w:rsid w:val="00F331F8"/>
    <w:rPr>
      <w:rFonts w:asciiTheme="majorHAnsi" w:eastAsiaTheme="majorEastAsia" w:hAnsiTheme="majorHAnsi" w:cstheme="majorBidi"/>
      <w:b/>
      <w:bCs/>
      <w:color w:val="4F81BD" w:themeColor="accent1"/>
      <w:lang w:val="en-GB" w:eastAsia="en-GB"/>
    </w:rPr>
  </w:style>
  <w:style w:type="character" w:customStyle="1" w:styleId="Heading4Char">
    <w:name w:val="Heading 4 Char"/>
    <w:basedOn w:val="DefaultParagraphFont"/>
    <w:link w:val="Heading4"/>
    <w:uiPriority w:val="9"/>
    <w:semiHidden/>
    <w:rsid w:val="00F331F8"/>
    <w:rPr>
      <w:rFonts w:asciiTheme="majorHAnsi" w:eastAsiaTheme="majorEastAsia" w:hAnsiTheme="majorHAnsi" w:cstheme="majorBidi"/>
      <w:i/>
      <w:iCs/>
      <w:color w:val="365F91" w:themeColor="accent1" w:themeShade="BF"/>
      <w:lang w:val="en-GB" w:eastAsia="en-GB"/>
    </w:rPr>
  </w:style>
  <w:style w:type="character" w:customStyle="1" w:styleId="Heading5Char">
    <w:name w:val="Heading 5 Char"/>
    <w:basedOn w:val="DefaultParagraphFont"/>
    <w:link w:val="Heading5"/>
    <w:uiPriority w:val="9"/>
    <w:semiHidden/>
    <w:rsid w:val="00F331F8"/>
    <w:rPr>
      <w:rFonts w:asciiTheme="majorHAnsi" w:eastAsiaTheme="majorEastAsia" w:hAnsiTheme="majorHAnsi" w:cstheme="majorBidi"/>
      <w:color w:val="365F91" w:themeColor="accent1" w:themeShade="BF"/>
      <w:lang w:val="en-GB" w:eastAsia="en-GB"/>
    </w:rPr>
  </w:style>
  <w:style w:type="character" w:customStyle="1" w:styleId="Heading6Char">
    <w:name w:val="Heading 6 Char"/>
    <w:basedOn w:val="DefaultParagraphFont"/>
    <w:link w:val="Heading6"/>
    <w:uiPriority w:val="9"/>
    <w:semiHidden/>
    <w:rsid w:val="00F331F8"/>
    <w:rPr>
      <w:rFonts w:asciiTheme="majorHAnsi" w:eastAsiaTheme="majorEastAsia" w:hAnsiTheme="majorHAnsi" w:cstheme="majorBidi"/>
      <w:color w:val="243F60" w:themeColor="accent1" w:themeShade="7F"/>
      <w:lang w:val="en-GB" w:eastAsia="en-GB"/>
    </w:rPr>
  </w:style>
  <w:style w:type="character" w:customStyle="1" w:styleId="Heading7Char">
    <w:name w:val="Heading 7 Char"/>
    <w:basedOn w:val="DefaultParagraphFont"/>
    <w:link w:val="Heading7"/>
    <w:uiPriority w:val="9"/>
    <w:semiHidden/>
    <w:rsid w:val="00F331F8"/>
    <w:rPr>
      <w:rFonts w:asciiTheme="majorHAnsi" w:eastAsiaTheme="majorEastAsia" w:hAnsiTheme="majorHAnsi" w:cstheme="majorBidi"/>
      <w:i/>
      <w:iCs/>
      <w:color w:val="243F60" w:themeColor="accent1" w:themeShade="7F"/>
      <w:lang w:val="en-GB" w:eastAsia="en-GB"/>
    </w:rPr>
  </w:style>
  <w:style w:type="character" w:customStyle="1" w:styleId="Heading8Char">
    <w:name w:val="Heading 8 Char"/>
    <w:basedOn w:val="DefaultParagraphFont"/>
    <w:link w:val="Heading8"/>
    <w:uiPriority w:val="9"/>
    <w:semiHidden/>
    <w:rsid w:val="00F331F8"/>
    <w:rPr>
      <w:rFonts w:asciiTheme="majorHAnsi" w:eastAsiaTheme="majorEastAsia" w:hAnsiTheme="majorHAnsi" w:cstheme="majorBidi"/>
      <w:color w:val="272727" w:themeColor="text1" w:themeTint="D8"/>
      <w:sz w:val="21"/>
      <w:szCs w:val="21"/>
      <w:lang w:val="en-GB" w:eastAsia="en-GB"/>
    </w:rPr>
  </w:style>
  <w:style w:type="character" w:customStyle="1" w:styleId="Heading9Char">
    <w:name w:val="Heading 9 Char"/>
    <w:basedOn w:val="DefaultParagraphFont"/>
    <w:link w:val="Heading9"/>
    <w:uiPriority w:val="9"/>
    <w:semiHidden/>
    <w:rsid w:val="00F331F8"/>
    <w:rPr>
      <w:rFonts w:asciiTheme="majorHAnsi" w:eastAsiaTheme="majorEastAsia" w:hAnsiTheme="majorHAnsi" w:cstheme="majorBidi"/>
      <w:i/>
      <w:iCs/>
      <w:color w:val="272727" w:themeColor="text1" w:themeTint="D8"/>
      <w:sz w:val="21"/>
      <w:szCs w:val="21"/>
      <w:lang w:val="en-GB" w:eastAsia="en-GB"/>
    </w:rPr>
  </w:style>
  <w:style w:type="character" w:styleId="Hyperlink">
    <w:name w:val="Hyperlink"/>
    <w:uiPriority w:val="99"/>
    <w:rsid w:val="00F331F8"/>
    <w:rPr>
      <w:color w:val="0000FF"/>
      <w:u w:val="single"/>
    </w:rPr>
  </w:style>
  <w:style w:type="paragraph" w:styleId="ListParagraph">
    <w:name w:val="List Paragraph"/>
    <w:aliases w:val="MAIN CONTENT,List Paragraph12,Colorful List - Accent 11,List Paragraph2,Normal numbered,List Paragraph11,OBC Bullet,F5 List Paragraph,List Paragraph1,Dot pt,List Paragraph Char Char Char,Indicator Text,Numbered Para 1,Bullet 1"/>
    <w:basedOn w:val="Normal"/>
    <w:link w:val="ListParagraphChar"/>
    <w:uiPriority w:val="34"/>
    <w:qFormat/>
    <w:rsid w:val="00F331F8"/>
    <w:pPr>
      <w:ind w:left="720"/>
      <w:contextualSpacing/>
    </w:pPr>
    <w:rPr>
      <w:rFonts w:ascii="Calibri" w:eastAsia="Times New Roman" w:hAnsi="Calibri" w:cs="Times New Roman"/>
      <w:lang w:val="en-GB"/>
    </w:rPr>
  </w:style>
  <w:style w:type="character" w:customStyle="1" w:styleId="ListParagraphChar">
    <w:name w:val="List Paragraph Char"/>
    <w:aliases w:val="MAIN CONTENT Char,List Paragraph12 Char,Colorful List - Accent 11 Char,List Paragraph2 Char,Normal numbered Char,List Paragraph11 Char,OBC Bullet Char,F5 List Paragraph Char,List Paragraph1 Char,Dot pt Char,Indicator Text Char"/>
    <w:link w:val="ListParagraph"/>
    <w:uiPriority w:val="34"/>
    <w:qFormat/>
    <w:rsid w:val="00F331F8"/>
    <w:rPr>
      <w:rFonts w:ascii="Calibri" w:eastAsia="Times New Roman" w:hAnsi="Calibri" w:cs="Times New Roman"/>
      <w:lang w:val="en-GB"/>
    </w:rPr>
  </w:style>
  <w:style w:type="paragraph" w:styleId="NoSpacing">
    <w:name w:val="No Spacing"/>
    <w:uiPriority w:val="1"/>
    <w:qFormat/>
    <w:rsid w:val="00F331F8"/>
    <w:pPr>
      <w:spacing w:after="0" w:line="240" w:lineRule="auto"/>
    </w:pPr>
    <w:rPr>
      <w:rFonts w:ascii="Times New Roman" w:eastAsia="Times New Roman" w:hAnsi="Times New Roman" w:cs="Times New Roman"/>
      <w:sz w:val="24"/>
      <w:szCs w:val="24"/>
      <w:lang w:val="fr-FR" w:eastAsia="fr-FR"/>
    </w:rPr>
  </w:style>
  <w:style w:type="paragraph" w:styleId="Header">
    <w:name w:val="header"/>
    <w:basedOn w:val="Normal"/>
    <w:link w:val="HeaderChar"/>
    <w:uiPriority w:val="99"/>
    <w:unhideWhenUsed/>
    <w:rsid w:val="00F331F8"/>
    <w:pPr>
      <w:tabs>
        <w:tab w:val="center" w:pos="4536"/>
        <w:tab w:val="right" w:pos="9072"/>
      </w:tabs>
      <w:spacing w:after="0" w:line="240" w:lineRule="auto"/>
    </w:pPr>
    <w:rPr>
      <w:rFonts w:ascii="Times New Roman" w:eastAsia="Times New Roman" w:hAnsi="Times New Roman" w:cs="Times New Roman"/>
      <w:sz w:val="24"/>
      <w:szCs w:val="24"/>
      <w:lang w:val="fr-FR" w:eastAsia="fr-FR"/>
    </w:rPr>
  </w:style>
  <w:style w:type="character" w:customStyle="1" w:styleId="HeaderChar">
    <w:name w:val="Header Char"/>
    <w:basedOn w:val="DefaultParagraphFont"/>
    <w:link w:val="Header"/>
    <w:uiPriority w:val="99"/>
    <w:rsid w:val="00F331F8"/>
    <w:rPr>
      <w:rFonts w:ascii="Times New Roman" w:eastAsia="Times New Roman" w:hAnsi="Times New Roman" w:cs="Times New Roman"/>
      <w:sz w:val="24"/>
      <w:szCs w:val="24"/>
      <w:lang w:val="fr-FR" w:eastAsia="fr-FR"/>
    </w:rPr>
  </w:style>
  <w:style w:type="paragraph" w:styleId="Footer">
    <w:name w:val="footer"/>
    <w:basedOn w:val="Normal"/>
    <w:link w:val="FooterChar"/>
    <w:uiPriority w:val="99"/>
    <w:unhideWhenUsed/>
    <w:rsid w:val="00F331F8"/>
    <w:pPr>
      <w:tabs>
        <w:tab w:val="center" w:pos="4536"/>
        <w:tab w:val="right" w:pos="9072"/>
      </w:tabs>
      <w:spacing w:after="0" w:line="240" w:lineRule="auto"/>
    </w:pPr>
    <w:rPr>
      <w:rFonts w:ascii="Times New Roman" w:eastAsia="Times New Roman" w:hAnsi="Times New Roman" w:cs="Times New Roman"/>
      <w:sz w:val="24"/>
      <w:szCs w:val="24"/>
      <w:lang w:val="fr-FR" w:eastAsia="fr-FR"/>
    </w:rPr>
  </w:style>
  <w:style w:type="character" w:customStyle="1" w:styleId="FooterChar">
    <w:name w:val="Footer Char"/>
    <w:basedOn w:val="DefaultParagraphFont"/>
    <w:link w:val="Footer"/>
    <w:uiPriority w:val="99"/>
    <w:rsid w:val="00F331F8"/>
    <w:rPr>
      <w:rFonts w:ascii="Times New Roman" w:eastAsia="Times New Roman" w:hAnsi="Times New Roman" w:cs="Times New Roman"/>
      <w:sz w:val="24"/>
      <w:szCs w:val="24"/>
      <w:lang w:val="fr-FR" w:eastAsia="fr-FR"/>
    </w:rPr>
  </w:style>
  <w:style w:type="paragraph" w:customStyle="1" w:styleId="Default">
    <w:name w:val="Default"/>
    <w:qFormat/>
    <w:rsid w:val="00F331F8"/>
    <w:pPr>
      <w:autoSpaceDE w:val="0"/>
      <w:autoSpaceDN w:val="0"/>
      <w:adjustRightInd w:val="0"/>
      <w:spacing w:after="0" w:line="240" w:lineRule="auto"/>
    </w:pPr>
    <w:rPr>
      <w:rFonts w:ascii="Arial" w:hAnsi="Arial" w:cs="Arial"/>
      <w:color w:val="000000"/>
      <w:sz w:val="24"/>
      <w:szCs w:val="24"/>
      <w:lang w:val="fr-FR"/>
    </w:rPr>
  </w:style>
  <w:style w:type="paragraph" w:styleId="BalloonText">
    <w:name w:val="Balloon Text"/>
    <w:basedOn w:val="Normal"/>
    <w:link w:val="BalloonTextChar"/>
    <w:uiPriority w:val="99"/>
    <w:semiHidden/>
    <w:unhideWhenUsed/>
    <w:rsid w:val="00F331F8"/>
    <w:pPr>
      <w:spacing w:after="0" w:line="240" w:lineRule="auto"/>
    </w:pPr>
    <w:rPr>
      <w:rFonts w:ascii="Segoe UI" w:eastAsia="Times New Roman" w:hAnsi="Segoe UI" w:cs="Segoe UI"/>
      <w:sz w:val="18"/>
      <w:szCs w:val="18"/>
      <w:lang w:val="fr-FR" w:eastAsia="fr-FR"/>
    </w:rPr>
  </w:style>
  <w:style w:type="character" w:customStyle="1" w:styleId="BalloonTextChar">
    <w:name w:val="Balloon Text Char"/>
    <w:basedOn w:val="DefaultParagraphFont"/>
    <w:link w:val="BalloonText"/>
    <w:uiPriority w:val="99"/>
    <w:semiHidden/>
    <w:rsid w:val="00F331F8"/>
    <w:rPr>
      <w:rFonts w:ascii="Segoe UI" w:eastAsia="Times New Roman" w:hAnsi="Segoe UI" w:cs="Segoe UI"/>
      <w:sz w:val="18"/>
      <w:szCs w:val="18"/>
      <w:lang w:val="fr-FR" w:eastAsia="fr-FR"/>
    </w:rPr>
  </w:style>
  <w:style w:type="character" w:styleId="Emphasis">
    <w:name w:val="Emphasis"/>
    <w:basedOn w:val="DefaultParagraphFont"/>
    <w:uiPriority w:val="20"/>
    <w:qFormat/>
    <w:rsid w:val="00F331F8"/>
    <w:rPr>
      <w:i/>
      <w:iCs/>
    </w:rPr>
  </w:style>
  <w:style w:type="table" w:customStyle="1" w:styleId="TableGrid2">
    <w:name w:val="Table Grid2"/>
    <w:basedOn w:val="TableNormal"/>
    <w:next w:val="TableGrid"/>
    <w:uiPriority w:val="59"/>
    <w:rsid w:val="00F331F8"/>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331F8"/>
    <w:pPr>
      <w:spacing w:after="0" w:line="240" w:lineRule="auto"/>
    </w:pPr>
    <w:rPr>
      <w:rFonts w:ascii="Times New Roman" w:hAnsi="Times New Roman" w:cs="Arial"/>
      <w:bCs/>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DefaultParagraphFont"/>
    <w:uiPriority w:val="99"/>
    <w:rsid w:val="00F331F8"/>
    <w:rPr>
      <w:color w:val="605E5C"/>
      <w:shd w:val="clear" w:color="auto" w:fill="E1DFDD"/>
    </w:rPr>
  </w:style>
  <w:style w:type="paragraph" w:styleId="FootnoteText">
    <w:name w:val="footnote text"/>
    <w:aliases w:val="Footnote Text Char Char,Footnote Text Char1 Char Char,Footnote Text Char Char Char Char,Footnote Text Char Char1,Footnote Text Char1 Char,Footnote Text Char Char Char,Footnote,n,footnotes,SUPERS,ftx,Char,C,f,5,poznppMV"/>
    <w:basedOn w:val="Normal"/>
    <w:link w:val="FootnoteTextChar"/>
    <w:uiPriority w:val="99"/>
    <w:unhideWhenUsed/>
    <w:qFormat/>
    <w:rsid w:val="00F331F8"/>
    <w:pPr>
      <w:spacing w:after="0" w:line="240" w:lineRule="auto"/>
    </w:pPr>
    <w:rPr>
      <w:rFonts w:eastAsiaTheme="minorEastAsia"/>
      <w:sz w:val="20"/>
      <w:szCs w:val="20"/>
      <w:lang w:val="en-GB" w:eastAsia="en-GB"/>
    </w:rPr>
  </w:style>
  <w:style w:type="character" w:customStyle="1" w:styleId="FootnoteTextChar">
    <w:name w:val="Footnote Text Char"/>
    <w:aliases w:val="Footnote Text Char Char Char1,Footnote Text Char1 Char Char Char,Footnote Text Char Char Char Char Char,Footnote Text Char Char1 Char,Footnote Text Char1 Char Char1,Footnote Text Char Char Char Char1,Footnote Char,n Char,SUPERS Char"/>
    <w:basedOn w:val="DefaultParagraphFont"/>
    <w:link w:val="FootnoteText"/>
    <w:uiPriority w:val="99"/>
    <w:qFormat/>
    <w:rsid w:val="00F331F8"/>
    <w:rPr>
      <w:rFonts w:eastAsiaTheme="minorEastAsia"/>
      <w:sz w:val="20"/>
      <w:szCs w:val="20"/>
      <w:lang w:val="en-GB" w:eastAsia="en-GB"/>
    </w:rPr>
  </w:style>
  <w:style w:type="character" w:styleId="FootnoteReference">
    <w:name w:val="footnote reference"/>
    <w:aliases w:val="callout,Footnotes refss,Fußnotenzeichen_Raxen Car,SUPERS Car,Footnote symbol Car,Times 10 Point Car,Exposant 3 Point Car,En-tête Car Char Char Car,callout Car,Footnotes refss Car,callout Char Char Char Char Char,callout Char,4_G"/>
    <w:basedOn w:val="DefaultParagraphFont"/>
    <w:link w:val="calloutCharCharCharChar"/>
    <w:uiPriority w:val="99"/>
    <w:unhideWhenUsed/>
    <w:qFormat/>
    <w:rsid w:val="00F331F8"/>
    <w:rPr>
      <w:vertAlign w:val="superscript"/>
    </w:rPr>
  </w:style>
  <w:style w:type="paragraph" w:customStyle="1" w:styleId="calloutCharCharCharChar">
    <w:name w:val="callout Char Char Char Char"/>
    <w:aliases w:val="Footnotes refss Char Char Char Char,Fußnotenzeichen_Raxen Car Char Char Char Char,SUPERS Car Char Char Char Char,Footnote symbol Car Char Char Char Char,Times 10 Point Car Char Char Char Char"/>
    <w:basedOn w:val="Normal"/>
    <w:link w:val="FootnoteReference"/>
    <w:uiPriority w:val="99"/>
    <w:rsid w:val="00F331F8"/>
    <w:pPr>
      <w:spacing w:after="160" w:line="240" w:lineRule="exact"/>
    </w:pPr>
    <w:rPr>
      <w:vertAlign w:val="superscript"/>
    </w:rPr>
  </w:style>
  <w:style w:type="character" w:customStyle="1" w:styleId="column">
    <w:name w:val="column"/>
    <w:basedOn w:val="DefaultParagraphFont"/>
    <w:rsid w:val="00F331F8"/>
  </w:style>
  <w:style w:type="character" w:customStyle="1" w:styleId="sb8d990e2">
    <w:name w:val="sb8d990e2"/>
    <w:basedOn w:val="DefaultParagraphFont"/>
    <w:qFormat/>
    <w:rsid w:val="00F331F8"/>
  </w:style>
  <w:style w:type="paragraph" w:styleId="TOCHeading">
    <w:name w:val="TOC Heading"/>
    <w:basedOn w:val="Heading1"/>
    <w:next w:val="Normal"/>
    <w:uiPriority w:val="39"/>
    <w:semiHidden/>
    <w:unhideWhenUsed/>
    <w:qFormat/>
    <w:rsid w:val="00F331F8"/>
    <w:pPr>
      <w:outlineLvl w:val="9"/>
    </w:pPr>
    <w:rPr>
      <w:lang w:eastAsia="ja-JP"/>
    </w:rPr>
  </w:style>
  <w:style w:type="paragraph" w:styleId="TOC1">
    <w:name w:val="toc 1"/>
    <w:basedOn w:val="Normal"/>
    <w:next w:val="Normal"/>
    <w:autoRedefine/>
    <w:uiPriority w:val="39"/>
    <w:unhideWhenUsed/>
    <w:rsid w:val="00D44B9E"/>
    <w:pPr>
      <w:tabs>
        <w:tab w:val="right" w:leader="dot" w:pos="9350"/>
      </w:tabs>
      <w:spacing w:after="100"/>
    </w:pPr>
    <w:rPr>
      <w:rFonts w:ascii="Arial" w:eastAsiaTheme="minorEastAsia" w:hAnsi="Arial" w:cs="Arial"/>
      <w:b/>
      <w:noProof/>
      <w:lang w:val="en-GB" w:eastAsia="en-GB"/>
    </w:rPr>
  </w:style>
  <w:style w:type="paragraph" w:styleId="TOC2">
    <w:name w:val="toc 2"/>
    <w:basedOn w:val="Normal"/>
    <w:next w:val="Normal"/>
    <w:autoRedefine/>
    <w:uiPriority w:val="39"/>
    <w:unhideWhenUsed/>
    <w:rsid w:val="00F331F8"/>
    <w:pPr>
      <w:tabs>
        <w:tab w:val="left" w:pos="880"/>
        <w:tab w:val="right" w:leader="dot" w:pos="9350"/>
      </w:tabs>
      <w:spacing w:after="100"/>
      <w:ind w:left="284"/>
      <w:jc w:val="both"/>
    </w:pPr>
    <w:rPr>
      <w:rFonts w:ascii="Arial" w:eastAsiaTheme="minorEastAsia" w:hAnsi="Arial" w:cs="Arial"/>
      <w:b/>
      <w:bCs/>
      <w:i/>
      <w:iCs/>
      <w:noProof/>
      <w:lang w:val="fr-FR" w:eastAsia="en-GB"/>
    </w:rPr>
  </w:style>
  <w:style w:type="paragraph" w:styleId="TOC3">
    <w:name w:val="toc 3"/>
    <w:basedOn w:val="Normal"/>
    <w:next w:val="Normal"/>
    <w:autoRedefine/>
    <w:uiPriority w:val="39"/>
    <w:unhideWhenUsed/>
    <w:rsid w:val="00F331F8"/>
    <w:pPr>
      <w:tabs>
        <w:tab w:val="right" w:leader="dot" w:pos="9350"/>
      </w:tabs>
      <w:spacing w:after="100"/>
      <w:ind w:left="567"/>
    </w:pPr>
    <w:rPr>
      <w:rFonts w:eastAsiaTheme="minorEastAsia"/>
      <w:lang w:val="en-GB" w:eastAsia="en-GB"/>
    </w:rPr>
  </w:style>
  <w:style w:type="character" w:customStyle="1" w:styleId="s6b621b36">
    <w:name w:val="s6b621b36"/>
    <w:basedOn w:val="DefaultParagraphFont"/>
    <w:rsid w:val="00F331F8"/>
  </w:style>
  <w:style w:type="character" w:customStyle="1" w:styleId="wordhighlighted">
    <w:name w:val="wordhighlighted"/>
    <w:basedOn w:val="DefaultParagraphFont"/>
    <w:rsid w:val="00F331F8"/>
  </w:style>
  <w:style w:type="character" w:styleId="Strong">
    <w:name w:val="Strong"/>
    <w:basedOn w:val="DefaultParagraphFont"/>
    <w:uiPriority w:val="22"/>
    <w:qFormat/>
    <w:rsid w:val="00F331F8"/>
    <w:rPr>
      <w:b/>
      <w:bCs/>
    </w:rPr>
  </w:style>
  <w:style w:type="character" w:customStyle="1" w:styleId="vsmall">
    <w:name w:val="vsmall"/>
    <w:basedOn w:val="DefaultParagraphFont"/>
    <w:rsid w:val="00F331F8"/>
  </w:style>
  <w:style w:type="paragraph" w:customStyle="1" w:styleId="s269b7f08">
    <w:name w:val="s269b7f08"/>
    <w:basedOn w:val="Normal"/>
    <w:rsid w:val="00F331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f6541cea">
    <w:name w:val="sf6541cea"/>
    <w:basedOn w:val="DefaultParagraphFont"/>
    <w:rsid w:val="00F331F8"/>
  </w:style>
  <w:style w:type="paragraph" w:customStyle="1" w:styleId="s30eec3f8">
    <w:name w:val="s30eec3f8"/>
    <w:basedOn w:val="Normal"/>
    <w:rsid w:val="00F331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e9b0cd7">
    <w:name w:val="s9e9b0cd7"/>
    <w:basedOn w:val="Normal"/>
    <w:rsid w:val="00F331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fbbfee58">
    <w:name w:val="sfbbfee58"/>
    <w:basedOn w:val="DefaultParagraphFont"/>
    <w:rsid w:val="00F331F8"/>
  </w:style>
  <w:style w:type="character" w:customStyle="1" w:styleId="sea881cdf">
    <w:name w:val="sea881cdf"/>
    <w:basedOn w:val="DefaultParagraphFont"/>
    <w:rsid w:val="00F331F8"/>
  </w:style>
  <w:style w:type="character" w:customStyle="1" w:styleId="CommentTextChar">
    <w:name w:val="Comment Text Char"/>
    <w:basedOn w:val="DefaultParagraphFont"/>
    <w:link w:val="CommentText"/>
    <w:uiPriority w:val="99"/>
    <w:rsid w:val="00F331F8"/>
    <w:rPr>
      <w:rFonts w:eastAsiaTheme="minorEastAsia"/>
      <w:sz w:val="20"/>
      <w:szCs w:val="20"/>
      <w:lang w:val="en-GB" w:eastAsia="en-GB"/>
    </w:rPr>
  </w:style>
  <w:style w:type="paragraph" w:styleId="CommentText">
    <w:name w:val="annotation text"/>
    <w:basedOn w:val="Normal"/>
    <w:link w:val="CommentTextChar"/>
    <w:uiPriority w:val="99"/>
    <w:unhideWhenUsed/>
    <w:rsid w:val="00F331F8"/>
    <w:pPr>
      <w:spacing w:line="240" w:lineRule="auto"/>
    </w:pPr>
    <w:rPr>
      <w:rFonts w:eastAsiaTheme="minorEastAsia"/>
      <w:sz w:val="20"/>
      <w:szCs w:val="20"/>
      <w:lang w:val="en-GB" w:eastAsia="en-GB"/>
    </w:rPr>
  </w:style>
  <w:style w:type="character" w:customStyle="1" w:styleId="CommentTextChar1">
    <w:name w:val="Comment Text Char1"/>
    <w:basedOn w:val="DefaultParagraphFont"/>
    <w:uiPriority w:val="99"/>
    <w:semiHidden/>
    <w:rsid w:val="00F331F8"/>
    <w:rPr>
      <w:sz w:val="20"/>
      <w:szCs w:val="20"/>
    </w:rPr>
  </w:style>
  <w:style w:type="character" w:customStyle="1" w:styleId="CommentaireCar1">
    <w:name w:val="Commentaire Car1"/>
    <w:basedOn w:val="DefaultParagraphFont"/>
    <w:uiPriority w:val="99"/>
    <w:semiHidden/>
    <w:rsid w:val="00F331F8"/>
    <w:rPr>
      <w:rFonts w:eastAsia="Times New Roman" w:cs="Times New Roman"/>
      <w:bCs/>
      <w:sz w:val="20"/>
      <w:szCs w:val="20"/>
      <w:lang w:eastAsia="fr-FR"/>
    </w:rPr>
  </w:style>
  <w:style w:type="character" w:customStyle="1" w:styleId="CommentSubjectChar">
    <w:name w:val="Comment Subject Char"/>
    <w:basedOn w:val="CommentTextChar"/>
    <w:link w:val="CommentSubject"/>
    <w:uiPriority w:val="99"/>
    <w:semiHidden/>
    <w:rsid w:val="00F331F8"/>
    <w:rPr>
      <w:rFonts w:eastAsiaTheme="minorEastAsia"/>
      <w:b/>
      <w:bCs/>
      <w:sz w:val="20"/>
      <w:szCs w:val="20"/>
      <w:lang w:val="en-GB" w:eastAsia="en-GB"/>
    </w:rPr>
  </w:style>
  <w:style w:type="paragraph" w:styleId="CommentSubject">
    <w:name w:val="annotation subject"/>
    <w:basedOn w:val="CommentText"/>
    <w:next w:val="CommentText"/>
    <w:link w:val="CommentSubjectChar"/>
    <w:uiPriority w:val="99"/>
    <w:semiHidden/>
    <w:unhideWhenUsed/>
    <w:rsid w:val="00F331F8"/>
    <w:rPr>
      <w:b/>
      <w:bCs/>
    </w:rPr>
  </w:style>
  <w:style w:type="character" w:customStyle="1" w:styleId="CommentSubjectChar1">
    <w:name w:val="Comment Subject Char1"/>
    <w:basedOn w:val="CommentTextChar1"/>
    <w:uiPriority w:val="99"/>
    <w:semiHidden/>
    <w:rsid w:val="00F331F8"/>
    <w:rPr>
      <w:b/>
      <w:bCs/>
      <w:sz w:val="20"/>
      <w:szCs w:val="20"/>
    </w:rPr>
  </w:style>
  <w:style w:type="character" w:customStyle="1" w:styleId="ObjetducommentaireCar1">
    <w:name w:val="Objet du commentaire Car1"/>
    <w:basedOn w:val="CommentaireCar1"/>
    <w:uiPriority w:val="99"/>
    <w:semiHidden/>
    <w:rsid w:val="00F331F8"/>
    <w:rPr>
      <w:rFonts w:eastAsia="Times New Roman" w:cs="Times New Roman"/>
      <w:b/>
      <w:bCs w:val="0"/>
      <w:sz w:val="20"/>
      <w:szCs w:val="20"/>
      <w:lang w:eastAsia="fr-FR"/>
    </w:rPr>
  </w:style>
  <w:style w:type="character" w:customStyle="1" w:styleId="s1a844bc0">
    <w:name w:val="s1a844bc0"/>
    <w:basedOn w:val="DefaultParagraphFont"/>
    <w:rsid w:val="00F331F8"/>
  </w:style>
  <w:style w:type="character" w:customStyle="1" w:styleId="normal10">
    <w:name w:val="normal10"/>
    <w:basedOn w:val="DefaultParagraphFont"/>
    <w:rsid w:val="00F331F8"/>
  </w:style>
  <w:style w:type="paragraph" w:customStyle="1" w:styleId="s8b146764">
    <w:name w:val="s8b146764"/>
    <w:basedOn w:val="Normal"/>
    <w:rsid w:val="00F331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ngleTxtG">
    <w:name w:val="_ Single Txt_G"/>
    <w:basedOn w:val="Normal"/>
    <w:link w:val="SingleTxtGChar"/>
    <w:qFormat/>
    <w:rsid w:val="00F331F8"/>
    <w:pPr>
      <w:suppressAutoHyphens/>
      <w:spacing w:after="120" w:line="240" w:lineRule="atLeast"/>
      <w:ind w:left="1134" w:right="1134"/>
      <w:jc w:val="both"/>
    </w:pPr>
    <w:rPr>
      <w:rFonts w:ascii="Times New Roman" w:eastAsia="SimSun" w:hAnsi="Times New Roman" w:cs="Times New Roman"/>
      <w:sz w:val="20"/>
      <w:szCs w:val="20"/>
      <w:lang w:val="en-GB" w:eastAsia="zh-CN"/>
    </w:rPr>
  </w:style>
  <w:style w:type="character" w:customStyle="1" w:styleId="SingleTxtGChar">
    <w:name w:val="_ Single Txt_G Char"/>
    <w:link w:val="SingleTxtG"/>
    <w:locked/>
    <w:rsid w:val="00F331F8"/>
    <w:rPr>
      <w:rFonts w:ascii="Times New Roman" w:eastAsia="SimSun" w:hAnsi="Times New Roman" w:cs="Times New Roman"/>
      <w:sz w:val="20"/>
      <w:szCs w:val="20"/>
      <w:lang w:val="en-GB" w:eastAsia="zh-CN"/>
    </w:rPr>
  </w:style>
  <w:style w:type="character" w:styleId="CommentReference">
    <w:name w:val="annotation reference"/>
    <w:basedOn w:val="DefaultParagraphFont"/>
    <w:uiPriority w:val="99"/>
    <w:semiHidden/>
    <w:unhideWhenUsed/>
    <w:rsid w:val="00F331F8"/>
    <w:rPr>
      <w:sz w:val="16"/>
      <w:szCs w:val="16"/>
    </w:rPr>
  </w:style>
  <w:style w:type="character" w:styleId="FollowedHyperlink">
    <w:name w:val="FollowedHyperlink"/>
    <w:basedOn w:val="DefaultParagraphFont"/>
    <w:uiPriority w:val="99"/>
    <w:semiHidden/>
    <w:unhideWhenUsed/>
    <w:rsid w:val="00F331F8"/>
    <w:rPr>
      <w:color w:val="800080" w:themeColor="followedHyperlink"/>
      <w:u w:val="single"/>
    </w:rPr>
  </w:style>
  <w:style w:type="paragraph" w:styleId="Revision">
    <w:name w:val="Revision"/>
    <w:hidden/>
    <w:uiPriority w:val="99"/>
    <w:semiHidden/>
    <w:rsid w:val="00F331F8"/>
    <w:pPr>
      <w:spacing w:after="0" w:line="240" w:lineRule="auto"/>
    </w:pPr>
    <w:rPr>
      <w:rFonts w:eastAsiaTheme="minorEastAsia"/>
      <w:lang w:val="en-GB" w:eastAsia="en-GB"/>
    </w:rPr>
  </w:style>
  <w:style w:type="character" w:customStyle="1" w:styleId="UnresolvedMention1">
    <w:name w:val="Unresolved Mention1"/>
    <w:basedOn w:val="DefaultParagraphFont"/>
    <w:uiPriority w:val="99"/>
    <w:semiHidden/>
    <w:unhideWhenUsed/>
    <w:rsid w:val="00F331F8"/>
    <w:rPr>
      <w:color w:val="605E5C"/>
      <w:shd w:val="clear" w:color="auto" w:fill="E1DFDD"/>
    </w:rPr>
  </w:style>
  <w:style w:type="character" w:customStyle="1" w:styleId="sf1c7242d">
    <w:name w:val="sf1c7242d"/>
    <w:basedOn w:val="DefaultParagraphFont"/>
    <w:rsid w:val="00F331F8"/>
  </w:style>
  <w:style w:type="paragraph" w:styleId="NormalWeb">
    <w:name w:val="Normal (Web)"/>
    <w:basedOn w:val="Normal"/>
    <w:uiPriority w:val="99"/>
    <w:unhideWhenUsed/>
    <w:qFormat/>
    <w:rsid w:val="00F331F8"/>
    <w:pPr>
      <w:spacing w:before="100" w:beforeAutospacing="1" w:after="100" w:afterAutospacing="1" w:line="240" w:lineRule="auto"/>
    </w:pPr>
    <w:rPr>
      <w:rFonts w:ascii="Times New Roman" w:hAnsi="Times New Roman" w:cs="Times New Roman"/>
      <w:sz w:val="24"/>
      <w:szCs w:val="24"/>
      <w:lang w:val="fr-FR" w:eastAsia="fr-FR"/>
    </w:rPr>
  </w:style>
  <w:style w:type="character" w:customStyle="1" w:styleId="sc916d4d3">
    <w:name w:val="sc916d4d3"/>
    <w:basedOn w:val="DefaultParagraphFont"/>
    <w:rsid w:val="00F331F8"/>
  </w:style>
  <w:style w:type="character" w:customStyle="1" w:styleId="s9e48bbcd">
    <w:name w:val="s9e48bbcd"/>
    <w:basedOn w:val="DefaultParagraphFont"/>
    <w:rsid w:val="00F331F8"/>
  </w:style>
  <w:style w:type="character" w:styleId="LineNumber">
    <w:name w:val="line number"/>
    <w:basedOn w:val="DefaultParagraphFont"/>
    <w:uiPriority w:val="99"/>
    <w:semiHidden/>
    <w:unhideWhenUsed/>
    <w:rsid w:val="00F331F8"/>
  </w:style>
  <w:style w:type="character" w:customStyle="1" w:styleId="UnresolvedMention2">
    <w:name w:val="Unresolved Mention2"/>
    <w:basedOn w:val="DefaultParagraphFont"/>
    <w:uiPriority w:val="99"/>
    <w:semiHidden/>
    <w:unhideWhenUsed/>
    <w:rsid w:val="00F331F8"/>
    <w:rPr>
      <w:color w:val="605E5C"/>
      <w:shd w:val="clear" w:color="auto" w:fill="E1DFDD"/>
    </w:rPr>
  </w:style>
  <w:style w:type="paragraph" w:styleId="PlainText">
    <w:name w:val="Plain Text"/>
    <w:basedOn w:val="Normal"/>
    <w:link w:val="PlainTextChar"/>
    <w:uiPriority w:val="99"/>
    <w:unhideWhenUsed/>
    <w:rsid w:val="00F331F8"/>
    <w:pPr>
      <w:spacing w:after="0" w:line="240" w:lineRule="auto"/>
    </w:pPr>
    <w:rPr>
      <w:rFonts w:ascii="Calibri" w:hAnsi="Calibri"/>
      <w:szCs w:val="21"/>
      <w:lang w:val="fr-FR"/>
    </w:rPr>
  </w:style>
  <w:style w:type="character" w:customStyle="1" w:styleId="PlainTextChar">
    <w:name w:val="Plain Text Char"/>
    <w:basedOn w:val="DefaultParagraphFont"/>
    <w:link w:val="PlainText"/>
    <w:uiPriority w:val="99"/>
    <w:rsid w:val="00F331F8"/>
    <w:rPr>
      <w:rFonts w:ascii="Calibri" w:hAnsi="Calibri"/>
      <w:szCs w:val="21"/>
      <w:lang w:val="fr-FR"/>
    </w:rPr>
  </w:style>
  <w:style w:type="paragraph" w:customStyle="1" w:styleId="s746c8714">
    <w:name w:val="s746c8714"/>
    <w:basedOn w:val="Normal"/>
    <w:rsid w:val="00F331F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EndnoteText">
    <w:name w:val="endnote text"/>
    <w:basedOn w:val="Normal"/>
    <w:link w:val="EndnoteTextChar"/>
    <w:uiPriority w:val="99"/>
    <w:semiHidden/>
    <w:unhideWhenUsed/>
    <w:rsid w:val="00F331F8"/>
    <w:pPr>
      <w:spacing w:after="0" w:line="240" w:lineRule="auto"/>
    </w:pPr>
    <w:rPr>
      <w:rFonts w:eastAsiaTheme="minorEastAsia"/>
      <w:sz w:val="20"/>
      <w:szCs w:val="20"/>
      <w:lang w:val="en-GB" w:eastAsia="en-GB"/>
    </w:rPr>
  </w:style>
  <w:style w:type="character" w:customStyle="1" w:styleId="EndnoteTextChar">
    <w:name w:val="Endnote Text Char"/>
    <w:basedOn w:val="DefaultParagraphFont"/>
    <w:link w:val="EndnoteText"/>
    <w:uiPriority w:val="99"/>
    <w:semiHidden/>
    <w:rsid w:val="00F331F8"/>
    <w:rPr>
      <w:rFonts w:eastAsiaTheme="minorEastAsia"/>
      <w:sz w:val="20"/>
      <w:szCs w:val="20"/>
      <w:lang w:val="en-GB" w:eastAsia="en-GB"/>
    </w:rPr>
  </w:style>
  <w:style w:type="character" w:styleId="EndnoteReference">
    <w:name w:val="endnote reference"/>
    <w:basedOn w:val="DefaultParagraphFont"/>
    <w:uiPriority w:val="99"/>
    <w:semiHidden/>
    <w:unhideWhenUsed/>
    <w:rsid w:val="00F331F8"/>
    <w:rPr>
      <w:vertAlign w:val="superscript"/>
    </w:rPr>
  </w:style>
  <w:style w:type="character" w:customStyle="1" w:styleId="a">
    <w:name w:val="Привязка сноски"/>
    <w:rsid w:val="00F331F8"/>
    <w:rPr>
      <w:vertAlign w:val="superscript"/>
    </w:rPr>
  </w:style>
  <w:style w:type="character" w:customStyle="1" w:styleId="a0">
    <w:name w:val="Символ сноски"/>
    <w:qFormat/>
    <w:rsid w:val="00F331F8"/>
  </w:style>
  <w:style w:type="character" w:customStyle="1" w:styleId="UnresolvedMention3">
    <w:name w:val="Unresolved Mention3"/>
    <w:basedOn w:val="DefaultParagraphFont"/>
    <w:uiPriority w:val="99"/>
    <w:semiHidden/>
    <w:unhideWhenUsed/>
    <w:rsid w:val="00F331F8"/>
    <w:rPr>
      <w:color w:val="605E5C"/>
      <w:shd w:val="clear" w:color="auto" w:fill="E1DFDD"/>
    </w:rPr>
  </w:style>
  <w:style w:type="paragraph" w:customStyle="1" w:styleId="JuPara">
    <w:name w:val="Ju_Para"/>
    <w:aliases w:val="_Para"/>
    <w:basedOn w:val="Normal"/>
    <w:link w:val="JuParaChar"/>
    <w:uiPriority w:val="4"/>
    <w:qFormat/>
    <w:rsid w:val="00F331F8"/>
    <w:pPr>
      <w:spacing w:after="0" w:line="240" w:lineRule="auto"/>
      <w:ind w:firstLine="284"/>
      <w:jc w:val="both"/>
    </w:pPr>
    <w:rPr>
      <w:sz w:val="24"/>
      <w:szCs w:val="24"/>
      <w:lang w:val="en-GB"/>
    </w:rPr>
  </w:style>
  <w:style w:type="character" w:customStyle="1" w:styleId="JuParaChar">
    <w:name w:val="Ju_Para Char"/>
    <w:aliases w:val="_Para Char"/>
    <w:link w:val="JuPara"/>
    <w:uiPriority w:val="4"/>
    <w:rsid w:val="00F331F8"/>
    <w:rPr>
      <w:sz w:val="24"/>
      <w:szCs w:val="24"/>
      <w:lang w:val="en-GB"/>
    </w:rPr>
  </w:style>
  <w:style w:type="paragraph" w:customStyle="1" w:styleId="s3b14e18e">
    <w:name w:val="s3b14e18e"/>
    <w:basedOn w:val="Normal"/>
    <w:rsid w:val="00F331F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JuHIRoman">
    <w:name w:val="Ju_H_I_Roman"/>
    <w:aliases w:val="_Head_2"/>
    <w:basedOn w:val="Heading2"/>
    <w:next w:val="JuPara"/>
    <w:uiPriority w:val="17"/>
    <w:qFormat/>
    <w:rsid w:val="00F331F8"/>
    <w:pPr>
      <w:numPr>
        <w:ilvl w:val="1"/>
        <w:numId w:val="16"/>
      </w:numPr>
      <w:tabs>
        <w:tab w:val="left" w:pos="454"/>
        <w:tab w:val="left" w:pos="567"/>
        <w:tab w:val="left" w:pos="680"/>
      </w:tabs>
      <w:spacing w:before="100" w:beforeAutospacing="1" w:after="240" w:line="240" w:lineRule="auto"/>
      <w:ind w:left="397"/>
      <w:jc w:val="both"/>
    </w:pPr>
    <w:rPr>
      <w:b/>
      <w:caps/>
      <w:color w:val="auto"/>
      <w:sz w:val="24"/>
      <w:lang w:eastAsia="en-US"/>
    </w:rPr>
  </w:style>
  <w:style w:type="paragraph" w:customStyle="1" w:styleId="JuHA">
    <w:name w:val="Ju_H_A"/>
    <w:aliases w:val="_Head_3"/>
    <w:basedOn w:val="Heading3"/>
    <w:next w:val="JuPara"/>
    <w:uiPriority w:val="17"/>
    <w:qFormat/>
    <w:rsid w:val="00F331F8"/>
    <w:pPr>
      <w:numPr>
        <w:ilvl w:val="2"/>
        <w:numId w:val="16"/>
      </w:numPr>
      <w:spacing w:before="100" w:beforeAutospacing="1" w:after="240" w:line="240" w:lineRule="auto"/>
      <w:jc w:val="both"/>
    </w:pPr>
    <w:rPr>
      <w:color w:val="auto"/>
      <w:sz w:val="24"/>
      <w:lang w:eastAsia="en-US"/>
    </w:rPr>
  </w:style>
  <w:style w:type="paragraph" w:customStyle="1" w:styleId="JuH1">
    <w:name w:val="Ju_H_1."/>
    <w:aliases w:val="_Head_4"/>
    <w:basedOn w:val="Heading4"/>
    <w:next w:val="JuPara"/>
    <w:uiPriority w:val="17"/>
    <w:rsid w:val="00F331F8"/>
    <w:pPr>
      <w:numPr>
        <w:ilvl w:val="3"/>
        <w:numId w:val="16"/>
      </w:numPr>
      <w:spacing w:before="100" w:beforeAutospacing="1" w:after="120" w:line="240" w:lineRule="auto"/>
      <w:ind w:left="1800" w:hanging="1080"/>
      <w:jc w:val="both"/>
    </w:pPr>
    <w:rPr>
      <w:bCs/>
      <w:color w:val="auto"/>
      <w:sz w:val="24"/>
      <w:lang w:eastAsia="en-US"/>
    </w:rPr>
  </w:style>
  <w:style w:type="paragraph" w:customStyle="1" w:styleId="JuHa0">
    <w:name w:val="Ju_H_a"/>
    <w:aliases w:val="_Head_5"/>
    <w:basedOn w:val="Heading5"/>
    <w:next w:val="JuPara"/>
    <w:uiPriority w:val="17"/>
    <w:rsid w:val="00F331F8"/>
    <w:pPr>
      <w:numPr>
        <w:ilvl w:val="4"/>
        <w:numId w:val="16"/>
      </w:numPr>
      <w:spacing w:before="100" w:beforeAutospacing="1" w:after="120" w:line="240" w:lineRule="auto"/>
      <w:ind w:left="1800" w:hanging="1080"/>
      <w:jc w:val="both"/>
    </w:pPr>
    <w:rPr>
      <w:b/>
      <w:bCs/>
      <w:color w:val="auto"/>
      <w:sz w:val="20"/>
      <w:lang w:eastAsia="en-US"/>
    </w:rPr>
  </w:style>
  <w:style w:type="paragraph" w:customStyle="1" w:styleId="JuHi">
    <w:name w:val="Ju_H_i"/>
    <w:aliases w:val="_Head_6"/>
    <w:basedOn w:val="Heading6"/>
    <w:next w:val="JuPara"/>
    <w:uiPriority w:val="17"/>
    <w:rsid w:val="00F331F8"/>
    <w:pPr>
      <w:numPr>
        <w:ilvl w:val="5"/>
        <w:numId w:val="16"/>
      </w:numPr>
      <w:tabs>
        <w:tab w:val="left" w:pos="1077"/>
        <w:tab w:val="left" w:pos="1134"/>
        <w:tab w:val="left" w:pos="1191"/>
        <w:tab w:val="left" w:pos="1247"/>
      </w:tabs>
      <w:spacing w:before="100" w:beforeAutospacing="1" w:after="120" w:line="271" w:lineRule="auto"/>
      <w:ind w:left="2160" w:hanging="1440"/>
      <w:jc w:val="both"/>
    </w:pPr>
    <w:rPr>
      <w:bCs/>
      <w:i/>
      <w:iCs/>
      <w:color w:val="auto"/>
      <w:sz w:val="20"/>
      <w:lang w:eastAsia="en-US" w:bidi="en-US"/>
    </w:rPr>
  </w:style>
  <w:style w:type="paragraph" w:customStyle="1" w:styleId="JuHalpha">
    <w:name w:val="Ju_H_alpha"/>
    <w:aliases w:val="_Head_7"/>
    <w:basedOn w:val="Heading7"/>
    <w:next w:val="JuPara"/>
    <w:uiPriority w:val="17"/>
    <w:rsid w:val="00F331F8"/>
    <w:pPr>
      <w:numPr>
        <w:ilvl w:val="6"/>
        <w:numId w:val="16"/>
      </w:numPr>
      <w:tabs>
        <w:tab w:val="left" w:pos="1361"/>
      </w:tabs>
      <w:spacing w:before="100" w:beforeAutospacing="1" w:after="120" w:line="240" w:lineRule="auto"/>
      <w:ind w:left="2160" w:hanging="1440"/>
      <w:jc w:val="both"/>
    </w:pPr>
    <w:rPr>
      <w:i w:val="0"/>
      <w:color w:val="auto"/>
      <w:sz w:val="20"/>
      <w:lang w:eastAsia="en-US" w:bidi="en-US"/>
    </w:rPr>
  </w:style>
  <w:style w:type="paragraph" w:customStyle="1" w:styleId="JuH">
    <w:name w:val="Ju_H_–"/>
    <w:aliases w:val="_Head_8"/>
    <w:basedOn w:val="Heading8"/>
    <w:next w:val="JuPara"/>
    <w:uiPriority w:val="17"/>
    <w:rsid w:val="00F331F8"/>
    <w:pPr>
      <w:numPr>
        <w:ilvl w:val="7"/>
        <w:numId w:val="16"/>
      </w:numPr>
      <w:spacing w:before="100" w:beforeAutospacing="1" w:after="120" w:line="240" w:lineRule="auto"/>
      <w:ind w:left="2520" w:hanging="1800"/>
      <w:jc w:val="both"/>
    </w:pPr>
    <w:rPr>
      <w:i/>
      <w:color w:val="auto"/>
      <w:sz w:val="20"/>
      <w:szCs w:val="20"/>
      <w:lang w:eastAsia="en-US" w:bidi="en-US"/>
    </w:rPr>
  </w:style>
  <w:style w:type="paragraph" w:customStyle="1" w:styleId="ECHRHeading9">
    <w:name w:val="ECHR_Heading_9"/>
    <w:aliases w:val="_Head_9"/>
    <w:basedOn w:val="Heading9"/>
    <w:uiPriority w:val="17"/>
    <w:semiHidden/>
    <w:rsid w:val="00F331F8"/>
    <w:pPr>
      <w:numPr>
        <w:ilvl w:val="8"/>
        <w:numId w:val="16"/>
      </w:numPr>
      <w:spacing w:before="100" w:beforeAutospacing="1" w:line="240" w:lineRule="auto"/>
      <w:ind w:left="2520" w:hanging="1800"/>
      <w:contextualSpacing/>
      <w:jc w:val="both"/>
    </w:pPr>
    <w:rPr>
      <w:i w:val="0"/>
      <w:color w:val="auto"/>
      <w:spacing w:val="5"/>
      <w:sz w:val="18"/>
      <w:szCs w:val="20"/>
      <w:lang w:eastAsia="en-US" w:bidi="en-US"/>
    </w:rPr>
  </w:style>
  <w:style w:type="paragraph" w:customStyle="1" w:styleId="JuHHead">
    <w:name w:val="Ju_H_Head"/>
    <w:aliases w:val="_Head_1"/>
    <w:basedOn w:val="Heading1"/>
    <w:next w:val="JuPara"/>
    <w:uiPriority w:val="17"/>
    <w:qFormat/>
    <w:rsid w:val="00F331F8"/>
    <w:pPr>
      <w:numPr>
        <w:numId w:val="16"/>
      </w:numPr>
      <w:spacing w:before="100" w:beforeAutospacing="1" w:after="240" w:line="240" w:lineRule="auto"/>
      <w:jc w:val="both"/>
    </w:pPr>
    <w:rPr>
      <w:b w:val="0"/>
      <w:caps/>
      <w:color w:val="auto"/>
      <w:lang w:eastAsia="en-US"/>
    </w:rPr>
  </w:style>
  <w:style w:type="paragraph" w:customStyle="1" w:styleId="ECHRParaSpaced">
    <w:name w:val="ECHR_Para_Spaced"/>
    <w:aliases w:val="Para_Spaced"/>
    <w:basedOn w:val="Normal"/>
    <w:uiPriority w:val="4"/>
    <w:qFormat/>
    <w:rsid w:val="00F331F8"/>
    <w:pPr>
      <w:spacing w:before="120" w:after="120" w:line="240" w:lineRule="auto"/>
      <w:jc w:val="both"/>
    </w:pPr>
    <w:rPr>
      <w:lang w:val="en-GB"/>
    </w:rPr>
  </w:style>
  <w:style w:type="paragraph" w:customStyle="1" w:styleId="ECHRHeading1">
    <w:name w:val="ECHR_Heading_1"/>
    <w:aliases w:val="Head_1"/>
    <w:basedOn w:val="Heading1"/>
    <w:next w:val="ECHRParaSpaced"/>
    <w:uiPriority w:val="21"/>
    <w:qFormat/>
    <w:rsid w:val="00F331F8"/>
    <w:pPr>
      <w:pBdr>
        <w:bottom w:val="single" w:sz="12" w:space="1" w:color="17365D" w:themeColor="text2" w:themeShade="BF"/>
      </w:pBdr>
      <w:spacing w:before="240" w:line="240" w:lineRule="auto"/>
      <w:contextualSpacing/>
    </w:pPr>
    <w:rPr>
      <w:bCs w:val="0"/>
      <w:color w:val="4F6228" w:themeColor="accent3" w:themeShade="80"/>
      <w:lang w:eastAsia="en-US"/>
    </w:rPr>
  </w:style>
  <w:style w:type="paragraph" w:customStyle="1" w:styleId="ECHRHeading2">
    <w:name w:val="ECHR_Heading_2"/>
    <w:aliases w:val="Head_2"/>
    <w:basedOn w:val="Heading2"/>
    <w:next w:val="ECHRParaSpaced"/>
    <w:uiPriority w:val="21"/>
    <w:qFormat/>
    <w:rsid w:val="00F331F8"/>
    <w:pPr>
      <w:spacing w:before="240" w:line="240" w:lineRule="auto"/>
      <w:contextualSpacing/>
    </w:pPr>
    <w:rPr>
      <w:bCs w:val="0"/>
      <w:color w:val="4F6228" w:themeColor="accent3" w:themeShade="80"/>
      <w:lang w:eastAsia="en-US"/>
    </w:rPr>
  </w:style>
  <w:style w:type="paragraph" w:customStyle="1" w:styleId="ECHRTitleCentreTOC1">
    <w:name w:val="ECHR_Title_Centre_TOC_1"/>
    <w:aliases w:val="Title_C_TOC"/>
    <w:basedOn w:val="Normal"/>
    <w:next w:val="ECHRHeading1"/>
    <w:uiPriority w:val="25"/>
    <w:qFormat/>
    <w:rsid w:val="00F331F8"/>
    <w:pPr>
      <w:keepNext/>
      <w:keepLines/>
      <w:spacing w:before="240" w:after="0" w:line="240" w:lineRule="auto"/>
      <w:contextualSpacing/>
      <w:jc w:val="center"/>
      <w:outlineLvl w:val="0"/>
    </w:pPr>
    <w:rPr>
      <w:rFonts w:asciiTheme="majorHAnsi" w:hAnsiTheme="majorHAnsi"/>
      <w:b/>
      <w:color w:val="4F6228" w:themeColor="accent3" w:themeShade="80"/>
      <w:sz w:val="32"/>
      <w:lang w:val="en-GB"/>
    </w:rPr>
  </w:style>
  <w:style w:type="paragraph" w:styleId="Title">
    <w:name w:val="Title"/>
    <w:basedOn w:val="Normal"/>
    <w:next w:val="Normal"/>
    <w:link w:val="TitleChar"/>
    <w:uiPriority w:val="98"/>
    <w:qFormat/>
    <w:rsid w:val="00F331F8"/>
    <w:pPr>
      <w:pBdr>
        <w:bottom w:val="single" w:sz="4" w:space="1" w:color="auto"/>
      </w:pBdr>
      <w:spacing w:after="0" w:line="240" w:lineRule="auto"/>
      <w:contextualSpacing/>
    </w:pPr>
    <w:rPr>
      <w:rFonts w:asciiTheme="majorHAnsi" w:eastAsiaTheme="majorEastAsia" w:hAnsiTheme="majorHAnsi" w:cstheme="majorBidi"/>
      <w:spacing w:val="5"/>
      <w:sz w:val="52"/>
      <w:szCs w:val="52"/>
      <w:lang w:val="en-GB" w:bidi="en-US"/>
    </w:rPr>
  </w:style>
  <w:style w:type="character" w:customStyle="1" w:styleId="TitleChar">
    <w:name w:val="Title Char"/>
    <w:basedOn w:val="DefaultParagraphFont"/>
    <w:link w:val="Title"/>
    <w:uiPriority w:val="98"/>
    <w:rsid w:val="00F331F8"/>
    <w:rPr>
      <w:rFonts w:asciiTheme="majorHAnsi" w:eastAsiaTheme="majorEastAsia" w:hAnsiTheme="majorHAnsi" w:cstheme="majorBidi"/>
      <w:spacing w:val="5"/>
      <w:sz w:val="52"/>
      <w:szCs w:val="52"/>
      <w:lang w:val="en-GB" w:bidi="en-US"/>
    </w:rPr>
  </w:style>
  <w:style w:type="character" w:customStyle="1" w:styleId="UnresolvedMention4">
    <w:name w:val="Unresolved Mention4"/>
    <w:basedOn w:val="DefaultParagraphFont"/>
    <w:uiPriority w:val="99"/>
    <w:rsid w:val="00F331F8"/>
    <w:rPr>
      <w:color w:val="605E5C"/>
      <w:shd w:val="clear" w:color="auto" w:fill="E1DFDD"/>
    </w:rPr>
  </w:style>
  <w:style w:type="paragraph" w:customStyle="1" w:styleId="Abstract">
    <w:name w:val="Abstract"/>
    <w:rsid w:val="00F331F8"/>
    <w:pPr>
      <w:keepNext/>
      <w:keepLines/>
      <w:widowControl w:val="0"/>
      <w:tabs>
        <w:tab w:val="left" w:pos="-720"/>
      </w:tabs>
      <w:suppressAutoHyphens/>
      <w:spacing w:after="0" w:line="240" w:lineRule="auto"/>
      <w:jc w:val="center"/>
    </w:pPr>
    <w:rPr>
      <w:rFonts w:ascii="Times Roman" w:eastAsia="Times New Roman" w:hAnsi="Times Roman" w:cs="Times New Roman"/>
      <w:snapToGrid w:val="0"/>
      <w:sz w:val="24"/>
      <w:szCs w:val="20"/>
      <w:lang w:val="fr-FR"/>
    </w:rPr>
  </w:style>
  <w:style w:type="table" w:customStyle="1" w:styleId="Grilledutableau1">
    <w:name w:val="Grille du tableau1"/>
    <w:basedOn w:val="TableNormal"/>
    <w:next w:val="TableGrid"/>
    <w:uiPriority w:val="59"/>
    <w:rsid w:val="00F331F8"/>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rsid w:val="00F331F8"/>
    <w:rPr>
      <w:color w:val="605E5C"/>
      <w:shd w:val="clear" w:color="auto" w:fill="E1DFDD"/>
    </w:rPr>
  </w:style>
  <w:style w:type="character" w:styleId="PlaceholderText">
    <w:name w:val="Placeholder Text"/>
    <w:basedOn w:val="DefaultParagraphFont"/>
    <w:uiPriority w:val="99"/>
    <w:semiHidden/>
    <w:rsid w:val="00F331F8"/>
    <w:rPr>
      <w:color w:val="808080"/>
    </w:rPr>
  </w:style>
  <w:style w:type="character" w:customStyle="1" w:styleId="cite-authors">
    <w:name w:val="cite-authors"/>
    <w:basedOn w:val="DefaultParagraphFont"/>
    <w:rsid w:val="00F331F8"/>
  </w:style>
  <w:style w:type="character" w:customStyle="1" w:styleId="author">
    <w:name w:val="author"/>
    <w:basedOn w:val="DefaultParagraphFont"/>
    <w:rsid w:val="00F331F8"/>
  </w:style>
  <w:style w:type="character" w:customStyle="1" w:styleId="cite-title">
    <w:name w:val="cite-title"/>
    <w:basedOn w:val="DefaultParagraphFont"/>
    <w:rsid w:val="00F331F8"/>
  </w:style>
  <w:style w:type="character" w:customStyle="1" w:styleId="cite-blog">
    <w:name w:val="cite-blog"/>
    <w:basedOn w:val="DefaultParagraphFont"/>
    <w:rsid w:val="00F331F8"/>
  </w:style>
  <w:style w:type="character" w:customStyle="1" w:styleId="cite-date">
    <w:name w:val="cite-date"/>
    <w:basedOn w:val="DefaultParagraphFont"/>
    <w:rsid w:val="00F331F8"/>
  </w:style>
  <w:style w:type="character" w:customStyle="1" w:styleId="doi">
    <w:name w:val="doi"/>
    <w:basedOn w:val="DefaultParagraphFont"/>
    <w:rsid w:val="00F331F8"/>
  </w:style>
  <w:style w:type="character" w:customStyle="1" w:styleId="UnresolvedMention6">
    <w:name w:val="Unresolved Mention6"/>
    <w:basedOn w:val="DefaultParagraphFont"/>
    <w:uiPriority w:val="99"/>
    <w:rsid w:val="00F331F8"/>
    <w:rPr>
      <w:color w:val="605E5C"/>
      <w:shd w:val="clear" w:color="auto" w:fill="E1DFDD"/>
    </w:rPr>
  </w:style>
  <w:style w:type="character" w:customStyle="1" w:styleId="UnresolvedMention7">
    <w:name w:val="Unresolved Mention7"/>
    <w:basedOn w:val="DefaultParagraphFont"/>
    <w:uiPriority w:val="99"/>
    <w:unhideWhenUsed/>
    <w:rsid w:val="00F331F8"/>
    <w:rPr>
      <w:color w:val="605E5C"/>
      <w:shd w:val="clear" w:color="auto" w:fill="E1DFDD"/>
    </w:rPr>
  </w:style>
  <w:style w:type="paragraph" w:styleId="HTMLPreformatted">
    <w:name w:val="HTML Preformatted"/>
    <w:basedOn w:val="Normal"/>
    <w:link w:val="HTMLPreformattedChar"/>
    <w:uiPriority w:val="99"/>
    <w:unhideWhenUsed/>
    <w:rsid w:val="00F33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HTMLPreformattedChar">
    <w:name w:val="HTML Preformatted Char"/>
    <w:basedOn w:val="DefaultParagraphFont"/>
    <w:link w:val="HTMLPreformatted"/>
    <w:uiPriority w:val="99"/>
    <w:rsid w:val="00F331F8"/>
    <w:rPr>
      <w:rFonts w:ascii="Courier New" w:eastAsia="Times New Roman" w:hAnsi="Courier New" w:cs="Courier New"/>
      <w:sz w:val="20"/>
      <w:szCs w:val="20"/>
      <w:lang w:val="fr-FR" w:eastAsia="fr-FR"/>
    </w:rPr>
  </w:style>
  <w:style w:type="character" w:customStyle="1" w:styleId="y2iqfc">
    <w:name w:val="y2iqfc"/>
    <w:basedOn w:val="DefaultParagraphFont"/>
    <w:rsid w:val="00F331F8"/>
  </w:style>
  <w:style w:type="paragraph" w:customStyle="1" w:styleId="APP">
    <w:name w:val="APP"/>
    <w:basedOn w:val="Normal"/>
    <w:qFormat/>
    <w:rsid w:val="00F331F8"/>
    <w:rPr>
      <w:rFonts w:ascii="Arial" w:eastAsia="Calibri" w:hAnsi="Arial" w:cs="Times New Roman"/>
      <w:b/>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coe.int/declaration-de-copenhague/16807b915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m.coe.int/comite-directeur-pour-les-droits-de-l-homme-cddh-rapport-du-cddh-sur-l/168099427a"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hudoc.echr.coe.int/eng?i=001-93265" TargetMode="External"/><Relationship Id="rId299" Type="http://schemas.openxmlformats.org/officeDocument/2006/relationships/hyperlink" Target="http://hudoc.echr.coe.int/eng?i=001-109871" TargetMode="External"/><Relationship Id="rId303" Type="http://schemas.openxmlformats.org/officeDocument/2006/relationships/hyperlink" Target="http://hudoc.echr.coe.int/eng?i=001-93983" TargetMode="External"/><Relationship Id="rId21" Type="http://schemas.openxmlformats.org/officeDocument/2006/relationships/hyperlink" Target="https://rm.coe.int/steering-committee-for-human-rights-cddh-proposals-for-a-more-efficien/168094e6e1" TargetMode="External"/><Relationship Id="rId42" Type="http://schemas.openxmlformats.org/officeDocument/2006/relationships/hyperlink" Target="https://hudoc.echr.coe.int/fre" TargetMode="External"/><Relationship Id="rId63" Type="http://schemas.openxmlformats.org/officeDocument/2006/relationships/hyperlink" Target="http://hudoc.echr.coe.int/eng?i=001-75003" TargetMode="External"/><Relationship Id="rId84" Type="http://schemas.openxmlformats.org/officeDocument/2006/relationships/hyperlink" Target="http://hudoc.echr.coe.int/eng?i=001-206897" TargetMode="External"/><Relationship Id="rId138" Type="http://schemas.openxmlformats.org/officeDocument/2006/relationships/hyperlink" Target="http://hudoc.echr.coe.int/eng?i=001-121143" TargetMode="External"/><Relationship Id="rId159" Type="http://schemas.openxmlformats.org/officeDocument/2006/relationships/hyperlink" Target="https://www.coe.int/en/web/human-rights-intergovernmental-cooperation/human-rights-development-cddh/plenary-meeting-reports" TargetMode="External"/><Relationship Id="rId324" Type="http://schemas.openxmlformats.org/officeDocument/2006/relationships/hyperlink" Target="http://hudoc.echr.coe.int/eng?i=001-192624" TargetMode="External"/><Relationship Id="rId170" Type="http://schemas.openxmlformats.org/officeDocument/2006/relationships/hyperlink" Target="http://hudoc.echr.coe.int/eng?i=001-207758" TargetMode="External"/><Relationship Id="rId191" Type="http://schemas.openxmlformats.org/officeDocument/2006/relationships/hyperlink" Target="http://hudoc.echr.coe.int/eng?i=001-127690" TargetMode="External"/><Relationship Id="rId205" Type="http://schemas.openxmlformats.org/officeDocument/2006/relationships/hyperlink" Target="http://hudoc.echr.coe.int/eng?i=001-127690" TargetMode="External"/><Relationship Id="rId226" Type="http://schemas.openxmlformats.org/officeDocument/2006/relationships/hyperlink" Target="http://hudoc.echr.coe.int/eng?i=001-207758" TargetMode="External"/><Relationship Id="rId247" Type="http://schemas.openxmlformats.org/officeDocument/2006/relationships/hyperlink" Target="http://hudoc.echr.coe.int/eng?i=001-145552" TargetMode="External"/><Relationship Id="rId107" Type="http://schemas.openxmlformats.org/officeDocument/2006/relationships/hyperlink" Target="https://rm.coe.int/steering-committee-for-human-rights-comite-directeur-pour-les-droits-d/1680943434" TargetMode="External"/><Relationship Id="rId268" Type="http://schemas.openxmlformats.org/officeDocument/2006/relationships/hyperlink" Target="http://hudoc.echr.coe.int/eng?i=001-142541" TargetMode="External"/><Relationship Id="rId289" Type="http://schemas.openxmlformats.org/officeDocument/2006/relationships/hyperlink" Target="https://hudoc.echr.coe.int/eng" TargetMode="External"/><Relationship Id="rId11" Type="http://schemas.openxmlformats.org/officeDocument/2006/relationships/hyperlink" Target="https://rm.coe.int/groupe-de-redaction-sur-le-traitement-et-la-resolution-efficace-d-affa/1680996b60" TargetMode="External"/><Relationship Id="rId32" Type="http://schemas.openxmlformats.org/officeDocument/2006/relationships/hyperlink" Target="http://hudoc.echr.coe.int/eng?i=001-207626" TargetMode="External"/><Relationship Id="rId53" Type="http://schemas.openxmlformats.org/officeDocument/2006/relationships/hyperlink" Target="https://hudoc.echr.coe.int/fre" TargetMode="External"/><Relationship Id="rId74" Type="http://schemas.openxmlformats.org/officeDocument/2006/relationships/hyperlink" Target="http://hudoc.echr.coe.int/eng?i=001-97450" TargetMode="External"/><Relationship Id="rId128" Type="http://schemas.openxmlformats.org/officeDocument/2006/relationships/hyperlink" Target="http://hudoc.echr.coe.int/eng?i=001-193851" TargetMode="External"/><Relationship Id="rId149" Type="http://schemas.openxmlformats.org/officeDocument/2006/relationships/hyperlink" Target="http://hudoc.echr.coe.int/eng?i=001-86565" TargetMode="External"/><Relationship Id="rId314" Type="http://schemas.openxmlformats.org/officeDocument/2006/relationships/hyperlink" Target="http://hudoc.echr.coe.int/eng?i=001-95691" TargetMode="External"/><Relationship Id="rId5" Type="http://schemas.openxmlformats.org/officeDocument/2006/relationships/hyperlink" Target="https://rm.coe.int/steering-committee-for-human-rights-comite-directeur-pour-les-droits-d/1680943434" TargetMode="External"/><Relationship Id="rId95" Type="http://schemas.openxmlformats.org/officeDocument/2006/relationships/hyperlink" Target="http://hudoc.echr.coe.int/eng?i=001-74371" TargetMode="External"/><Relationship Id="rId160" Type="http://schemas.openxmlformats.org/officeDocument/2006/relationships/hyperlink" Target="https://rm.coe.int/steering-committee-for-human-rights-cddh-cddh-report-on-the-place-of-t/1680994279" TargetMode="External"/><Relationship Id="rId181" Type="http://schemas.openxmlformats.org/officeDocument/2006/relationships/hyperlink" Target="http://hudoc.echr.coe.int/eng?i=001-207757" TargetMode="External"/><Relationship Id="rId216" Type="http://schemas.openxmlformats.org/officeDocument/2006/relationships/hyperlink" Target="http://hudoc.echr.coe.int/eng?i=001-127684" TargetMode="External"/><Relationship Id="rId237" Type="http://schemas.openxmlformats.org/officeDocument/2006/relationships/hyperlink" Target="http://hudoc.echr.coe.int/eng?i=001-207626" TargetMode="External"/><Relationship Id="rId258" Type="http://schemas.openxmlformats.org/officeDocument/2006/relationships/hyperlink" Target="https://www.echr.coe.int/Documents/Rules_Court_ENG.pdf" TargetMode="External"/><Relationship Id="rId279" Type="http://schemas.openxmlformats.org/officeDocument/2006/relationships/hyperlink" Target="http://hudoc.echr.coe.int/eng?i=001-189852" TargetMode="External"/><Relationship Id="rId22" Type="http://schemas.openxmlformats.org/officeDocument/2006/relationships/hyperlink" Target="https://rm.coe.int/comments-of-the-european-court-of-human-rights-interlaken-process-/16809e4f34" TargetMode="External"/><Relationship Id="rId43" Type="http://schemas.openxmlformats.org/officeDocument/2006/relationships/hyperlink" Target="http://hudoc.echr.coe.int/eng?i=001-144153" TargetMode="External"/><Relationship Id="rId64" Type="http://schemas.openxmlformats.org/officeDocument/2006/relationships/hyperlink" Target="https://hudoc.echr.coe.int/fre" TargetMode="External"/><Relationship Id="rId118" Type="http://schemas.openxmlformats.org/officeDocument/2006/relationships/hyperlink" Target="http://hudoc.echr.coe.int/eng?i=001-112143" TargetMode="External"/><Relationship Id="rId139" Type="http://schemas.openxmlformats.org/officeDocument/2006/relationships/hyperlink" Target="http://hudoc.echr.coe.int/eng?i=001-106308" TargetMode="External"/><Relationship Id="rId290" Type="http://schemas.openxmlformats.org/officeDocument/2006/relationships/hyperlink" Target="https://hudoc.echr.coe.int/eng" TargetMode="External"/><Relationship Id="rId304" Type="http://schemas.openxmlformats.org/officeDocument/2006/relationships/hyperlink" Target="https://www.echr.coe.int/Documents/Stats_analysis_2019_ENG.pdf" TargetMode="External"/><Relationship Id="rId325" Type="http://schemas.openxmlformats.org/officeDocument/2006/relationships/hyperlink" Target="https://www.echr.coe.int/Documents/Stats_analysis_2019_FRA.pdf" TargetMode="External"/><Relationship Id="rId85" Type="http://schemas.openxmlformats.org/officeDocument/2006/relationships/hyperlink" Target="http://hudoc.echr.coe.int/eng?i=001-207014" TargetMode="External"/><Relationship Id="rId150" Type="http://schemas.openxmlformats.org/officeDocument/2006/relationships/hyperlink" Target="http://hudoc.echr.coe.int/eng?i=001-187961" TargetMode="External"/><Relationship Id="rId171" Type="http://schemas.openxmlformats.org/officeDocument/2006/relationships/hyperlink" Target="https://www.echr.coe.int/Documents/Rules_Court_ENG.pdf" TargetMode="External"/><Relationship Id="rId192" Type="http://schemas.openxmlformats.org/officeDocument/2006/relationships/hyperlink" Target="http://hudoc.echr.coe.int/eng?i=001-127690" TargetMode="External"/><Relationship Id="rId206" Type="http://schemas.openxmlformats.org/officeDocument/2006/relationships/hyperlink" Target="http://hudoc.echr.coe.int/eng?i=001-145546" TargetMode="External"/><Relationship Id="rId227" Type="http://schemas.openxmlformats.org/officeDocument/2006/relationships/hyperlink" Target="https://hudoc.echr.coe.int/fre" TargetMode="External"/><Relationship Id="rId248" Type="http://schemas.openxmlformats.org/officeDocument/2006/relationships/hyperlink" Target="http://hudoc.echr.coe.int/eng?i=001-207757" TargetMode="External"/><Relationship Id="rId269" Type="http://schemas.openxmlformats.org/officeDocument/2006/relationships/hyperlink" Target="https://hudoc.echr.coe.int/eng" TargetMode="External"/><Relationship Id="rId12" Type="http://schemas.openxmlformats.org/officeDocument/2006/relationships/hyperlink" Target="https://rm.coe.int/comite-directeur-pour-les-droits-de-l-homme-cddh-rapport-92e-reunion-s/16809971f1" TargetMode="External"/><Relationship Id="rId33" Type="http://schemas.openxmlformats.org/officeDocument/2006/relationships/hyperlink" Target="http://hudoc.echr.coe.int/eng?i=001-207758" TargetMode="External"/><Relationship Id="rId108" Type="http://schemas.openxmlformats.org/officeDocument/2006/relationships/hyperlink" Target="http://hudoc.echr.coe.int/fre?i=001-94161" TargetMode="External"/><Relationship Id="rId129" Type="http://schemas.openxmlformats.org/officeDocument/2006/relationships/hyperlink" Target="https://hudoc.echr.coe.int/eng" TargetMode="External"/><Relationship Id="rId280" Type="http://schemas.openxmlformats.org/officeDocument/2006/relationships/hyperlink" Target="http://hudoc.echr.coe.int/eng?i=001-144153" TargetMode="External"/><Relationship Id="rId315" Type="http://schemas.openxmlformats.org/officeDocument/2006/relationships/hyperlink" Target="http://hudoc.echr.coe.int/eng?i=001-74174" TargetMode="External"/><Relationship Id="rId54" Type="http://schemas.openxmlformats.org/officeDocument/2006/relationships/hyperlink" Target="http://hudoc.echr.coe.int/eng?i=001-207626" TargetMode="External"/><Relationship Id="rId75" Type="http://schemas.openxmlformats.org/officeDocument/2006/relationships/hyperlink" Target="http://hudoc.echr.coe.int/eng?i=001-97650" TargetMode="External"/><Relationship Id="rId96" Type="http://schemas.openxmlformats.org/officeDocument/2006/relationships/hyperlink" Target="http://hudoc.echr.coe.int/eng?i=001-87535" TargetMode="External"/><Relationship Id="rId140" Type="http://schemas.openxmlformats.org/officeDocument/2006/relationships/hyperlink" Target="http://hudoc.echr.coe.int/eng?i=001-87620" TargetMode="External"/><Relationship Id="rId161" Type="http://schemas.openxmlformats.org/officeDocument/2006/relationships/hyperlink" Target="http://hudoc.echr.coe.int/eng?i=001-108100" TargetMode="External"/><Relationship Id="rId182" Type="http://schemas.openxmlformats.org/officeDocument/2006/relationships/hyperlink" Target="http://hudoc.echr.coe.int/eng?i=001-207757" TargetMode="External"/><Relationship Id="rId217" Type="http://schemas.openxmlformats.org/officeDocument/2006/relationships/hyperlink" Target="http://hudoc.echr.coe.int/eng?i=001-127690" TargetMode="External"/><Relationship Id="rId6" Type="http://schemas.openxmlformats.org/officeDocument/2006/relationships/hyperlink" Target="https://rm.coe.int/steering-committee-for-human-rights-cddh-proposals-for-a-more-efficien/168094e6e1" TargetMode="External"/><Relationship Id="rId238" Type="http://schemas.openxmlformats.org/officeDocument/2006/relationships/hyperlink" Target="http://hudoc.echr.coe.int/eng?i=001-207626" TargetMode="External"/><Relationship Id="rId259" Type="http://schemas.openxmlformats.org/officeDocument/2006/relationships/hyperlink" Target="http://hudoc.echr.coe.int/eng?i=001-207757" TargetMode="External"/><Relationship Id="rId23" Type="http://schemas.openxmlformats.org/officeDocument/2006/relationships/hyperlink" Target="https://rm.coe.int/copenhagen-declaration/16807b915c" TargetMode="External"/><Relationship Id="rId119" Type="http://schemas.openxmlformats.org/officeDocument/2006/relationships/hyperlink" Target="http://hudoc.echr.coe.int/eng?i=001-93264" TargetMode="External"/><Relationship Id="rId270" Type="http://schemas.openxmlformats.org/officeDocument/2006/relationships/hyperlink" Target="http://hudoc.echr.coe.int/eng?i=001-58976" TargetMode="External"/><Relationship Id="rId291" Type="http://schemas.openxmlformats.org/officeDocument/2006/relationships/hyperlink" Target="https://hudoc.echr.coe.int/eng" TargetMode="External"/><Relationship Id="rId305" Type="http://schemas.openxmlformats.org/officeDocument/2006/relationships/hyperlink" Target="https://www.echr.coe.int/Documents/Stats_analysis_2019_FRA.pdf" TargetMode="External"/><Relationship Id="rId326" Type="http://schemas.openxmlformats.org/officeDocument/2006/relationships/hyperlink" Target="http://hudoc.echr.coe.int/eng?i=001-71802" TargetMode="External"/><Relationship Id="rId44" Type="http://schemas.openxmlformats.org/officeDocument/2006/relationships/hyperlink" Target="https://hudoc.echr.coe.int/fre" TargetMode="External"/><Relationship Id="rId65" Type="http://schemas.openxmlformats.org/officeDocument/2006/relationships/hyperlink" Target="https://hudoc.echr.coe.int/eng" TargetMode="External"/><Relationship Id="rId86" Type="http://schemas.openxmlformats.org/officeDocument/2006/relationships/hyperlink" Target="http://hudoc.echr.coe.int/eng?i=001-207014" TargetMode="External"/><Relationship Id="rId130" Type="http://schemas.openxmlformats.org/officeDocument/2006/relationships/hyperlink" Target="https://hudoc.echr.coe.int/eng" TargetMode="External"/><Relationship Id="rId151" Type="http://schemas.openxmlformats.org/officeDocument/2006/relationships/hyperlink" Target="http://hudoc.echr.coe.int/eng?i=001-187917" TargetMode="External"/><Relationship Id="rId172" Type="http://schemas.openxmlformats.org/officeDocument/2006/relationships/hyperlink" Target="http://hudoc.echr.coe.int/eng?i=001-57506" TargetMode="External"/><Relationship Id="rId193" Type="http://schemas.openxmlformats.org/officeDocument/2006/relationships/hyperlink" Target="http://hudoc.echr.coe.int/eng?i=001-127690" TargetMode="External"/><Relationship Id="rId207" Type="http://schemas.openxmlformats.org/officeDocument/2006/relationships/hyperlink" Target="http://hudoc.echr.coe.int/eng?i=001-207758" TargetMode="External"/><Relationship Id="rId228" Type="http://schemas.openxmlformats.org/officeDocument/2006/relationships/hyperlink" Target="http://hudoc.echr.coe.int/eng?i=001-145552" TargetMode="External"/><Relationship Id="rId249" Type="http://schemas.openxmlformats.org/officeDocument/2006/relationships/hyperlink" Target="http://hudoc.echr.coe.int/eng?i=001-108100" TargetMode="External"/><Relationship Id="rId13" Type="http://schemas.openxmlformats.org/officeDocument/2006/relationships/hyperlink" Target="https://rm.coe.int/steering-committee-for-human-rights-cddh-contribution-of-the-cddh-to-t/1680990d49" TargetMode="External"/><Relationship Id="rId109" Type="http://schemas.openxmlformats.org/officeDocument/2006/relationships/hyperlink" Target="http://hudoc.echr.coe.int/eng?i=001-169648" TargetMode="External"/><Relationship Id="rId260" Type="http://schemas.openxmlformats.org/officeDocument/2006/relationships/hyperlink" Target="https://www.echr.coe.int/Documents/Rules_Court_FRA.pdf" TargetMode="External"/><Relationship Id="rId281" Type="http://schemas.openxmlformats.org/officeDocument/2006/relationships/hyperlink" Target="http://hudoc.echr.coe.int/eng?i=001-189852" TargetMode="External"/><Relationship Id="rId316" Type="http://schemas.openxmlformats.org/officeDocument/2006/relationships/hyperlink" Target="http://hudoc.echr.coe.int/eng?i=001-95691" TargetMode="External"/><Relationship Id="rId34" Type="http://schemas.openxmlformats.org/officeDocument/2006/relationships/hyperlink" Target="http://hudoc.echr.coe.int/eng?i=001-74174" TargetMode="External"/><Relationship Id="rId55" Type="http://schemas.openxmlformats.org/officeDocument/2006/relationships/hyperlink" Target="https://hudoc.echr.coe.int/eng" TargetMode="External"/><Relationship Id="rId76" Type="http://schemas.openxmlformats.org/officeDocument/2006/relationships/hyperlink" Target="http://hudoc.echr.coe.int/eng?i=001-100666" TargetMode="External"/><Relationship Id="rId97" Type="http://schemas.openxmlformats.org/officeDocument/2006/relationships/hyperlink" Target="http://hudoc.echr.coe.int/eng?i=001-75063" TargetMode="External"/><Relationship Id="rId120" Type="http://schemas.openxmlformats.org/officeDocument/2006/relationships/hyperlink" Target="http://hudoc.echr.coe.int/eng?i=001-162205" TargetMode="External"/><Relationship Id="rId141" Type="http://schemas.openxmlformats.org/officeDocument/2006/relationships/hyperlink" Target="http://hudoc.echr.coe.int/eng?i=001-103216" TargetMode="External"/><Relationship Id="rId7" Type="http://schemas.openxmlformats.org/officeDocument/2006/relationships/hyperlink" Target="https://rm.coe.int/steering-committee-for-human-rights-cddh-draft-additional-elements-res/168094ef0b" TargetMode="External"/><Relationship Id="rId162" Type="http://schemas.openxmlformats.org/officeDocument/2006/relationships/hyperlink" Target="http://hudoc.echr.coe.int/eng?i=001-3213" TargetMode="External"/><Relationship Id="rId183" Type="http://schemas.openxmlformats.org/officeDocument/2006/relationships/hyperlink" Target="http://hudoc.echr.coe.int/eng?i=001-207626" TargetMode="External"/><Relationship Id="rId218" Type="http://schemas.openxmlformats.org/officeDocument/2006/relationships/hyperlink" Target="http://hudoc.echr.coe.int/eng?i=001-108100" TargetMode="External"/><Relationship Id="rId239" Type="http://schemas.openxmlformats.org/officeDocument/2006/relationships/hyperlink" Target="http://hudoc.echr.coe.int/eng?i=001-145552" TargetMode="External"/><Relationship Id="rId250" Type="http://schemas.openxmlformats.org/officeDocument/2006/relationships/hyperlink" Target="http://hudoc.echr.coe.int/eng?i=001-93426" TargetMode="External"/><Relationship Id="rId271" Type="http://schemas.openxmlformats.org/officeDocument/2006/relationships/hyperlink" Target="http://hudoc.echr.coe.int/eng?i=001-60509" TargetMode="External"/><Relationship Id="rId292" Type="http://schemas.openxmlformats.org/officeDocument/2006/relationships/hyperlink" Target="https://hudoc.echr.coe.int/eng" TargetMode="External"/><Relationship Id="rId306" Type="http://schemas.openxmlformats.org/officeDocument/2006/relationships/hyperlink" Target="http://hudoc.echr.coe.int/eng?i=001-73858" TargetMode="External"/><Relationship Id="rId24" Type="http://schemas.openxmlformats.org/officeDocument/2006/relationships/hyperlink" Target="https://rm.coe.int/declaration-de-copenhague/16807b915b" TargetMode="External"/><Relationship Id="rId45" Type="http://schemas.openxmlformats.org/officeDocument/2006/relationships/hyperlink" Target="http://hudoc.echr.coe.int/eng?i=001-144153" TargetMode="External"/><Relationship Id="rId66" Type="http://schemas.openxmlformats.org/officeDocument/2006/relationships/hyperlink" Target="http://hudoc.echr.coe.int/eng?i=001-43391" TargetMode="External"/><Relationship Id="rId87" Type="http://schemas.openxmlformats.org/officeDocument/2006/relationships/hyperlink" Target="https://hudoc.echr.coe.int/eng" TargetMode="External"/><Relationship Id="rId110" Type="http://schemas.openxmlformats.org/officeDocument/2006/relationships/hyperlink" Target="http://hudoc.echr.coe.int/fre-press?i=003-6282065-8189104" TargetMode="External"/><Relationship Id="rId131" Type="http://schemas.openxmlformats.org/officeDocument/2006/relationships/hyperlink" Target="http://hudoc.echr.coe.int/eng?i=001-142444" TargetMode="External"/><Relationship Id="rId327" Type="http://schemas.openxmlformats.org/officeDocument/2006/relationships/hyperlink" Target="http://hudoc.echr.coe.int/eng?i=001-97650" TargetMode="External"/><Relationship Id="rId152" Type="http://schemas.openxmlformats.org/officeDocument/2006/relationships/hyperlink" Target="https://treaties.un.org/Pages/ViewDetails.aspx?src=TREATY&amp;mtdsg_no=IV-5&amp;chapter=4" TargetMode="External"/><Relationship Id="rId173" Type="http://schemas.openxmlformats.org/officeDocument/2006/relationships/hyperlink" Target="http://hudoc.echr.coe.int/eng?i=001-69630" TargetMode="External"/><Relationship Id="rId194" Type="http://schemas.openxmlformats.org/officeDocument/2006/relationships/hyperlink" Target="http://hudoc.echr.coe.int/eng?i=001-127690" TargetMode="External"/><Relationship Id="rId208" Type="http://schemas.openxmlformats.org/officeDocument/2006/relationships/hyperlink" Target="http://hudoc.echr.coe.int/eng?i=001-84671" TargetMode="External"/><Relationship Id="rId229" Type="http://schemas.openxmlformats.org/officeDocument/2006/relationships/hyperlink" Target="http://hudoc.echr.coe.int/eng?i=001-207758" TargetMode="External"/><Relationship Id="rId240" Type="http://schemas.openxmlformats.org/officeDocument/2006/relationships/hyperlink" Target="http://hudoc.echr.coe.int/eng?i=001-207626" TargetMode="External"/><Relationship Id="rId261" Type="http://schemas.openxmlformats.org/officeDocument/2006/relationships/hyperlink" Target="http://hudoc.echr.coe.int/eng?i=001-64012" TargetMode="External"/><Relationship Id="rId14" Type="http://schemas.openxmlformats.org/officeDocument/2006/relationships/hyperlink" Target="https://rm.coe.int/comite-directeur-pour-les-droits-de-l-homme-cddh-rapport-du-cddh-sur-l/168099427a" TargetMode="External"/><Relationship Id="rId30" Type="http://schemas.openxmlformats.org/officeDocument/2006/relationships/hyperlink" Target="https://rm.coe.int/declaration-de-copenhague/16807b915b" TargetMode="External"/><Relationship Id="rId35" Type="http://schemas.openxmlformats.org/officeDocument/2006/relationships/hyperlink" Target="https://hudoc.echr.coe.int/eng" TargetMode="External"/><Relationship Id="rId56" Type="http://schemas.openxmlformats.org/officeDocument/2006/relationships/hyperlink" Target="https://hudoc.echr.coe.int/fre" TargetMode="External"/><Relationship Id="rId77" Type="http://schemas.openxmlformats.org/officeDocument/2006/relationships/hyperlink" Target="http://hudoc.echr.coe.int/eng?i=001-109049" TargetMode="External"/><Relationship Id="rId100" Type="http://schemas.openxmlformats.org/officeDocument/2006/relationships/hyperlink" Target="http://hudoc.echr.coe.int/eng?i=001-207626" TargetMode="External"/><Relationship Id="rId105" Type="http://schemas.openxmlformats.org/officeDocument/2006/relationships/hyperlink" Target="https://rm.coe.int/steering-committee-for-human-rights-cddh-proposals-for-a-more-efficien/168094e6e1" TargetMode="External"/><Relationship Id="rId126" Type="http://schemas.openxmlformats.org/officeDocument/2006/relationships/hyperlink" Target="http://hudoc.echr.coe.int/eng?i=001-106308" TargetMode="External"/><Relationship Id="rId147" Type="http://schemas.openxmlformats.org/officeDocument/2006/relationships/hyperlink" Target="http://hudoc.echr.coe.int/eng?i=001-199499" TargetMode="External"/><Relationship Id="rId168" Type="http://schemas.openxmlformats.org/officeDocument/2006/relationships/hyperlink" Target="http://hudoc.echr.coe.int/eng?i=001-207757" TargetMode="External"/><Relationship Id="rId282" Type="http://schemas.openxmlformats.org/officeDocument/2006/relationships/hyperlink" Target="http://hudoc.echr.coe.int/eng?i=001-207758" TargetMode="External"/><Relationship Id="rId312" Type="http://schemas.openxmlformats.org/officeDocument/2006/relationships/hyperlink" Target="https://search.coe.int/cm/Pages/result_details.aspx?ObjectId=09000016805ad561" TargetMode="External"/><Relationship Id="rId317" Type="http://schemas.openxmlformats.org/officeDocument/2006/relationships/hyperlink" Target="http://hudoc.echr.coe.int/eng?i=001-63057" TargetMode="External"/><Relationship Id="rId8" Type="http://schemas.openxmlformats.org/officeDocument/2006/relationships/hyperlink" Target="https://rm.coe.int/comite-directeur-pour-les-droits-de-l-homme-cddh-rapport-91e-reunion-s/168096f6ac" TargetMode="External"/><Relationship Id="rId51" Type="http://schemas.openxmlformats.org/officeDocument/2006/relationships/hyperlink" Target="http://hudoc.echr.coe.int/eng?i=001-207626" TargetMode="External"/><Relationship Id="rId72" Type="http://schemas.openxmlformats.org/officeDocument/2006/relationships/hyperlink" Target="http://hudoc.echr.coe.int/eng?i=001-127540" TargetMode="External"/><Relationship Id="rId93" Type="http://schemas.openxmlformats.org/officeDocument/2006/relationships/hyperlink" Target="http://hudoc.echr.coe.int/eng?i=001-207014" TargetMode="External"/><Relationship Id="rId98" Type="http://schemas.openxmlformats.org/officeDocument/2006/relationships/hyperlink" Target="http://hudoc.echr.coe.int/eng?i=001-74371" TargetMode="External"/><Relationship Id="rId121" Type="http://schemas.openxmlformats.org/officeDocument/2006/relationships/hyperlink" Target="http://hudoc.echr.coe.int/eng?i=001-93264" TargetMode="External"/><Relationship Id="rId142" Type="http://schemas.openxmlformats.org/officeDocument/2006/relationships/hyperlink" Target="http://hudoc.echr.coe.int/eng?i=001-193851" TargetMode="External"/><Relationship Id="rId163" Type="http://schemas.openxmlformats.org/officeDocument/2006/relationships/hyperlink" Target="https://rm.coe.int/CoERMPublicCommonSearchServices/DisplayDCTMContent?documentId=09000016804c1599" TargetMode="External"/><Relationship Id="rId184" Type="http://schemas.openxmlformats.org/officeDocument/2006/relationships/hyperlink" Target="https://hudoc.echr.coe.int/eng" TargetMode="External"/><Relationship Id="rId189" Type="http://schemas.openxmlformats.org/officeDocument/2006/relationships/hyperlink" Target="http://hudoc.echr.coe.int/eng?i=001-76493" TargetMode="External"/><Relationship Id="rId219" Type="http://schemas.openxmlformats.org/officeDocument/2006/relationships/hyperlink" Target="http://hudoc.echr.coe.int/eng?i=001-207626" TargetMode="External"/><Relationship Id="rId3" Type="http://schemas.openxmlformats.org/officeDocument/2006/relationships/hyperlink" Target="https://rm.coe.int/comite-directeur-pour-les-droits-de-l-homme-cddh-rapport-91e-reunion-s/168096f6ac" TargetMode="External"/><Relationship Id="rId214" Type="http://schemas.openxmlformats.org/officeDocument/2006/relationships/hyperlink" Target="https://hudoc.echr.coe.int/eng" TargetMode="External"/><Relationship Id="rId230" Type="http://schemas.openxmlformats.org/officeDocument/2006/relationships/hyperlink" Target="http://hudoc.echr.coe.int/eng?i=001-145552" TargetMode="External"/><Relationship Id="rId235" Type="http://schemas.openxmlformats.org/officeDocument/2006/relationships/hyperlink" Target="http://hudoc.echr.coe.int/eng?i=001-207626" TargetMode="External"/><Relationship Id="rId251" Type="http://schemas.openxmlformats.org/officeDocument/2006/relationships/hyperlink" Target="http://hudoc.echr.coe.int/eng?i=001-108100" TargetMode="External"/><Relationship Id="rId256" Type="http://schemas.openxmlformats.org/officeDocument/2006/relationships/hyperlink" Target="https://www.echr.coe.int/Documents/Rules_Court_ENG.pdf" TargetMode="External"/><Relationship Id="rId277" Type="http://schemas.openxmlformats.org/officeDocument/2006/relationships/hyperlink" Target="http://hudoc.echr.coe.int/eng?i=001-144153" TargetMode="External"/><Relationship Id="rId298" Type="http://schemas.openxmlformats.org/officeDocument/2006/relationships/hyperlink" Target="http://hudoc.echr.coe.int/eng?i=001-189852" TargetMode="External"/><Relationship Id="rId25" Type="http://schemas.openxmlformats.org/officeDocument/2006/relationships/hyperlink" Target="https://rm.coe.int/steering-committee-for-human-rights-cddh-proposals-for-a-more-efficien/168094e6e1" TargetMode="External"/><Relationship Id="rId46" Type="http://schemas.openxmlformats.org/officeDocument/2006/relationships/hyperlink" Target="http://hudoc.echr.coe.int/eng?i=001-207014" TargetMode="External"/><Relationship Id="rId67" Type="http://schemas.openxmlformats.org/officeDocument/2006/relationships/hyperlink" Target="http://hudoc.echr.coe.int/eng?i=001-65799" TargetMode="External"/><Relationship Id="rId116" Type="http://schemas.openxmlformats.org/officeDocument/2006/relationships/hyperlink" Target="http://hudoc.echr.coe.int/eng?i=001-207626" TargetMode="External"/><Relationship Id="rId137" Type="http://schemas.openxmlformats.org/officeDocument/2006/relationships/hyperlink" Target="http://hudoc.echr.coe.int/eng?i=001-199499" TargetMode="External"/><Relationship Id="rId158" Type="http://schemas.openxmlformats.org/officeDocument/2006/relationships/hyperlink" Target="http://hudoc.echr.coe.int/eng?i=001-181828" TargetMode="External"/><Relationship Id="rId272" Type="http://schemas.openxmlformats.org/officeDocument/2006/relationships/hyperlink" Target="https://www.echr.coe.int/Documents/Denmark_v_Greece_I.pdf" TargetMode="External"/><Relationship Id="rId293" Type="http://schemas.openxmlformats.org/officeDocument/2006/relationships/hyperlink" Target="https://rm.coe.int/steering-committee-for-human-rights-cddh-proposals-for-a-more-efficien/168094e6e1" TargetMode="External"/><Relationship Id="rId302" Type="http://schemas.openxmlformats.org/officeDocument/2006/relationships/hyperlink" Target="http://hudoc.echr.coe.int/eng?i=001-82839" TargetMode="External"/><Relationship Id="rId307" Type="http://schemas.openxmlformats.org/officeDocument/2006/relationships/hyperlink" Target="https://search.coe.int/cm/Pages/result_details.aspx?ObjectId=09000016805e346d" TargetMode="External"/><Relationship Id="rId323" Type="http://schemas.openxmlformats.org/officeDocument/2006/relationships/hyperlink" Target="http://hudoc.echr.coe.int/fre?i=001-96623" TargetMode="External"/><Relationship Id="rId328" Type="http://schemas.openxmlformats.org/officeDocument/2006/relationships/hyperlink" Target="http://hudoc.echr.coe.int/eng?i=001-144153" TargetMode="External"/><Relationship Id="rId20" Type="http://schemas.openxmlformats.org/officeDocument/2006/relationships/hyperlink" Target="https://rm.coe.int/steering-committee-for-human-rights-cddh-proposals-for-a-more-efficien/168094e6e1" TargetMode="External"/><Relationship Id="rId41" Type="http://schemas.openxmlformats.org/officeDocument/2006/relationships/hyperlink" Target="http://hudoc.echr.coe.int/eng?i=001-207626" TargetMode="External"/><Relationship Id="rId62" Type="http://schemas.openxmlformats.org/officeDocument/2006/relationships/hyperlink" Target="http://hudoc.echr.coe.int/eng?i=001-145552" TargetMode="External"/><Relationship Id="rId83" Type="http://schemas.openxmlformats.org/officeDocument/2006/relationships/hyperlink" Target="http://hudoc.echr.coe.int/eng?i=001-207014" TargetMode="External"/><Relationship Id="rId88" Type="http://schemas.openxmlformats.org/officeDocument/2006/relationships/hyperlink" Target="http://hudoc.echr.coe.int/eng?i=001-207626" TargetMode="External"/><Relationship Id="rId111" Type="http://schemas.openxmlformats.org/officeDocument/2006/relationships/hyperlink" Target="https://hudoc.echr.coe.int/eng" TargetMode="External"/><Relationship Id="rId132" Type="http://schemas.openxmlformats.org/officeDocument/2006/relationships/hyperlink" Target="https://hudoc.echr.coe.int/eng" TargetMode="External"/><Relationship Id="rId153" Type="http://schemas.openxmlformats.org/officeDocument/2006/relationships/hyperlink" Target="https://tbinternet.ohchr.org/_layouts/15/treatybodyexternal/Download.aspx?symbolno=CCPR%2fC%2f123%2fD%2f2807%2f2016&amp;Lang=en" TargetMode="External"/><Relationship Id="rId174" Type="http://schemas.openxmlformats.org/officeDocument/2006/relationships/hyperlink" Target="http://hudoc.echr.coe.int/eng?i=001-145546" TargetMode="External"/><Relationship Id="rId179" Type="http://schemas.openxmlformats.org/officeDocument/2006/relationships/hyperlink" Target="http://hudoc.echr.coe.int/eng?i=001-207757" TargetMode="External"/><Relationship Id="rId195" Type="http://schemas.openxmlformats.org/officeDocument/2006/relationships/hyperlink" Target="http://hudoc.echr.coe.int/eng?i=001-104636" TargetMode="External"/><Relationship Id="rId209" Type="http://schemas.openxmlformats.org/officeDocument/2006/relationships/hyperlink" Target="http://hudoc.echr.coe.int/eng?i=001-69616" TargetMode="External"/><Relationship Id="rId190" Type="http://schemas.openxmlformats.org/officeDocument/2006/relationships/hyperlink" Target="http://hudoc.echr.coe.int/eng?i=001-66256" TargetMode="External"/><Relationship Id="rId204" Type="http://schemas.openxmlformats.org/officeDocument/2006/relationships/hyperlink" Target="http://hudoc.echr.coe.int/eng?i=001-77933" TargetMode="External"/><Relationship Id="rId220" Type="http://schemas.openxmlformats.org/officeDocument/2006/relationships/hyperlink" Target="http://hudoc.echr.coe.int/eng?i=001-207626" TargetMode="External"/><Relationship Id="rId225" Type="http://schemas.openxmlformats.org/officeDocument/2006/relationships/hyperlink" Target="http://hudoc.echr.coe.int/eng?i=001-207626" TargetMode="External"/><Relationship Id="rId241" Type="http://schemas.openxmlformats.org/officeDocument/2006/relationships/hyperlink" Target="http://hudoc.echr.coe.int/eng?i=001-207626" TargetMode="External"/><Relationship Id="rId246" Type="http://schemas.openxmlformats.org/officeDocument/2006/relationships/hyperlink" Target="https://hudoc.echr.coe.int/eng" TargetMode="External"/><Relationship Id="rId267" Type="http://schemas.openxmlformats.org/officeDocument/2006/relationships/hyperlink" Target="https://www.echr.coe.int/Documents/Rules_Court_ENG.pdf" TargetMode="External"/><Relationship Id="rId288" Type="http://schemas.openxmlformats.org/officeDocument/2006/relationships/hyperlink" Target="http://hudoc.echr.coe.int/eng?i=001-189852" TargetMode="External"/><Relationship Id="rId15" Type="http://schemas.openxmlformats.org/officeDocument/2006/relationships/hyperlink" Target="https://search.coe.int/cm/Pages/result_details.aspx?ObjectId=0900001680993c9e" TargetMode="External"/><Relationship Id="rId36" Type="http://schemas.openxmlformats.org/officeDocument/2006/relationships/hyperlink" Target="http://hudoc.echr.coe.int/eng?i=001-64012" TargetMode="External"/><Relationship Id="rId57" Type="http://schemas.openxmlformats.org/officeDocument/2006/relationships/hyperlink" Target="https://hudoc.echr.coe.int/eng" TargetMode="External"/><Relationship Id="rId106" Type="http://schemas.openxmlformats.org/officeDocument/2006/relationships/hyperlink" Target="https://rm.coe.int/steering-committee-for-human-rights-comite-directeur-pour-les-droits-d/1680943434" TargetMode="External"/><Relationship Id="rId127" Type="http://schemas.openxmlformats.org/officeDocument/2006/relationships/hyperlink" Target="http://hudoc.echr.coe.int/eng?i=001-142444" TargetMode="External"/><Relationship Id="rId262" Type="http://schemas.openxmlformats.org/officeDocument/2006/relationships/hyperlink" Target="http://hudoc.echr.coe.int/eng?i=001-207758" TargetMode="External"/><Relationship Id="rId283" Type="http://schemas.openxmlformats.org/officeDocument/2006/relationships/hyperlink" Target="http://hudoc.echr.coe.int/eng?i=001-189019" TargetMode="External"/><Relationship Id="rId313" Type="http://schemas.openxmlformats.org/officeDocument/2006/relationships/hyperlink" Target="http://hudoc.echr.coe.int/eng?i=001-95640" TargetMode="External"/><Relationship Id="rId318" Type="http://schemas.openxmlformats.org/officeDocument/2006/relationships/hyperlink" Target="http://hudoc.echr.coe.int/eng?i=001-63057" TargetMode="External"/><Relationship Id="rId10" Type="http://schemas.openxmlformats.org/officeDocument/2006/relationships/hyperlink" Target="https://rm.coe.int/drafting-group-on-the-effective-processing-and-resolution-of-inter-sta/1680996b5f" TargetMode="External"/><Relationship Id="rId31" Type="http://schemas.openxmlformats.org/officeDocument/2006/relationships/hyperlink" Target="https://rm.coe.int/proceedings-actes-high-level-conference-on-the-future-of-the-european-/1680695aae" TargetMode="External"/><Relationship Id="rId52" Type="http://schemas.openxmlformats.org/officeDocument/2006/relationships/hyperlink" Target="http://hudoc.echr.coe.int/eng?i=001-157568" TargetMode="External"/><Relationship Id="rId73" Type="http://schemas.openxmlformats.org/officeDocument/2006/relationships/hyperlink" Target="http://hudoc.echr.coe.int/eng?i=001-82695" TargetMode="External"/><Relationship Id="rId78" Type="http://schemas.openxmlformats.org/officeDocument/2006/relationships/hyperlink" Target="http://hudoc.echr.coe.int/eng?i=001-101349" TargetMode="External"/><Relationship Id="rId94" Type="http://schemas.openxmlformats.org/officeDocument/2006/relationships/hyperlink" Target="http://hudoc.echr.coe.int/eng?i=001-75063" TargetMode="External"/><Relationship Id="rId99" Type="http://schemas.openxmlformats.org/officeDocument/2006/relationships/hyperlink" Target="http://hudoc.echr.coe.int/eng?i=001-207626" TargetMode="External"/><Relationship Id="rId101" Type="http://schemas.openxmlformats.org/officeDocument/2006/relationships/hyperlink" Target="http://hudoc.echr.coe.int/eng?i=001-207014" TargetMode="External"/><Relationship Id="rId122" Type="http://schemas.openxmlformats.org/officeDocument/2006/relationships/hyperlink" Target="https://rm.coe.int/steering-committee-for-human-rights-comite-directeur-pour-les-droits-d/1680943434" TargetMode="External"/><Relationship Id="rId143" Type="http://schemas.openxmlformats.org/officeDocument/2006/relationships/hyperlink" Target="http://hudoc.echr.coe.int/eng?i=001-92489" TargetMode="External"/><Relationship Id="rId148" Type="http://schemas.openxmlformats.org/officeDocument/2006/relationships/hyperlink" Target="http://hudoc.echr.coe.int/eng?i=001-103165" TargetMode="External"/><Relationship Id="rId164" Type="http://schemas.openxmlformats.org/officeDocument/2006/relationships/hyperlink" Target="https://rm.coe.int/CoERMPublicCommonSearchServices/DisplayDCTMContent?documentId=09000016804c1599" TargetMode="External"/><Relationship Id="rId169" Type="http://schemas.openxmlformats.org/officeDocument/2006/relationships/hyperlink" Target="https://rm.coe.int/steering-committee-for-human-rights-cddh-proposals-for-a-more-efficien/168094e6e1" TargetMode="External"/><Relationship Id="rId185" Type="http://schemas.openxmlformats.org/officeDocument/2006/relationships/hyperlink" Target="http://hudoc.echr.coe.int/eng?i=001-207757" TargetMode="External"/><Relationship Id="rId4" Type="http://schemas.openxmlformats.org/officeDocument/2006/relationships/hyperlink" Target="https://rm.coe.int/comite-directeur-pour-les-droits-de-l-homme-cddh-projet-d-elements-add/168094f06d" TargetMode="External"/><Relationship Id="rId9" Type="http://schemas.openxmlformats.org/officeDocument/2006/relationships/hyperlink" Target="https://rm.coe.int/comite-directeur-pour-les-droits-de-l-homme-cddh-rapport-91e-reunion-s/168096f6ac" TargetMode="External"/><Relationship Id="rId180" Type="http://schemas.openxmlformats.org/officeDocument/2006/relationships/hyperlink" Target="http://hudoc.echr.coe.int/eng?i=001-145552" TargetMode="External"/><Relationship Id="rId210" Type="http://schemas.openxmlformats.org/officeDocument/2006/relationships/hyperlink" Target="http://hudoc.echr.coe.int/eng?i=001-127690" TargetMode="External"/><Relationship Id="rId215" Type="http://schemas.openxmlformats.org/officeDocument/2006/relationships/hyperlink" Target="http://hudoc.echr.coe.int/eng?i=001-127690" TargetMode="External"/><Relationship Id="rId236" Type="http://schemas.openxmlformats.org/officeDocument/2006/relationships/hyperlink" Target="http://hudoc.echr.coe.int/eng?i=001-207626" TargetMode="External"/><Relationship Id="rId257" Type="http://schemas.openxmlformats.org/officeDocument/2006/relationships/hyperlink" Target="https://www.echr.coe.int/Documents/Rules_Court_FRA.pdf" TargetMode="External"/><Relationship Id="rId278" Type="http://schemas.openxmlformats.org/officeDocument/2006/relationships/hyperlink" Target="http://hudoc.echr.coe.int/eng?i=001-144153" TargetMode="External"/><Relationship Id="rId26" Type="http://schemas.openxmlformats.org/officeDocument/2006/relationships/hyperlink" Target="https://rm.coe.int/steering-committee-for-human-rights-cddh-draft-additional-elements-res/168094ef0b" TargetMode="External"/><Relationship Id="rId231" Type="http://schemas.openxmlformats.org/officeDocument/2006/relationships/hyperlink" Target="http://hudoc.echr.coe.int/eng?i=001-207758" TargetMode="External"/><Relationship Id="rId252" Type="http://schemas.openxmlformats.org/officeDocument/2006/relationships/hyperlink" Target="http://hudoc.echr.coe.int/eng?i=001-93426" TargetMode="External"/><Relationship Id="rId273" Type="http://schemas.openxmlformats.org/officeDocument/2006/relationships/hyperlink" Target="http://hudoc.echr.coe.int/eng?i=001-142541" TargetMode="External"/><Relationship Id="rId294" Type="http://schemas.openxmlformats.org/officeDocument/2006/relationships/hyperlink" Target="http://hudoc.echr.coe.int/eng?i=001-189852" TargetMode="External"/><Relationship Id="rId308" Type="http://schemas.openxmlformats.org/officeDocument/2006/relationships/hyperlink" Target="http://hudoc.echr.coe.int/eng?i=001-75364" TargetMode="External"/><Relationship Id="rId47" Type="http://schemas.openxmlformats.org/officeDocument/2006/relationships/hyperlink" Target="https://rm.coe.int/steering-committee-for-human-rights-cddh-proposals-for-a-more-efficien/168094e6e1" TargetMode="External"/><Relationship Id="rId68" Type="http://schemas.openxmlformats.org/officeDocument/2006/relationships/hyperlink" Target="http://hudoc.echr.coe.int/eng?i=001-67260" TargetMode="External"/><Relationship Id="rId89" Type="http://schemas.openxmlformats.org/officeDocument/2006/relationships/hyperlink" Target="http://hudoc.echr.coe.int/eng?i=001-207626" TargetMode="External"/><Relationship Id="rId112" Type="http://schemas.openxmlformats.org/officeDocument/2006/relationships/hyperlink" Target="http://hudoc.echr.coe.int/fre-press?i=003-6282065-8189104" TargetMode="External"/><Relationship Id="rId133" Type="http://schemas.openxmlformats.org/officeDocument/2006/relationships/hyperlink" Target="https://hudoc.echr.coe.int/eng" TargetMode="External"/><Relationship Id="rId154" Type="http://schemas.openxmlformats.org/officeDocument/2006/relationships/hyperlink" Target="https://tbinternet.ohchr.org/_layouts/15/treatybodyexternal/Download.aspx?symbolno=CCPR%2fC%2f123%2fD%2f2747%2f2016&amp;Lang=en" TargetMode="External"/><Relationship Id="rId175" Type="http://schemas.openxmlformats.org/officeDocument/2006/relationships/hyperlink" Target="https://hudoc.echr.coe.int/fre" TargetMode="External"/><Relationship Id="rId196" Type="http://schemas.openxmlformats.org/officeDocument/2006/relationships/hyperlink" Target="http://hudoc.echr.coe.int/eng?i=001-127690" TargetMode="External"/><Relationship Id="rId200" Type="http://schemas.openxmlformats.org/officeDocument/2006/relationships/hyperlink" Target="https://hudoc.echr.coe.int/eng" TargetMode="External"/><Relationship Id="rId16" Type="http://schemas.openxmlformats.org/officeDocument/2006/relationships/hyperlink" Target="https://rm.coe.int/comments-of-the-european-court-of-human-rights-interlaken-process-/16809e4f34" TargetMode="External"/><Relationship Id="rId221" Type="http://schemas.openxmlformats.org/officeDocument/2006/relationships/hyperlink" Target="http://hudoc.echr.coe.int/eng?i=001-207626" TargetMode="External"/><Relationship Id="rId242" Type="http://schemas.openxmlformats.org/officeDocument/2006/relationships/hyperlink" Target="https://hudoc.echr.coe.int/fre" TargetMode="External"/><Relationship Id="rId263" Type="http://schemas.openxmlformats.org/officeDocument/2006/relationships/hyperlink" Target="http://hudoc.echr.coe.int/eng?i=001-207757" TargetMode="External"/><Relationship Id="rId284" Type="http://schemas.openxmlformats.org/officeDocument/2006/relationships/hyperlink" Target="http://hudoc.echr.coe.int/eng?i=001-189852" TargetMode="External"/><Relationship Id="rId319" Type="http://schemas.openxmlformats.org/officeDocument/2006/relationships/hyperlink" Target="https://doi.org/10.17176/20210428-181222-0" TargetMode="External"/><Relationship Id="rId37" Type="http://schemas.openxmlformats.org/officeDocument/2006/relationships/hyperlink" Target="http://hudoc.echr.coe.int/eng?i=001-145552" TargetMode="External"/><Relationship Id="rId58" Type="http://schemas.openxmlformats.org/officeDocument/2006/relationships/hyperlink" Target="http://hudoc.echr.coe.int/eng?i=001-145546" TargetMode="External"/><Relationship Id="rId79" Type="http://schemas.openxmlformats.org/officeDocument/2006/relationships/hyperlink" Target="http://hudoc.echr.coe.int/eng?i=001-146873" TargetMode="External"/><Relationship Id="rId102" Type="http://schemas.openxmlformats.org/officeDocument/2006/relationships/hyperlink" Target="http://hudoc.echr.coe.int/eng?i=001-207014" TargetMode="External"/><Relationship Id="rId123" Type="http://schemas.openxmlformats.org/officeDocument/2006/relationships/hyperlink" Target="http://hudoc.echr.coe.int/eng?i=001-164455" TargetMode="External"/><Relationship Id="rId144" Type="http://schemas.openxmlformats.org/officeDocument/2006/relationships/hyperlink" Target="http://hudoc.echr.coe.int/eng?i=001-142444" TargetMode="External"/><Relationship Id="rId90" Type="http://schemas.openxmlformats.org/officeDocument/2006/relationships/hyperlink" Target="http://hudoc.echr.coe.int/eng?i=001-207626" TargetMode="External"/><Relationship Id="rId165" Type="http://schemas.openxmlformats.org/officeDocument/2006/relationships/hyperlink" Target="http://hudoc.echr.coe.int/eng?i=001-3213" TargetMode="External"/><Relationship Id="rId186" Type="http://schemas.openxmlformats.org/officeDocument/2006/relationships/hyperlink" Target="http://hudoc.echr.coe.int/eng?i=001-189852" TargetMode="External"/><Relationship Id="rId211" Type="http://schemas.openxmlformats.org/officeDocument/2006/relationships/hyperlink" Target="http://hudoc.echr.coe.int/eng?i=001-207758" TargetMode="External"/><Relationship Id="rId232" Type="http://schemas.openxmlformats.org/officeDocument/2006/relationships/hyperlink" Target="http://hudoc.echr.coe.int/eng?i=001-69631" TargetMode="External"/><Relationship Id="rId253" Type="http://schemas.openxmlformats.org/officeDocument/2006/relationships/hyperlink" Target="http://hudoc.echr.coe.int/eng?i=001-108100" TargetMode="External"/><Relationship Id="rId274" Type="http://schemas.openxmlformats.org/officeDocument/2006/relationships/hyperlink" Target="http://hudoc.echr.coe.int/eng?i=001-142541" TargetMode="External"/><Relationship Id="rId295" Type="http://schemas.openxmlformats.org/officeDocument/2006/relationships/hyperlink" Target="http://hudoc.echr.coe.int/eng?i=001-207758" TargetMode="External"/><Relationship Id="rId309" Type="http://schemas.openxmlformats.org/officeDocument/2006/relationships/hyperlink" Target="http://hudoc.echr.coe.int/eng?i=001-75361" TargetMode="External"/><Relationship Id="rId27" Type="http://schemas.openxmlformats.org/officeDocument/2006/relationships/hyperlink" Target="https://rm.coe.int/comite-directeur-pour-les-droits-de-l-homme-cddh-projet-d-elements-add/168094f06d" TargetMode="External"/><Relationship Id="rId48" Type="http://schemas.openxmlformats.org/officeDocument/2006/relationships/hyperlink" Target="https://rm.coe.int/comments-of-the-european-court-of-human-rights-interlaken-process-/16809e4f34" TargetMode="External"/><Relationship Id="rId69" Type="http://schemas.openxmlformats.org/officeDocument/2006/relationships/hyperlink" Target="http://hudoc.echr.coe.int/eng?i=001-43996" TargetMode="External"/><Relationship Id="rId113" Type="http://schemas.openxmlformats.org/officeDocument/2006/relationships/hyperlink" Target="https://rm.coe.int/steering-committee-for-human-rights-cddh-proposals-for-a-more-efficien/168094e6e1" TargetMode="External"/><Relationship Id="rId134" Type="http://schemas.openxmlformats.org/officeDocument/2006/relationships/hyperlink" Target="https://hudoc.echr.coe.int/eng" TargetMode="External"/><Relationship Id="rId320" Type="http://schemas.openxmlformats.org/officeDocument/2006/relationships/hyperlink" Target="https://doi.org/10.17176/20210428-181222-0" TargetMode="External"/><Relationship Id="rId80" Type="http://schemas.openxmlformats.org/officeDocument/2006/relationships/hyperlink" Target="http://hudoc.echr.coe.int/eng?i=001-207626" TargetMode="External"/><Relationship Id="rId155" Type="http://schemas.openxmlformats.org/officeDocument/2006/relationships/hyperlink" Target="http://docstore.ohchr.org/SelfServices/FilesHandler.ashx?enc=6QkG1d%2FPPRiCAqhKb7yhsjGaL55TOU6a3MWglTLsUGb4Blm4%2F9Fg7afiv12RmlbBPOG2D%2BoyeZ1RO2qxRqh9C8LagQwDmzRR86JZAvEmre2uyi0eWuPSFI%2BoQ1b6khBJGEu%2BZkJM%2BEt%2FrMoQEmGvkg%3D%3D" TargetMode="External"/><Relationship Id="rId176" Type="http://schemas.openxmlformats.org/officeDocument/2006/relationships/hyperlink" Target="https://hudoc.echr.coe.int/eng" TargetMode="External"/><Relationship Id="rId197" Type="http://schemas.openxmlformats.org/officeDocument/2006/relationships/hyperlink" Target="http://hudoc.echr.coe.int/eng?i=001-104636" TargetMode="External"/><Relationship Id="rId201" Type="http://schemas.openxmlformats.org/officeDocument/2006/relationships/hyperlink" Target="http://hudoc.echr.coe.int/eng?i=001-189852" TargetMode="External"/><Relationship Id="rId222" Type="http://schemas.openxmlformats.org/officeDocument/2006/relationships/hyperlink" Target="http://hudoc.echr.coe.int/eng?i=001-207626" TargetMode="External"/><Relationship Id="rId243" Type="http://schemas.openxmlformats.org/officeDocument/2006/relationships/hyperlink" Target="https://hudoc.echr.coe.int/eng" TargetMode="External"/><Relationship Id="rId264" Type="http://schemas.openxmlformats.org/officeDocument/2006/relationships/hyperlink" Target="https://www.echr.coe.int/Documents/Rules_Court_FRA.pdf" TargetMode="External"/><Relationship Id="rId285" Type="http://schemas.openxmlformats.org/officeDocument/2006/relationships/hyperlink" Target="http://hudoc.echr.coe.int/eng?i=001-189852" TargetMode="External"/><Relationship Id="rId17" Type="http://schemas.openxmlformats.org/officeDocument/2006/relationships/hyperlink" Target="https://search.coe.int/cm/Pages/result_details.aspx?ObjectId=0900001680a03db0" TargetMode="External"/><Relationship Id="rId38" Type="http://schemas.openxmlformats.org/officeDocument/2006/relationships/hyperlink" Target="http://hudoc.echr.coe.int/eng?i=001-207622" TargetMode="External"/><Relationship Id="rId59" Type="http://schemas.openxmlformats.org/officeDocument/2006/relationships/hyperlink" Target="http://hudoc.echr.coe.int/eng?i=001-207626" TargetMode="External"/><Relationship Id="rId103" Type="http://schemas.openxmlformats.org/officeDocument/2006/relationships/hyperlink" Target="http://hudoc.echr.coe.int/eng?i=001-207014" TargetMode="External"/><Relationship Id="rId124" Type="http://schemas.openxmlformats.org/officeDocument/2006/relationships/hyperlink" Target="http://hudoc.echr.coe.int/eng?i=001-106308" TargetMode="External"/><Relationship Id="rId310" Type="http://schemas.openxmlformats.org/officeDocument/2006/relationships/hyperlink" Target="http://hudoc.echr.coe.int/eng?i=001-75364" TargetMode="External"/><Relationship Id="rId70" Type="http://schemas.openxmlformats.org/officeDocument/2006/relationships/hyperlink" Target="http://hudoc.echr.coe.int/eng?i=001-100969" TargetMode="External"/><Relationship Id="rId91" Type="http://schemas.openxmlformats.org/officeDocument/2006/relationships/hyperlink" Target="http://hudoc.echr.coe.int/eng?i=001-74174" TargetMode="External"/><Relationship Id="rId145" Type="http://schemas.openxmlformats.org/officeDocument/2006/relationships/hyperlink" Target="http://hudoc.echr.coe.int/eng?i=001-187917" TargetMode="External"/><Relationship Id="rId166" Type="http://schemas.openxmlformats.org/officeDocument/2006/relationships/hyperlink" Target="https://rm.coe.int/steering-committee-for-human-rights-cddh-proposals-for-a-more-efficien/168094e6e1" TargetMode="External"/><Relationship Id="rId187" Type="http://schemas.openxmlformats.org/officeDocument/2006/relationships/hyperlink" Target="http://hudoc.echr.coe.int/eng?i=001-207758" TargetMode="External"/><Relationship Id="rId1" Type="http://schemas.openxmlformats.org/officeDocument/2006/relationships/hyperlink" Target="https://rm.coe.int/comite-directeur-pour-les-droits-de-l-homme-cddh-contribution-du-cddh-/1680990d4a" TargetMode="External"/><Relationship Id="rId212" Type="http://schemas.openxmlformats.org/officeDocument/2006/relationships/hyperlink" Target="http://hudoc.echr.coe.int/eng?i=001-99750" TargetMode="External"/><Relationship Id="rId233" Type="http://schemas.openxmlformats.org/officeDocument/2006/relationships/hyperlink" Target="http://hudoc.echr.coe.int/eng?i=001-145552" TargetMode="External"/><Relationship Id="rId254" Type="http://schemas.openxmlformats.org/officeDocument/2006/relationships/hyperlink" Target="http://hudoc.echr.coe.int/eng?i=001-145552" TargetMode="External"/><Relationship Id="rId28" Type="http://schemas.openxmlformats.org/officeDocument/2006/relationships/hyperlink" Target="https://rm.coe.int/steering-committee-for-human-rights-cddh-proposals-for-a-more-efficien/168094e6e1" TargetMode="External"/><Relationship Id="rId49" Type="http://schemas.openxmlformats.org/officeDocument/2006/relationships/hyperlink" Target="http://hudoc.echr.coe.int/eng?i=001-207758" TargetMode="External"/><Relationship Id="rId114" Type="http://schemas.openxmlformats.org/officeDocument/2006/relationships/hyperlink" Target="http://hudoc.echr.coe.int/eng-press?i=003-6875824-9221584" TargetMode="External"/><Relationship Id="rId275" Type="http://schemas.openxmlformats.org/officeDocument/2006/relationships/hyperlink" Target="https://www.echr.coe.int/Documents/Denmark_v_Greece_I.pdf" TargetMode="External"/><Relationship Id="rId296" Type="http://schemas.openxmlformats.org/officeDocument/2006/relationships/hyperlink" Target="https://rm.coe.int/steering-committee-for-human-rights-cddh-proposals-for-a-more-efficien/168094e6e1" TargetMode="External"/><Relationship Id="rId300" Type="http://schemas.openxmlformats.org/officeDocument/2006/relationships/hyperlink" Target="http://hudoc.echr.coe.int/eng?i=001-62143" TargetMode="External"/><Relationship Id="rId60" Type="http://schemas.openxmlformats.org/officeDocument/2006/relationships/hyperlink" Target="http://hudoc.echr.coe.int/eng?i=001-57506" TargetMode="External"/><Relationship Id="rId81" Type="http://schemas.openxmlformats.org/officeDocument/2006/relationships/hyperlink" Target="http://hudoc.echr.coe.int/eng?i=001-207626" TargetMode="External"/><Relationship Id="rId135" Type="http://schemas.openxmlformats.org/officeDocument/2006/relationships/hyperlink" Target="https://hudoc.echr.coe.int/eng" TargetMode="External"/><Relationship Id="rId156" Type="http://schemas.openxmlformats.org/officeDocument/2006/relationships/hyperlink" Target="https://tbinternet.ohchr.org/_layouts/15/treatybodyexternal/Download.aspx?symbolno=CCPR%2fC%2f123%2fD%2f2807%2f2016&amp;Lang=en" TargetMode="External"/><Relationship Id="rId177" Type="http://schemas.openxmlformats.org/officeDocument/2006/relationships/hyperlink" Target="http://hudoc.echr.coe.int/eng?i=001-207757" TargetMode="External"/><Relationship Id="rId198" Type="http://schemas.openxmlformats.org/officeDocument/2006/relationships/hyperlink" Target="http://hudoc.echr.coe.int/eng?i=001-100265" TargetMode="External"/><Relationship Id="rId321" Type="http://schemas.openxmlformats.org/officeDocument/2006/relationships/hyperlink" Target="https://doi.org/10.17176/20210428-181222-0" TargetMode="External"/><Relationship Id="rId202" Type="http://schemas.openxmlformats.org/officeDocument/2006/relationships/hyperlink" Target="http://hudoc.echr.coe.int/eng?i=001-63140" TargetMode="External"/><Relationship Id="rId223" Type="http://schemas.openxmlformats.org/officeDocument/2006/relationships/hyperlink" Target="http://hudoc.echr.coe.int/eng?i=001-207626" TargetMode="External"/><Relationship Id="rId244" Type="http://schemas.openxmlformats.org/officeDocument/2006/relationships/hyperlink" Target="http://hudoc.echr.coe.int/eng?i=001-145552" TargetMode="External"/><Relationship Id="rId18" Type="http://schemas.openxmlformats.org/officeDocument/2006/relationships/hyperlink" Target="https://search.coe.int/cm/Pages/result_details.aspx?ObjectId=0900001680a03db0" TargetMode="External"/><Relationship Id="rId39" Type="http://schemas.openxmlformats.org/officeDocument/2006/relationships/hyperlink" Target="http://hudoc.echr.coe.int/eng?i=001-207757" TargetMode="External"/><Relationship Id="rId265" Type="http://schemas.openxmlformats.org/officeDocument/2006/relationships/hyperlink" Target="https://rm.coe.int/steering-committee-for-human-rights-comite-directeur-pour-les-droits-d/1680943434" TargetMode="External"/><Relationship Id="rId286" Type="http://schemas.openxmlformats.org/officeDocument/2006/relationships/hyperlink" Target="http://hudoc.echr.coe.int/eng?i=001-145552" TargetMode="External"/><Relationship Id="rId50" Type="http://schemas.openxmlformats.org/officeDocument/2006/relationships/hyperlink" Target="http://hudoc.echr.coe.int/eng?i=001-98167" TargetMode="External"/><Relationship Id="rId104" Type="http://schemas.openxmlformats.org/officeDocument/2006/relationships/hyperlink" Target="http://hudoc.echr.coe.int/eng?i=001-207014" TargetMode="External"/><Relationship Id="rId125" Type="http://schemas.openxmlformats.org/officeDocument/2006/relationships/hyperlink" Target="http://hudoc.echr.coe.int/eng?i=001-121143" TargetMode="External"/><Relationship Id="rId146" Type="http://schemas.openxmlformats.org/officeDocument/2006/relationships/hyperlink" Target="http://hudoc.echr.coe.int/eng?i=001-199515" TargetMode="External"/><Relationship Id="rId167" Type="http://schemas.openxmlformats.org/officeDocument/2006/relationships/hyperlink" Target="http://hudoc.echr.coe.int/eng?i=001-207622" TargetMode="External"/><Relationship Id="rId188" Type="http://schemas.openxmlformats.org/officeDocument/2006/relationships/hyperlink" Target="http://hudoc.echr.coe.int/eng?i=001-61698" TargetMode="External"/><Relationship Id="rId311" Type="http://schemas.openxmlformats.org/officeDocument/2006/relationships/hyperlink" Target="http://hudoc.echr.coe.int/eng?i=001-75355" TargetMode="External"/><Relationship Id="rId71" Type="http://schemas.openxmlformats.org/officeDocument/2006/relationships/hyperlink" Target="http://hudoc.echr.coe.int/eng?i=001-80795" TargetMode="External"/><Relationship Id="rId92" Type="http://schemas.openxmlformats.org/officeDocument/2006/relationships/hyperlink" Target="http://hudoc.echr.coe.int/eng?i=001-207626" TargetMode="External"/><Relationship Id="rId213" Type="http://schemas.openxmlformats.org/officeDocument/2006/relationships/hyperlink" Target="http://hudoc.echr.coe.int/eng?i=001-127690" TargetMode="External"/><Relationship Id="rId234" Type="http://schemas.openxmlformats.org/officeDocument/2006/relationships/hyperlink" Target="http://hudoc.echr.coe.int/eng?i=001-207758" TargetMode="External"/><Relationship Id="rId2" Type="http://schemas.openxmlformats.org/officeDocument/2006/relationships/hyperlink" Target="https://search.coe.int/cm/Pages/result_details.aspx?ObjectID=09000016808ae26d" TargetMode="External"/><Relationship Id="rId29" Type="http://schemas.openxmlformats.org/officeDocument/2006/relationships/hyperlink" Target="http://hudoc.echr.coe.int/eng?i=001-27972" TargetMode="External"/><Relationship Id="rId255" Type="http://schemas.openxmlformats.org/officeDocument/2006/relationships/hyperlink" Target="http://hudoc.echr.coe.int/eng?i=001-207758" TargetMode="External"/><Relationship Id="rId276" Type="http://schemas.openxmlformats.org/officeDocument/2006/relationships/hyperlink" Target="http://hudoc.echr.coe.int/eng?i=001-68789" TargetMode="External"/><Relationship Id="rId297" Type="http://schemas.openxmlformats.org/officeDocument/2006/relationships/hyperlink" Target="http://hudoc.echr.coe.int/eng?i=001-189852" TargetMode="External"/><Relationship Id="rId40" Type="http://schemas.openxmlformats.org/officeDocument/2006/relationships/hyperlink" Target="http://hudoc.echr.coe.int/eng?i=001-145552" TargetMode="External"/><Relationship Id="rId115" Type="http://schemas.openxmlformats.org/officeDocument/2006/relationships/hyperlink" Target="http://hudoc.echr.coe.int/eng?i=001-207626" TargetMode="External"/><Relationship Id="rId136" Type="http://schemas.openxmlformats.org/officeDocument/2006/relationships/hyperlink" Target="https://hudoc.echr.coe.int/eng" TargetMode="External"/><Relationship Id="rId157" Type="http://schemas.openxmlformats.org/officeDocument/2006/relationships/hyperlink" Target="https://tbinternet.ohchr.org/_layouts/15/treatybodyexternal/Download.aspx?symbolno=CCPR%2fC%2f123%2fD%2f2807%2f2016&amp;Lang=en" TargetMode="External"/><Relationship Id="rId178" Type="http://schemas.openxmlformats.org/officeDocument/2006/relationships/hyperlink" Target="https://hudoc.echr.coe.int/eng" TargetMode="External"/><Relationship Id="rId301" Type="http://schemas.openxmlformats.org/officeDocument/2006/relationships/hyperlink" Target="http://hudoc.echr.coe.int/eng?i=001-71556" TargetMode="External"/><Relationship Id="rId322" Type="http://schemas.openxmlformats.org/officeDocument/2006/relationships/hyperlink" Target="http://hudoc.echr.coe.int/eng?i=001-61698" TargetMode="External"/><Relationship Id="rId61" Type="http://schemas.openxmlformats.org/officeDocument/2006/relationships/hyperlink" Target="http://hudoc.echr.coe.int/eng?i=001-59454" TargetMode="External"/><Relationship Id="rId82" Type="http://schemas.openxmlformats.org/officeDocument/2006/relationships/hyperlink" Target="http://hudoc.echr.coe.int/eng?i=001-206897" TargetMode="External"/><Relationship Id="rId199" Type="http://schemas.openxmlformats.org/officeDocument/2006/relationships/hyperlink" Target="http://hudoc.echr.coe.int/eng?i=001-127690" TargetMode="External"/><Relationship Id="rId203" Type="http://schemas.openxmlformats.org/officeDocument/2006/relationships/hyperlink" Target="http://hudoc.echr.coe.int/eng?i=001-66256" TargetMode="External"/><Relationship Id="rId19" Type="http://schemas.openxmlformats.org/officeDocument/2006/relationships/hyperlink" Target="https://echr.coe.int/Documents/InterState_applications_ENG.pdf." TargetMode="External"/><Relationship Id="rId224" Type="http://schemas.openxmlformats.org/officeDocument/2006/relationships/hyperlink" Target="http://hudoc.echr.coe.int/eng?i=001-207626" TargetMode="External"/><Relationship Id="rId245" Type="http://schemas.openxmlformats.org/officeDocument/2006/relationships/hyperlink" Target="http://hudoc.echr.coe.int/eng?i=001-207758" TargetMode="External"/><Relationship Id="rId266" Type="http://schemas.openxmlformats.org/officeDocument/2006/relationships/hyperlink" Target="http://assembly.coe.int/nw/xml/XRef/Xref-XML2HTML-FR.asp?fileid=17576&amp;lang=FR" TargetMode="External"/><Relationship Id="rId287" Type="http://schemas.openxmlformats.org/officeDocument/2006/relationships/hyperlink" Target="http://hudoc.echr.coe.int/eng?i=001-18985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E779DAE-32E3-6249-910E-976F8E258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45</Pages>
  <Words>21111</Words>
  <Characters>116116</Characters>
  <Application>Microsoft Office Word</Application>
  <DocSecurity>0</DocSecurity>
  <Lines>967</Lines>
  <Paragraphs>273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BELHADJMILED Sarah</dc:creator>
  <cp:keywords/>
  <dc:description/>
  <cp:lastModifiedBy>Elvana</cp:lastModifiedBy>
  <cp:revision>15</cp:revision>
  <cp:lastPrinted>2021-09-28T15:42:00Z</cp:lastPrinted>
  <dcterms:created xsi:type="dcterms:W3CDTF">2021-10-26T16:04:00Z</dcterms:created>
  <dcterms:modified xsi:type="dcterms:W3CDTF">2021-11-03T16:14:00Z</dcterms:modified>
</cp:coreProperties>
</file>