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3A2B56E1" w14:textId="77777777" w:rsidTr="00491E67">
        <w:trPr>
          <w:trHeight w:val="737"/>
        </w:trPr>
        <w:tc>
          <w:tcPr>
            <w:tcW w:w="1250" w:type="pct"/>
            <w:shd w:val="clear" w:color="auto" w:fill="auto"/>
            <w:vAlign w:val="center"/>
          </w:tcPr>
          <w:p w14:paraId="65D8D238"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4A0591EC" w14:textId="77777777" w:rsidR="002D11B8" w:rsidRPr="009C5258" w:rsidRDefault="0082709A" w:rsidP="00491E67">
            <w:pPr>
              <w:ind w:left="-108"/>
              <w:jc w:val="center"/>
              <w:rPr>
                <w:rFonts w:ascii="Arial Narrow" w:hAnsi="Arial Narrow" w:cs="Arial"/>
                <w:szCs w:val="20"/>
              </w:rPr>
            </w:pPr>
            <w:r>
              <w:rPr>
                <w:rFonts w:ascii="Arial Narrow" w:hAnsi="Arial Narrow" w:cs="Calibri"/>
                <w:szCs w:val="20"/>
              </w:rPr>
              <w:t>Décisions</w:t>
            </w:r>
          </w:p>
        </w:tc>
        <w:tc>
          <w:tcPr>
            <w:tcW w:w="1250" w:type="pct"/>
            <w:shd w:val="clear" w:color="auto" w:fill="auto"/>
            <w:vAlign w:val="center"/>
          </w:tcPr>
          <w:p w14:paraId="52BBF3EF" w14:textId="3DADBECB" w:rsidR="002D11B8" w:rsidRPr="00FD0B05" w:rsidRDefault="00FD0B05" w:rsidP="00315C43">
            <w:pPr>
              <w:ind w:left="-40"/>
              <w:jc w:val="center"/>
              <w:rPr>
                <w:rFonts w:ascii="Arial Narrow" w:hAnsi="Arial Narrow" w:cs="Arial"/>
                <w:b/>
                <w:sz w:val="22"/>
              </w:rPr>
            </w:pPr>
            <w:r w:rsidRPr="00FD0B05">
              <w:rPr>
                <w:rFonts w:ascii="Arial Narrow" w:hAnsi="Arial Narrow" w:cs="Calibri"/>
                <w:b/>
                <w:sz w:val="22"/>
              </w:rPr>
              <w:t>CM/Del/</w:t>
            </w:r>
            <w:proofErr w:type="spellStart"/>
            <w:proofErr w:type="gramStart"/>
            <w:r w:rsidRPr="00FD0B05">
              <w:rPr>
                <w:rFonts w:ascii="Arial Narrow" w:hAnsi="Arial Narrow" w:cs="Calibri"/>
                <w:b/>
                <w:sz w:val="22"/>
              </w:rPr>
              <w:t>Dec</w:t>
            </w:r>
            <w:proofErr w:type="spellEnd"/>
            <w:r w:rsidRPr="00FD0B05">
              <w:rPr>
                <w:rFonts w:ascii="Arial Narrow" w:hAnsi="Arial Narrow" w:cs="Calibri"/>
                <w:b/>
                <w:sz w:val="22"/>
              </w:rPr>
              <w:t>(</w:t>
            </w:r>
            <w:proofErr w:type="gramEnd"/>
            <w:r w:rsidRPr="00FD0B05">
              <w:rPr>
                <w:rFonts w:ascii="Arial Narrow" w:hAnsi="Arial Narrow" w:cs="Calibri"/>
                <w:b/>
                <w:sz w:val="22"/>
              </w:rPr>
              <w:t>2022)1437/4.3</w:t>
            </w:r>
          </w:p>
        </w:tc>
        <w:tc>
          <w:tcPr>
            <w:tcW w:w="1250" w:type="pct"/>
            <w:shd w:val="clear" w:color="auto" w:fill="auto"/>
            <w:vAlign w:val="center"/>
          </w:tcPr>
          <w:p w14:paraId="0F89F291" w14:textId="212B6038" w:rsidR="002D11B8" w:rsidRPr="00F96689" w:rsidRDefault="00DB040D" w:rsidP="0082709A">
            <w:pPr>
              <w:jc w:val="right"/>
              <w:rPr>
                <w:rFonts w:ascii="Arial Narrow" w:hAnsi="Arial Narrow" w:cs="Arial"/>
                <w:sz w:val="16"/>
                <w:szCs w:val="16"/>
              </w:rPr>
            </w:pPr>
            <w:r>
              <w:rPr>
                <w:rFonts w:ascii="Arial Narrow" w:hAnsi="Arial Narrow" w:cs="Calibri"/>
                <w:sz w:val="16"/>
                <w:szCs w:val="16"/>
              </w:rPr>
              <w:t xml:space="preserve">15 </w:t>
            </w:r>
            <w:r w:rsidR="00CB5721">
              <w:rPr>
                <w:rFonts w:ascii="Arial Narrow" w:hAnsi="Arial Narrow" w:cs="Calibri"/>
                <w:sz w:val="16"/>
                <w:szCs w:val="16"/>
              </w:rPr>
              <w:t>juin</w:t>
            </w:r>
            <w:r w:rsidR="002D11B8" w:rsidRPr="00F96689">
              <w:rPr>
                <w:rFonts w:ascii="Arial Narrow" w:hAnsi="Arial Narrow" w:cs="Calibri"/>
                <w:sz w:val="16"/>
                <w:szCs w:val="16"/>
              </w:rPr>
              <w:t xml:space="preserve"> </w:t>
            </w:r>
            <w:r w:rsidR="00C2669E">
              <w:rPr>
                <w:rFonts w:ascii="Arial Narrow" w:hAnsi="Arial Narrow" w:cs="Calibri"/>
                <w:sz w:val="16"/>
                <w:szCs w:val="16"/>
              </w:rPr>
              <w:t>2022</w:t>
            </w:r>
          </w:p>
        </w:tc>
      </w:tr>
    </w:tbl>
    <w:p w14:paraId="2BB0C40A"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E5311E" w14:paraId="5611DA63" w14:textId="77777777" w:rsidTr="00491E67">
        <w:tc>
          <w:tcPr>
            <w:tcW w:w="9399" w:type="dxa"/>
            <w:shd w:val="clear" w:color="auto" w:fill="auto"/>
            <w:tcMar>
              <w:top w:w="227" w:type="dxa"/>
              <w:bottom w:w="227" w:type="dxa"/>
            </w:tcMar>
            <w:vAlign w:val="center"/>
          </w:tcPr>
          <w:p w14:paraId="375D865B" w14:textId="24EB7918" w:rsidR="00E24C57" w:rsidRPr="00E5311E" w:rsidRDefault="003D6AC2" w:rsidP="00491E67">
            <w:pPr>
              <w:widowControl w:val="0"/>
              <w:autoSpaceDE w:val="0"/>
              <w:autoSpaceDN w:val="0"/>
              <w:adjustRightInd w:val="0"/>
              <w:rPr>
                <w:rFonts w:ascii="Arial Narrow" w:hAnsi="Arial Narrow" w:cs="Calibri"/>
                <w:b/>
                <w:bCs/>
                <w:sz w:val="32"/>
                <w:szCs w:val="32"/>
              </w:rPr>
            </w:pPr>
            <w:r w:rsidRPr="00E5311E">
              <w:rPr>
                <w:rFonts w:ascii="Arial Narrow" w:hAnsi="Arial Narrow" w:cs="Calibri"/>
                <w:b/>
                <w:bCs/>
                <w:sz w:val="32"/>
                <w:szCs w:val="32"/>
              </w:rPr>
              <w:t>1</w:t>
            </w:r>
            <w:r w:rsidR="00C71124">
              <w:rPr>
                <w:rFonts w:ascii="Arial Narrow" w:hAnsi="Arial Narrow" w:cs="Calibri"/>
                <w:b/>
                <w:bCs/>
                <w:sz w:val="32"/>
                <w:szCs w:val="32"/>
              </w:rPr>
              <w:t>4</w:t>
            </w:r>
            <w:r w:rsidR="00CB5721">
              <w:rPr>
                <w:rFonts w:ascii="Arial Narrow" w:hAnsi="Arial Narrow" w:cs="Calibri"/>
                <w:b/>
                <w:bCs/>
                <w:sz w:val="32"/>
                <w:szCs w:val="32"/>
              </w:rPr>
              <w:t>37</w:t>
            </w:r>
            <w:r w:rsidR="004D1C0F" w:rsidRPr="00E5311E">
              <w:rPr>
                <w:rFonts w:ascii="Arial Narrow" w:hAnsi="Arial Narrow" w:cs="Calibri"/>
                <w:b/>
                <w:bCs/>
                <w:sz w:val="32"/>
                <w:szCs w:val="32"/>
                <w:vertAlign w:val="superscript"/>
              </w:rPr>
              <w:t>e</w:t>
            </w:r>
            <w:r w:rsidR="004D1C0F" w:rsidRPr="00E5311E">
              <w:rPr>
                <w:rFonts w:ascii="Arial Narrow" w:hAnsi="Arial Narrow" w:cs="Calibri"/>
                <w:b/>
                <w:bCs/>
                <w:sz w:val="32"/>
                <w:szCs w:val="32"/>
              </w:rPr>
              <w:t xml:space="preserve"> réunion</w:t>
            </w:r>
            <w:r w:rsidRPr="00E5311E">
              <w:rPr>
                <w:rFonts w:ascii="Arial Narrow" w:hAnsi="Arial Narrow" w:cs="Calibri"/>
                <w:b/>
                <w:bCs/>
                <w:sz w:val="32"/>
                <w:szCs w:val="32"/>
              </w:rPr>
              <w:t xml:space="preserve">, </w:t>
            </w:r>
            <w:r w:rsidR="00CB5721">
              <w:rPr>
                <w:rFonts w:ascii="Arial Narrow" w:hAnsi="Arial Narrow" w:cs="Calibri"/>
                <w:b/>
                <w:bCs/>
                <w:sz w:val="32"/>
                <w:szCs w:val="32"/>
              </w:rPr>
              <w:t>15 juin</w:t>
            </w:r>
            <w:r w:rsidRPr="00E5311E">
              <w:rPr>
                <w:rFonts w:ascii="Arial Narrow" w:hAnsi="Arial Narrow" w:cs="Calibri"/>
                <w:b/>
                <w:bCs/>
                <w:sz w:val="32"/>
                <w:szCs w:val="32"/>
              </w:rPr>
              <w:t xml:space="preserve"> </w:t>
            </w:r>
            <w:r w:rsidR="00C2669E">
              <w:rPr>
                <w:rFonts w:ascii="Arial Narrow" w:hAnsi="Arial Narrow" w:cs="Calibri"/>
                <w:b/>
                <w:bCs/>
                <w:sz w:val="32"/>
                <w:szCs w:val="32"/>
              </w:rPr>
              <w:t>2022</w:t>
            </w:r>
          </w:p>
          <w:p w14:paraId="19F818EB" w14:textId="77777777" w:rsidR="0037200F" w:rsidRPr="00E5311E" w:rsidRDefault="00CE6FD2" w:rsidP="00491E67">
            <w:pPr>
              <w:rPr>
                <w:rFonts w:ascii="Arial Narrow" w:hAnsi="Arial Narrow" w:cs="Calibri"/>
                <w:i/>
                <w:szCs w:val="20"/>
              </w:rPr>
            </w:pPr>
            <w:r w:rsidRPr="00E5311E">
              <w:rPr>
                <w:rFonts w:ascii="Arial Narrow" w:hAnsi="Arial Narrow" w:cs="Calibri"/>
                <w:i/>
                <w:szCs w:val="20"/>
              </w:rPr>
              <w:t xml:space="preserve"> </w:t>
            </w:r>
          </w:p>
          <w:p w14:paraId="56C07549" w14:textId="5D0C00D8" w:rsidR="00CB5721" w:rsidRPr="002C7D2C" w:rsidRDefault="00CB5721" w:rsidP="00CB5721">
            <w:pPr>
              <w:rPr>
                <w:rFonts w:ascii="Arial Narrow" w:hAnsi="Arial Narrow" w:cs="Calibri"/>
                <w:b/>
                <w:sz w:val="28"/>
                <w:szCs w:val="28"/>
              </w:rPr>
            </w:pPr>
            <w:r>
              <w:rPr>
                <w:rFonts w:ascii="Arial Narrow" w:hAnsi="Arial Narrow" w:cs="Calibri"/>
                <w:b/>
                <w:sz w:val="28"/>
                <w:szCs w:val="28"/>
              </w:rPr>
              <w:t>4.3</w:t>
            </w:r>
            <w:r>
              <w:t xml:space="preserve"> </w:t>
            </w:r>
            <w:r w:rsidRPr="00714BA1">
              <w:rPr>
                <w:rFonts w:ascii="Arial Narrow" w:hAnsi="Arial Narrow" w:cs="Calibri"/>
                <w:b/>
                <w:sz w:val="28"/>
                <w:szCs w:val="28"/>
              </w:rPr>
              <w:t xml:space="preserve">Charte sociale européenne – Comité européen des Droits sociaux (CEDS) </w:t>
            </w:r>
          </w:p>
          <w:p w14:paraId="3060504E" w14:textId="77777777" w:rsidR="00CB5721" w:rsidRPr="002C7D2C" w:rsidRDefault="00CB5721" w:rsidP="00CB5721">
            <w:pPr>
              <w:rPr>
                <w:rFonts w:ascii="Arial Narrow" w:hAnsi="Arial Narrow" w:cs="Calibri"/>
                <w:sz w:val="22"/>
              </w:rPr>
            </w:pPr>
            <w:r w:rsidRPr="00714BA1">
              <w:rPr>
                <w:rFonts w:ascii="Arial Narrow" w:hAnsi="Arial Narrow" w:cs="Calibri"/>
                <w:sz w:val="22"/>
              </w:rPr>
              <w:t>Procédure pour l’élection de six membres</w:t>
            </w:r>
          </w:p>
          <w:p w14:paraId="4590916E" w14:textId="77777777" w:rsidR="002E44D0" w:rsidRPr="00E5311E" w:rsidRDefault="002E44D0" w:rsidP="00491E67">
            <w:pPr>
              <w:rPr>
                <w:rFonts w:ascii="Arial Narrow" w:hAnsi="Arial Narrow" w:cs="Calibri"/>
                <w:szCs w:val="20"/>
              </w:rPr>
            </w:pPr>
            <w:r w:rsidRPr="00E5311E">
              <w:rPr>
                <w:rFonts w:ascii="Arial Narrow" w:hAnsi="Arial Narrow" w:cs="Calibri"/>
                <w:szCs w:val="20"/>
              </w:rPr>
              <w:t xml:space="preserve"> </w:t>
            </w:r>
          </w:p>
          <w:p w14:paraId="5627F5E9" w14:textId="5B4B7C1F" w:rsidR="000A307B" w:rsidRPr="00E5311E" w:rsidRDefault="0082709A" w:rsidP="00491E67">
            <w:pPr>
              <w:rPr>
                <w:rFonts w:ascii="Arial Narrow" w:hAnsi="Arial Narrow" w:cs="Calibri"/>
                <w:sz w:val="18"/>
                <w:szCs w:val="18"/>
              </w:rPr>
            </w:pPr>
            <w:r w:rsidRPr="00E5311E">
              <w:rPr>
                <w:rFonts w:ascii="Arial Narrow" w:hAnsi="Arial Narrow" w:cs="Calibri"/>
                <w:sz w:val="18"/>
                <w:szCs w:val="18"/>
              </w:rPr>
              <w:t>Document de référence</w:t>
            </w:r>
            <w:r w:rsidR="00CB5721">
              <w:rPr>
                <w:rFonts w:ascii="Arial Narrow" w:hAnsi="Arial Narrow" w:cs="Calibri"/>
                <w:sz w:val="18"/>
                <w:szCs w:val="18"/>
              </w:rPr>
              <w:br/>
            </w:r>
            <w:bookmarkStart w:id="0" w:name="_ML_000000000001_VALID"/>
            <w:r w:rsidR="00FD0B05" w:rsidRPr="00FD0B05">
              <w:rPr>
                <w:rFonts w:ascii="Arial Narrow" w:hAnsi="Arial Narrow" w:cs="Calibri"/>
                <w:bCs/>
                <w:sz w:val="18"/>
                <w:szCs w:val="18"/>
              </w:rPr>
              <w:fldChar w:fldCharType="begin"/>
            </w:r>
            <w:r w:rsidR="00FD0B05" w:rsidRPr="00FD0B05">
              <w:rPr>
                <w:rFonts w:ascii="Arial Narrow" w:hAnsi="Arial Narrow" w:cs="Calibri"/>
                <w:bCs/>
                <w:sz w:val="18"/>
                <w:szCs w:val="18"/>
              </w:rPr>
              <w:instrText xml:space="preserve"> HYPERLINK "https://search.coe.int/cm/Pages/result_details.aspx?Reference=GR-SOC(2022)7" \o "Charte sociale européenne – Comité européen des Droits sociaux (CEDS) – Procédure pour l’élection de six membres" </w:instrText>
            </w:r>
            <w:r w:rsidR="00FD0B05" w:rsidRPr="00FD0B05">
              <w:rPr>
                <w:rFonts w:ascii="Arial Narrow" w:hAnsi="Arial Narrow" w:cs="Calibri"/>
                <w:bCs/>
                <w:sz w:val="18"/>
                <w:szCs w:val="18"/>
              </w:rPr>
            </w:r>
            <w:r w:rsidR="00FD0B05" w:rsidRPr="00FD0B05">
              <w:rPr>
                <w:rFonts w:ascii="Arial Narrow" w:hAnsi="Arial Narrow" w:cs="Calibri"/>
                <w:bCs/>
                <w:sz w:val="18"/>
                <w:szCs w:val="18"/>
              </w:rPr>
              <w:fldChar w:fldCharType="separate"/>
            </w:r>
            <w:bookmarkEnd w:id="0"/>
            <w:r w:rsidR="00FD0B05" w:rsidRPr="00FD0B05">
              <w:rPr>
                <w:rStyle w:val="Hyperlink"/>
                <w:rFonts w:ascii="Arial Narrow" w:hAnsi="Arial Narrow" w:cs="Calibri"/>
                <w:bCs/>
                <w:sz w:val="18"/>
                <w:szCs w:val="18"/>
              </w:rPr>
              <w:t>GR-</w:t>
            </w:r>
            <w:proofErr w:type="gramStart"/>
            <w:r w:rsidR="00FD0B05" w:rsidRPr="00FD0B05">
              <w:rPr>
                <w:rStyle w:val="Hyperlink"/>
                <w:rFonts w:ascii="Arial Narrow" w:hAnsi="Arial Narrow" w:cs="Calibri"/>
                <w:bCs/>
                <w:sz w:val="18"/>
                <w:szCs w:val="18"/>
              </w:rPr>
              <w:t>SOC(</w:t>
            </w:r>
            <w:proofErr w:type="gramEnd"/>
            <w:r w:rsidR="00FD0B05" w:rsidRPr="00FD0B05">
              <w:rPr>
                <w:rStyle w:val="Hyperlink"/>
                <w:rFonts w:ascii="Arial Narrow" w:hAnsi="Arial Narrow" w:cs="Calibri"/>
                <w:bCs/>
                <w:sz w:val="18"/>
                <w:szCs w:val="18"/>
              </w:rPr>
              <w:t>2022)7</w:t>
            </w:r>
            <w:r w:rsidR="00FD0B05" w:rsidRPr="00FD0B05">
              <w:rPr>
                <w:rFonts w:ascii="Arial Narrow" w:hAnsi="Arial Narrow" w:cs="Calibri"/>
                <w:bCs/>
                <w:sz w:val="18"/>
                <w:szCs w:val="18"/>
              </w:rPr>
              <w:fldChar w:fldCharType="end"/>
            </w:r>
          </w:p>
        </w:tc>
      </w:tr>
    </w:tbl>
    <w:p w14:paraId="05F3F3A4" w14:textId="77777777" w:rsidR="00491E67" w:rsidRPr="00E5311E" w:rsidRDefault="00491E67" w:rsidP="0037200F">
      <w:pPr>
        <w:rPr>
          <w:rFonts w:eastAsia="Times New Roman"/>
          <w:szCs w:val="24"/>
        </w:rPr>
      </w:pPr>
      <w:r w:rsidRPr="00E5311E">
        <w:rPr>
          <w:rFonts w:eastAsia="Times New Roman"/>
          <w:szCs w:val="24"/>
        </w:rPr>
        <w:t xml:space="preserve"> </w:t>
      </w:r>
    </w:p>
    <w:p w14:paraId="7AD68EBA" w14:textId="77777777" w:rsidR="0082709A" w:rsidRPr="0082709A" w:rsidRDefault="0082709A" w:rsidP="0037200F">
      <w:pPr>
        <w:rPr>
          <w:rFonts w:eastAsia="Times New Roman"/>
          <w:i/>
          <w:szCs w:val="24"/>
        </w:rPr>
      </w:pPr>
      <w:r w:rsidRPr="00E5311E">
        <w:rPr>
          <w:rFonts w:eastAsia="Times New Roman"/>
          <w:i/>
          <w:szCs w:val="24"/>
        </w:rPr>
        <w:t>Décisions</w:t>
      </w:r>
    </w:p>
    <w:p w14:paraId="417B59B2" w14:textId="77777777" w:rsidR="00CB5721" w:rsidRDefault="00CB5721" w:rsidP="00CB5721">
      <w:pPr>
        <w:jc w:val="center"/>
      </w:pPr>
    </w:p>
    <w:p w14:paraId="342CE864" w14:textId="77777777" w:rsidR="00CB5721" w:rsidRPr="00176368" w:rsidRDefault="00CB5721" w:rsidP="00CB5721">
      <w:r w:rsidRPr="00176368">
        <w:t>Les Délégués</w:t>
      </w:r>
    </w:p>
    <w:p w14:paraId="39DC1F4B" w14:textId="77777777" w:rsidR="00CB5721" w:rsidRPr="00176368" w:rsidRDefault="00CB5721" w:rsidP="00CB5721"/>
    <w:p w14:paraId="4CA9475A" w14:textId="77777777" w:rsidR="00CB5721" w:rsidRPr="00176368" w:rsidRDefault="00CB5721" w:rsidP="00CB5721">
      <w:r w:rsidRPr="00176368">
        <w:t>1.</w:t>
      </w:r>
      <w:r w:rsidRPr="00176368">
        <w:tab/>
        <w:t>adoptent la procédure suivante afin de pourvoir les cinq sièges du Comité européen des Droits sociaux devenant vacants le 31 décembre 20</w:t>
      </w:r>
      <w:r>
        <w:t>22</w:t>
      </w:r>
      <w:r w:rsidRPr="00176368">
        <w:t>, les mandats des sièges vacants commençant le 1</w:t>
      </w:r>
      <w:r w:rsidRPr="00176368">
        <w:rPr>
          <w:vertAlign w:val="superscript"/>
        </w:rPr>
        <w:t>er</w:t>
      </w:r>
      <w:r w:rsidRPr="00176368">
        <w:t> janvier 20</w:t>
      </w:r>
      <w:r>
        <w:t>23</w:t>
      </w:r>
      <w:r w:rsidRPr="00176368">
        <w:t xml:space="preserve"> et prenant fin le 31 décembre 202</w:t>
      </w:r>
      <w:r>
        <w:t xml:space="preserve">8, </w:t>
      </w:r>
      <w:r w:rsidRPr="00E002AF">
        <w:t>ainsi que pour pourvoir le siège devenu vacant à compter du 23 mars 2022 par suite de la démission d'un membre, le mandat de ce siège prenant effet immédiatement après l'élection et se terminant le 31 décembre 2024 :</w:t>
      </w:r>
    </w:p>
    <w:p w14:paraId="15233000" w14:textId="77777777" w:rsidR="00CB5721" w:rsidRPr="00176368" w:rsidRDefault="00CB5721" w:rsidP="00CB5721"/>
    <w:p w14:paraId="01F51D7C" w14:textId="08C6B6CA" w:rsidR="00CB5721" w:rsidRPr="00176368" w:rsidRDefault="00CB5721" w:rsidP="00CB5721">
      <w:r w:rsidRPr="00176368">
        <w:t>a.</w:t>
      </w:r>
      <w:r w:rsidRPr="00176368">
        <w:tab/>
        <w:t xml:space="preserve">chaque Partie contractante à la Charte sociale européenne ou à la Charte sociale européenne révisée pourra soumettre </w:t>
      </w:r>
      <w:r>
        <w:t>à la</w:t>
      </w:r>
      <w:r w:rsidRPr="00176368">
        <w:t xml:space="preserve"> Secrétaire Général</w:t>
      </w:r>
      <w:r>
        <w:t>e</w:t>
      </w:r>
      <w:r w:rsidRPr="00176368">
        <w:t xml:space="preserve"> du Conseil de l’Europe, d’ici au </w:t>
      </w:r>
      <w:r>
        <w:t>23 septembre</w:t>
      </w:r>
      <w:r w:rsidRPr="00176368">
        <w:t xml:space="preserve"> 20</w:t>
      </w:r>
      <w:r>
        <w:t>22</w:t>
      </w:r>
      <w:r w:rsidRPr="00176368">
        <w:t xml:space="preserve"> au plus tard, le nom d’un ou d’une candidat(e) qu’elle juge convenir pour les sièges vacants, en tenant compte du fait que ces derniers concernent les groupes I (</w:t>
      </w:r>
      <w:r>
        <w:t>deux</w:t>
      </w:r>
      <w:r w:rsidRPr="00176368">
        <w:t xml:space="preserve"> siège</w:t>
      </w:r>
      <w:r>
        <w:t>s</w:t>
      </w:r>
      <w:r w:rsidRPr="00176368">
        <w:t>), III (</w:t>
      </w:r>
      <w:r>
        <w:t>deux</w:t>
      </w:r>
      <w:r w:rsidRPr="00176368">
        <w:t xml:space="preserve"> siège</w:t>
      </w:r>
      <w:r>
        <w:t>s</w:t>
      </w:r>
      <w:r w:rsidRPr="00176368">
        <w:t xml:space="preserve">), </w:t>
      </w:r>
      <w:r>
        <w:t>I</w:t>
      </w:r>
      <w:r w:rsidRPr="00176368">
        <w:t>V (</w:t>
      </w:r>
      <w:r>
        <w:t>un</w:t>
      </w:r>
      <w:r w:rsidRPr="00176368">
        <w:t xml:space="preserve"> siège</w:t>
      </w:r>
      <w:r>
        <w:t>)</w:t>
      </w:r>
      <w:r w:rsidRPr="00176368">
        <w:t>,</w:t>
      </w:r>
      <w:r>
        <w:t xml:space="preserve"> et V </w:t>
      </w:r>
      <w:r w:rsidRPr="00E002AF">
        <w:t>(un siège vacant suite à la démission d'un membre</w:t>
      </w:r>
      <w:r>
        <w:t>)</w:t>
      </w:r>
      <w:r w:rsidRPr="00176368">
        <w:t xml:space="preserve"> et eu égard à l’article 25 de la Charte tel qu’il figure dans l’article 3 du Protocole portant amendement à la Charte sociale européenne ainsi qu’aux règles convenues en matière de nationalité</w:t>
      </w:r>
      <w:r w:rsidRPr="00176368">
        <w:rPr>
          <w:vertAlign w:val="superscript"/>
        </w:rPr>
        <w:footnoteReference w:id="1"/>
      </w:r>
      <w:r w:rsidRPr="00176368">
        <w:rPr>
          <w:vertAlign w:val="superscript"/>
        </w:rPr>
        <w:t xml:space="preserve"> </w:t>
      </w:r>
      <w:r w:rsidRPr="00176368">
        <w:t xml:space="preserve"> et en tenant également compte de la Recommandation </w:t>
      </w:r>
      <w:bookmarkStart w:id="1" w:name="_ML_000000000002_VALID"/>
      <w:r w:rsidR="00FD0B05" w:rsidRPr="00FD0B05">
        <w:fldChar w:fldCharType="begin"/>
      </w:r>
      <w:r w:rsidR="00FD0B05" w:rsidRPr="00FD0B05">
        <w:instrText xml:space="preserve"> HYPERLINK "https://search.coe.int/cm/Pages/result_details.aspx?Reference=Rec(81)6" \o "relative à la participation de femmes et d'hommes en proportion équitable aux comités et autres organismes établis dans le cadre du Conseil de l'Europe" </w:instrText>
      </w:r>
      <w:r w:rsidR="00FD0B05" w:rsidRPr="00FD0B05">
        <w:fldChar w:fldCharType="separate"/>
      </w:r>
      <w:bookmarkEnd w:id="1"/>
      <w:r w:rsidR="00FD0B05" w:rsidRPr="00FD0B05">
        <w:rPr>
          <w:rStyle w:val="Hyperlink"/>
        </w:rPr>
        <w:t>Rec(81)6</w:t>
      </w:r>
      <w:r w:rsidR="00FD0B05" w:rsidRPr="00FD0B05">
        <w:fldChar w:fldCharType="end"/>
      </w:r>
      <w:r w:rsidRPr="00176368">
        <w:t xml:space="preserve"> adoptée par le Comité des Ministres </w:t>
      </w:r>
      <w:r>
        <w:br/>
      </w:r>
      <w:r w:rsidRPr="00176368">
        <w:t>le 30 avril 1981</w:t>
      </w:r>
      <w:r w:rsidRPr="00176368">
        <w:rPr>
          <w:vertAlign w:val="superscript"/>
        </w:rPr>
        <w:footnoteReference w:id="2"/>
      </w:r>
      <w:r w:rsidRPr="00176368">
        <w:t> ;</w:t>
      </w:r>
    </w:p>
    <w:p w14:paraId="3378DB57" w14:textId="77777777" w:rsidR="00CB5721" w:rsidRPr="00176368" w:rsidRDefault="00CB5721" w:rsidP="00CB5721"/>
    <w:p w14:paraId="3E83626A" w14:textId="77777777" w:rsidR="00CB5721" w:rsidRPr="00176368" w:rsidRDefault="00CB5721" w:rsidP="00CB5721">
      <w:r w:rsidRPr="00176368">
        <w:t>b.</w:t>
      </w:r>
      <w:r w:rsidRPr="00176368">
        <w:tab/>
        <w:t>l</w:t>
      </w:r>
      <w:r>
        <w:t>a</w:t>
      </w:r>
      <w:r w:rsidRPr="00176368">
        <w:t xml:space="preserve"> Secrétaire Général</w:t>
      </w:r>
      <w:r>
        <w:t>e</w:t>
      </w:r>
      <w:r w:rsidRPr="00176368">
        <w:t xml:space="preserve"> communiquera la liste des noms reçus au Comité des Ministres qui procédera à une élection au scrutin secret lors de l’une de ses réunions à l’automne 20</w:t>
      </w:r>
      <w:r>
        <w:t>22</w:t>
      </w:r>
      <w:r w:rsidRPr="00176368">
        <w:t> ;</w:t>
      </w:r>
    </w:p>
    <w:p w14:paraId="516343C4" w14:textId="77777777" w:rsidR="00CB5721" w:rsidRPr="00176368" w:rsidRDefault="00CB5721" w:rsidP="00CB5721"/>
    <w:p w14:paraId="682B8613" w14:textId="77777777" w:rsidR="00CB5721" w:rsidRPr="00176368" w:rsidRDefault="00CB5721" w:rsidP="00CB5721">
      <w:r w:rsidRPr="00176368">
        <w:t>c.</w:t>
      </w:r>
      <w:r w:rsidRPr="00176368">
        <w:tab/>
        <w:t>le ou les candidats ou candidates ayant recueilli la majorité simple des voix au sens de l’article 10.4 du Règlement intérieur pour les réunions des Délégués des Ministres (c’est-à-dire, la moitié plus un du nombre des Délégués possédant le droit de vote), et le plus grand nombre de voix, seront déclaré(e)s élu(e)s ;</w:t>
      </w:r>
    </w:p>
    <w:p w14:paraId="68C378DE" w14:textId="77777777" w:rsidR="00CB5721" w:rsidRPr="00176368" w:rsidRDefault="00CB5721" w:rsidP="00CB5721"/>
    <w:p w14:paraId="2E00C10E" w14:textId="77777777" w:rsidR="00CB5721" w:rsidRPr="00176368" w:rsidRDefault="00CB5721" w:rsidP="00CB5721">
      <w:r w:rsidRPr="00176368">
        <w:t>d.</w:t>
      </w:r>
      <w:r w:rsidRPr="00176368">
        <w:tab/>
        <w:t>si un siège, ou plus, demeure(nt) vacant(s) après le premier scrutin, il y aura un deuxième tour de scrutin. Le ou les candidat(s) ayant recueilli le nombre de voix le plus élevé sera ou seront déclaré(s) élu(s) ;</w:t>
      </w:r>
    </w:p>
    <w:p w14:paraId="6DFAF8D8" w14:textId="77777777" w:rsidR="00CB5721" w:rsidRPr="00176368" w:rsidRDefault="00CB5721" w:rsidP="00CB5721"/>
    <w:p w14:paraId="5029709A" w14:textId="77777777" w:rsidR="00CB5721" w:rsidRPr="00176368" w:rsidRDefault="00CB5721" w:rsidP="00CB5721">
      <w:r w:rsidRPr="00176368">
        <w:t>2.</w:t>
      </w:r>
      <w:r w:rsidRPr="00176368">
        <w:tab/>
        <w:t>conviennent, aux fins de cette élection, de procéder à la répartition des 4</w:t>
      </w:r>
      <w:r>
        <w:t>6</w:t>
      </w:r>
      <w:r w:rsidRPr="00176368">
        <w:t xml:space="preserve"> </w:t>
      </w:r>
      <w:r w:rsidRPr="00176368">
        <w:rPr>
          <w:rFonts w:cs="Arial"/>
        </w:rPr>
        <w:t>É</w:t>
      </w:r>
      <w:r w:rsidRPr="00176368">
        <w:t>tats membres de la manière suivante</w:t>
      </w:r>
      <w:r w:rsidRPr="00176368">
        <w:rPr>
          <w:vertAlign w:val="superscript"/>
        </w:rPr>
        <w:footnoteReference w:id="3"/>
      </w:r>
      <w:r w:rsidRPr="00176368">
        <w:t> :</w:t>
      </w:r>
    </w:p>
    <w:p w14:paraId="60D1A0C8" w14:textId="77777777" w:rsidR="00CB5721" w:rsidRPr="00176368" w:rsidRDefault="00CB5721" w:rsidP="00CB5721">
      <w:pPr>
        <w:rPr>
          <w:iCs/>
        </w:rPr>
      </w:pPr>
    </w:p>
    <w:p w14:paraId="6511F484" w14:textId="77777777" w:rsidR="00CB5721" w:rsidRPr="00176368" w:rsidRDefault="00CB5721" w:rsidP="00CB5721">
      <w:pPr>
        <w:rPr>
          <w:iCs/>
        </w:rPr>
      </w:pPr>
      <w:r w:rsidRPr="00176368">
        <w:rPr>
          <w:b/>
          <w:iCs/>
        </w:rPr>
        <w:t>Groupe I</w:t>
      </w:r>
      <w:r w:rsidRPr="00176368">
        <w:t xml:space="preserve"> </w:t>
      </w:r>
      <w:r w:rsidRPr="00176368">
        <w:rPr>
          <w:iCs/>
        </w:rPr>
        <w:t xml:space="preserve">(trois sièges) : </w:t>
      </w:r>
      <w:r>
        <w:rPr>
          <w:iCs/>
          <w:u w:val="single"/>
        </w:rPr>
        <w:t>deux</w:t>
      </w:r>
      <w:r w:rsidRPr="00176368">
        <w:rPr>
          <w:iCs/>
          <w:u w:val="single"/>
        </w:rPr>
        <w:t xml:space="preserve"> siège</w:t>
      </w:r>
      <w:r>
        <w:rPr>
          <w:iCs/>
          <w:u w:val="single"/>
        </w:rPr>
        <w:t>s</w:t>
      </w:r>
      <w:r w:rsidRPr="00176368">
        <w:rPr>
          <w:iCs/>
          <w:u w:val="single"/>
        </w:rPr>
        <w:t xml:space="preserve"> vacant</w:t>
      </w:r>
      <w:r>
        <w:rPr>
          <w:iCs/>
          <w:u w:val="single"/>
        </w:rPr>
        <w:t>s</w:t>
      </w:r>
    </w:p>
    <w:p w14:paraId="7CDE6050" w14:textId="77777777" w:rsidR="00CB5721" w:rsidRPr="00176368" w:rsidRDefault="00CB5721" w:rsidP="00CB5721">
      <w:pPr>
        <w:rPr>
          <w:b/>
        </w:rPr>
      </w:pPr>
    </w:p>
    <w:p w14:paraId="7A21E0A2" w14:textId="77777777" w:rsidR="00CB5721" w:rsidRPr="00176368" w:rsidRDefault="00CB5721" w:rsidP="00CB5721">
      <w:r w:rsidRPr="00176368">
        <w:rPr>
          <w:b/>
        </w:rPr>
        <w:t xml:space="preserve">Arménie, </w:t>
      </w:r>
      <w:r w:rsidRPr="00176368">
        <w:rPr>
          <w:b/>
          <w:bCs/>
        </w:rPr>
        <w:t>Autriche, République tchèque, Allemagne, Hongrie</w:t>
      </w:r>
      <w:r w:rsidRPr="00176368">
        <w:t xml:space="preserve">, Liechtenstein, </w:t>
      </w:r>
      <w:r w:rsidRPr="00176368">
        <w:rPr>
          <w:b/>
          <w:bCs/>
        </w:rPr>
        <w:t>République slovaque, Slovénie</w:t>
      </w:r>
      <w:r w:rsidRPr="00176368">
        <w:t xml:space="preserve"> et Suisse.</w:t>
      </w:r>
    </w:p>
    <w:p w14:paraId="00B3A58F" w14:textId="77777777" w:rsidR="00CB5721" w:rsidRPr="00176368" w:rsidRDefault="00CB5721" w:rsidP="00CB5721">
      <w:pPr>
        <w:rPr>
          <w:b/>
          <w:iCs/>
        </w:rPr>
      </w:pPr>
    </w:p>
    <w:p w14:paraId="06E3186C" w14:textId="77777777" w:rsidR="00CB5721" w:rsidRPr="00176368" w:rsidRDefault="00CB5721" w:rsidP="00CB5721">
      <w:pPr>
        <w:rPr>
          <w:iCs/>
        </w:rPr>
      </w:pPr>
      <w:r w:rsidRPr="00176368">
        <w:rPr>
          <w:b/>
          <w:iCs/>
        </w:rPr>
        <w:t>Groupe II</w:t>
      </w:r>
      <w:r w:rsidRPr="00176368">
        <w:rPr>
          <w:iCs/>
        </w:rPr>
        <w:t xml:space="preserve"> (trois sièges) : </w:t>
      </w:r>
      <w:r>
        <w:rPr>
          <w:iCs/>
          <w:u w:val="single"/>
        </w:rPr>
        <w:t>aucun</w:t>
      </w:r>
      <w:r w:rsidRPr="00176368">
        <w:rPr>
          <w:iCs/>
          <w:u w:val="single"/>
        </w:rPr>
        <w:t xml:space="preserve"> siège vacant</w:t>
      </w:r>
    </w:p>
    <w:p w14:paraId="512CA6ED" w14:textId="77777777" w:rsidR="00CB5721" w:rsidRPr="00176368" w:rsidRDefault="00CB5721" w:rsidP="00CB5721">
      <w:pPr>
        <w:rPr>
          <w:b/>
          <w:bCs/>
        </w:rPr>
      </w:pPr>
    </w:p>
    <w:p w14:paraId="390CA036" w14:textId="77777777" w:rsidR="00CB5721" w:rsidRPr="00176368" w:rsidRDefault="00CB5721" w:rsidP="00CB5721">
      <w:r w:rsidRPr="00176368">
        <w:rPr>
          <w:b/>
          <w:bCs/>
        </w:rPr>
        <w:t>Belgique, Bulgarie,</w:t>
      </w:r>
      <w:r w:rsidRPr="00176368">
        <w:t xml:space="preserve"> </w:t>
      </w:r>
      <w:r w:rsidRPr="00176368">
        <w:rPr>
          <w:b/>
          <w:bCs/>
        </w:rPr>
        <w:t>France, Lituanie</w:t>
      </w:r>
      <w:r w:rsidRPr="00176368">
        <w:t xml:space="preserve">, </w:t>
      </w:r>
      <w:r w:rsidRPr="00176368">
        <w:rPr>
          <w:b/>
          <w:bCs/>
        </w:rPr>
        <w:t>Luxembourg,</w:t>
      </w:r>
      <w:r w:rsidRPr="00176368">
        <w:t xml:space="preserve"> Monaco, </w:t>
      </w:r>
      <w:r w:rsidRPr="00176368">
        <w:rPr>
          <w:b/>
          <w:bCs/>
        </w:rPr>
        <w:t>Pays-Bas</w:t>
      </w:r>
      <w:r w:rsidRPr="00176368">
        <w:t>,</w:t>
      </w:r>
      <w:r w:rsidRPr="00176368">
        <w:rPr>
          <w:b/>
          <w:bCs/>
        </w:rPr>
        <w:t xml:space="preserve"> Pologne </w:t>
      </w:r>
      <w:r w:rsidRPr="00176368">
        <w:rPr>
          <w:bCs/>
        </w:rPr>
        <w:t>et</w:t>
      </w:r>
      <w:r w:rsidRPr="00176368">
        <w:t xml:space="preserve"> </w:t>
      </w:r>
      <w:r w:rsidRPr="00176368">
        <w:rPr>
          <w:b/>
          <w:bCs/>
        </w:rPr>
        <w:t>Roumanie</w:t>
      </w:r>
      <w:r w:rsidRPr="00176368">
        <w:rPr>
          <w:b/>
        </w:rPr>
        <w:t>.</w:t>
      </w:r>
    </w:p>
    <w:p w14:paraId="346B0C23" w14:textId="77777777" w:rsidR="00CB5721" w:rsidRPr="00176368" w:rsidRDefault="00CB5721" w:rsidP="00CB5721">
      <w:pPr>
        <w:rPr>
          <w:b/>
          <w:iCs/>
        </w:rPr>
      </w:pPr>
    </w:p>
    <w:p w14:paraId="09BD705D" w14:textId="77777777" w:rsidR="00CB5721" w:rsidRPr="00176368" w:rsidRDefault="00CB5721" w:rsidP="00CB5721">
      <w:pPr>
        <w:rPr>
          <w:iCs/>
        </w:rPr>
      </w:pPr>
      <w:r w:rsidRPr="00176368">
        <w:rPr>
          <w:b/>
          <w:iCs/>
        </w:rPr>
        <w:lastRenderedPageBreak/>
        <w:t>Groupe III</w:t>
      </w:r>
      <w:r w:rsidRPr="00176368">
        <w:rPr>
          <w:iCs/>
        </w:rPr>
        <w:t xml:space="preserve"> (trois sièges) : </w:t>
      </w:r>
      <w:r>
        <w:rPr>
          <w:iCs/>
          <w:u w:val="single"/>
        </w:rPr>
        <w:t>deux</w:t>
      </w:r>
      <w:r w:rsidRPr="00176368">
        <w:rPr>
          <w:iCs/>
          <w:u w:val="single"/>
        </w:rPr>
        <w:t xml:space="preserve"> siège</w:t>
      </w:r>
      <w:r>
        <w:rPr>
          <w:iCs/>
          <w:u w:val="single"/>
        </w:rPr>
        <w:t>s</w:t>
      </w:r>
      <w:r w:rsidRPr="00176368">
        <w:rPr>
          <w:iCs/>
          <w:u w:val="single"/>
        </w:rPr>
        <w:t xml:space="preserve"> vacant</w:t>
      </w:r>
      <w:r>
        <w:rPr>
          <w:iCs/>
          <w:u w:val="single"/>
        </w:rPr>
        <w:t>s</w:t>
      </w:r>
    </w:p>
    <w:p w14:paraId="438C4480" w14:textId="77777777" w:rsidR="00CB5721" w:rsidRPr="00176368" w:rsidRDefault="00CB5721" w:rsidP="00CB5721">
      <w:pPr>
        <w:rPr>
          <w:b/>
          <w:bCs/>
        </w:rPr>
      </w:pPr>
    </w:p>
    <w:p w14:paraId="772CBC7C" w14:textId="77777777" w:rsidR="00CB5721" w:rsidRPr="00176368" w:rsidRDefault="00CB5721" w:rsidP="00CB5721">
      <w:pPr>
        <w:rPr>
          <w:b/>
          <w:bCs/>
        </w:rPr>
      </w:pPr>
      <w:r w:rsidRPr="00176368">
        <w:rPr>
          <w:b/>
          <w:bCs/>
        </w:rPr>
        <w:t xml:space="preserve">Danemark, Estonie, Finlande, Islande, Irlande, Lettonie, Norvège, Suède </w:t>
      </w:r>
      <w:r w:rsidRPr="00176368">
        <w:t xml:space="preserve">et </w:t>
      </w:r>
      <w:r w:rsidRPr="00176368">
        <w:rPr>
          <w:b/>
          <w:bCs/>
        </w:rPr>
        <w:t>Royaume-Uni.</w:t>
      </w:r>
    </w:p>
    <w:p w14:paraId="0A47E706" w14:textId="77777777" w:rsidR="00CB5721" w:rsidRPr="00176368" w:rsidRDefault="00CB5721" w:rsidP="00CB5721">
      <w:pPr>
        <w:rPr>
          <w:b/>
          <w:iCs/>
        </w:rPr>
      </w:pPr>
    </w:p>
    <w:p w14:paraId="03767BF8" w14:textId="77777777" w:rsidR="00CB5721" w:rsidRPr="00176368" w:rsidRDefault="00CB5721" w:rsidP="00CB5721">
      <w:pPr>
        <w:rPr>
          <w:iCs/>
        </w:rPr>
      </w:pPr>
      <w:r w:rsidRPr="00176368">
        <w:rPr>
          <w:b/>
          <w:iCs/>
        </w:rPr>
        <w:t>Groupe IV</w:t>
      </w:r>
      <w:r w:rsidRPr="00176368">
        <w:rPr>
          <w:iCs/>
        </w:rPr>
        <w:t xml:space="preserve"> (trois sièges) : </w:t>
      </w:r>
      <w:r>
        <w:rPr>
          <w:iCs/>
          <w:u w:val="single"/>
        </w:rPr>
        <w:t>un</w:t>
      </w:r>
      <w:r w:rsidRPr="00176368">
        <w:rPr>
          <w:iCs/>
          <w:u w:val="single"/>
        </w:rPr>
        <w:t xml:space="preserve"> siège vacant</w:t>
      </w:r>
    </w:p>
    <w:p w14:paraId="737E81B4" w14:textId="77777777" w:rsidR="00CB5721" w:rsidRPr="00176368" w:rsidRDefault="00CB5721" w:rsidP="00CB5721">
      <w:pPr>
        <w:rPr>
          <w:b/>
        </w:rPr>
      </w:pPr>
    </w:p>
    <w:p w14:paraId="5742C176" w14:textId="77777777" w:rsidR="00CB5721" w:rsidRPr="00176368" w:rsidRDefault="00CB5721" w:rsidP="00CB5721">
      <w:pPr>
        <w:rPr>
          <w:b/>
          <w:bCs/>
        </w:rPr>
      </w:pPr>
      <w:r w:rsidRPr="00176368">
        <w:rPr>
          <w:b/>
        </w:rPr>
        <w:t>Andorre,</w:t>
      </w:r>
      <w:r w:rsidRPr="00176368">
        <w:t xml:space="preserve"> </w:t>
      </w:r>
      <w:r w:rsidRPr="00176368">
        <w:rPr>
          <w:b/>
        </w:rPr>
        <w:t>Croatie,</w:t>
      </w:r>
      <w:r w:rsidRPr="00176368">
        <w:t xml:space="preserve"> </w:t>
      </w:r>
      <w:r w:rsidRPr="00176368">
        <w:rPr>
          <w:b/>
          <w:bCs/>
        </w:rPr>
        <w:t xml:space="preserve">Chypre, </w:t>
      </w:r>
      <w:r w:rsidRPr="00176368">
        <w:rPr>
          <w:b/>
        </w:rPr>
        <w:t>Géorgie,</w:t>
      </w:r>
      <w:r w:rsidRPr="00176368">
        <w:t xml:space="preserve"> </w:t>
      </w:r>
      <w:r w:rsidRPr="00176368">
        <w:rPr>
          <w:b/>
          <w:bCs/>
        </w:rPr>
        <w:t>Grèce, Italie, Malte, Portugal</w:t>
      </w:r>
      <w:r w:rsidRPr="00176368">
        <w:t xml:space="preserve">, Saint-Marin et </w:t>
      </w:r>
      <w:r w:rsidRPr="00176368">
        <w:rPr>
          <w:b/>
          <w:bCs/>
        </w:rPr>
        <w:t>Espagne.</w:t>
      </w:r>
    </w:p>
    <w:p w14:paraId="3704BB70" w14:textId="77777777" w:rsidR="00CB5721" w:rsidRPr="00176368" w:rsidRDefault="00CB5721" w:rsidP="00CB5721">
      <w:pPr>
        <w:rPr>
          <w:iCs/>
        </w:rPr>
      </w:pPr>
    </w:p>
    <w:p w14:paraId="4B977CEC" w14:textId="77777777" w:rsidR="00CB5721" w:rsidRPr="00176368" w:rsidRDefault="00CB5721" w:rsidP="00CB5721">
      <w:pPr>
        <w:rPr>
          <w:iCs/>
        </w:rPr>
      </w:pPr>
      <w:r w:rsidRPr="00176368">
        <w:rPr>
          <w:b/>
          <w:iCs/>
        </w:rPr>
        <w:t>Groupe V</w:t>
      </w:r>
      <w:r w:rsidRPr="00176368">
        <w:rPr>
          <w:iCs/>
        </w:rPr>
        <w:t xml:space="preserve"> (trois sièges) : </w:t>
      </w:r>
      <w:r w:rsidRPr="00E002AF">
        <w:rPr>
          <w:iCs/>
          <w:u w:val="single"/>
        </w:rPr>
        <w:t>un siège vacant à la suite de la démission d'un membre</w:t>
      </w:r>
    </w:p>
    <w:p w14:paraId="0DA03D48" w14:textId="77777777" w:rsidR="00CB5721" w:rsidRPr="00176368" w:rsidRDefault="00CB5721" w:rsidP="00CB5721">
      <w:pPr>
        <w:rPr>
          <w:b/>
        </w:rPr>
      </w:pPr>
    </w:p>
    <w:p w14:paraId="65A92DA1" w14:textId="520313C5" w:rsidR="00CB5721" w:rsidRPr="00714BA1" w:rsidRDefault="00CB5721" w:rsidP="00DB040D">
      <w:r w:rsidRPr="00176368">
        <w:rPr>
          <w:b/>
        </w:rPr>
        <w:t>Albanie, Azerbaïdjan</w:t>
      </w:r>
      <w:r w:rsidRPr="00176368">
        <w:rPr>
          <w:b/>
          <w:bCs/>
        </w:rPr>
        <w:t xml:space="preserve">, </w:t>
      </w:r>
      <w:r w:rsidRPr="00176368">
        <w:rPr>
          <w:b/>
        </w:rPr>
        <w:t>Bosnie-Herzégovine,</w:t>
      </w:r>
      <w:r w:rsidRPr="00176368">
        <w:t xml:space="preserve"> </w:t>
      </w:r>
      <w:r w:rsidRPr="00176368">
        <w:rPr>
          <w:b/>
          <w:bCs/>
        </w:rPr>
        <w:t>République de Moldova</w:t>
      </w:r>
      <w:r w:rsidRPr="00176368">
        <w:rPr>
          <w:b/>
        </w:rPr>
        <w:t>, Monténégro</w:t>
      </w:r>
      <w:r w:rsidRPr="00176368">
        <w:t xml:space="preserve">, </w:t>
      </w:r>
      <w:r>
        <w:rPr>
          <w:b/>
          <w:bCs/>
        </w:rPr>
        <w:t>Macédoine du Nord</w:t>
      </w:r>
      <w:r w:rsidRPr="00176368">
        <w:rPr>
          <w:b/>
        </w:rPr>
        <w:t>,</w:t>
      </w:r>
      <w:r w:rsidRPr="00176368">
        <w:t xml:space="preserve"> </w:t>
      </w:r>
      <w:r w:rsidR="00FD0B05" w:rsidRPr="00176368">
        <w:rPr>
          <w:b/>
        </w:rPr>
        <w:t xml:space="preserve">Serbie, </w:t>
      </w:r>
      <w:r w:rsidRPr="00176368">
        <w:rPr>
          <w:b/>
          <w:bCs/>
        </w:rPr>
        <w:t>T</w:t>
      </w:r>
      <w:r w:rsidR="00DB040D">
        <w:rPr>
          <w:rFonts w:cs="Arial"/>
          <w:b/>
          <w:bCs/>
        </w:rPr>
        <w:t>ü</w:t>
      </w:r>
      <w:r w:rsidR="00DB040D">
        <w:rPr>
          <w:b/>
          <w:bCs/>
        </w:rPr>
        <w:t>rkiye</w:t>
      </w:r>
      <w:r w:rsidRPr="00176368">
        <w:t xml:space="preserve"> et </w:t>
      </w:r>
      <w:r w:rsidRPr="00176368">
        <w:rPr>
          <w:b/>
        </w:rPr>
        <w:t>Ukraine</w:t>
      </w:r>
      <w:r w:rsidRPr="00176368">
        <w:rPr>
          <w:b/>
          <w:bCs/>
        </w:rPr>
        <w:t>.</w:t>
      </w:r>
    </w:p>
    <w:sectPr w:rsidR="00CB5721" w:rsidRPr="00714BA1" w:rsidSect="00544F6A">
      <w:headerReference w:type="even" r:id="rId7"/>
      <w:headerReference w:type="default" r:id="rId8"/>
      <w:footerReference w:type="default" r:id="rId9"/>
      <w:headerReference w:type="first" r:id="rId10"/>
      <w:footerReference w:type="first" r:id="rId11"/>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DF6F" w14:textId="77777777" w:rsidR="00F67926" w:rsidRDefault="00F67926" w:rsidP="00FD6043">
      <w:r>
        <w:separator/>
      </w:r>
    </w:p>
  </w:endnote>
  <w:endnote w:type="continuationSeparator" w:id="0">
    <w:p w14:paraId="04427E11" w14:textId="77777777" w:rsidR="00F67926" w:rsidRDefault="00F67926"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2EC5"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BFB4"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E05F" w14:textId="77777777" w:rsidR="00F67926" w:rsidRDefault="00F67926" w:rsidP="00FD6043">
      <w:r>
        <w:separator/>
      </w:r>
    </w:p>
  </w:footnote>
  <w:footnote w:type="continuationSeparator" w:id="0">
    <w:p w14:paraId="220CBF91" w14:textId="77777777" w:rsidR="00F67926" w:rsidRDefault="00F67926" w:rsidP="00FD6043">
      <w:r>
        <w:continuationSeparator/>
      </w:r>
    </w:p>
  </w:footnote>
  <w:footnote w:id="1">
    <w:p w14:paraId="33C9979C" w14:textId="77777777" w:rsidR="00CB5721" w:rsidRPr="00DB040D" w:rsidRDefault="00CB5721" w:rsidP="00CB5721">
      <w:pPr>
        <w:pStyle w:val="FootnoteText"/>
        <w:rPr>
          <w:rFonts w:cs="Arial"/>
          <w:i/>
          <w:szCs w:val="18"/>
        </w:rPr>
      </w:pPr>
      <w:r w:rsidRPr="00DB040D">
        <w:rPr>
          <w:rStyle w:val="FootnoteReference"/>
          <w:rFonts w:cs="Arial"/>
          <w:i/>
        </w:rPr>
        <w:footnoteRef/>
      </w:r>
      <w:r w:rsidRPr="00DB040D">
        <w:rPr>
          <w:rFonts w:cs="Arial"/>
          <w:i/>
          <w:szCs w:val="18"/>
        </w:rPr>
        <w:t xml:space="preserve"> </w:t>
      </w:r>
      <w:r w:rsidRPr="00DB040D">
        <w:rPr>
          <w:rStyle w:val="Emphasis"/>
          <w:rFonts w:cs="Arial"/>
          <w:i w:val="0"/>
          <w:szCs w:val="18"/>
        </w:rPr>
        <w:t>Le Comité ne peut être composé que d’un membre d’une nationalité donnée.</w:t>
      </w:r>
    </w:p>
  </w:footnote>
  <w:footnote w:id="2">
    <w:p w14:paraId="57CA03FA" w14:textId="77777777" w:rsidR="00CB5721" w:rsidRPr="00DB040D" w:rsidRDefault="00CB5721" w:rsidP="00CB5721">
      <w:pPr>
        <w:pStyle w:val="FootnoteText"/>
        <w:rPr>
          <w:rFonts w:cs="Arial"/>
          <w:i/>
          <w:szCs w:val="18"/>
        </w:rPr>
      </w:pPr>
      <w:r w:rsidRPr="00DB040D">
        <w:rPr>
          <w:rStyle w:val="FootnoteReference"/>
          <w:rFonts w:cs="Arial"/>
          <w:i/>
        </w:rPr>
        <w:footnoteRef/>
      </w:r>
      <w:r w:rsidRPr="00DB040D">
        <w:rPr>
          <w:rFonts w:cs="Arial"/>
          <w:i/>
          <w:szCs w:val="18"/>
        </w:rPr>
        <w:t xml:space="preserve"> </w:t>
      </w:r>
      <w:r w:rsidRPr="00DB040D">
        <w:rPr>
          <w:rStyle w:val="Emphasis"/>
          <w:rFonts w:cs="Arial"/>
          <w:i w:val="0"/>
          <w:szCs w:val="18"/>
        </w:rPr>
        <w:t xml:space="preserve">La recommandation traite de la participation paritaire des hommes et des femmes dans les comités et autres organes au sein du Conseil de l’Europe. </w:t>
      </w:r>
    </w:p>
  </w:footnote>
  <w:footnote w:id="3">
    <w:p w14:paraId="7C077285" w14:textId="77777777" w:rsidR="00CB5721" w:rsidRPr="00B5552E" w:rsidRDefault="00CB5721" w:rsidP="00CB5721">
      <w:pPr>
        <w:pStyle w:val="FootnoteText"/>
        <w:rPr>
          <w:rFonts w:cs="Arial"/>
          <w:i/>
          <w:szCs w:val="18"/>
        </w:rPr>
      </w:pPr>
      <w:r w:rsidRPr="00DB040D">
        <w:rPr>
          <w:rStyle w:val="FootnoteReference"/>
          <w:rFonts w:cs="Arial"/>
          <w:i/>
        </w:rPr>
        <w:footnoteRef/>
      </w:r>
      <w:r w:rsidRPr="00DB040D">
        <w:rPr>
          <w:rFonts w:cs="Arial"/>
          <w:i/>
          <w:szCs w:val="18"/>
        </w:rPr>
        <w:t xml:space="preserve"> </w:t>
      </w:r>
      <w:r w:rsidRPr="00DB040D">
        <w:rPr>
          <w:rStyle w:val="Emphasis"/>
          <w:rFonts w:cs="Arial"/>
          <w:i w:val="0"/>
          <w:szCs w:val="18"/>
        </w:rPr>
        <w:t>Les États ayant ratifié la Charte ou la Charte révisée apparaissent en gras dans le texte.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882E" w14:textId="5F653B29" w:rsidR="00E24C57" w:rsidRPr="00491E67" w:rsidRDefault="0082709A" w:rsidP="00491E67">
    <w:pPr>
      <w:pStyle w:val="Header"/>
    </w:pPr>
    <w:r w:rsidRPr="0082709A">
      <w:t>CM/Del/</w:t>
    </w:r>
    <w:proofErr w:type="spellStart"/>
    <w:proofErr w:type="gramStart"/>
    <w:r w:rsidRPr="0082709A">
      <w:t>Dec</w:t>
    </w:r>
    <w:proofErr w:type="spellEnd"/>
    <w:r w:rsidRPr="0082709A">
      <w:t>(</w:t>
    </w:r>
    <w:proofErr w:type="gramEnd"/>
    <w:r w:rsidR="00C2669E">
      <w:t>2022</w:t>
    </w:r>
    <w:r w:rsidRPr="0082709A">
      <w:t>)</w:t>
    </w:r>
    <w:r w:rsidR="00CB5721">
      <w:t>1437/4.3</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C6771A">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A1B0" w14:textId="266A6F9A"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C6771A">
      <w:rPr>
        <w:noProof/>
      </w:rPr>
      <w:t>3</w:t>
    </w:r>
    <w:r w:rsidRPr="00491E67">
      <w:fldChar w:fldCharType="end"/>
    </w:r>
    <w:r w:rsidR="00E475F9" w:rsidRPr="00491E67">
      <w:tab/>
    </w:r>
    <w:r w:rsidR="0082709A" w:rsidRPr="0082709A">
      <w:t>CM/Del/</w:t>
    </w:r>
    <w:proofErr w:type="spellStart"/>
    <w:proofErr w:type="gramStart"/>
    <w:r w:rsidR="0082709A" w:rsidRPr="0082709A">
      <w:t>Dec</w:t>
    </w:r>
    <w:proofErr w:type="spellEnd"/>
    <w:r w:rsidR="0082709A" w:rsidRPr="0082709A">
      <w:t>(</w:t>
    </w:r>
    <w:proofErr w:type="gramEnd"/>
    <w:r w:rsidR="00C2669E">
      <w:t>2022</w:t>
    </w:r>
    <w:r w:rsidR="0082709A" w:rsidRPr="0082709A">
      <w:t>)</w:t>
    </w:r>
    <w:r w:rsidR="00CB5721">
      <w:t>1437/4.3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2149" w14:textId="77777777" w:rsidR="00135BDB" w:rsidRDefault="00137BB4" w:rsidP="00123CDD">
    <w:pPr>
      <w:pStyle w:val="Header"/>
      <w:spacing w:after="2280"/>
    </w:pPr>
    <w:r>
      <w:rPr>
        <w:noProof/>
        <w:lang w:val="en-GB" w:eastAsia="en-GB"/>
      </w:rPr>
      <w:drawing>
        <wp:anchor distT="0" distB="0" distL="114300" distR="114300" simplePos="0" relativeHeight="251657728" behindDoc="1" locked="0" layoutInCell="0" allowOverlap="0" wp14:anchorId="552D81BF" wp14:editId="4DD755B3">
          <wp:simplePos x="0" y="0"/>
          <wp:positionH relativeFrom="page">
            <wp:posOffset>0</wp:posOffset>
          </wp:positionH>
          <wp:positionV relativeFrom="page">
            <wp:posOffset>0</wp:posOffset>
          </wp:positionV>
          <wp:extent cx="7576583" cy="10717199"/>
          <wp:effectExtent l="0" t="0" r="5715" b="825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6583" cy="107171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7926"/>
    <w:rsid w:val="00027B2B"/>
    <w:rsid w:val="00035FDF"/>
    <w:rsid w:val="00071EA7"/>
    <w:rsid w:val="00072CBD"/>
    <w:rsid w:val="00082CEE"/>
    <w:rsid w:val="000A307B"/>
    <w:rsid w:val="000C52A6"/>
    <w:rsid w:val="000C5E2A"/>
    <w:rsid w:val="000E50A4"/>
    <w:rsid w:val="000F4CF2"/>
    <w:rsid w:val="000F58C3"/>
    <w:rsid w:val="000F5ADA"/>
    <w:rsid w:val="000F708C"/>
    <w:rsid w:val="00106141"/>
    <w:rsid w:val="00110729"/>
    <w:rsid w:val="00113EB0"/>
    <w:rsid w:val="00123CDD"/>
    <w:rsid w:val="00134D9A"/>
    <w:rsid w:val="00135BDB"/>
    <w:rsid w:val="00137BB4"/>
    <w:rsid w:val="0014266D"/>
    <w:rsid w:val="00147EF4"/>
    <w:rsid w:val="00153948"/>
    <w:rsid w:val="00153BB3"/>
    <w:rsid w:val="00156DC1"/>
    <w:rsid w:val="00160B03"/>
    <w:rsid w:val="00171115"/>
    <w:rsid w:val="001A6076"/>
    <w:rsid w:val="001B7E0B"/>
    <w:rsid w:val="001E7C29"/>
    <w:rsid w:val="001F297D"/>
    <w:rsid w:val="001F4F04"/>
    <w:rsid w:val="00214299"/>
    <w:rsid w:val="002250DD"/>
    <w:rsid w:val="0023437D"/>
    <w:rsid w:val="00242ABB"/>
    <w:rsid w:val="00251353"/>
    <w:rsid w:val="00262B36"/>
    <w:rsid w:val="00265917"/>
    <w:rsid w:val="002861FB"/>
    <w:rsid w:val="00293EE6"/>
    <w:rsid w:val="002A3618"/>
    <w:rsid w:val="002B1EAE"/>
    <w:rsid w:val="002C0872"/>
    <w:rsid w:val="002C20BA"/>
    <w:rsid w:val="002C43B5"/>
    <w:rsid w:val="002C4704"/>
    <w:rsid w:val="002D0655"/>
    <w:rsid w:val="002D11B8"/>
    <w:rsid w:val="002E4089"/>
    <w:rsid w:val="002E44D0"/>
    <w:rsid w:val="002F3006"/>
    <w:rsid w:val="002F405C"/>
    <w:rsid w:val="002F6BB7"/>
    <w:rsid w:val="00303712"/>
    <w:rsid w:val="00311CE6"/>
    <w:rsid w:val="00315C43"/>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07981"/>
    <w:rsid w:val="00407FB1"/>
    <w:rsid w:val="004256CB"/>
    <w:rsid w:val="004329B7"/>
    <w:rsid w:val="00443709"/>
    <w:rsid w:val="00447D22"/>
    <w:rsid w:val="004553F6"/>
    <w:rsid w:val="004728F8"/>
    <w:rsid w:val="00480D8B"/>
    <w:rsid w:val="00491E67"/>
    <w:rsid w:val="004A37E1"/>
    <w:rsid w:val="004C0C2F"/>
    <w:rsid w:val="004C11B3"/>
    <w:rsid w:val="004D1C0F"/>
    <w:rsid w:val="004F1D8B"/>
    <w:rsid w:val="0050115D"/>
    <w:rsid w:val="0054041B"/>
    <w:rsid w:val="00544F6A"/>
    <w:rsid w:val="00550B6C"/>
    <w:rsid w:val="00574663"/>
    <w:rsid w:val="005B1FA1"/>
    <w:rsid w:val="005B3604"/>
    <w:rsid w:val="005C73BB"/>
    <w:rsid w:val="005D7BB3"/>
    <w:rsid w:val="005D7CDF"/>
    <w:rsid w:val="005F093B"/>
    <w:rsid w:val="005F240A"/>
    <w:rsid w:val="005F3DC6"/>
    <w:rsid w:val="00614982"/>
    <w:rsid w:val="00641E93"/>
    <w:rsid w:val="00643231"/>
    <w:rsid w:val="00643C3F"/>
    <w:rsid w:val="00644AD3"/>
    <w:rsid w:val="006455FA"/>
    <w:rsid w:val="00671684"/>
    <w:rsid w:val="00671EA2"/>
    <w:rsid w:val="006908C5"/>
    <w:rsid w:val="006F0318"/>
    <w:rsid w:val="006F6B48"/>
    <w:rsid w:val="00712E65"/>
    <w:rsid w:val="007150DE"/>
    <w:rsid w:val="00735569"/>
    <w:rsid w:val="00761627"/>
    <w:rsid w:val="00773CFE"/>
    <w:rsid w:val="007A543D"/>
    <w:rsid w:val="007B3DD0"/>
    <w:rsid w:val="007C0AD1"/>
    <w:rsid w:val="007D7B20"/>
    <w:rsid w:val="007E168C"/>
    <w:rsid w:val="007F6C46"/>
    <w:rsid w:val="00800A19"/>
    <w:rsid w:val="008042E6"/>
    <w:rsid w:val="00805F04"/>
    <w:rsid w:val="00810D5A"/>
    <w:rsid w:val="00814AA2"/>
    <w:rsid w:val="0082394F"/>
    <w:rsid w:val="0082709A"/>
    <w:rsid w:val="00853C90"/>
    <w:rsid w:val="008575F2"/>
    <w:rsid w:val="0087380A"/>
    <w:rsid w:val="008B07D4"/>
    <w:rsid w:val="008C12CC"/>
    <w:rsid w:val="00915AB1"/>
    <w:rsid w:val="00916BF5"/>
    <w:rsid w:val="009215B8"/>
    <w:rsid w:val="00923554"/>
    <w:rsid w:val="009270C4"/>
    <w:rsid w:val="009342FF"/>
    <w:rsid w:val="00940F14"/>
    <w:rsid w:val="00950D67"/>
    <w:rsid w:val="009527D7"/>
    <w:rsid w:val="00955512"/>
    <w:rsid w:val="00963962"/>
    <w:rsid w:val="00974C41"/>
    <w:rsid w:val="00990722"/>
    <w:rsid w:val="009B3AB7"/>
    <w:rsid w:val="009C5258"/>
    <w:rsid w:val="009D28F3"/>
    <w:rsid w:val="009D28F7"/>
    <w:rsid w:val="00A12DEC"/>
    <w:rsid w:val="00A13FA3"/>
    <w:rsid w:val="00A161B3"/>
    <w:rsid w:val="00A22D53"/>
    <w:rsid w:val="00A474E5"/>
    <w:rsid w:val="00A842D4"/>
    <w:rsid w:val="00A93CA3"/>
    <w:rsid w:val="00AB6552"/>
    <w:rsid w:val="00AB67F8"/>
    <w:rsid w:val="00AB7727"/>
    <w:rsid w:val="00AC73AA"/>
    <w:rsid w:val="00AE76B8"/>
    <w:rsid w:val="00B06133"/>
    <w:rsid w:val="00B129D8"/>
    <w:rsid w:val="00B227AE"/>
    <w:rsid w:val="00B41B03"/>
    <w:rsid w:val="00B41EC3"/>
    <w:rsid w:val="00B509CE"/>
    <w:rsid w:val="00B63F08"/>
    <w:rsid w:val="00B81BAC"/>
    <w:rsid w:val="00B849E0"/>
    <w:rsid w:val="00B90246"/>
    <w:rsid w:val="00B920E4"/>
    <w:rsid w:val="00BA79A3"/>
    <w:rsid w:val="00BB7DCE"/>
    <w:rsid w:val="00BD25C0"/>
    <w:rsid w:val="00C049EE"/>
    <w:rsid w:val="00C109FD"/>
    <w:rsid w:val="00C14C2C"/>
    <w:rsid w:val="00C23618"/>
    <w:rsid w:val="00C2669E"/>
    <w:rsid w:val="00C409C2"/>
    <w:rsid w:val="00C6771A"/>
    <w:rsid w:val="00C71124"/>
    <w:rsid w:val="00C74E6F"/>
    <w:rsid w:val="00C8348A"/>
    <w:rsid w:val="00C92F89"/>
    <w:rsid w:val="00CB5721"/>
    <w:rsid w:val="00CC39DC"/>
    <w:rsid w:val="00CE1FF8"/>
    <w:rsid w:val="00CE4890"/>
    <w:rsid w:val="00CE6FD2"/>
    <w:rsid w:val="00D0182E"/>
    <w:rsid w:val="00D0265B"/>
    <w:rsid w:val="00D24A57"/>
    <w:rsid w:val="00D53526"/>
    <w:rsid w:val="00D554E6"/>
    <w:rsid w:val="00D70628"/>
    <w:rsid w:val="00D872CF"/>
    <w:rsid w:val="00DA7643"/>
    <w:rsid w:val="00DB029C"/>
    <w:rsid w:val="00DB040D"/>
    <w:rsid w:val="00DC162E"/>
    <w:rsid w:val="00DC4A39"/>
    <w:rsid w:val="00DE0A21"/>
    <w:rsid w:val="00DF6796"/>
    <w:rsid w:val="00E125C6"/>
    <w:rsid w:val="00E15639"/>
    <w:rsid w:val="00E1656D"/>
    <w:rsid w:val="00E173B5"/>
    <w:rsid w:val="00E24C57"/>
    <w:rsid w:val="00E475F9"/>
    <w:rsid w:val="00E50974"/>
    <w:rsid w:val="00E5311E"/>
    <w:rsid w:val="00E86611"/>
    <w:rsid w:val="00E940BF"/>
    <w:rsid w:val="00EA643A"/>
    <w:rsid w:val="00EE34E3"/>
    <w:rsid w:val="00EF0BE4"/>
    <w:rsid w:val="00F01885"/>
    <w:rsid w:val="00F168A4"/>
    <w:rsid w:val="00F2380B"/>
    <w:rsid w:val="00F24713"/>
    <w:rsid w:val="00F40699"/>
    <w:rsid w:val="00F40B8D"/>
    <w:rsid w:val="00F433D6"/>
    <w:rsid w:val="00F61D34"/>
    <w:rsid w:val="00F67926"/>
    <w:rsid w:val="00F76BBD"/>
    <w:rsid w:val="00F96689"/>
    <w:rsid w:val="00FD0B05"/>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92D2D"/>
  <w15:docId w15:val="{6A6291C9-5C73-4BFC-8A0D-0B86997F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1,Footnote Text Char Char,Footnote Text Char1 Char Char,Footnote Text Char Char Char Char,Footnote Text Char2 Char Char Char Char Char,Footnote Text Char1 Char Char Char Char Char Char,Schriftart: 9 pt,n"/>
    <w:basedOn w:val="Normal"/>
    <w:link w:val="FootnoteTextChar"/>
    <w:unhideWhenUsed/>
    <w:rsid w:val="009C5258"/>
    <w:rPr>
      <w:sz w:val="16"/>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 Char,Footnote Text Char1 Char Char Char Char Char Char Char"/>
    <w:link w:val="FootnoteText"/>
    <w:rsid w:val="009C5258"/>
    <w:rPr>
      <w:rFonts w:ascii="Arial" w:hAnsi="Arial"/>
      <w:sz w:val="16"/>
      <w:lang w:val="fr-FR" w:eastAsia="en-US"/>
    </w:rPr>
  </w:style>
  <w:style w:type="character" w:styleId="FootnoteReference">
    <w:name w:val="footnote reference"/>
    <w:aliases w:val="Footnotes refss,callout"/>
    <w:semiHidden/>
    <w:unhideWhenUsed/>
    <w:rsid w:val="00853C90"/>
    <w:rPr>
      <w:vertAlign w:val="superscript"/>
    </w:rPr>
  </w:style>
  <w:style w:type="paragraph" w:customStyle="1" w:styleId="COELignes">
    <w:name w:val="COE_Lignes"/>
    <w:basedOn w:val="Normal"/>
    <w:rsid w:val="00CB5721"/>
    <w:rPr>
      <w:rFonts w:eastAsia="Times New Roman"/>
      <w:szCs w:val="24"/>
      <w:lang w:val="en-US"/>
    </w:rPr>
  </w:style>
  <w:style w:type="character" w:styleId="Emphasis">
    <w:name w:val="Emphasis"/>
    <w:uiPriority w:val="20"/>
    <w:qFormat/>
    <w:rsid w:val="00CB5721"/>
    <w:rPr>
      <w:i/>
      <w:iCs/>
    </w:rPr>
  </w:style>
  <w:style w:type="character" w:styleId="UnresolvedMention">
    <w:name w:val="Unresolved Mention"/>
    <w:basedOn w:val="DefaultParagraphFont"/>
    <w:uiPriority w:val="99"/>
    <w:semiHidden/>
    <w:unhideWhenUsed/>
    <w:rsid w:val="00FD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son_t\ND%20Office%20Echo\DE-RNFVGD8I\F_Decision-Template%202749-2070-1187%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0905859-14F9-47CD-81C4-4E251652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F_Decision-Template 2749-2070-1187 v.3</Template>
  <TotalTime>7</TotalTime>
  <Pages>2</Pages>
  <Words>554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3594</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Tracey</dc:creator>
  <cp:lastModifiedBy>EVANS Elizabeth</cp:lastModifiedBy>
  <cp:revision>5</cp:revision>
  <cp:lastPrinted>2016-03-16T18:37:00Z</cp:lastPrinted>
  <dcterms:created xsi:type="dcterms:W3CDTF">2022-06-01T09:55:00Z</dcterms:created>
  <dcterms:modified xsi:type="dcterms:W3CDTF">2022-06-17T08:49:00Z</dcterms:modified>
</cp:coreProperties>
</file>