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A230E" w14:textId="77777777" w:rsidR="00C0060D" w:rsidRDefault="00C0060D" w:rsidP="00C0060D">
      <w:pPr>
        <w:rPr>
          <w:rFonts w:ascii="Arial" w:hAnsi="Arial" w:cs="Arial"/>
          <w:noProof/>
          <w:sz w:val="20"/>
          <w:szCs w:val="20"/>
        </w:rPr>
      </w:pPr>
      <w:r w:rsidRPr="003147F3">
        <w:rPr>
          <w:rFonts w:ascii="Arial" w:hAnsi="Arial" w:cs="Arial"/>
          <w:noProof/>
          <w:sz w:val="20"/>
          <w:szCs w:val="20"/>
        </w:rPr>
        <w:drawing>
          <wp:anchor distT="0" distB="0" distL="114300" distR="114300" simplePos="0" relativeHeight="251659264" behindDoc="1" locked="0" layoutInCell="1" allowOverlap="1" wp14:anchorId="4F6B3521" wp14:editId="5EE22088">
            <wp:simplePos x="0" y="0"/>
            <wp:positionH relativeFrom="margin">
              <wp:align>right</wp:align>
            </wp:positionH>
            <wp:positionV relativeFrom="paragraph">
              <wp:posOffset>-285750</wp:posOffset>
            </wp:positionV>
            <wp:extent cx="2857500" cy="1247775"/>
            <wp:effectExtent l="0" t="0" r="0" b="9525"/>
            <wp:wrapNone/>
            <wp:docPr id="5" name="Picture 5" descr="Logo 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B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1247775"/>
                    </a:xfrm>
                    <a:prstGeom prst="rect">
                      <a:avLst/>
                    </a:prstGeom>
                    <a:noFill/>
                  </pic:spPr>
                </pic:pic>
              </a:graphicData>
            </a:graphic>
            <wp14:sizeRelH relativeFrom="page">
              <wp14:pctWidth>0</wp14:pctWidth>
            </wp14:sizeRelH>
            <wp14:sizeRelV relativeFrom="page">
              <wp14:pctHeight>0</wp14:pctHeight>
            </wp14:sizeRelV>
          </wp:anchor>
        </w:drawing>
      </w:r>
    </w:p>
    <w:p w14:paraId="399F91CC" w14:textId="77777777" w:rsidR="00C0060D" w:rsidRDefault="00C0060D" w:rsidP="00C0060D">
      <w:pPr>
        <w:rPr>
          <w:rFonts w:ascii="Arial" w:hAnsi="Arial" w:cs="Arial"/>
          <w:noProof/>
          <w:sz w:val="20"/>
          <w:szCs w:val="20"/>
        </w:rPr>
      </w:pPr>
    </w:p>
    <w:p w14:paraId="39A9246A" w14:textId="77777777" w:rsidR="00C0060D" w:rsidRDefault="00C0060D" w:rsidP="00C0060D">
      <w:pPr>
        <w:jc w:val="center"/>
        <w:rPr>
          <w:rFonts w:ascii="Arial" w:hAnsi="Arial" w:cs="Arial"/>
          <w:noProof/>
          <w:sz w:val="20"/>
          <w:szCs w:val="20"/>
        </w:rPr>
      </w:pPr>
    </w:p>
    <w:p w14:paraId="28E6C02A" w14:textId="77777777" w:rsidR="00C0060D" w:rsidRDefault="00C0060D" w:rsidP="00C0060D">
      <w:pPr>
        <w:jc w:val="center"/>
        <w:rPr>
          <w:rFonts w:ascii="Arial" w:hAnsi="Arial" w:cs="Arial"/>
          <w:noProof/>
          <w:sz w:val="20"/>
          <w:szCs w:val="20"/>
        </w:rPr>
      </w:pPr>
    </w:p>
    <w:p w14:paraId="3766D3F0" w14:textId="77777777" w:rsidR="00C0060D" w:rsidRPr="00D950CC" w:rsidRDefault="00C0060D" w:rsidP="00C0060D">
      <w:pPr>
        <w:jc w:val="center"/>
        <w:rPr>
          <w:rFonts w:ascii="Arial" w:hAnsi="Arial" w:cs="Arial"/>
          <w:noProof/>
          <w:sz w:val="20"/>
          <w:szCs w:val="20"/>
        </w:rPr>
      </w:pPr>
      <w:r w:rsidRPr="00D950CC">
        <w:rPr>
          <w:rFonts w:ascii="Arial" w:hAnsi="Arial" w:cs="Arial"/>
          <w:noProof/>
          <w:sz w:val="20"/>
          <w:szCs w:val="20"/>
        </w:rPr>
        <w:t>1</w:t>
      </w:r>
      <w:r>
        <w:rPr>
          <w:rFonts w:ascii="Arial" w:hAnsi="Arial" w:cs="Arial"/>
          <w:noProof/>
          <w:sz w:val="20"/>
          <w:szCs w:val="20"/>
        </w:rPr>
        <w:t>9</w:t>
      </w:r>
      <w:r w:rsidRPr="00D950CC">
        <w:rPr>
          <w:rFonts w:ascii="Arial" w:hAnsi="Arial" w:cs="Arial"/>
          <w:noProof/>
          <w:sz w:val="20"/>
          <w:szCs w:val="20"/>
        </w:rPr>
        <w:t xml:space="preserve"> Mai 2022</w:t>
      </w:r>
      <w:r>
        <w:rPr>
          <w:rFonts w:ascii="Arial" w:hAnsi="Arial" w:cs="Arial"/>
          <w:noProof/>
          <w:sz w:val="20"/>
          <w:szCs w:val="20"/>
        </w:rPr>
        <w:t xml:space="preserve">                                                                                                      CEPEJ(2022)5</w:t>
      </w:r>
    </w:p>
    <w:p w14:paraId="7EDD7F5E" w14:textId="77777777" w:rsidR="00C0060D" w:rsidRPr="00D950CC" w:rsidRDefault="00C0060D" w:rsidP="00C0060D">
      <w:pPr>
        <w:jc w:val="center"/>
        <w:rPr>
          <w:rFonts w:ascii="Arial" w:hAnsi="Arial" w:cs="Arial"/>
          <w:noProof/>
          <w:sz w:val="20"/>
          <w:szCs w:val="20"/>
        </w:rPr>
      </w:pPr>
    </w:p>
    <w:p w14:paraId="126C298B" w14:textId="77777777" w:rsidR="00C0060D" w:rsidRPr="00D950CC" w:rsidRDefault="00C0060D" w:rsidP="00C0060D">
      <w:pPr>
        <w:autoSpaceDE w:val="0"/>
        <w:autoSpaceDN w:val="0"/>
        <w:adjustRightInd w:val="0"/>
        <w:spacing w:after="0" w:line="240" w:lineRule="auto"/>
        <w:jc w:val="center"/>
        <w:rPr>
          <w:rFonts w:ascii="Arial" w:hAnsi="Arial" w:cs="Arial"/>
          <w:color w:val="000000"/>
          <w:sz w:val="20"/>
          <w:szCs w:val="20"/>
        </w:rPr>
      </w:pPr>
    </w:p>
    <w:p w14:paraId="5A827EA7" w14:textId="77777777" w:rsidR="00C0060D" w:rsidRPr="00D950CC" w:rsidRDefault="00C0060D" w:rsidP="00C0060D">
      <w:pPr>
        <w:autoSpaceDE w:val="0"/>
        <w:autoSpaceDN w:val="0"/>
        <w:adjustRightInd w:val="0"/>
        <w:spacing w:after="0" w:line="240" w:lineRule="auto"/>
        <w:jc w:val="center"/>
        <w:rPr>
          <w:rFonts w:ascii="Arial" w:hAnsi="Arial" w:cs="Arial"/>
          <w:color w:val="000000"/>
          <w:sz w:val="20"/>
          <w:szCs w:val="20"/>
        </w:rPr>
      </w:pPr>
      <w:r w:rsidRPr="00D950CC">
        <w:rPr>
          <w:rFonts w:ascii="Arial" w:hAnsi="Arial" w:cs="Arial"/>
          <w:b/>
          <w:bCs/>
          <w:color w:val="000000"/>
          <w:sz w:val="20"/>
          <w:szCs w:val="20"/>
        </w:rPr>
        <w:t>COMMISSION EUROPEENNE POUR L’EFFICACITE DE LA   JUSTICE</w:t>
      </w:r>
    </w:p>
    <w:p w14:paraId="5B41BF9B" w14:textId="5ED40C7E" w:rsidR="00C0060D" w:rsidRDefault="00C0060D" w:rsidP="00C0060D">
      <w:pPr>
        <w:autoSpaceDE w:val="0"/>
        <w:autoSpaceDN w:val="0"/>
        <w:adjustRightInd w:val="0"/>
        <w:spacing w:after="0" w:line="240" w:lineRule="auto"/>
        <w:jc w:val="center"/>
        <w:rPr>
          <w:rFonts w:ascii="Arial" w:hAnsi="Arial" w:cs="Arial"/>
          <w:b/>
          <w:bCs/>
          <w:color w:val="000000"/>
          <w:sz w:val="20"/>
          <w:szCs w:val="20"/>
        </w:rPr>
      </w:pPr>
      <w:r w:rsidRPr="00D950CC">
        <w:rPr>
          <w:rFonts w:ascii="Arial" w:hAnsi="Arial" w:cs="Arial"/>
          <w:b/>
          <w:bCs/>
          <w:color w:val="000000"/>
          <w:sz w:val="20"/>
          <w:szCs w:val="20"/>
        </w:rPr>
        <w:t>(CEPEJ)</w:t>
      </w:r>
    </w:p>
    <w:p w14:paraId="07F01CF0" w14:textId="77777777" w:rsidR="009C3532" w:rsidRPr="00D950CC" w:rsidRDefault="009C3532" w:rsidP="00C0060D">
      <w:pPr>
        <w:autoSpaceDE w:val="0"/>
        <w:autoSpaceDN w:val="0"/>
        <w:adjustRightInd w:val="0"/>
        <w:spacing w:after="0" w:line="240" w:lineRule="auto"/>
        <w:jc w:val="center"/>
        <w:rPr>
          <w:rFonts w:ascii="Arial" w:hAnsi="Arial" w:cs="Arial"/>
          <w:color w:val="000000"/>
          <w:sz w:val="20"/>
          <w:szCs w:val="20"/>
        </w:rPr>
      </w:pPr>
    </w:p>
    <w:p w14:paraId="04608F94" w14:textId="77777777" w:rsidR="00C0060D" w:rsidRPr="00D950CC" w:rsidRDefault="00C0060D" w:rsidP="00C0060D">
      <w:pPr>
        <w:spacing w:after="0" w:line="240" w:lineRule="auto"/>
        <w:jc w:val="center"/>
        <w:rPr>
          <w:rFonts w:ascii="Arial" w:eastAsia="Times New Roman" w:hAnsi="Arial" w:cs="Arial"/>
          <w:b/>
          <w:sz w:val="20"/>
          <w:szCs w:val="20"/>
          <w:lang w:eastAsia="fr-FR"/>
        </w:rPr>
      </w:pPr>
      <w:r w:rsidRPr="00D950CC">
        <w:rPr>
          <w:rFonts w:ascii="Arial" w:hAnsi="Arial" w:cs="Arial"/>
          <w:b/>
          <w:bCs/>
          <w:color w:val="000000"/>
          <w:sz w:val="20"/>
          <w:szCs w:val="20"/>
        </w:rPr>
        <w:t>Rapport d’activité de la CEPEJ – 2021</w:t>
      </w:r>
    </w:p>
    <w:p w14:paraId="0770D452" w14:textId="77777777" w:rsidR="00C0060D" w:rsidRPr="00D950CC" w:rsidRDefault="00C0060D" w:rsidP="00C0060D">
      <w:pPr>
        <w:rPr>
          <w:sz w:val="20"/>
          <w:szCs w:val="20"/>
        </w:rPr>
      </w:pPr>
    </w:p>
    <w:p w14:paraId="0E8E0012" w14:textId="77777777" w:rsidR="00C0060D" w:rsidRPr="00D950CC" w:rsidRDefault="00C0060D" w:rsidP="00C0060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0"/>
          <w:szCs w:val="20"/>
          <w:lang w:eastAsia="fr-FR"/>
        </w:rPr>
      </w:pPr>
      <w:r w:rsidRPr="00D950CC">
        <w:rPr>
          <w:rFonts w:ascii="Arial" w:eastAsia="Times New Roman" w:hAnsi="Arial" w:cs="Arial"/>
          <w:b/>
          <w:sz w:val="20"/>
          <w:szCs w:val="20"/>
          <w:lang w:eastAsia="fr-FR"/>
        </w:rPr>
        <w:t xml:space="preserve">Principaux résultats 2021 </w:t>
      </w:r>
    </w:p>
    <w:p w14:paraId="78A56171" w14:textId="77777777" w:rsidR="00C0060D" w:rsidRPr="00D950CC" w:rsidRDefault="00C0060D" w:rsidP="00C0060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0"/>
          <w:szCs w:val="20"/>
          <w:lang w:eastAsia="fr-FR"/>
        </w:rPr>
      </w:pPr>
    </w:p>
    <w:p w14:paraId="7B982103" w14:textId="77777777" w:rsidR="00C0060D" w:rsidRPr="00D950CC" w:rsidRDefault="00C0060D" w:rsidP="00C0060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sz w:val="20"/>
          <w:szCs w:val="20"/>
          <w:lang w:eastAsia="fr-FR"/>
        </w:rPr>
      </w:pPr>
      <w:r w:rsidRPr="00D950CC">
        <w:rPr>
          <w:rFonts w:ascii="Arial" w:eastAsia="Times New Roman" w:hAnsi="Arial" w:cs="Arial"/>
          <w:bCs/>
          <w:sz w:val="20"/>
          <w:szCs w:val="20"/>
          <w:lang w:eastAsia="fr-FR"/>
        </w:rPr>
        <w:t>L’année 2021, tout comme la précédente</w:t>
      </w:r>
      <w:r>
        <w:rPr>
          <w:rFonts w:ascii="Arial" w:eastAsia="Times New Roman" w:hAnsi="Arial" w:cs="Arial"/>
          <w:bCs/>
          <w:sz w:val="20"/>
          <w:szCs w:val="20"/>
          <w:lang w:eastAsia="fr-FR"/>
        </w:rPr>
        <w:t>,</w:t>
      </w:r>
      <w:r w:rsidRPr="00D950CC">
        <w:rPr>
          <w:rFonts w:ascii="Arial" w:eastAsia="Times New Roman" w:hAnsi="Arial" w:cs="Arial"/>
          <w:bCs/>
          <w:sz w:val="20"/>
          <w:szCs w:val="20"/>
          <w:lang w:eastAsia="fr-FR"/>
        </w:rPr>
        <w:t xml:space="preserve"> a </w:t>
      </w:r>
      <w:r>
        <w:rPr>
          <w:rFonts w:ascii="Arial" w:eastAsia="Times New Roman" w:hAnsi="Arial" w:cs="Arial"/>
          <w:bCs/>
          <w:sz w:val="20"/>
          <w:szCs w:val="20"/>
          <w:lang w:eastAsia="fr-FR"/>
        </w:rPr>
        <w:t>été</w:t>
      </w:r>
      <w:r w:rsidRPr="00D950CC">
        <w:rPr>
          <w:rFonts w:ascii="Arial" w:eastAsia="Times New Roman" w:hAnsi="Arial" w:cs="Arial"/>
          <w:bCs/>
          <w:sz w:val="20"/>
          <w:szCs w:val="20"/>
          <w:lang w:eastAsia="fr-FR"/>
        </w:rPr>
        <w:t xml:space="preserve"> marquée par la crise sanitaire de la COVID-19</w:t>
      </w:r>
      <w:r>
        <w:rPr>
          <w:rFonts w:ascii="Arial" w:eastAsia="Times New Roman" w:hAnsi="Arial" w:cs="Arial"/>
          <w:bCs/>
          <w:sz w:val="20"/>
          <w:szCs w:val="20"/>
          <w:lang w:eastAsia="fr-FR"/>
        </w:rPr>
        <w:t>, qui a obligé l</w:t>
      </w:r>
      <w:r w:rsidRPr="00D950CC">
        <w:rPr>
          <w:rFonts w:ascii="Arial" w:eastAsia="Times New Roman" w:hAnsi="Arial" w:cs="Arial"/>
          <w:bCs/>
          <w:sz w:val="20"/>
          <w:szCs w:val="20"/>
          <w:lang w:eastAsia="fr-FR"/>
        </w:rPr>
        <w:t xml:space="preserve">a Commission européenne pour l’efficacité de la justice (CEPEJ) à continuer à s’adapter aux nouveaux enjeux, et à soutenir les Etats membres dans cette même perspective. </w:t>
      </w:r>
      <w:r>
        <w:rPr>
          <w:rFonts w:ascii="Arial" w:eastAsia="Times New Roman" w:hAnsi="Arial" w:cs="Arial"/>
          <w:bCs/>
          <w:sz w:val="20"/>
          <w:szCs w:val="20"/>
          <w:lang w:eastAsia="fr-FR"/>
        </w:rPr>
        <w:t xml:space="preserve">En effet, la pandémie a poussé les systèmes de justice européens à se réorganiser, à innover et bien souvent à accélérer significativement le processus de dématérialisation du travail judiciaire au sein des tribunaux. Il convient néanmoins de noter que, pour l’année 2021, la CEPEJ a réussi à mettre en œuvre son programme d’activités 2020-2021 tel qu’approuvé par le Comité des ministres, quasi normalement et sans connaître de retard dans l’exécution de ses travaux. </w:t>
      </w:r>
    </w:p>
    <w:p w14:paraId="16375EC3" w14:textId="77777777" w:rsidR="00C0060D" w:rsidRPr="00D950CC" w:rsidRDefault="00C0060D" w:rsidP="00C0060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0"/>
          <w:szCs w:val="20"/>
          <w:lang w:eastAsia="fr-FR"/>
        </w:rPr>
      </w:pPr>
    </w:p>
    <w:p w14:paraId="653B1D41" w14:textId="77777777" w:rsidR="00C0060D" w:rsidRPr="00D950CC" w:rsidRDefault="00C0060D" w:rsidP="00C0060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sz w:val="20"/>
          <w:szCs w:val="20"/>
          <w:lang w:eastAsia="fr-FR"/>
        </w:rPr>
      </w:pPr>
      <w:r w:rsidRPr="00D950CC">
        <w:rPr>
          <w:rFonts w:ascii="Arial" w:eastAsia="Times New Roman" w:hAnsi="Arial" w:cs="Arial"/>
          <w:bCs/>
          <w:sz w:val="20"/>
          <w:szCs w:val="20"/>
          <w:lang w:eastAsia="fr-FR"/>
        </w:rPr>
        <w:t xml:space="preserve">La CEPEJ a organisé sa </w:t>
      </w:r>
      <w:r>
        <w:rPr>
          <w:rFonts w:ascii="Arial" w:eastAsia="Times New Roman" w:hAnsi="Arial" w:cs="Arial"/>
          <w:bCs/>
          <w:sz w:val="20"/>
          <w:szCs w:val="20"/>
          <w:lang w:eastAsia="fr-FR"/>
        </w:rPr>
        <w:t>36</w:t>
      </w:r>
      <w:r w:rsidRPr="006A66B5">
        <w:rPr>
          <w:rFonts w:ascii="Arial" w:eastAsia="Times New Roman" w:hAnsi="Arial" w:cs="Arial"/>
          <w:bCs/>
          <w:sz w:val="20"/>
          <w:szCs w:val="20"/>
          <w:vertAlign w:val="superscript"/>
          <w:lang w:eastAsia="fr-FR"/>
        </w:rPr>
        <w:t>ème</w:t>
      </w:r>
      <w:r>
        <w:rPr>
          <w:rFonts w:ascii="Arial" w:eastAsia="Times New Roman" w:hAnsi="Arial" w:cs="Arial"/>
          <w:bCs/>
          <w:sz w:val="20"/>
          <w:szCs w:val="20"/>
          <w:lang w:eastAsia="fr-FR"/>
        </w:rPr>
        <w:t xml:space="preserve"> </w:t>
      </w:r>
      <w:r w:rsidRPr="00D950CC">
        <w:rPr>
          <w:rFonts w:ascii="Arial" w:eastAsia="Times New Roman" w:hAnsi="Arial" w:cs="Arial"/>
          <w:bCs/>
          <w:sz w:val="20"/>
          <w:szCs w:val="20"/>
          <w:lang w:eastAsia="fr-FR"/>
        </w:rPr>
        <w:t>réunion de plénière</w:t>
      </w:r>
      <w:r>
        <w:rPr>
          <w:rFonts w:ascii="Arial" w:eastAsia="Times New Roman" w:hAnsi="Arial" w:cs="Arial"/>
          <w:bCs/>
          <w:sz w:val="20"/>
          <w:szCs w:val="20"/>
          <w:lang w:eastAsia="fr-FR"/>
        </w:rPr>
        <w:t xml:space="preserve">, en </w:t>
      </w:r>
      <w:r w:rsidRPr="00D950CC">
        <w:rPr>
          <w:rFonts w:ascii="Arial" w:eastAsia="Times New Roman" w:hAnsi="Arial" w:cs="Arial"/>
          <w:bCs/>
          <w:sz w:val="20"/>
          <w:szCs w:val="20"/>
          <w:lang w:eastAsia="fr-FR"/>
        </w:rPr>
        <w:t>juin 2021</w:t>
      </w:r>
      <w:r>
        <w:rPr>
          <w:rFonts w:ascii="Arial" w:eastAsia="Times New Roman" w:hAnsi="Arial" w:cs="Arial"/>
          <w:bCs/>
          <w:sz w:val="20"/>
          <w:szCs w:val="20"/>
          <w:lang w:eastAsia="fr-FR"/>
        </w:rPr>
        <w:t>,</w:t>
      </w:r>
      <w:r w:rsidRPr="00D950CC">
        <w:rPr>
          <w:rFonts w:ascii="Arial" w:eastAsia="Times New Roman" w:hAnsi="Arial" w:cs="Arial"/>
          <w:bCs/>
          <w:sz w:val="20"/>
          <w:szCs w:val="20"/>
          <w:lang w:eastAsia="fr-FR"/>
        </w:rPr>
        <w:t xml:space="preserve"> en ligne uniquement. La </w:t>
      </w:r>
      <w:r>
        <w:rPr>
          <w:rFonts w:ascii="Arial" w:eastAsia="Times New Roman" w:hAnsi="Arial" w:cs="Arial"/>
          <w:bCs/>
          <w:sz w:val="20"/>
          <w:szCs w:val="20"/>
          <w:lang w:eastAsia="fr-FR"/>
        </w:rPr>
        <w:t>37</w:t>
      </w:r>
      <w:r w:rsidRPr="006A66B5">
        <w:rPr>
          <w:rFonts w:ascii="Arial" w:eastAsia="Times New Roman" w:hAnsi="Arial" w:cs="Arial"/>
          <w:bCs/>
          <w:sz w:val="20"/>
          <w:szCs w:val="20"/>
          <w:vertAlign w:val="superscript"/>
          <w:lang w:eastAsia="fr-FR"/>
        </w:rPr>
        <w:t>ème</w:t>
      </w:r>
      <w:r>
        <w:rPr>
          <w:rFonts w:ascii="Arial" w:eastAsia="Times New Roman" w:hAnsi="Arial" w:cs="Arial"/>
          <w:bCs/>
          <w:sz w:val="20"/>
          <w:szCs w:val="20"/>
          <w:lang w:eastAsia="fr-FR"/>
        </w:rPr>
        <w:t xml:space="preserve"> </w:t>
      </w:r>
      <w:r w:rsidRPr="00D950CC">
        <w:rPr>
          <w:rFonts w:ascii="Arial" w:eastAsia="Times New Roman" w:hAnsi="Arial" w:cs="Arial"/>
          <w:bCs/>
          <w:sz w:val="20"/>
          <w:szCs w:val="20"/>
          <w:lang w:eastAsia="fr-FR"/>
        </w:rPr>
        <w:t>réunion plénière</w:t>
      </w:r>
      <w:r>
        <w:rPr>
          <w:rFonts w:ascii="Arial" w:eastAsia="Times New Roman" w:hAnsi="Arial" w:cs="Arial"/>
          <w:bCs/>
          <w:sz w:val="20"/>
          <w:szCs w:val="20"/>
          <w:lang w:eastAsia="fr-FR"/>
        </w:rPr>
        <w:t>, qui s’est tenue en</w:t>
      </w:r>
      <w:r w:rsidRPr="00D950CC">
        <w:rPr>
          <w:rFonts w:ascii="Arial" w:eastAsia="Times New Roman" w:hAnsi="Arial" w:cs="Arial"/>
          <w:bCs/>
          <w:sz w:val="20"/>
          <w:szCs w:val="20"/>
          <w:lang w:eastAsia="fr-FR"/>
        </w:rPr>
        <w:t xml:space="preserve"> décembre</w:t>
      </w:r>
      <w:r>
        <w:rPr>
          <w:rFonts w:ascii="Arial" w:eastAsia="Times New Roman" w:hAnsi="Arial" w:cs="Arial"/>
          <w:bCs/>
          <w:sz w:val="20"/>
          <w:szCs w:val="20"/>
          <w:lang w:eastAsia="fr-FR"/>
        </w:rPr>
        <w:t xml:space="preserve"> 2021,</w:t>
      </w:r>
      <w:r w:rsidRPr="00D950CC">
        <w:rPr>
          <w:rFonts w:ascii="Arial" w:eastAsia="Times New Roman" w:hAnsi="Arial" w:cs="Arial"/>
          <w:bCs/>
          <w:sz w:val="20"/>
          <w:szCs w:val="20"/>
          <w:lang w:eastAsia="fr-FR"/>
        </w:rPr>
        <w:t xml:space="preserve"> a eu lieu en format hybride</w:t>
      </w:r>
      <w:r>
        <w:rPr>
          <w:rFonts w:ascii="Arial" w:eastAsia="Times New Roman" w:hAnsi="Arial" w:cs="Arial"/>
          <w:bCs/>
          <w:sz w:val="20"/>
          <w:szCs w:val="20"/>
          <w:lang w:eastAsia="fr-FR"/>
        </w:rPr>
        <w:t xml:space="preserve">. Lors de cette réunion la </w:t>
      </w:r>
      <w:r w:rsidRPr="00D950CC">
        <w:rPr>
          <w:rFonts w:ascii="Arial" w:eastAsia="Times New Roman" w:hAnsi="Arial" w:cs="Arial"/>
          <w:bCs/>
          <w:sz w:val="20"/>
          <w:szCs w:val="20"/>
          <w:lang w:eastAsia="fr-FR"/>
        </w:rPr>
        <w:t xml:space="preserve">CEPEJ </w:t>
      </w:r>
      <w:r>
        <w:rPr>
          <w:rFonts w:ascii="Arial" w:eastAsia="Times New Roman" w:hAnsi="Arial" w:cs="Arial"/>
          <w:bCs/>
          <w:sz w:val="20"/>
          <w:szCs w:val="20"/>
          <w:lang w:eastAsia="fr-FR"/>
        </w:rPr>
        <w:t>a adopté s</w:t>
      </w:r>
      <w:r w:rsidRPr="00D950CC">
        <w:rPr>
          <w:rFonts w:ascii="Arial" w:eastAsia="Times New Roman" w:hAnsi="Arial" w:cs="Arial"/>
          <w:bCs/>
          <w:sz w:val="20"/>
          <w:szCs w:val="20"/>
          <w:lang w:eastAsia="fr-FR"/>
        </w:rPr>
        <w:t>on programme d’activité 2022-2023</w:t>
      </w:r>
      <w:r>
        <w:rPr>
          <w:rFonts w:ascii="Arial" w:eastAsia="Times New Roman" w:hAnsi="Arial" w:cs="Arial"/>
          <w:bCs/>
          <w:sz w:val="20"/>
          <w:szCs w:val="20"/>
          <w:lang w:eastAsia="fr-FR"/>
        </w:rPr>
        <w:t>.</w:t>
      </w:r>
    </w:p>
    <w:p w14:paraId="27DE2C38" w14:textId="77777777" w:rsidR="00C0060D" w:rsidRPr="00D950CC" w:rsidRDefault="00C0060D" w:rsidP="00C0060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sz w:val="20"/>
          <w:szCs w:val="20"/>
          <w:lang w:eastAsia="fr-FR"/>
        </w:rPr>
      </w:pPr>
    </w:p>
    <w:p w14:paraId="11531F83" w14:textId="77777777" w:rsidR="00C0060D" w:rsidRPr="00D950CC" w:rsidRDefault="00C0060D" w:rsidP="00C0060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sz w:val="20"/>
          <w:szCs w:val="20"/>
          <w:lang w:eastAsia="fr-FR"/>
        </w:rPr>
      </w:pPr>
      <w:r w:rsidRPr="00D950CC">
        <w:rPr>
          <w:rFonts w:ascii="Arial" w:eastAsia="Times New Roman" w:hAnsi="Arial" w:cs="Arial"/>
          <w:bCs/>
          <w:sz w:val="20"/>
          <w:szCs w:val="20"/>
          <w:lang w:eastAsia="fr-FR"/>
        </w:rPr>
        <w:t xml:space="preserve">Le </w:t>
      </w:r>
      <w:r>
        <w:rPr>
          <w:rFonts w:ascii="Arial" w:eastAsia="Times New Roman" w:hAnsi="Arial" w:cs="Arial"/>
          <w:bCs/>
          <w:sz w:val="20"/>
          <w:szCs w:val="20"/>
          <w:lang w:eastAsia="fr-FR"/>
        </w:rPr>
        <w:t>G</w:t>
      </w:r>
      <w:r w:rsidRPr="00D950CC">
        <w:rPr>
          <w:rFonts w:ascii="Arial" w:eastAsia="Times New Roman" w:hAnsi="Arial" w:cs="Arial"/>
          <w:bCs/>
          <w:sz w:val="20"/>
          <w:szCs w:val="20"/>
          <w:lang w:eastAsia="fr-FR"/>
        </w:rPr>
        <w:t>roupe de travail sur la qualité de la justice (CEPEJ-GT-QUAL) a adopté un programme de sensibilisation et de formation à la médiation pour les agents d’exécution</w:t>
      </w:r>
      <w:r>
        <w:rPr>
          <w:rFonts w:ascii="Arial" w:eastAsia="Times New Roman" w:hAnsi="Arial" w:cs="Arial"/>
          <w:bCs/>
          <w:sz w:val="20"/>
          <w:szCs w:val="20"/>
          <w:lang w:eastAsia="fr-FR"/>
        </w:rPr>
        <w:t xml:space="preserve">, </w:t>
      </w:r>
      <w:r w:rsidRPr="00D950CC">
        <w:rPr>
          <w:rFonts w:ascii="Arial" w:eastAsia="Times New Roman" w:hAnsi="Arial" w:cs="Arial"/>
          <w:bCs/>
          <w:sz w:val="20"/>
          <w:szCs w:val="20"/>
          <w:lang w:eastAsia="fr-FR"/>
        </w:rPr>
        <w:t xml:space="preserve">des lignes directrices pour une meilleure intégration de l’usager dans les systèmes judiciaires </w:t>
      </w:r>
      <w:r>
        <w:rPr>
          <w:rFonts w:ascii="Arial" w:eastAsia="Times New Roman" w:hAnsi="Arial" w:cs="Arial"/>
          <w:bCs/>
          <w:sz w:val="20"/>
          <w:szCs w:val="20"/>
          <w:lang w:eastAsia="fr-FR"/>
        </w:rPr>
        <w:t>ainsi qu’</w:t>
      </w:r>
      <w:r w:rsidRPr="00D950CC">
        <w:rPr>
          <w:rFonts w:ascii="Arial" w:eastAsia="Times New Roman" w:hAnsi="Arial" w:cs="Arial"/>
          <w:bCs/>
          <w:sz w:val="20"/>
          <w:szCs w:val="20"/>
          <w:lang w:eastAsia="fr-FR"/>
        </w:rPr>
        <w:t>une</w:t>
      </w:r>
      <w:r>
        <w:rPr>
          <w:rFonts w:ascii="Arial" w:eastAsia="Times New Roman" w:hAnsi="Arial" w:cs="Arial"/>
          <w:bCs/>
          <w:sz w:val="20"/>
          <w:szCs w:val="20"/>
          <w:lang w:eastAsia="fr-FR"/>
        </w:rPr>
        <w:t xml:space="preserve"> f</w:t>
      </w:r>
      <w:r w:rsidRPr="00D950CC">
        <w:rPr>
          <w:rFonts w:ascii="Arial" w:eastAsia="Times New Roman" w:hAnsi="Arial" w:cs="Arial"/>
          <w:bCs/>
          <w:sz w:val="20"/>
          <w:szCs w:val="20"/>
          <w:lang w:eastAsia="fr-FR"/>
        </w:rPr>
        <w:t xml:space="preserve">euille de route révisée visant à assurer le suivi approprié de la Charte éthique européenne de la CEPEJ sur l’utilisation de l’intelligence artificielle dans les systèmes judiciaires et leur environnement. </w:t>
      </w:r>
    </w:p>
    <w:p w14:paraId="3CEC9CC9" w14:textId="77777777" w:rsidR="00C0060D" w:rsidRPr="00D950CC" w:rsidRDefault="00C0060D" w:rsidP="00C0060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sz w:val="20"/>
          <w:szCs w:val="20"/>
          <w:lang w:eastAsia="fr-FR"/>
        </w:rPr>
      </w:pPr>
    </w:p>
    <w:p w14:paraId="5C47ADB3" w14:textId="77777777" w:rsidR="00C0060D" w:rsidRPr="00D950CC" w:rsidRDefault="00C0060D" w:rsidP="00C0060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sz w:val="20"/>
          <w:szCs w:val="20"/>
          <w:lang w:eastAsia="fr-FR"/>
        </w:rPr>
      </w:pPr>
      <w:r w:rsidRPr="00D950CC">
        <w:rPr>
          <w:rFonts w:ascii="Arial" w:eastAsia="Times New Roman" w:hAnsi="Arial" w:cs="Arial"/>
          <w:bCs/>
          <w:sz w:val="20"/>
          <w:szCs w:val="20"/>
          <w:lang w:eastAsia="fr-FR"/>
        </w:rPr>
        <w:t xml:space="preserve">Le </w:t>
      </w:r>
      <w:r>
        <w:rPr>
          <w:rFonts w:ascii="Arial" w:eastAsia="Times New Roman" w:hAnsi="Arial" w:cs="Arial"/>
          <w:bCs/>
          <w:sz w:val="20"/>
          <w:szCs w:val="20"/>
          <w:lang w:eastAsia="fr-FR"/>
        </w:rPr>
        <w:t>G</w:t>
      </w:r>
      <w:r w:rsidRPr="00D950CC">
        <w:rPr>
          <w:rFonts w:ascii="Arial" w:eastAsia="Times New Roman" w:hAnsi="Arial" w:cs="Arial"/>
          <w:bCs/>
          <w:sz w:val="20"/>
          <w:szCs w:val="20"/>
          <w:lang w:eastAsia="fr-FR"/>
        </w:rPr>
        <w:t xml:space="preserve">roupe de travail sur la gestion </w:t>
      </w:r>
      <w:r>
        <w:rPr>
          <w:rFonts w:ascii="Arial" w:eastAsia="Times New Roman" w:hAnsi="Arial" w:cs="Arial"/>
          <w:bCs/>
          <w:sz w:val="20"/>
          <w:szCs w:val="20"/>
          <w:lang w:eastAsia="fr-FR"/>
        </w:rPr>
        <w:t>du temps</w:t>
      </w:r>
      <w:r w:rsidRPr="00D950CC">
        <w:rPr>
          <w:rFonts w:ascii="Arial" w:eastAsia="Times New Roman" w:hAnsi="Arial" w:cs="Arial"/>
          <w:bCs/>
          <w:sz w:val="20"/>
          <w:szCs w:val="20"/>
          <w:lang w:eastAsia="fr-FR"/>
        </w:rPr>
        <w:t xml:space="preserve"> judiciaire (CEPEJ-SATURN) a développé </w:t>
      </w:r>
      <w:r>
        <w:rPr>
          <w:rFonts w:ascii="Arial" w:eastAsia="Times New Roman" w:hAnsi="Arial" w:cs="Arial"/>
          <w:bCs/>
          <w:sz w:val="20"/>
          <w:szCs w:val="20"/>
          <w:lang w:eastAsia="fr-FR"/>
        </w:rPr>
        <w:t>d</w:t>
      </w:r>
      <w:r w:rsidRPr="00D950CC">
        <w:rPr>
          <w:rFonts w:ascii="Arial" w:eastAsia="Times New Roman" w:hAnsi="Arial" w:cs="Arial"/>
          <w:bCs/>
          <w:sz w:val="20"/>
          <w:szCs w:val="20"/>
          <w:lang w:eastAsia="fr-FR"/>
        </w:rPr>
        <w:t xml:space="preserve">es </w:t>
      </w:r>
      <w:r>
        <w:rPr>
          <w:rFonts w:ascii="Arial" w:eastAsia="Times New Roman" w:hAnsi="Arial" w:cs="Arial"/>
          <w:bCs/>
          <w:sz w:val="20"/>
          <w:szCs w:val="20"/>
          <w:lang w:eastAsia="fr-FR"/>
        </w:rPr>
        <w:t>l</w:t>
      </w:r>
      <w:r w:rsidRPr="00D950CC">
        <w:rPr>
          <w:rFonts w:ascii="Arial" w:eastAsia="Times New Roman" w:hAnsi="Arial" w:cs="Arial"/>
          <w:bCs/>
          <w:sz w:val="20"/>
          <w:szCs w:val="20"/>
          <w:lang w:eastAsia="fr-FR"/>
        </w:rPr>
        <w:t xml:space="preserve">ignes directrices SATURN révisées pour la gestion du temps judiciaire et </w:t>
      </w:r>
      <w:r>
        <w:rPr>
          <w:rFonts w:ascii="Arial" w:eastAsia="Times New Roman" w:hAnsi="Arial" w:cs="Arial"/>
          <w:bCs/>
          <w:sz w:val="20"/>
          <w:szCs w:val="20"/>
          <w:lang w:eastAsia="fr-FR"/>
        </w:rPr>
        <w:t>un</w:t>
      </w:r>
      <w:r w:rsidRPr="00D950CC">
        <w:rPr>
          <w:rFonts w:ascii="Arial" w:eastAsia="Times New Roman" w:hAnsi="Arial" w:cs="Arial"/>
          <w:bCs/>
          <w:sz w:val="20"/>
          <w:szCs w:val="20"/>
          <w:lang w:eastAsia="fr-FR"/>
        </w:rPr>
        <w:t xml:space="preserve"> Manuel sur les tableaux de bord pour les tribunaux.</w:t>
      </w:r>
    </w:p>
    <w:p w14:paraId="44DF8E55" w14:textId="77777777" w:rsidR="00C0060D" w:rsidRPr="00D950CC" w:rsidRDefault="00C0060D" w:rsidP="00C0060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sz w:val="20"/>
          <w:szCs w:val="20"/>
          <w:lang w:eastAsia="fr-FR"/>
        </w:rPr>
      </w:pPr>
    </w:p>
    <w:p w14:paraId="4F6438B5" w14:textId="77777777" w:rsidR="00C0060D" w:rsidRDefault="00C0060D" w:rsidP="00C0060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sz w:val="20"/>
          <w:szCs w:val="20"/>
          <w:lang w:eastAsia="fr-FR"/>
        </w:rPr>
      </w:pPr>
      <w:r w:rsidRPr="00D950CC">
        <w:rPr>
          <w:rFonts w:ascii="Arial" w:eastAsia="Times New Roman" w:hAnsi="Arial" w:cs="Arial"/>
          <w:bCs/>
          <w:sz w:val="20"/>
          <w:szCs w:val="20"/>
          <w:lang w:eastAsia="fr-FR"/>
        </w:rPr>
        <w:t xml:space="preserve">Le </w:t>
      </w:r>
      <w:r>
        <w:rPr>
          <w:rFonts w:ascii="Arial" w:eastAsia="Times New Roman" w:hAnsi="Arial" w:cs="Arial"/>
          <w:bCs/>
          <w:sz w:val="20"/>
          <w:szCs w:val="20"/>
          <w:lang w:eastAsia="fr-FR"/>
        </w:rPr>
        <w:t>G</w:t>
      </w:r>
      <w:r w:rsidRPr="00D950CC">
        <w:rPr>
          <w:rFonts w:ascii="Arial" w:eastAsia="Times New Roman" w:hAnsi="Arial" w:cs="Arial"/>
          <w:bCs/>
          <w:sz w:val="20"/>
          <w:szCs w:val="20"/>
          <w:lang w:eastAsia="fr-FR"/>
        </w:rPr>
        <w:t xml:space="preserve">roupe de travail </w:t>
      </w:r>
      <w:r>
        <w:rPr>
          <w:rFonts w:ascii="Arial" w:eastAsia="Times New Roman" w:hAnsi="Arial" w:cs="Arial"/>
          <w:bCs/>
          <w:sz w:val="20"/>
          <w:szCs w:val="20"/>
          <w:lang w:eastAsia="fr-FR"/>
        </w:rPr>
        <w:t xml:space="preserve">sur la </w:t>
      </w:r>
      <w:r w:rsidRPr="00D950CC">
        <w:rPr>
          <w:rFonts w:ascii="Arial" w:eastAsia="Times New Roman" w:hAnsi="Arial" w:cs="Arial"/>
          <w:bCs/>
          <w:sz w:val="20"/>
          <w:szCs w:val="20"/>
          <w:lang w:eastAsia="fr-FR"/>
        </w:rPr>
        <w:t>cyberjustice</w:t>
      </w:r>
      <w:r>
        <w:rPr>
          <w:rFonts w:ascii="Arial" w:eastAsia="Times New Roman" w:hAnsi="Arial" w:cs="Arial"/>
          <w:bCs/>
          <w:sz w:val="20"/>
          <w:szCs w:val="20"/>
          <w:lang w:eastAsia="fr-FR"/>
        </w:rPr>
        <w:t xml:space="preserve"> et l’intelligence artificielle</w:t>
      </w:r>
      <w:r w:rsidRPr="00D950CC">
        <w:rPr>
          <w:rFonts w:ascii="Arial" w:eastAsia="Times New Roman" w:hAnsi="Arial" w:cs="Arial"/>
          <w:bCs/>
          <w:sz w:val="20"/>
          <w:szCs w:val="20"/>
          <w:lang w:eastAsia="fr-FR"/>
        </w:rPr>
        <w:t xml:space="preserve"> (CEPEJ-GT-CYBERJUST) a adopté </w:t>
      </w:r>
      <w:r>
        <w:rPr>
          <w:rFonts w:ascii="Arial" w:eastAsia="Times New Roman" w:hAnsi="Arial" w:cs="Arial"/>
          <w:bCs/>
          <w:sz w:val="20"/>
          <w:szCs w:val="20"/>
          <w:lang w:eastAsia="fr-FR"/>
        </w:rPr>
        <w:t>d</w:t>
      </w:r>
      <w:r w:rsidRPr="00D950CC">
        <w:rPr>
          <w:rFonts w:ascii="Arial" w:eastAsia="Times New Roman" w:hAnsi="Arial" w:cs="Arial"/>
          <w:bCs/>
          <w:sz w:val="20"/>
          <w:szCs w:val="20"/>
          <w:lang w:eastAsia="fr-FR"/>
        </w:rPr>
        <w:t xml:space="preserve">es </w:t>
      </w:r>
      <w:r>
        <w:rPr>
          <w:rFonts w:ascii="Arial" w:eastAsia="Times New Roman" w:hAnsi="Arial" w:cs="Arial"/>
          <w:bCs/>
          <w:sz w:val="20"/>
          <w:szCs w:val="20"/>
          <w:lang w:eastAsia="fr-FR"/>
        </w:rPr>
        <w:t>l</w:t>
      </w:r>
      <w:r w:rsidRPr="00D950CC">
        <w:rPr>
          <w:rFonts w:ascii="Arial" w:eastAsia="Times New Roman" w:hAnsi="Arial" w:cs="Arial"/>
          <w:bCs/>
          <w:sz w:val="20"/>
          <w:szCs w:val="20"/>
          <w:lang w:eastAsia="fr-FR"/>
        </w:rPr>
        <w:t>ignes directrices sur la numérisation des dossiers judiciaires et la digitalisation des tribunaux</w:t>
      </w:r>
      <w:r>
        <w:rPr>
          <w:rFonts w:ascii="Arial" w:eastAsia="Times New Roman" w:hAnsi="Arial" w:cs="Arial"/>
          <w:bCs/>
          <w:sz w:val="20"/>
          <w:szCs w:val="20"/>
          <w:lang w:eastAsia="fr-FR"/>
        </w:rPr>
        <w:t>, ainsi que d</w:t>
      </w:r>
      <w:r w:rsidRPr="00D950CC">
        <w:rPr>
          <w:rFonts w:ascii="Arial" w:eastAsia="Times New Roman" w:hAnsi="Arial" w:cs="Arial"/>
          <w:bCs/>
          <w:sz w:val="20"/>
          <w:szCs w:val="20"/>
          <w:lang w:eastAsia="fr-FR"/>
        </w:rPr>
        <w:t xml:space="preserve">es Lignes directrices sur la visioconférence dans les procédures judiciaires. </w:t>
      </w:r>
    </w:p>
    <w:p w14:paraId="52E04BD3" w14:textId="77777777" w:rsidR="00C0060D" w:rsidRDefault="00C0060D" w:rsidP="00C0060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sz w:val="20"/>
          <w:szCs w:val="20"/>
          <w:lang w:eastAsia="fr-FR"/>
        </w:rPr>
      </w:pPr>
    </w:p>
    <w:p w14:paraId="01C9AFDA" w14:textId="77777777" w:rsidR="00C0060D" w:rsidRDefault="00C0060D" w:rsidP="00C0060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eastAsia="Times New Roman" w:hAnsi="Arial" w:cs="Arial"/>
          <w:bCs/>
          <w:sz w:val="20"/>
          <w:szCs w:val="20"/>
          <w:lang w:eastAsia="fr-FR"/>
        </w:rPr>
        <w:t>Le Groupe de travail sur l’évaluation des systèmes judiciaires (</w:t>
      </w:r>
      <w:r w:rsidRPr="0035323A">
        <w:rPr>
          <w:rFonts w:ascii="Arial" w:hAnsi="Arial" w:cs="Arial"/>
          <w:sz w:val="20"/>
          <w:szCs w:val="20"/>
        </w:rPr>
        <w:t>CEPEJ-GT-EVAL</w:t>
      </w:r>
      <w:r>
        <w:rPr>
          <w:rFonts w:ascii="Arial" w:hAnsi="Arial" w:cs="Arial"/>
          <w:sz w:val="20"/>
          <w:szCs w:val="20"/>
        </w:rPr>
        <w:t>) a poursuivi la</w:t>
      </w:r>
      <w:r w:rsidRPr="00692667">
        <w:rPr>
          <w:rFonts w:ascii="Arial" w:hAnsi="Arial" w:cs="Arial"/>
          <w:sz w:val="20"/>
          <w:szCs w:val="20"/>
        </w:rPr>
        <w:t xml:space="preserve"> préparation du prochain Rapport d’Evaluation de la CEPEJ « Systèmes judiciaires européens » (édition 2022, Données 2020)</w:t>
      </w:r>
      <w:r>
        <w:rPr>
          <w:rFonts w:ascii="Arial" w:hAnsi="Arial" w:cs="Arial"/>
          <w:sz w:val="20"/>
          <w:szCs w:val="20"/>
        </w:rPr>
        <w:t xml:space="preserve">. La coopération avec l’Union Européenne dans le cadre du Scoreboard de la Justice (UE), et des Dashboard « Western Balkans » et « Justice </w:t>
      </w:r>
      <w:proofErr w:type="spellStart"/>
      <w:r>
        <w:rPr>
          <w:rFonts w:ascii="Arial" w:hAnsi="Arial" w:cs="Arial"/>
          <w:sz w:val="20"/>
          <w:szCs w:val="20"/>
        </w:rPr>
        <w:t>Eap</w:t>
      </w:r>
      <w:proofErr w:type="spellEnd"/>
      <w:r>
        <w:rPr>
          <w:rFonts w:ascii="Arial" w:hAnsi="Arial" w:cs="Arial"/>
          <w:sz w:val="20"/>
          <w:szCs w:val="20"/>
        </w:rPr>
        <w:t xml:space="preserve"> » s’est également poursuivie. </w:t>
      </w:r>
    </w:p>
    <w:p w14:paraId="316BFBA3" w14:textId="77777777" w:rsidR="00C0060D" w:rsidRDefault="00C0060D" w:rsidP="00C0060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p w14:paraId="16A173F6" w14:textId="77777777" w:rsidR="00C0060D" w:rsidRDefault="00C0060D" w:rsidP="00C0060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La 11</w:t>
      </w:r>
      <w:r w:rsidRPr="00563A58">
        <w:rPr>
          <w:rFonts w:ascii="Arial" w:hAnsi="Arial" w:cs="Arial"/>
          <w:sz w:val="20"/>
          <w:szCs w:val="20"/>
          <w:vertAlign w:val="superscript"/>
        </w:rPr>
        <w:t>ème</w:t>
      </w:r>
      <w:r>
        <w:rPr>
          <w:rFonts w:ascii="Arial" w:hAnsi="Arial" w:cs="Arial"/>
          <w:sz w:val="20"/>
          <w:szCs w:val="20"/>
        </w:rPr>
        <w:t xml:space="preserve"> édition du Prix Balance de Cristal a été organisée à Ljubljana (Slovénie) et a récompensé</w:t>
      </w:r>
    </w:p>
    <w:p w14:paraId="4AEA6362" w14:textId="77777777" w:rsidR="00C0060D" w:rsidRPr="006A66B5" w:rsidRDefault="00C0060D" w:rsidP="00C0060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6A66B5">
        <w:rPr>
          <w:rFonts w:ascii="Arial" w:hAnsi="Arial" w:cs="Arial"/>
          <w:sz w:val="20"/>
          <w:szCs w:val="20"/>
        </w:rPr>
        <w:t>le Ministère de la justice français</w:t>
      </w:r>
      <w:r>
        <w:rPr>
          <w:rFonts w:ascii="Arial" w:hAnsi="Arial" w:cs="Arial"/>
          <w:sz w:val="20"/>
          <w:szCs w:val="20"/>
        </w:rPr>
        <w:t xml:space="preserve"> pour</w:t>
      </w:r>
      <w:r w:rsidRPr="006A66B5">
        <w:rPr>
          <w:rFonts w:ascii="Arial" w:hAnsi="Arial" w:cs="Arial"/>
          <w:sz w:val="20"/>
          <w:szCs w:val="20"/>
        </w:rPr>
        <w:t xml:space="preserve"> son projet « Dépôt de plainte simplifié à l’hôpital pour les victimes de violences conjugales »</w:t>
      </w:r>
      <w:r>
        <w:rPr>
          <w:rFonts w:ascii="Arial" w:hAnsi="Arial" w:cs="Arial"/>
          <w:sz w:val="20"/>
          <w:szCs w:val="20"/>
        </w:rPr>
        <w:t>.</w:t>
      </w:r>
    </w:p>
    <w:p w14:paraId="1CF3773A" w14:textId="77777777" w:rsidR="00C0060D" w:rsidRPr="00D950CC" w:rsidRDefault="00C0060D" w:rsidP="00C0060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0"/>
          <w:szCs w:val="20"/>
          <w:lang w:eastAsia="fr-FR"/>
        </w:rPr>
      </w:pPr>
    </w:p>
    <w:p w14:paraId="4331B0A1" w14:textId="77777777" w:rsidR="00C0060D" w:rsidRPr="00D950CC" w:rsidRDefault="00C0060D" w:rsidP="00C0060D">
      <w:pPr>
        <w:rPr>
          <w:sz w:val="20"/>
          <w:szCs w:val="20"/>
        </w:rPr>
      </w:pPr>
    </w:p>
    <w:p w14:paraId="6451F20B" w14:textId="77777777" w:rsidR="00C0060D" w:rsidRDefault="00C0060D" w:rsidP="00C0060D">
      <w:pPr>
        <w:rPr>
          <w:rStyle w:val="Hyperlink"/>
          <w:rFonts w:ascii="Arial" w:hAnsi="Arial" w:cs="Arial"/>
          <w:b/>
          <w:bCs/>
          <w:sz w:val="20"/>
          <w:szCs w:val="20"/>
        </w:rPr>
      </w:pPr>
      <w:r w:rsidRPr="00D950CC">
        <w:rPr>
          <w:rFonts w:ascii="Arial" w:hAnsi="Arial" w:cs="Arial"/>
          <w:b/>
          <w:bCs/>
          <w:sz w:val="20"/>
          <w:szCs w:val="20"/>
        </w:rPr>
        <w:t xml:space="preserve">Pour plus d’informations : </w:t>
      </w:r>
      <w:hyperlink r:id="rId12" w:history="1">
        <w:r w:rsidRPr="00D950CC">
          <w:rPr>
            <w:rStyle w:val="Hyperlink"/>
            <w:rFonts w:ascii="Arial" w:hAnsi="Arial" w:cs="Arial"/>
            <w:b/>
            <w:bCs/>
            <w:sz w:val="20"/>
            <w:szCs w:val="20"/>
          </w:rPr>
          <w:t>www.coe.int/CEPEJ</w:t>
        </w:r>
      </w:hyperlink>
    </w:p>
    <w:p w14:paraId="36BF7CDE" w14:textId="77777777" w:rsidR="00C0060D" w:rsidRDefault="00C0060D" w:rsidP="00C0060D">
      <w:pPr>
        <w:rPr>
          <w:rStyle w:val="Hyperlink"/>
          <w:rFonts w:ascii="Arial" w:hAnsi="Arial" w:cs="Arial"/>
          <w:b/>
          <w:bCs/>
          <w:sz w:val="20"/>
          <w:szCs w:val="20"/>
        </w:rPr>
      </w:pPr>
      <w:r>
        <w:rPr>
          <w:rStyle w:val="Hyperlink"/>
          <w:rFonts w:ascii="Arial" w:hAnsi="Arial" w:cs="Arial"/>
          <w:b/>
          <w:bCs/>
          <w:sz w:val="20"/>
          <w:szCs w:val="20"/>
        </w:rPr>
        <w:br w:type="page"/>
      </w:r>
    </w:p>
    <w:p w14:paraId="6B262790" w14:textId="77777777" w:rsidR="00C0060D" w:rsidRPr="00D950CC" w:rsidRDefault="00C0060D" w:rsidP="00C0060D">
      <w:pPr>
        <w:rPr>
          <w:rStyle w:val="Strong"/>
          <w:rFonts w:ascii="Arial" w:hAnsi="Arial" w:cs="Arial"/>
          <w:color w:val="161616"/>
          <w:sz w:val="20"/>
          <w:szCs w:val="20"/>
        </w:rPr>
      </w:pPr>
    </w:p>
    <w:p w14:paraId="31C8B420" w14:textId="77777777" w:rsidR="00C0060D" w:rsidRPr="00563A58" w:rsidRDefault="00C0060D" w:rsidP="00C0060D">
      <w:pPr>
        <w:pStyle w:val="ListParagraph"/>
        <w:numPr>
          <w:ilvl w:val="0"/>
          <w:numId w:val="1"/>
        </w:numPr>
        <w:spacing w:line="240" w:lineRule="auto"/>
        <w:ind w:hanging="720"/>
        <w:jc w:val="both"/>
        <w:rPr>
          <w:rFonts w:ascii="Arial" w:hAnsi="Arial" w:cs="Arial"/>
          <w:b/>
          <w:bCs/>
          <w:color w:val="161616"/>
          <w:sz w:val="20"/>
          <w:szCs w:val="20"/>
        </w:rPr>
      </w:pPr>
      <w:r w:rsidRPr="00D950CC">
        <w:rPr>
          <w:rFonts w:ascii="Arial" w:hAnsi="Arial" w:cs="Arial"/>
          <w:color w:val="161616"/>
          <w:sz w:val="20"/>
          <w:szCs w:val="20"/>
        </w:rPr>
        <w:t xml:space="preserve">Le présent rapport décrit le travail accompli en 2021 par la Commission européenne pour l’efficacité de la justice (CEPEJ) conformément à son </w:t>
      </w:r>
      <w:hyperlink r:id="rId13" w:history="1">
        <w:r w:rsidRPr="00994435">
          <w:rPr>
            <w:rStyle w:val="Hyperlink"/>
            <w:rFonts w:ascii="Arial" w:hAnsi="Arial" w:cs="Arial"/>
            <w:sz w:val="20"/>
            <w:szCs w:val="20"/>
          </w:rPr>
          <w:t>programme d’activité</w:t>
        </w:r>
      </w:hyperlink>
      <w:r w:rsidRPr="00D950CC">
        <w:rPr>
          <w:rFonts w:ascii="Arial" w:hAnsi="Arial" w:cs="Arial"/>
          <w:color w:val="161616"/>
          <w:sz w:val="20"/>
          <w:szCs w:val="20"/>
        </w:rPr>
        <w:t>. Il a été présenté au Comité des Ministres pour approbation, en vertu des articles 7.6 et 7.7 du Statut de la CEPEJ.</w:t>
      </w:r>
    </w:p>
    <w:p w14:paraId="7BB3105B" w14:textId="77777777" w:rsidR="00C0060D" w:rsidRPr="00563A58" w:rsidRDefault="00C0060D" w:rsidP="00C0060D">
      <w:pPr>
        <w:pStyle w:val="ListParagraph"/>
        <w:spacing w:line="240" w:lineRule="auto"/>
        <w:jc w:val="both"/>
        <w:rPr>
          <w:rFonts w:ascii="Arial" w:hAnsi="Arial" w:cs="Arial"/>
          <w:b/>
          <w:bCs/>
          <w:color w:val="161616"/>
          <w:sz w:val="20"/>
          <w:szCs w:val="20"/>
        </w:rPr>
      </w:pPr>
    </w:p>
    <w:p w14:paraId="1F876002" w14:textId="77777777" w:rsidR="00C0060D" w:rsidRPr="00D950CC" w:rsidRDefault="00C0060D" w:rsidP="00C0060D">
      <w:pPr>
        <w:pStyle w:val="ListParagraph"/>
        <w:numPr>
          <w:ilvl w:val="0"/>
          <w:numId w:val="2"/>
        </w:numPr>
        <w:spacing w:after="0" w:line="240" w:lineRule="auto"/>
        <w:ind w:left="0" w:firstLine="0"/>
        <w:jc w:val="both"/>
        <w:rPr>
          <w:rFonts w:ascii="Arial" w:eastAsia="Times New Roman" w:hAnsi="Arial" w:cs="Arial"/>
          <w:b/>
          <w:sz w:val="20"/>
          <w:szCs w:val="20"/>
          <w:lang w:eastAsia="fr-FR"/>
        </w:rPr>
      </w:pPr>
      <w:r w:rsidRPr="00D950CC">
        <w:rPr>
          <w:rFonts w:ascii="Arial" w:eastAsia="Times New Roman" w:hAnsi="Arial" w:cs="Arial"/>
          <w:b/>
          <w:sz w:val="20"/>
          <w:szCs w:val="20"/>
          <w:lang w:eastAsia="fr-FR"/>
        </w:rPr>
        <w:t>LA COMMISSION EUROPENNE POUR L’EFFICACITE DE LA JUSTICE (CEPEJ) en 2021</w:t>
      </w:r>
    </w:p>
    <w:p w14:paraId="277AE466" w14:textId="77777777" w:rsidR="00C0060D" w:rsidRPr="00D950CC" w:rsidRDefault="00C0060D" w:rsidP="00C0060D">
      <w:pPr>
        <w:tabs>
          <w:tab w:val="num" w:pos="0"/>
        </w:tabs>
        <w:spacing w:after="0" w:line="240" w:lineRule="auto"/>
        <w:jc w:val="both"/>
        <w:rPr>
          <w:rFonts w:ascii="Arial" w:eastAsia="Times New Roman" w:hAnsi="Arial" w:cs="Arial"/>
          <w:sz w:val="20"/>
          <w:szCs w:val="20"/>
          <w:lang w:eastAsia="fr-FR"/>
        </w:rPr>
      </w:pPr>
    </w:p>
    <w:p w14:paraId="3098F552" w14:textId="77777777" w:rsidR="00C0060D" w:rsidRPr="004575E5" w:rsidRDefault="00C0060D" w:rsidP="00C0060D">
      <w:pPr>
        <w:pStyle w:val="ListParagraph"/>
        <w:numPr>
          <w:ilvl w:val="1"/>
          <w:numId w:val="1"/>
        </w:numPr>
        <w:tabs>
          <w:tab w:val="left" w:pos="0"/>
        </w:tabs>
        <w:spacing w:after="0" w:line="240" w:lineRule="auto"/>
        <w:ind w:left="709" w:hanging="851"/>
        <w:jc w:val="both"/>
        <w:rPr>
          <w:rFonts w:ascii="Arial" w:eastAsia="Times New Roman" w:hAnsi="Arial" w:cs="Arial"/>
          <w:b/>
          <w:i/>
          <w:iCs/>
          <w:sz w:val="20"/>
          <w:szCs w:val="20"/>
          <w:lang w:eastAsia="fr-FR"/>
        </w:rPr>
      </w:pPr>
      <w:r w:rsidRPr="004575E5">
        <w:rPr>
          <w:rFonts w:ascii="Arial" w:eastAsia="Times New Roman" w:hAnsi="Arial" w:cs="Arial"/>
          <w:b/>
          <w:i/>
          <w:iCs/>
          <w:sz w:val="20"/>
          <w:szCs w:val="20"/>
          <w:lang w:eastAsia="fr-FR"/>
        </w:rPr>
        <w:t>Composition de la CEPEJ</w:t>
      </w:r>
    </w:p>
    <w:p w14:paraId="77082393" w14:textId="77777777" w:rsidR="00C0060D" w:rsidRPr="00D950CC" w:rsidRDefault="00C0060D" w:rsidP="00C0060D">
      <w:pPr>
        <w:autoSpaceDE w:val="0"/>
        <w:autoSpaceDN w:val="0"/>
        <w:adjustRightInd w:val="0"/>
        <w:spacing w:after="0" w:line="240" w:lineRule="auto"/>
        <w:jc w:val="both"/>
        <w:rPr>
          <w:rFonts w:ascii="Arial" w:hAnsi="Arial" w:cs="Arial"/>
          <w:color w:val="000000"/>
          <w:sz w:val="20"/>
          <w:szCs w:val="20"/>
        </w:rPr>
      </w:pPr>
    </w:p>
    <w:p w14:paraId="0E49C7F9" w14:textId="77777777" w:rsidR="00C0060D" w:rsidRPr="00676550" w:rsidRDefault="00C0060D" w:rsidP="00C0060D">
      <w:pPr>
        <w:pStyle w:val="ListParagraph"/>
        <w:numPr>
          <w:ilvl w:val="0"/>
          <w:numId w:val="1"/>
        </w:numPr>
        <w:spacing w:line="240" w:lineRule="auto"/>
        <w:ind w:hanging="720"/>
        <w:jc w:val="both"/>
        <w:rPr>
          <w:rFonts w:ascii="Arial" w:hAnsi="Arial" w:cs="Arial"/>
          <w:color w:val="000000"/>
          <w:sz w:val="20"/>
          <w:szCs w:val="20"/>
        </w:rPr>
      </w:pPr>
      <w:r w:rsidRPr="00676550">
        <w:rPr>
          <w:rFonts w:ascii="Arial" w:hAnsi="Arial" w:cs="Arial"/>
          <w:color w:val="000000"/>
          <w:sz w:val="20"/>
          <w:szCs w:val="20"/>
        </w:rPr>
        <w:t>La CEPEJ réunit des experts de l’ensemble des États membres du Conseil de l'Europe. Seuls deux États (Liechtenstein et Saint-Marin) n’étaient pas régulièrement représentés à la CEPEJ. Parmi les États bénéficiant du statut d’observateur, Israël, le Kazakhstan, le Maroc et la Tunisie ont participé aux travaux de la CEPEJ.</w:t>
      </w:r>
    </w:p>
    <w:p w14:paraId="3F8961D1" w14:textId="77777777" w:rsidR="00C0060D" w:rsidRPr="00676550" w:rsidRDefault="00C0060D" w:rsidP="00C0060D">
      <w:pPr>
        <w:pStyle w:val="ListParagraph"/>
        <w:spacing w:line="240" w:lineRule="auto"/>
        <w:jc w:val="both"/>
        <w:rPr>
          <w:rFonts w:ascii="Arial" w:hAnsi="Arial" w:cs="Arial"/>
          <w:color w:val="000000"/>
          <w:sz w:val="20"/>
          <w:szCs w:val="20"/>
        </w:rPr>
      </w:pPr>
    </w:p>
    <w:p w14:paraId="147A57E9" w14:textId="77777777" w:rsidR="00C0060D" w:rsidRPr="00676550" w:rsidRDefault="00C0060D" w:rsidP="00C0060D">
      <w:pPr>
        <w:pStyle w:val="ListParagraph"/>
        <w:numPr>
          <w:ilvl w:val="0"/>
          <w:numId w:val="1"/>
        </w:numPr>
        <w:spacing w:line="240" w:lineRule="auto"/>
        <w:ind w:hanging="720"/>
        <w:jc w:val="both"/>
        <w:rPr>
          <w:rFonts w:ascii="Arial" w:hAnsi="Arial" w:cs="Arial"/>
          <w:color w:val="000000"/>
          <w:sz w:val="20"/>
          <w:szCs w:val="20"/>
        </w:rPr>
      </w:pPr>
      <w:r w:rsidRPr="00676550">
        <w:rPr>
          <w:rFonts w:ascii="Arial" w:hAnsi="Arial" w:cs="Arial"/>
          <w:color w:val="000000"/>
          <w:sz w:val="20"/>
          <w:szCs w:val="20"/>
        </w:rPr>
        <w:t>Depuis décembre 2018, la CEPEJ est présidée par M. Ramin GARAGURBANLI (</w:t>
      </w:r>
      <w:r w:rsidRPr="00676550">
        <w:rPr>
          <w:rFonts w:ascii="Arial" w:hAnsi="Arial" w:cs="Arial"/>
          <w:color w:val="202122"/>
          <w:sz w:val="20"/>
          <w:szCs w:val="20"/>
          <w:shd w:val="clear" w:color="auto" w:fill="FFFFFF"/>
        </w:rPr>
        <w:t>Azerbaïdjan</w:t>
      </w:r>
      <w:r w:rsidRPr="00676550">
        <w:rPr>
          <w:rFonts w:ascii="Arial" w:hAnsi="Arial" w:cs="Arial"/>
          <w:color w:val="000000"/>
          <w:sz w:val="20"/>
          <w:szCs w:val="20"/>
        </w:rPr>
        <w:t>). M. Francesco DEPASQUALE (Malte) est Vice-Président. Mme Nino BAKAKURI (Géorgie) et M. Juan Fernando ARMENGOT IBORRA (Espagne) sont membres du Bureau de la CEPEJ.</w:t>
      </w:r>
    </w:p>
    <w:p w14:paraId="348B35F9" w14:textId="77777777" w:rsidR="00C0060D" w:rsidRPr="00676550" w:rsidRDefault="00C0060D" w:rsidP="00C0060D">
      <w:pPr>
        <w:pStyle w:val="ListParagraph"/>
        <w:rPr>
          <w:rFonts w:ascii="Arial" w:hAnsi="Arial" w:cs="Arial"/>
          <w:sz w:val="20"/>
          <w:szCs w:val="20"/>
        </w:rPr>
      </w:pPr>
    </w:p>
    <w:p w14:paraId="5BA2715D" w14:textId="77777777" w:rsidR="00C0060D" w:rsidRPr="00676550" w:rsidRDefault="00C0060D" w:rsidP="00C0060D">
      <w:pPr>
        <w:pStyle w:val="ListParagraph"/>
        <w:numPr>
          <w:ilvl w:val="0"/>
          <w:numId w:val="1"/>
        </w:numPr>
        <w:spacing w:line="240" w:lineRule="auto"/>
        <w:ind w:hanging="720"/>
        <w:jc w:val="both"/>
        <w:rPr>
          <w:rFonts w:ascii="Arial" w:hAnsi="Arial" w:cs="Arial"/>
          <w:color w:val="000000"/>
          <w:sz w:val="20"/>
          <w:szCs w:val="20"/>
        </w:rPr>
      </w:pPr>
      <w:r w:rsidRPr="00676550">
        <w:rPr>
          <w:rFonts w:ascii="Arial" w:hAnsi="Arial" w:cs="Arial"/>
          <w:sz w:val="20"/>
          <w:szCs w:val="20"/>
        </w:rPr>
        <w:t>La CEDH, l’Assemblée parlementaire du Conseil de l’Europe (APCE), le Comité européen de coopération juridique (CDCJ) et le Comité européen pour les problèmes criminels (CDPC), le Comité Directeur pour les Droits de l’Homme (CDDH) étaient également représentés lors de la réunion plénière de la CEPE</w:t>
      </w:r>
      <w:r w:rsidRPr="00F20E56">
        <w:rPr>
          <w:rFonts w:ascii="Arial" w:hAnsi="Arial" w:cs="Arial"/>
          <w:sz w:val="20"/>
          <w:szCs w:val="20"/>
        </w:rPr>
        <w:t>J</w:t>
      </w:r>
      <w:r w:rsidRPr="00676550">
        <w:rPr>
          <w:rFonts w:ascii="Arial" w:hAnsi="Arial" w:cs="Arial"/>
          <w:sz w:val="20"/>
          <w:szCs w:val="20"/>
        </w:rPr>
        <w:t xml:space="preserve">. </w:t>
      </w:r>
    </w:p>
    <w:p w14:paraId="01E3E9CF" w14:textId="77777777" w:rsidR="00C0060D" w:rsidRPr="00676550" w:rsidRDefault="00C0060D" w:rsidP="00C0060D">
      <w:pPr>
        <w:pStyle w:val="ListParagraph"/>
        <w:spacing w:line="240" w:lineRule="auto"/>
        <w:jc w:val="both"/>
        <w:rPr>
          <w:rFonts w:ascii="Arial" w:hAnsi="Arial" w:cs="Arial"/>
          <w:color w:val="000000"/>
          <w:sz w:val="24"/>
          <w:szCs w:val="24"/>
        </w:rPr>
      </w:pPr>
    </w:p>
    <w:p w14:paraId="1F8D68B1" w14:textId="77777777" w:rsidR="00C0060D" w:rsidRPr="00676550" w:rsidRDefault="00C0060D" w:rsidP="00C0060D">
      <w:pPr>
        <w:pStyle w:val="ListParagraph"/>
        <w:numPr>
          <w:ilvl w:val="0"/>
          <w:numId w:val="1"/>
        </w:numPr>
        <w:spacing w:line="240" w:lineRule="auto"/>
        <w:ind w:hanging="720"/>
        <w:jc w:val="both"/>
        <w:rPr>
          <w:rFonts w:ascii="Arial" w:hAnsi="Arial" w:cs="Arial"/>
          <w:color w:val="000000"/>
          <w:sz w:val="20"/>
          <w:szCs w:val="20"/>
        </w:rPr>
      </w:pPr>
      <w:r w:rsidRPr="00676550">
        <w:rPr>
          <w:rFonts w:ascii="Arial" w:hAnsi="Arial" w:cs="Arial"/>
          <w:color w:val="000000"/>
          <w:sz w:val="20"/>
          <w:szCs w:val="20"/>
        </w:rPr>
        <w:t xml:space="preserve">L’Union européenne (UE) a été représentée aux réunions plénières et à certaines réunions des groupes de travail de la CEPEJ. </w:t>
      </w:r>
    </w:p>
    <w:p w14:paraId="0EF61484" w14:textId="77777777" w:rsidR="00C0060D" w:rsidRPr="00676550" w:rsidRDefault="00C0060D" w:rsidP="00C0060D">
      <w:pPr>
        <w:pStyle w:val="ListParagraph"/>
        <w:rPr>
          <w:sz w:val="20"/>
          <w:szCs w:val="20"/>
        </w:rPr>
      </w:pPr>
    </w:p>
    <w:p w14:paraId="117DB7A4" w14:textId="77777777" w:rsidR="00C0060D" w:rsidRPr="00676550" w:rsidRDefault="00C0060D" w:rsidP="00C0060D">
      <w:pPr>
        <w:pStyle w:val="ListParagraph"/>
        <w:numPr>
          <w:ilvl w:val="0"/>
          <w:numId w:val="1"/>
        </w:numPr>
        <w:spacing w:after="0" w:line="240" w:lineRule="auto"/>
        <w:ind w:hanging="720"/>
        <w:jc w:val="both"/>
        <w:rPr>
          <w:rFonts w:ascii="Arial" w:hAnsi="Arial" w:cs="Arial"/>
          <w:color w:val="000000"/>
          <w:sz w:val="20"/>
          <w:szCs w:val="20"/>
        </w:rPr>
      </w:pPr>
      <w:r w:rsidRPr="00676550">
        <w:rPr>
          <w:rFonts w:ascii="Arial" w:hAnsi="Arial" w:cs="Arial"/>
          <w:sz w:val="20"/>
          <w:szCs w:val="20"/>
        </w:rPr>
        <w:t xml:space="preserve">L’Association européenne des magistrats, MEDEL (Magistrats européens pour la démocratie et les libertés), la Fédération européenne des juges administratifs (AEAJ), le Conseil des barreaux européens (CCBE), l’Union européenne des greffiers de justice (EUR), l’Union internationale des huissiers de justice (UIHJ), le Réseau européen de formation judiciaire (REFJ), le Réseau européen des conseils de la justice (RECJ), le Conseil des Notariats de l'Union Européenne (CNUE), l’Institut européen de l’expertise et de l’expert (IEEE), la Banque Mondiale, l’Organisation de coopération et de développements économiques (OCDE) ainsi que la Faculté de droit, de sciences politiques et de gestion de Strasbourg ont été présents. </w:t>
      </w:r>
    </w:p>
    <w:p w14:paraId="1EFABE16" w14:textId="77777777" w:rsidR="00C0060D" w:rsidRDefault="00C0060D" w:rsidP="00C0060D">
      <w:pPr>
        <w:tabs>
          <w:tab w:val="num" w:pos="0"/>
        </w:tabs>
        <w:spacing w:after="0" w:line="240" w:lineRule="auto"/>
        <w:jc w:val="both"/>
        <w:rPr>
          <w:rFonts w:ascii="Arial" w:eastAsia="Times New Roman" w:hAnsi="Arial" w:cs="Arial"/>
          <w:b/>
          <w:sz w:val="20"/>
          <w:szCs w:val="20"/>
          <w:lang w:eastAsia="fr-FR"/>
        </w:rPr>
      </w:pPr>
    </w:p>
    <w:p w14:paraId="145B0B9D" w14:textId="77777777" w:rsidR="00C0060D" w:rsidRDefault="00C0060D" w:rsidP="00C0060D">
      <w:pPr>
        <w:tabs>
          <w:tab w:val="num" w:pos="0"/>
        </w:tabs>
        <w:spacing w:after="0" w:line="240" w:lineRule="auto"/>
        <w:jc w:val="both"/>
        <w:rPr>
          <w:rFonts w:ascii="Arial" w:eastAsia="Times New Roman" w:hAnsi="Arial" w:cs="Arial"/>
          <w:b/>
          <w:sz w:val="20"/>
          <w:szCs w:val="20"/>
          <w:lang w:eastAsia="fr-FR"/>
        </w:rPr>
      </w:pPr>
      <w:r w:rsidRPr="00136CD0">
        <w:rPr>
          <w:rFonts w:ascii="Arial" w:eastAsia="Times New Roman" w:hAnsi="Arial" w:cs="Arial"/>
          <w:b/>
          <w:i/>
          <w:iCs/>
          <w:sz w:val="20"/>
          <w:szCs w:val="20"/>
          <w:lang w:eastAsia="fr-FR"/>
        </w:rPr>
        <w:t>1.2</w:t>
      </w:r>
      <w:r w:rsidRPr="00D950CC">
        <w:rPr>
          <w:rFonts w:ascii="Arial" w:eastAsia="Times New Roman" w:hAnsi="Arial" w:cs="Arial"/>
          <w:b/>
          <w:sz w:val="20"/>
          <w:szCs w:val="20"/>
          <w:lang w:eastAsia="fr-FR"/>
        </w:rPr>
        <w:tab/>
      </w:r>
      <w:r w:rsidRPr="004575E5">
        <w:rPr>
          <w:rFonts w:ascii="Arial" w:eastAsia="Times New Roman" w:hAnsi="Arial" w:cs="Arial"/>
          <w:b/>
          <w:i/>
          <w:iCs/>
          <w:sz w:val="20"/>
          <w:szCs w:val="20"/>
          <w:lang w:eastAsia="fr-FR"/>
        </w:rPr>
        <w:t>Réunions de la CEPEJ</w:t>
      </w:r>
      <w:r w:rsidRPr="00D950CC">
        <w:rPr>
          <w:rFonts w:ascii="Arial" w:eastAsia="Times New Roman" w:hAnsi="Arial" w:cs="Arial"/>
          <w:b/>
          <w:sz w:val="20"/>
          <w:szCs w:val="20"/>
          <w:lang w:eastAsia="fr-FR"/>
        </w:rPr>
        <w:t xml:space="preserve">  </w:t>
      </w:r>
    </w:p>
    <w:p w14:paraId="03D953AA" w14:textId="77777777" w:rsidR="00C0060D" w:rsidRPr="00B9212B" w:rsidRDefault="00C0060D" w:rsidP="00C0060D">
      <w:pPr>
        <w:tabs>
          <w:tab w:val="num" w:pos="0"/>
        </w:tabs>
        <w:spacing w:after="0" w:line="240" w:lineRule="auto"/>
        <w:jc w:val="both"/>
        <w:rPr>
          <w:rFonts w:ascii="Arial" w:eastAsia="Times New Roman" w:hAnsi="Arial" w:cs="Arial"/>
          <w:b/>
          <w:sz w:val="20"/>
          <w:szCs w:val="20"/>
          <w:lang w:eastAsia="fr-FR"/>
        </w:rPr>
      </w:pPr>
    </w:p>
    <w:p w14:paraId="436B5B21" w14:textId="77777777" w:rsidR="00C0060D" w:rsidRDefault="00C0060D" w:rsidP="00C0060D">
      <w:pPr>
        <w:pStyle w:val="ListParagraph"/>
        <w:numPr>
          <w:ilvl w:val="0"/>
          <w:numId w:val="1"/>
        </w:numPr>
        <w:spacing w:line="240" w:lineRule="auto"/>
        <w:ind w:hanging="720"/>
        <w:jc w:val="both"/>
        <w:rPr>
          <w:rFonts w:ascii="Arial" w:hAnsi="Arial" w:cs="Arial"/>
          <w:sz w:val="20"/>
          <w:szCs w:val="20"/>
        </w:rPr>
      </w:pPr>
      <w:r w:rsidRPr="009845BC">
        <w:rPr>
          <w:rFonts w:ascii="Arial" w:hAnsi="Arial" w:cs="Arial"/>
          <w:sz w:val="20"/>
          <w:szCs w:val="20"/>
        </w:rPr>
        <w:t>La CEPEJ a organisé sa 36</w:t>
      </w:r>
      <w:r w:rsidRPr="009845BC">
        <w:rPr>
          <w:rFonts w:ascii="Arial" w:hAnsi="Arial" w:cs="Arial"/>
          <w:sz w:val="20"/>
          <w:szCs w:val="20"/>
          <w:vertAlign w:val="superscript"/>
        </w:rPr>
        <w:t>ème</w:t>
      </w:r>
      <w:r w:rsidRPr="009845BC">
        <w:rPr>
          <w:rFonts w:ascii="Arial" w:hAnsi="Arial" w:cs="Arial"/>
          <w:sz w:val="20"/>
          <w:szCs w:val="20"/>
        </w:rPr>
        <w:t xml:space="preserve"> réunion plénière par visioconférence exclusivement et sa 37</w:t>
      </w:r>
      <w:r w:rsidRPr="009845BC">
        <w:rPr>
          <w:rFonts w:ascii="Arial" w:hAnsi="Arial" w:cs="Arial"/>
          <w:sz w:val="20"/>
          <w:szCs w:val="20"/>
          <w:vertAlign w:val="superscript"/>
        </w:rPr>
        <w:t>ème</w:t>
      </w:r>
      <w:r w:rsidRPr="009845BC">
        <w:rPr>
          <w:rFonts w:ascii="Arial" w:hAnsi="Arial" w:cs="Arial"/>
          <w:sz w:val="20"/>
          <w:szCs w:val="20"/>
        </w:rPr>
        <w:t xml:space="preserve"> réunion plénière </w:t>
      </w:r>
      <w:r>
        <w:rPr>
          <w:rFonts w:ascii="Arial" w:hAnsi="Arial" w:cs="Arial"/>
          <w:sz w:val="20"/>
          <w:szCs w:val="20"/>
        </w:rPr>
        <w:t xml:space="preserve">en format hybride. </w:t>
      </w:r>
    </w:p>
    <w:p w14:paraId="0893C793" w14:textId="77777777" w:rsidR="00C0060D" w:rsidRPr="009845BC" w:rsidRDefault="00C0060D" w:rsidP="00C0060D">
      <w:pPr>
        <w:pStyle w:val="ListParagraph"/>
        <w:spacing w:line="240" w:lineRule="auto"/>
        <w:ind w:left="1080"/>
        <w:jc w:val="both"/>
        <w:rPr>
          <w:rFonts w:ascii="Arial" w:hAnsi="Arial" w:cs="Arial"/>
          <w:sz w:val="20"/>
          <w:szCs w:val="20"/>
        </w:rPr>
      </w:pPr>
    </w:p>
    <w:p w14:paraId="285C09ED" w14:textId="77777777" w:rsidR="00C0060D" w:rsidRDefault="00C0060D" w:rsidP="00C0060D">
      <w:pPr>
        <w:pStyle w:val="ListParagraph"/>
        <w:numPr>
          <w:ilvl w:val="0"/>
          <w:numId w:val="1"/>
        </w:numPr>
        <w:spacing w:line="240" w:lineRule="auto"/>
        <w:ind w:hanging="720"/>
        <w:jc w:val="both"/>
        <w:rPr>
          <w:rFonts w:ascii="Arial" w:hAnsi="Arial" w:cs="Arial"/>
          <w:sz w:val="20"/>
          <w:szCs w:val="20"/>
        </w:rPr>
      </w:pPr>
      <w:r>
        <w:rPr>
          <w:rFonts w:ascii="Arial" w:hAnsi="Arial" w:cs="Arial"/>
          <w:sz w:val="20"/>
          <w:szCs w:val="20"/>
        </w:rPr>
        <w:t xml:space="preserve">Le bureau de la CEPEJ s’est réuni à deux reprises le 15 janvier et le 9 septembre 2021. Il a été décidé que les réunions du Bureau se tiendraient désormais en ligne en raison du faible nombre de membres ; l’absence de coûts permet dans tous les cas d’organiser des réunions du bureau </w:t>
      </w:r>
      <w:r w:rsidRPr="006A66B5">
        <w:rPr>
          <w:rFonts w:ascii="Arial" w:hAnsi="Arial" w:cs="Arial"/>
          <w:i/>
          <w:iCs/>
          <w:sz w:val="20"/>
          <w:szCs w:val="20"/>
        </w:rPr>
        <w:t>ad hoc</w:t>
      </w:r>
      <w:r>
        <w:rPr>
          <w:rFonts w:ascii="Arial" w:hAnsi="Arial" w:cs="Arial"/>
          <w:sz w:val="20"/>
          <w:szCs w:val="20"/>
        </w:rPr>
        <w:t xml:space="preserve"> en fonction des besoins. </w:t>
      </w:r>
    </w:p>
    <w:p w14:paraId="6DF5936D" w14:textId="77777777" w:rsidR="00C0060D" w:rsidRPr="00F20E56" w:rsidRDefault="00C0060D" w:rsidP="00C0060D">
      <w:pPr>
        <w:pStyle w:val="ListParagraph"/>
        <w:rPr>
          <w:rFonts w:ascii="Arial" w:hAnsi="Arial" w:cs="Arial"/>
          <w:sz w:val="20"/>
          <w:szCs w:val="20"/>
        </w:rPr>
      </w:pPr>
    </w:p>
    <w:p w14:paraId="01259DA2" w14:textId="77777777" w:rsidR="00C0060D" w:rsidRPr="00CF1E26" w:rsidRDefault="00C0060D" w:rsidP="00C0060D">
      <w:pPr>
        <w:pStyle w:val="ListParagraph"/>
        <w:numPr>
          <w:ilvl w:val="0"/>
          <w:numId w:val="1"/>
        </w:numPr>
        <w:spacing w:line="240" w:lineRule="auto"/>
        <w:ind w:hanging="720"/>
        <w:jc w:val="both"/>
        <w:rPr>
          <w:rFonts w:ascii="Arial" w:hAnsi="Arial" w:cs="Arial"/>
          <w:sz w:val="20"/>
          <w:szCs w:val="20"/>
        </w:rPr>
      </w:pPr>
      <w:r>
        <w:rPr>
          <w:rFonts w:ascii="Arial" w:hAnsi="Arial" w:cs="Arial"/>
          <w:sz w:val="20"/>
          <w:szCs w:val="20"/>
        </w:rPr>
        <w:t xml:space="preserve">Les groupes de travail se sont régulièrement réunis conformément au programme d’activité, sous les présidences respectives de M. Jasa VRABEC (Slovénie) pour le groupe sur l’évaluation des systèmes judiciaires (CEPEJ-GT-EVAL), M. Giacomo OBERTO (Italie) pour le groupe SATURN sur la gestion du temps judiciaire (CEPEJ-SATURN), M. Joao ARSENIO DE OLIVEIRA (Portugal) pour le groupe sur la qualité de justice (CEPEJ-GT-QUAL) et de Mme Maria </w:t>
      </w:r>
      <w:proofErr w:type="spellStart"/>
      <w:r>
        <w:rPr>
          <w:rFonts w:ascii="Arial" w:hAnsi="Arial" w:cs="Arial"/>
          <w:sz w:val="20"/>
          <w:szCs w:val="20"/>
        </w:rPr>
        <w:t>Giuliana</w:t>
      </w:r>
      <w:proofErr w:type="spellEnd"/>
      <w:r>
        <w:rPr>
          <w:rFonts w:ascii="Arial" w:hAnsi="Arial" w:cs="Arial"/>
          <w:sz w:val="20"/>
          <w:szCs w:val="20"/>
        </w:rPr>
        <w:t xml:space="preserve"> CIVININI (Italie) pour le groupe sur la cyberjustice et l’intelligence artificielle (CEPEJ-GT-CYBERJUST). Les réunions étant organisées en ligne, le calendrier des réunions initialement prévu a été modifié en fonction de l’état d’avancement des travaux ; des réunions plus courtes, plus fréquentes, sur un thème précis ont été quelques fois préférées aux réunions traditionnelles des Groupes de travail, celles-ci correspondant mieux aux disponibilités des membres des groupes. Cette souplesse dans l’organisation et la forme des réunions devraient être conservées même après la crise, même s’il demeure que des réunions visant à discuter en détail le contenu d’un document sont plus efficaces en présentiel qu’en ligne.   </w:t>
      </w:r>
    </w:p>
    <w:p w14:paraId="1B1D0C06" w14:textId="77777777" w:rsidR="00C0060D" w:rsidRPr="00D950CC" w:rsidRDefault="00C0060D" w:rsidP="00C0060D">
      <w:pPr>
        <w:spacing w:line="240" w:lineRule="auto"/>
        <w:jc w:val="both"/>
        <w:rPr>
          <w:sz w:val="20"/>
          <w:szCs w:val="20"/>
        </w:rPr>
      </w:pPr>
    </w:p>
    <w:p w14:paraId="4462F030" w14:textId="77777777" w:rsidR="00C0060D" w:rsidRDefault="00C0060D" w:rsidP="00C0060D">
      <w:pPr>
        <w:pStyle w:val="ListParagraph"/>
        <w:numPr>
          <w:ilvl w:val="0"/>
          <w:numId w:val="2"/>
        </w:numPr>
        <w:spacing w:after="0" w:line="240" w:lineRule="auto"/>
        <w:ind w:left="0" w:firstLine="0"/>
        <w:jc w:val="both"/>
        <w:rPr>
          <w:rFonts w:ascii="Arial" w:eastAsia="Times New Roman" w:hAnsi="Arial" w:cs="Arial"/>
          <w:b/>
          <w:sz w:val="20"/>
          <w:szCs w:val="20"/>
          <w:lang w:eastAsia="fr-FR"/>
        </w:rPr>
      </w:pPr>
      <w:r w:rsidRPr="00CF1E26">
        <w:rPr>
          <w:rFonts w:ascii="Arial" w:eastAsia="Times New Roman" w:hAnsi="Arial" w:cs="Arial"/>
          <w:b/>
          <w:sz w:val="20"/>
          <w:szCs w:val="20"/>
          <w:lang w:eastAsia="fr-FR"/>
        </w:rPr>
        <w:t>ACTIVITES ET REALISATIONS DE LA CEPEJ EN 202</w:t>
      </w:r>
      <w:r>
        <w:rPr>
          <w:rFonts w:ascii="Arial" w:eastAsia="Times New Roman" w:hAnsi="Arial" w:cs="Arial"/>
          <w:b/>
          <w:sz w:val="20"/>
          <w:szCs w:val="20"/>
          <w:lang w:eastAsia="fr-FR"/>
        </w:rPr>
        <w:t>1</w:t>
      </w:r>
    </w:p>
    <w:p w14:paraId="22A534A6" w14:textId="77777777" w:rsidR="00C0060D" w:rsidRDefault="00C0060D" w:rsidP="00C0060D">
      <w:pPr>
        <w:tabs>
          <w:tab w:val="num" w:pos="0"/>
        </w:tabs>
        <w:spacing w:after="0" w:line="240" w:lineRule="auto"/>
        <w:jc w:val="both"/>
        <w:rPr>
          <w:rFonts w:ascii="Arial" w:eastAsia="Times New Roman" w:hAnsi="Arial" w:cs="Arial"/>
          <w:b/>
          <w:sz w:val="20"/>
          <w:szCs w:val="20"/>
          <w:lang w:eastAsia="fr-FR"/>
        </w:rPr>
      </w:pPr>
    </w:p>
    <w:p w14:paraId="36E17FF3" w14:textId="77777777" w:rsidR="00C0060D" w:rsidRPr="00F20E56" w:rsidRDefault="00C0060D" w:rsidP="00C0060D">
      <w:pPr>
        <w:pStyle w:val="ListParagraph"/>
        <w:numPr>
          <w:ilvl w:val="0"/>
          <w:numId w:val="1"/>
        </w:numPr>
        <w:spacing w:line="240" w:lineRule="auto"/>
        <w:ind w:hanging="720"/>
        <w:jc w:val="both"/>
        <w:rPr>
          <w:rFonts w:ascii="Arial" w:eastAsia="Times New Roman" w:hAnsi="Arial" w:cs="Arial"/>
          <w:b/>
          <w:sz w:val="20"/>
          <w:szCs w:val="20"/>
          <w:lang w:eastAsia="fr-FR"/>
        </w:rPr>
      </w:pPr>
      <w:r w:rsidRPr="00247281">
        <w:rPr>
          <w:rFonts w:ascii="Arial" w:hAnsi="Arial" w:cs="Arial"/>
          <w:color w:val="333333"/>
          <w:sz w:val="20"/>
          <w:szCs w:val="20"/>
        </w:rPr>
        <w:t>Le programme d’activité de la CEPEJ fait partie du Pilier « État de droit », Secteur « Justice », Programme « Indépendance et efficacité de la justice » du programme et budget du Conseil de l'Europe. La fonction de la CEPEJ est essentielle pour les activités du Conseil de l'Europe, puisqu'il s'agit de promouvoir les valeurs fondamentales communes : droits de l'homme, État de droit et démocratie et notamment de consolider la démocratie, la bonne gouvernance et l'État de droit dans les États membre</w:t>
      </w:r>
      <w:r>
        <w:rPr>
          <w:rFonts w:ascii="Arial" w:hAnsi="Arial" w:cs="Arial"/>
          <w:color w:val="333333"/>
          <w:sz w:val="20"/>
          <w:szCs w:val="20"/>
        </w:rPr>
        <w:t>s.</w:t>
      </w:r>
    </w:p>
    <w:p w14:paraId="03F6573C" w14:textId="77777777" w:rsidR="00C0060D" w:rsidRPr="00CA77F0" w:rsidRDefault="00C0060D" w:rsidP="00C0060D">
      <w:pPr>
        <w:pStyle w:val="ListParagraph"/>
        <w:spacing w:line="240" w:lineRule="auto"/>
        <w:jc w:val="both"/>
        <w:rPr>
          <w:rFonts w:ascii="Arial" w:eastAsia="Times New Roman" w:hAnsi="Arial" w:cs="Arial"/>
          <w:b/>
          <w:sz w:val="20"/>
          <w:szCs w:val="20"/>
          <w:lang w:eastAsia="fr-FR"/>
        </w:rPr>
      </w:pPr>
      <w:r>
        <w:rPr>
          <w:rFonts w:ascii="Arial" w:hAnsi="Arial" w:cs="Arial"/>
          <w:color w:val="333333"/>
          <w:sz w:val="20"/>
          <w:szCs w:val="20"/>
        </w:rPr>
        <w:t xml:space="preserve"> </w:t>
      </w:r>
    </w:p>
    <w:p w14:paraId="1C7D56FD" w14:textId="77777777" w:rsidR="00C0060D" w:rsidRPr="00CA77F0" w:rsidRDefault="00C0060D" w:rsidP="00C0060D">
      <w:pPr>
        <w:pStyle w:val="ListParagraph"/>
        <w:numPr>
          <w:ilvl w:val="0"/>
          <w:numId w:val="1"/>
        </w:numPr>
        <w:spacing w:line="240" w:lineRule="auto"/>
        <w:ind w:hanging="720"/>
        <w:jc w:val="both"/>
        <w:rPr>
          <w:rFonts w:ascii="Arial" w:eastAsia="Times New Roman" w:hAnsi="Arial" w:cs="Arial"/>
          <w:b/>
          <w:sz w:val="20"/>
          <w:szCs w:val="20"/>
          <w:lang w:eastAsia="fr-FR"/>
        </w:rPr>
      </w:pPr>
      <w:r>
        <w:rPr>
          <w:rFonts w:ascii="Arial" w:hAnsi="Arial" w:cs="Arial"/>
          <w:color w:val="333333"/>
          <w:sz w:val="20"/>
          <w:szCs w:val="20"/>
        </w:rPr>
        <w:t xml:space="preserve">Le Comité des Ministres a confié à la CEPEJ la tâche de proposer des solutions pratiques utilisables par les Etats membres du Conseil de l’Europe pour : </w:t>
      </w:r>
    </w:p>
    <w:p w14:paraId="0F7EF89C" w14:textId="77777777" w:rsidR="00C0060D" w:rsidRPr="00CA77F0" w:rsidRDefault="00C0060D" w:rsidP="00C0060D">
      <w:pPr>
        <w:pStyle w:val="ListParagraph"/>
        <w:spacing w:line="240" w:lineRule="auto"/>
        <w:jc w:val="both"/>
        <w:rPr>
          <w:rFonts w:ascii="Arial" w:eastAsia="Times New Roman" w:hAnsi="Arial" w:cs="Arial"/>
          <w:b/>
          <w:sz w:val="20"/>
          <w:szCs w:val="20"/>
          <w:lang w:eastAsia="fr-FR"/>
        </w:rPr>
      </w:pPr>
    </w:p>
    <w:p w14:paraId="15144434" w14:textId="77777777" w:rsidR="00C0060D" w:rsidRDefault="00C0060D" w:rsidP="00C0060D">
      <w:pPr>
        <w:pStyle w:val="ListParagraph"/>
        <w:numPr>
          <w:ilvl w:val="0"/>
          <w:numId w:val="3"/>
        </w:numPr>
        <w:tabs>
          <w:tab w:val="num" w:pos="0"/>
        </w:tabs>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p</w:t>
      </w:r>
      <w:r w:rsidRPr="00CA77F0">
        <w:rPr>
          <w:rFonts w:ascii="Arial" w:eastAsia="Times New Roman" w:hAnsi="Arial" w:cs="Arial"/>
          <w:bCs/>
          <w:sz w:val="20"/>
          <w:szCs w:val="20"/>
          <w:lang w:eastAsia="fr-FR"/>
        </w:rPr>
        <w:t xml:space="preserve">romouvoir </w:t>
      </w:r>
      <w:r>
        <w:rPr>
          <w:rFonts w:ascii="Arial" w:eastAsia="Times New Roman" w:hAnsi="Arial" w:cs="Arial"/>
          <w:bCs/>
          <w:sz w:val="20"/>
          <w:szCs w:val="20"/>
          <w:lang w:eastAsia="fr-FR"/>
        </w:rPr>
        <w:t xml:space="preserve">la mise en œuvre effective des instruments existants du Conseil de l’Europe en matière d’organisation de la justice ; </w:t>
      </w:r>
    </w:p>
    <w:p w14:paraId="458935F7" w14:textId="77777777" w:rsidR="00C0060D" w:rsidRDefault="00C0060D" w:rsidP="00C0060D">
      <w:pPr>
        <w:pStyle w:val="ListParagraph"/>
        <w:spacing w:after="0" w:line="240" w:lineRule="auto"/>
        <w:ind w:left="1800"/>
        <w:jc w:val="both"/>
        <w:rPr>
          <w:rFonts w:ascii="Arial" w:eastAsia="Times New Roman" w:hAnsi="Arial" w:cs="Arial"/>
          <w:bCs/>
          <w:sz w:val="20"/>
          <w:szCs w:val="20"/>
          <w:lang w:eastAsia="fr-FR"/>
        </w:rPr>
      </w:pPr>
    </w:p>
    <w:p w14:paraId="3BE80B9D" w14:textId="77777777" w:rsidR="00C0060D" w:rsidRDefault="00C0060D" w:rsidP="00C0060D">
      <w:pPr>
        <w:pStyle w:val="ListParagraph"/>
        <w:numPr>
          <w:ilvl w:val="0"/>
          <w:numId w:val="3"/>
        </w:numPr>
        <w:tabs>
          <w:tab w:val="num" w:pos="0"/>
        </w:tabs>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promouvoir le service public de la justice et veiller à ce que les politiques publiques concernant les tribunaux prennent en compte les besoins des usagers du système judiciaire et notamment des magistrats et des auxiliaires de justice ;</w:t>
      </w:r>
    </w:p>
    <w:p w14:paraId="5012596E" w14:textId="77777777" w:rsidR="00C0060D" w:rsidRPr="00CA77F0" w:rsidRDefault="00C0060D" w:rsidP="00C0060D">
      <w:pPr>
        <w:spacing w:after="0" w:line="240" w:lineRule="auto"/>
        <w:jc w:val="both"/>
        <w:rPr>
          <w:rFonts w:ascii="Arial" w:eastAsia="Times New Roman" w:hAnsi="Arial" w:cs="Arial"/>
          <w:bCs/>
          <w:sz w:val="20"/>
          <w:szCs w:val="20"/>
          <w:lang w:eastAsia="fr-FR"/>
        </w:rPr>
      </w:pPr>
    </w:p>
    <w:p w14:paraId="6AFDB12B" w14:textId="2192CA87" w:rsidR="00C0060D" w:rsidRPr="009C3532" w:rsidRDefault="00C0060D" w:rsidP="009C3532">
      <w:pPr>
        <w:pStyle w:val="ListParagraph"/>
        <w:numPr>
          <w:ilvl w:val="0"/>
          <w:numId w:val="3"/>
        </w:numPr>
        <w:tabs>
          <w:tab w:val="left" w:pos="0"/>
        </w:tabs>
        <w:spacing w:after="0" w:line="240" w:lineRule="auto"/>
        <w:jc w:val="both"/>
        <w:rPr>
          <w:rFonts w:ascii="Arial" w:eastAsia="Times New Roman" w:hAnsi="Arial" w:cs="Arial"/>
          <w:bCs/>
          <w:sz w:val="20"/>
          <w:szCs w:val="20"/>
          <w:lang w:eastAsia="fr-FR"/>
        </w:rPr>
      </w:pPr>
      <w:r w:rsidRPr="009C3532">
        <w:rPr>
          <w:rFonts w:ascii="Arial" w:eastAsia="Times New Roman" w:hAnsi="Arial" w:cs="Arial"/>
          <w:bCs/>
          <w:sz w:val="20"/>
          <w:szCs w:val="20"/>
          <w:lang w:eastAsia="fr-FR"/>
        </w:rPr>
        <w:t xml:space="preserve">contribuer à réduire la charge de travail de la CEDH en offrant aux Etats des solutions efficaces avant le recours à la Cour et en prévenant des violations de l’article 6 de la Convention européenne des droits de l’Homme. </w:t>
      </w:r>
      <w:bookmarkStart w:id="0" w:name="_Hlk103767306"/>
    </w:p>
    <w:p w14:paraId="17705E62" w14:textId="77777777" w:rsidR="009C3532" w:rsidRPr="00390B27" w:rsidRDefault="009C3532" w:rsidP="00C0060D">
      <w:pPr>
        <w:tabs>
          <w:tab w:val="left" w:pos="0"/>
        </w:tabs>
        <w:spacing w:after="0" w:line="240" w:lineRule="auto"/>
        <w:jc w:val="both"/>
        <w:rPr>
          <w:rFonts w:ascii="Arial" w:eastAsia="Times New Roman" w:hAnsi="Arial" w:cs="Arial"/>
          <w:bCs/>
          <w:iCs/>
          <w:sz w:val="20"/>
          <w:szCs w:val="20"/>
          <w:lang w:eastAsia="fr-FR"/>
        </w:rPr>
      </w:pPr>
    </w:p>
    <w:p w14:paraId="2182A127" w14:textId="77777777" w:rsidR="00C0060D" w:rsidRPr="004575E5" w:rsidRDefault="00C0060D" w:rsidP="00C0060D">
      <w:pPr>
        <w:spacing w:after="0" w:line="240" w:lineRule="auto"/>
        <w:jc w:val="both"/>
        <w:rPr>
          <w:rFonts w:ascii="Arial" w:hAnsi="Arial" w:cs="Arial"/>
          <w:b/>
          <w:bCs/>
          <w:i/>
          <w:iCs/>
          <w:sz w:val="20"/>
          <w:szCs w:val="20"/>
          <w:lang w:eastAsia="fr-FR"/>
        </w:rPr>
      </w:pPr>
      <w:r w:rsidRPr="004575E5">
        <w:rPr>
          <w:rFonts w:ascii="Arial" w:hAnsi="Arial" w:cs="Arial"/>
          <w:b/>
          <w:bCs/>
          <w:i/>
          <w:iCs/>
          <w:sz w:val="20"/>
          <w:szCs w:val="20"/>
          <w:lang w:eastAsia="fr-FR"/>
        </w:rPr>
        <w:t xml:space="preserve">2.1       Outil permettant d’analyser le fonctionnement des systèmes judiciaires et d’orienter les politiques publiques de la justice vers plus d’efficacité  </w:t>
      </w:r>
    </w:p>
    <w:p w14:paraId="2B6D299D" w14:textId="77777777" w:rsidR="00C0060D" w:rsidRPr="004575E5" w:rsidRDefault="00C0060D" w:rsidP="00C0060D">
      <w:pPr>
        <w:spacing w:after="0" w:line="240" w:lineRule="auto"/>
        <w:jc w:val="both"/>
        <w:rPr>
          <w:rFonts w:ascii="Arial" w:hAnsi="Arial" w:cs="Arial"/>
          <w:i/>
          <w:iCs/>
          <w:sz w:val="20"/>
          <w:szCs w:val="20"/>
          <w:lang w:eastAsia="fr-FR"/>
        </w:rPr>
      </w:pPr>
    </w:p>
    <w:p w14:paraId="15E23AB6" w14:textId="77777777" w:rsidR="00C0060D" w:rsidRPr="004575E5" w:rsidRDefault="00C0060D" w:rsidP="00C0060D">
      <w:pPr>
        <w:pStyle w:val="ListParagraph"/>
        <w:numPr>
          <w:ilvl w:val="2"/>
          <w:numId w:val="15"/>
        </w:numPr>
        <w:spacing w:after="0" w:line="240" w:lineRule="auto"/>
        <w:jc w:val="both"/>
        <w:rPr>
          <w:rFonts w:ascii="Arial" w:hAnsi="Arial" w:cs="Arial"/>
          <w:b/>
          <w:bCs/>
          <w:i/>
          <w:iCs/>
          <w:sz w:val="20"/>
          <w:szCs w:val="20"/>
          <w:lang w:eastAsia="fr-FR"/>
        </w:rPr>
      </w:pPr>
      <w:r w:rsidRPr="004575E5">
        <w:rPr>
          <w:rFonts w:ascii="Arial" w:hAnsi="Arial" w:cs="Arial"/>
          <w:b/>
          <w:bCs/>
          <w:i/>
          <w:iCs/>
          <w:sz w:val="20"/>
          <w:szCs w:val="20"/>
        </w:rPr>
        <w:t>Evaluer le fonctionnement des systèmes judiciaires européens</w:t>
      </w:r>
    </w:p>
    <w:p w14:paraId="22F32752" w14:textId="77777777" w:rsidR="00C0060D" w:rsidRPr="0035323A" w:rsidRDefault="00C0060D" w:rsidP="00C0060D">
      <w:pPr>
        <w:spacing w:after="0" w:line="240" w:lineRule="auto"/>
        <w:jc w:val="both"/>
        <w:rPr>
          <w:rFonts w:ascii="Arial" w:hAnsi="Arial" w:cs="Arial"/>
          <w:sz w:val="20"/>
          <w:szCs w:val="20"/>
          <w:lang w:eastAsia="fr-FR"/>
        </w:rPr>
      </w:pPr>
    </w:p>
    <w:p w14:paraId="6538280A" w14:textId="77777777" w:rsidR="00C0060D" w:rsidRDefault="00C0060D" w:rsidP="00C0060D">
      <w:pPr>
        <w:pStyle w:val="ListParagraph"/>
        <w:numPr>
          <w:ilvl w:val="0"/>
          <w:numId w:val="1"/>
        </w:numPr>
        <w:spacing w:after="0" w:line="240" w:lineRule="auto"/>
        <w:ind w:hanging="720"/>
        <w:jc w:val="both"/>
        <w:rPr>
          <w:rFonts w:ascii="Arial" w:hAnsi="Arial" w:cs="Arial"/>
          <w:sz w:val="20"/>
          <w:szCs w:val="20"/>
          <w:lang w:eastAsia="fr-FR"/>
        </w:rPr>
      </w:pPr>
      <w:r w:rsidRPr="00692667">
        <w:rPr>
          <w:rFonts w:ascii="Arial" w:hAnsi="Arial" w:cs="Arial"/>
          <w:sz w:val="20"/>
          <w:szCs w:val="20"/>
        </w:rPr>
        <w:t>La préparation du prochain Rapport d’Evaluation de la CEPEJ « Systèmes judiciaires européens » (édition 2022, Données 2020) se poursuit. Une nouvelle collecte de données, basée sur un questionnaire révisé, a été ouverte aux correspondants nationaux des Etats membres et des Etats observateurs participants au cycle d’évaluation (Israël, Maroc, Kazakhstan). Le contrôle de qualité de l’ensemble des données, quantitatives et qualitatives, harmonisé pour l’ensemble des pays participants et pour les quatre exercices d’évaluation en cours, a été effectué. En parallèle, des évolutions de la structure du Rapport ont été proposées par le CEPEJ-GT-EVAL et validées par la CEPEJ pour continuer à améliorer le contenu du Rapport. La première partie sera dédiée à l’analyse des tendances européennes au travers de différents chapitres (budgets, professionnels, tribunaux, usagers, TIC et efficacité et qualité des tribunaux et Ministères publics) alors que la deuxième partie</w:t>
      </w:r>
      <w:r>
        <w:rPr>
          <w:rFonts w:ascii="Arial" w:hAnsi="Arial" w:cs="Arial"/>
          <w:sz w:val="20"/>
          <w:szCs w:val="20"/>
        </w:rPr>
        <w:t>,</w:t>
      </w:r>
      <w:r w:rsidRPr="00692667">
        <w:rPr>
          <w:rFonts w:ascii="Arial" w:hAnsi="Arial" w:cs="Arial"/>
          <w:sz w:val="20"/>
          <w:szCs w:val="20"/>
        </w:rPr>
        <w:t xml:space="preserve"> des « fiches par pays »</w:t>
      </w:r>
      <w:r>
        <w:rPr>
          <w:rFonts w:ascii="Arial" w:hAnsi="Arial" w:cs="Arial"/>
          <w:sz w:val="20"/>
          <w:szCs w:val="20"/>
        </w:rPr>
        <w:t>,</w:t>
      </w:r>
      <w:r w:rsidRPr="00692667">
        <w:rPr>
          <w:rFonts w:ascii="Arial" w:hAnsi="Arial" w:cs="Arial"/>
          <w:sz w:val="20"/>
          <w:szCs w:val="20"/>
        </w:rPr>
        <w:t xml:space="preserve"> sera révisée et enrichie, pour la première fois, d’analyses synthétiques </w:t>
      </w:r>
      <w:r>
        <w:rPr>
          <w:rFonts w:ascii="Arial" w:hAnsi="Arial" w:cs="Arial"/>
          <w:sz w:val="20"/>
          <w:szCs w:val="20"/>
        </w:rPr>
        <w:t>pour le</w:t>
      </w:r>
      <w:r w:rsidRPr="00692667">
        <w:rPr>
          <w:rFonts w:ascii="Arial" w:hAnsi="Arial" w:cs="Arial"/>
          <w:sz w:val="20"/>
          <w:szCs w:val="20"/>
        </w:rPr>
        <w:t xml:space="preserve"> système judiciaire de chaque pays. Le projet de Rapport pour le cycle d’évaluation 2022 sera présenté à la CEPEJ pour adoption en juin 2022 et la Rapport publié en octobre 2022. </w:t>
      </w:r>
    </w:p>
    <w:p w14:paraId="3664EAC4" w14:textId="77777777" w:rsidR="00C0060D" w:rsidRPr="00692667" w:rsidRDefault="00C0060D" w:rsidP="00C0060D">
      <w:pPr>
        <w:pStyle w:val="ListParagraph"/>
        <w:spacing w:after="0" w:line="240" w:lineRule="auto"/>
        <w:jc w:val="both"/>
        <w:rPr>
          <w:rFonts w:ascii="Arial" w:hAnsi="Arial" w:cs="Arial"/>
          <w:sz w:val="20"/>
          <w:szCs w:val="20"/>
          <w:lang w:eastAsia="fr-FR"/>
        </w:rPr>
      </w:pPr>
    </w:p>
    <w:p w14:paraId="588F2097" w14:textId="77777777" w:rsidR="00C0060D" w:rsidRDefault="00C0060D" w:rsidP="00C0060D">
      <w:pPr>
        <w:pStyle w:val="ListParagraph"/>
        <w:numPr>
          <w:ilvl w:val="0"/>
          <w:numId w:val="1"/>
        </w:numPr>
        <w:spacing w:after="0" w:line="240" w:lineRule="auto"/>
        <w:ind w:hanging="720"/>
        <w:jc w:val="both"/>
        <w:rPr>
          <w:rFonts w:ascii="Arial" w:eastAsia="Times New Roman" w:hAnsi="Arial" w:cs="Arial"/>
          <w:color w:val="000000"/>
          <w:sz w:val="20"/>
          <w:szCs w:val="20"/>
        </w:rPr>
      </w:pPr>
      <w:r w:rsidRPr="0035323A">
        <w:rPr>
          <w:rFonts w:ascii="Arial" w:eastAsia="Times New Roman" w:hAnsi="Arial" w:cs="Arial"/>
          <w:color w:val="000000"/>
          <w:sz w:val="20"/>
          <w:szCs w:val="20"/>
          <w:lang w:eastAsia="fr-FR"/>
        </w:rPr>
        <w:t xml:space="preserve">La collaboration avec les professionnels observateurs </w:t>
      </w:r>
      <w:r w:rsidRPr="0035323A">
        <w:rPr>
          <w:rFonts w:ascii="Arial" w:eastAsia="Times New Roman" w:hAnsi="Arial" w:cs="Arial"/>
          <w:color w:val="000000"/>
          <w:sz w:val="20"/>
          <w:szCs w:val="20"/>
        </w:rPr>
        <w:t>au CEPEJ-GT-EVAL (Union internationale des huissiers de justice, Institut Européen de l'Expertise et de l’Expert, Conseil des Notariats de l’Union Européenne) se poursuit également en vue de la publication sur la page internet CEPEJ-STAT, peu de temps après le Rapport d’évaluation de la CEPEJ, des études spécifiques basées sur les données 2020 collectées et contrôlées par la CEPEJ.</w:t>
      </w:r>
    </w:p>
    <w:p w14:paraId="05E23453" w14:textId="77777777" w:rsidR="00C0060D" w:rsidRPr="006A66B5" w:rsidRDefault="00C0060D" w:rsidP="00C0060D">
      <w:pPr>
        <w:pStyle w:val="ListParagraph"/>
        <w:rPr>
          <w:rFonts w:ascii="Arial" w:eastAsia="Times New Roman" w:hAnsi="Arial" w:cs="Arial"/>
          <w:color w:val="000000"/>
          <w:sz w:val="20"/>
          <w:szCs w:val="20"/>
        </w:rPr>
      </w:pPr>
    </w:p>
    <w:p w14:paraId="51FE041B" w14:textId="77777777" w:rsidR="00C0060D" w:rsidRPr="004575E5" w:rsidRDefault="00C0060D" w:rsidP="00C0060D">
      <w:pPr>
        <w:pStyle w:val="ListParagraph"/>
        <w:numPr>
          <w:ilvl w:val="2"/>
          <w:numId w:val="15"/>
        </w:numPr>
        <w:spacing w:after="0" w:line="240" w:lineRule="auto"/>
        <w:jc w:val="both"/>
        <w:rPr>
          <w:rFonts w:ascii="Arial" w:hAnsi="Arial" w:cs="Arial"/>
          <w:b/>
          <w:bCs/>
          <w:i/>
          <w:iCs/>
          <w:sz w:val="20"/>
          <w:szCs w:val="20"/>
        </w:rPr>
      </w:pPr>
      <w:r w:rsidRPr="004575E5">
        <w:rPr>
          <w:rFonts w:ascii="Arial" w:hAnsi="Arial" w:cs="Arial"/>
          <w:b/>
          <w:bCs/>
          <w:i/>
          <w:iCs/>
          <w:sz w:val="20"/>
          <w:szCs w:val="20"/>
        </w:rPr>
        <w:t xml:space="preserve">Coopération avec l’Union européenne </w:t>
      </w:r>
    </w:p>
    <w:p w14:paraId="18F0633E" w14:textId="77777777" w:rsidR="00C0060D" w:rsidRPr="00952806" w:rsidRDefault="00C0060D" w:rsidP="00C0060D">
      <w:pPr>
        <w:pStyle w:val="ListParagraph"/>
        <w:spacing w:after="0" w:line="240" w:lineRule="auto"/>
        <w:ind w:left="1080"/>
        <w:jc w:val="both"/>
        <w:rPr>
          <w:rFonts w:ascii="Arial" w:hAnsi="Arial" w:cs="Arial"/>
          <w:b/>
          <w:bCs/>
          <w:i/>
          <w:iCs/>
          <w:sz w:val="20"/>
          <w:szCs w:val="20"/>
          <w:lang w:eastAsia="fr-FR"/>
        </w:rPr>
      </w:pPr>
    </w:p>
    <w:p w14:paraId="591BF66C" w14:textId="77777777" w:rsidR="00C0060D" w:rsidRPr="00134BEF" w:rsidRDefault="00C0060D" w:rsidP="00C0060D">
      <w:pPr>
        <w:pStyle w:val="ListParagraph"/>
        <w:numPr>
          <w:ilvl w:val="0"/>
          <w:numId w:val="1"/>
        </w:numPr>
        <w:spacing w:line="240" w:lineRule="auto"/>
        <w:ind w:hanging="720"/>
        <w:jc w:val="both"/>
        <w:rPr>
          <w:rFonts w:ascii="Arial" w:hAnsi="Arial" w:cs="Arial"/>
          <w:color w:val="000000"/>
          <w:sz w:val="20"/>
          <w:szCs w:val="20"/>
        </w:rPr>
      </w:pPr>
      <w:r w:rsidRPr="00134BEF">
        <w:rPr>
          <w:rFonts w:ascii="Arial" w:hAnsi="Arial" w:cs="Arial"/>
          <w:color w:val="000000"/>
          <w:sz w:val="20"/>
          <w:szCs w:val="20"/>
        </w:rPr>
        <w:t xml:space="preserve">Le Conseil de l'UE, la Commission européenne et le Parlement européen sont régulièrement représentés aux réunions de la CEPEJ. </w:t>
      </w:r>
    </w:p>
    <w:p w14:paraId="20C97038" w14:textId="77777777" w:rsidR="00C0060D" w:rsidRDefault="00C0060D" w:rsidP="00C0060D">
      <w:pPr>
        <w:pStyle w:val="ListParagraph"/>
        <w:spacing w:line="240" w:lineRule="auto"/>
        <w:jc w:val="both"/>
        <w:rPr>
          <w:rFonts w:ascii="Arial" w:hAnsi="Arial" w:cs="Arial"/>
          <w:color w:val="000000"/>
          <w:sz w:val="20"/>
          <w:szCs w:val="20"/>
        </w:rPr>
      </w:pPr>
    </w:p>
    <w:p w14:paraId="6AE2C5CB" w14:textId="77777777" w:rsidR="00C0060D" w:rsidRPr="00D36348" w:rsidRDefault="00C0060D" w:rsidP="00C0060D">
      <w:pPr>
        <w:pStyle w:val="ListParagraph"/>
        <w:numPr>
          <w:ilvl w:val="0"/>
          <w:numId w:val="1"/>
        </w:numPr>
        <w:spacing w:line="240" w:lineRule="auto"/>
        <w:ind w:hanging="720"/>
        <w:jc w:val="both"/>
        <w:rPr>
          <w:rFonts w:ascii="Arial" w:hAnsi="Arial" w:cs="Arial"/>
          <w:color w:val="000000"/>
          <w:sz w:val="20"/>
          <w:szCs w:val="20"/>
        </w:rPr>
      </w:pPr>
      <w:r w:rsidRPr="00134BEF">
        <w:rPr>
          <w:rFonts w:ascii="Arial" w:hAnsi="Arial" w:cs="Arial"/>
          <w:color w:val="000000"/>
          <w:sz w:val="20"/>
          <w:szCs w:val="20"/>
        </w:rPr>
        <w:t xml:space="preserve">La coopération relative à l’évaluation des systèmes judiciaires avec la Commission européenne se poursuit et se renforce avec : </w:t>
      </w:r>
    </w:p>
    <w:p w14:paraId="18CAF875" w14:textId="77777777" w:rsidR="00C0060D" w:rsidRPr="0035323A" w:rsidRDefault="00C0060D" w:rsidP="00C0060D">
      <w:pPr>
        <w:numPr>
          <w:ilvl w:val="0"/>
          <w:numId w:val="10"/>
        </w:numPr>
        <w:autoSpaceDE w:val="0"/>
        <w:autoSpaceDN w:val="0"/>
        <w:spacing w:after="0" w:line="240" w:lineRule="auto"/>
        <w:contextualSpacing/>
        <w:jc w:val="both"/>
        <w:rPr>
          <w:rFonts w:ascii="Arial" w:hAnsi="Arial" w:cs="Arial"/>
          <w:color w:val="000000"/>
          <w:sz w:val="20"/>
          <w:szCs w:val="20"/>
        </w:rPr>
      </w:pPr>
      <w:r>
        <w:rPr>
          <w:rFonts w:ascii="Arial" w:hAnsi="Arial" w:cs="Arial"/>
          <w:color w:val="000000"/>
          <w:sz w:val="20"/>
          <w:szCs w:val="20"/>
        </w:rPr>
        <w:lastRenderedPageBreak/>
        <w:t>l</w:t>
      </w:r>
      <w:r w:rsidRPr="0035323A">
        <w:rPr>
          <w:rFonts w:ascii="Arial" w:hAnsi="Arial" w:cs="Arial"/>
          <w:color w:val="000000"/>
          <w:sz w:val="20"/>
          <w:szCs w:val="20"/>
        </w:rPr>
        <w:t>e renouvellement du contrat CEPEJ-Commission Européenne en vue d’une étude annuelle sur le fonctionnement des systèmes judiciaires des Etats membres de l’Union européenne, source principale du Scoreboard de la Justice des pays de l’Union Européenne (EU Justice Scoreboard)</w:t>
      </w:r>
      <w:r>
        <w:rPr>
          <w:rFonts w:ascii="Arial" w:hAnsi="Arial" w:cs="Arial"/>
          <w:color w:val="000000"/>
          <w:sz w:val="20"/>
          <w:szCs w:val="20"/>
        </w:rPr>
        <w:t xml:space="preserve"> ; </w:t>
      </w:r>
    </w:p>
    <w:p w14:paraId="3DAA4FC9" w14:textId="77777777" w:rsidR="00C0060D" w:rsidRPr="0035323A" w:rsidRDefault="00C0060D" w:rsidP="00C0060D">
      <w:pPr>
        <w:numPr>
          <w:ilvl w:val="0"/>
          <w:numId w:val="10"/>
        </w:numPr>
        <w:autoSpaceDE w:val="0"/>
        <w:autoSpaceDN w:val="0"/>
        <w:spacing w:after="0" w:line="240" w:lineRule="auto"/>
        <w:contextualSpacing/>
        <w:jc w:val="both"/>
        <w:rPr>
          <w:rFonts w:ascii="Arial" w:hAnsi="Arial" w:cs="Arial"/>
          <w:color w:val="000000"/>
          <w:sz w:val="20"/>
          <w:szCs w:val="20"/>
        </w:rPr>
      </w:pPr>
      <w:r>
        <w:rPr>
          <w:rFonts w:ascii="Arial" w:hAnsi="Arial" w:cs="Arial"/>
          <w:color w:val="000000"/>
          <w:sz w:val="20"/>
          <w:szCs w:val="20"/>
        </w:rPr>
        <w:t>l</w:t>
      </w:r>
      <w:r w:rsidRPr="0035323A">
        <w:rPr>
          <w:rFonts w:ascii="Arial" w:hAnsi="Arial" w:cs="Arial"/>
          <w:color w:val="000000"/>
          <w:sz w:val="20"/>
          <w:szCs w:val="20"/>
        </w:rPr>
        <w:t>a poursuite de l’évaluation annuelle du fonctionnement des systèmes judiciaires dans les bénéficiaires des Balkans occidentaux (Albanie, Bosnie-Herzégovine, Kosovo*</w:t>
      </w:r>
      <w:r>
        <w:rPr>
          <w:rStyle w:val="FootnoteReference"/>
          <w:rFonts w:ascii="Arial" w:hAnsi="Arial" w:cs="Arial"/>
          <w:color w:val="000000"/>
          <w:sz w:val="20"/>
          <w:szCs w:val="20"/>
        </w:rPr>
        <w:footnoteReference w:id="1"/>
      </w:r>
      <w:r w:rsidRPr="0035323A">
        <w:rPr>
          <w:rFonts w:ascii="Arial" w:hAnsi="Arial" w:cs="Arial"/>
          <w:color w:val="000000"/>
          <w:sz w:val="20"/>
          <w:szCs w:val="20"/>
        </w:rPr>
        <w:t xml:space="preserve">, Macédoine du Nord, Monténégro et Serbie), « Dashboard Western Balkans » ; </w:t>
      </w:r>
    </w:p>
    <w:p w14:paraId="49C39D19" w14:textId="77777777" w:rsidR="00C0060D" w:rsidRDefault="00C0060D" w:rsidP="00C0060D">
      <w:pPr>
        <w:numPr>
          <w:ilvl w:val="0"/>
          <w:numId w:val="10"/>
        </w:numPr>
        <w:autoSpaceDE w:val="0"/>
        <w:autoSpaceDN w:val="0"/>
        <w:spacing w:after="0" w:line="240" w:lineRule="auto"/>
        <w:contextualSpacing/>
        <w:jc w:val="both"/>
        <w:rPr>
          <w:rFonts w:ascii="Arial" w:hAnsi="Arial" w:cs="Arial"/>
          <w:color w:val="000000"/>
          <w:sz w:val="20"/>
          <w:szCs w:val="20"/>
        </w:rPr>
      </w:pPr>
      <w:r>
        <w:rPr>
          <w:rFonts w:ascii="Arial" w:hAnsi="Arial" w:cs="Arial"/>
          <w:color w:val="000000"/>
          <w:sz w:val="20"/>
          <w:szCs w:val="20"/>
        </w:rPr>
        <w:t>l</w:t>
      </w:r>
      <w:r w:rsidRPr="0035323A">
        <w:rPr>
          <w:rFonts w:ascii="Arial" w:hAnsi="Arial" w:cs="Arial"/>
          <w:color w:val="000000"/>
          <w:sz w:val="20"/>
          <w:szCs w:val="20"/>
        </w:rPr>
        <w:t xml:space="preserve">a première évaluation annuelle du fonctionnement des systèmes judiciaires dans les pays du « partenariat oriental » (Arménie, Azerbaïdjan, Géorgie, République de Moldova, Ukraine), « Dashboard Justice </w:t>
      </w:r>
      <w:proofErr w:type="spellStart"/>
      <w:r w:rsidRPr="0035323A">
        <w:rPr>
          <w:rFonts w:ascii="Arial" w:hAnsi="Arial" w:cs="Arial"/>
          <w:color w:val="000000"/>
          <w:sz w:val="20"/>
          <w:szCs w:val="20"/>
        </w:rPr>
        <w:t>Eap</w:t>
      </w:r>
      <w:proofErr w:type="spellEnd"/>
      <w:r w:rsidRPr="0035323A">
        <w:rPr>
          <w:rFonts w:ascii="Arial" w:hAnsi="Arial" w:cs="Arial"/>
          <w:color w:val="000000"/>
          <w:sz w:val="20"/>
          <w:szCs w:val="20"/>
        </w:rPr>
        <w:t xml:space="preserve"> ».  </w:t>
      </w:r>
    </w:p>
    <w:p w14:paraId="706EA211" w14:textId="77777777" w:rsidR="00C0060D" w:rsidRDefault="00C0060D" w:rsidP="00C0060D">
      <w:pPr>
        <w:autoSpaceDE w:val="0"/>
        <w:autoSpaceDN w:val="0"/>
        <w:spacing w:after="0" w:line="240" w:lineRule="auto"/>
        <w:ind w:left="780"/>
        <w:contextualSpacing/>
        <w:jc w:val="both"/>
        <w:rPr>
          <w:rFonts w:ascii="Arial" w:hAnsi="Arial" w:cs="Arial"/>
          <w:color w:val="000000"/>
          <w:sz w:val="20"/>
          <w:szCs w:val="20"/>
        </w:rPr>
      </w:pPr>
    </w:p>
    <w:p w14:paraId="5F4C6C25" w14:textId="77777777" w:rsidR="00C0060D" w:rsidRPr="00F20E56" w:rsidRDefault="00C0060D" w:rsidP="00C0060D">
      <w:pPr>
        <w:pStyle w:val="ListParagraph"/>
        <w:numPr>
          <w:ilvl w:val="0"/>
          <w:numId w:val="1"/>
        </w:numPr>
        <w:autoSpaceDE w:val="0"/>
        <w:autoSpaceDN w:val="0"/>
        <w:spacing w:after="0" w:line="240" w:lineRule="auto"/>
        <w:ind w:hanging="720"/>
        <w:jc w:val="both"/>
        <w:rPr>
          <w:rFonts w:ascii="Arial" w:hAnsi="Arial" w:cs="Arial"/>
          <w:color w:val="000000"/>
          <w:sz w:val="20"/>
          <w:szCs w:val="20"/>
        </w:rPr>
      </w:pPr>
      <w:r w:rsidRPr="00F20E56">
        <w:rPr>
          <w:rFonts w:ascii="Arial" w:hAnsi="Arial" w:cs="Arial"/>
          <w:color w:val="000000"/>
          <w:sz w:val="20"/>
          <w:szCs w:val="20"/>
        </w:rPr>
        <w:t xml:space="preserve">La confiance de la Commission européenne dans la qualité des données et la méthodologie de la CEPEJ qui s’applique pleinement à l’ensemble de ces évaluations doit être soulignée. L'implication de la CEPEJ dans les efforts de la Commission européenne renforce le rôle prééminent de la CEPEJ en matière d'évaluation de la justice, ainsi que les synergies entre l'Union européenne et le Conseil de l'Europe dans ce domaine. Il accroît également la visibilité de la CEPEJ et du Conseil de l’Europe. </w:t>
      </w:r>
    </w:p>
    <w:bookmarkEnd w:id="0"/>
    <w:p w14:paraId="11DDBEF5" w14:textId="77777777" w:rsidR="00C0060D" w:rsidRPr="00D950CC" w:rsidRDefault="00C0060D" w:rsidP="00C0060D">
      <w:pPr>
        <w:spacing w:after="0" w:line="240" w:lineRule="auto"/>
        <w:jc w:val="both"/>
        <w:rPr>
          <w:sz w:val="20"/>
          <w:szCs w:val="20"/>
        </w:rPr>
      </w:pPr>
    </w:p>
    <w:p w14:paraId="02F3659E" w14:textId="77777777" w:rsidR="00C0060D" w:rsidRDefault="00C0060D" w:rsidP="00C0060D">
      <w:pPr>
        <w:tabs>
          <w:tab w:val="num" w:pos="0"/>
        </w:tabs>
        <w:spacing w:after="0" w:line="240" w:lineRule="auto"/>
        <w:jc w:val="both"/>
        <w:rPr>
          <w:rFonts w:ascii="Arial" w:eastAsia="Times New Roman" w:hAnsi="Arial" w:cs="Arial"/>
          <w:b/>
          <w:i/>
          <w:sz w:val="20"/>
          <w:szCs w:val="20"/>
          <w:lang w:eastAsia="fr-FR"/>
        </w:rPr>
      </w:pPr>
      <w:r w:rsidRPr="00D950CC">
        <w:rPr>
          <w:rFonts w:ascii="Arial" w:eastAsia="Times New Roman" w:hAnsi="Arial" w:cs="Arial"/>
          <w:b/>
          <w:i/>
          <w:sz w:val="20"/>
          <w:szCs w:val="20"/>
          <w:lang w:eastAsia="fr-FR"/>
        </w:rPr>
        <w:t>2.1.</w:t>
      </w:r>
      <w:r>
        <w:rPr>
          <w:rFonts w:ascii="Arial" w:eastAsia="Times New Roman" w:hAnsi="Arial" w:cs="Arial"/>
          <w:b/>
          <w:i/>
          <w:sz w:val="20"/>
          <w:szCs w:val="20"/>
          <w:lang w:eastAsia="fr-FR"/>
        </w:rPr>
        <w:t> 3</w:t>
      </w:r>
      <w:r w:rsidRPr="00D950CC">
        <w:rPr>
          <w:rFonts w:ascii="Arial" w:eastAsia="Times New Roman" w:hAnsi="Arial" w:cs="Arial"/>
          <w:b/>
          <w:i/>
          <w:sz w:val="20"/>
          <w:szCs w:val="20"/>
          <w:lang w:eastAsia="fr-FR"/>
        </w:rPr>
        <w:t>. Coopération avec l’OCDE (Organisation de Coopération et de Développement Economiques)</w:t>
      </w:r>
    </w:p>
    <w:p w14:paraId="4E8E231B" w14:textId="77777777" w:rsidR="00C0060D" w:rsidRDefault="00C0060D" w:rsidP="00C0060D">
      <w:pPr>
        <w:tabs>
          <w:tab w:val="num" w:pos="0"/>
        </w:tabs>
        <w:spacing w:after="0" w:line="240" w:lineRule="auto"/>
        <w:jc w:val="both"/>
        <w:rPr>
          <w:rFonts w:ascii="Arial" w:eastAsia="Times New Roman" w:hAnsi="Arial" w:cs="Arial"/>
          <w:b/>
          <w:i/>
          <w:sz w:val="20"/>
          <w:szCs w:val="20"/>
          <w:lang w:eastAsia="fr-FR"/>
        </w:rPr>
      </w:pPr>
    </w:p>
    <w:p w14:paraId="3DE5B24E" w14:textId="77777777" w:rsidR="00C0060D" w:rsidRPr="00B9212B" w:rsidRDefault="00C0060D" w:rsidP="00C0060D">
      <w:pPr>
        <w:pStyle w:val="ListParagraph"/>
        <w:numPr>
          <w:ilvl w:val="0"/>
          <w:numId w:val="1"/>
        </w:numPr>
        <w:spacing w:after="0" w:line="240" w:lineRule="auto"/>
        <w:ind w:hanging="720"/>
        <w:jc w:val="both"/>
        <w:rPr>
          <w:rFonts w:ascii="Arial" w:eastAsia="Times New Roman" w:hAnsi="Arial" w:cs="Arial"/>
          <w:b/>
          <w:i/>
          <w:sz w:val="20"/>
          <w:szCs w:val="20"/>
          <w:lang w:eastAsia="fr-FR"/>
        </w:rPr>
      </w:pPr>
      <w:r w:rsidRPr="00134BEF">
        <w:rPr>
          <w:rFonts w:ascii="Arial" w:hAnsi="Arial" w:cs="Arial"/>
          <w:color w:val="000000"/>
          <w:sz w:val="20"/>
          <w:szCs w:val="20"/>
        </w:rPr>
        <w:t xml:space="preserve">L'OCDE accorde une importance particulière aux travaux de la CEPEJ pour évaluer la situation au sein des systèmes judiciaires dans ses États membres européens, et la méthodologie de la CEPEJ pour éventuellement étendre cette évaluation à des membres non européens. L’OCDE participe régulièrement aux travaux et réunions pertinentes de la CEPEJ. </w:t>
      </w:r>
    </w:p>
    <w:p w14:paraId="2FF62F9B" w14:textId="77777777" w:rsidR="00C0060D" w:rsidRDefault="00C0060D" w:rsidP="00C0060D">
      <w:pPr>
        <w:tabs>
          <w:tab w:val="num" w:pos="0"/>
        </w:tabs>
        <w:spacing w:after="0" w:line="240" w:lineRule="auto"/>
        <w:jc w:val="both"/>
        <w:rPr>
          <w:rFonts w:ascii="Arial" w:eastAsia="Times New Roman" w:hAnsi="Arial" w:cs="Arial"/>
          <w:b/>
          <w:i/>
          <w:sz w:val="20"/>
          <w:szCs w:val="20"/>
          <w:lang w:eastAsia="fr-FR"/>
        </w:rPr>
      </w:pPr>
    </w:p>
    <w:p w14:paraId="128D1BE9" w14:textId="77777777" w:rsidR="00C0060D" w:rsidRDefault="00C0060D" w:rsidP="00C0060D">
      <w:pPr>
        <w:spacing w:after="0" w:line="240" w:lineRule="auto"/>
        <w:jc w:val="both"/>
        <w:rPr>
          <w:rFonts w:ascii="Arial" w:hAnsi="Arial" w:cs="Arial"/>
          <w:b/>
          <w:i/>
          <w:sz w:val="20"/>
          <w:szCs w:val="20"/>
        </w:rPr>
      </w:pPr>
      <w:r w:rsidRPr="00D950CC">
        <w:rPr>
          <w:rFonts w:ascii="Arial" w:hAnsi="Arial" w:cs="Arial"/>
          <w:b/>
          <w:i/>
          <w:sz w:val="20"/>
          <w:szCs w:val="20"/>
        </w:rPr>
        <w:t xml:space="preserve">2.2. </w:t>
      </w:r>
      <w:r w:rsidRPr="00D950CC">
        <w:rPr>
          <w:rFonts w:ascii="Arial" w:hAnsi="Arial" w:cs="Arial"/>
          <w:b/>
          <w:i/>
          <w:sz w:val="20"/>
          <w:szCs w:val="20"/>
        </w:rPr>
        <w:tab/>
        <w:t>Optimiser la gestion du temps judiciaire</w:t>
      </w:r>
    </w:p>
    <w:p w14:paraId="4A7481E0" w14:textId="77777777" w:rsidR="00C0060D" w:rsidRDefault="00C0060D" w:rsidP="00C0060D">
      <w:pPr>
        <w:spacing w:after="0" w:line="240" w:lineRule="auto"/>
        <w:jc w:val="both"/>
        <w:rPr>
          <w:rFonts w:ascii="Arial" w:hAnsi="Arial" w:cs="Arial"/>
          <w:b/>
          <w:i/>
          <w:sz w:val="20"/>
          <w:szCs w:val="20"/>
        </w:rPr>
      </w:pPr>
    </w:p>
    <w:p w14:paraId="72A74C1C" w14:textId="77777777" w:rsidR="00C0060D" w:rsidRPr="00D36348" w:rsidRDefault="00C0060D" w:rsidP="00C0060D">
      <w:pPr>
        <w:pStyle w:val="ListParagraph"/>
        <w:numPr>
          <w:ilvl w:val="0"/>
          <w:numId w:val="1"/>
        </w:numPr>
        <w:spacing w:line="240" w:lineRule="auto"/>
        <w:ind w:hanging="720"/>
        <w:jc w:val="both"/>
        <w:rPr>
          <w:rFonts w:ascii="Arial" w:eastAsia="Times New Roman" w:hAnsi="Arial" w:cs="Arial"/>
          <w:b/>
          <w:i/>
          <w:sz w:val="20"/>
          <w:szCs w:val="20"/>
          <w:lang w:eastAsia="fr-FR"/>
        </w:rPr>
      </w:pPr>
      <w:r w:rsidRPr="00B9212B">
        <w:rPr>
          <w:rFonts w:ascii="Arial" w:hAnsi="Arial" w:cs="Arial"/>
          <w:bCs/>
          <w:iCs/>
          <w:sz w:val="20"/>
          <w:szCs w:val="20"/>
        </w:rPr>
        <w:t xml:space="preserve">Le </w:t>
      </w:r>
      <w:r>
        <w:rPr>
          <w:rFonts w:ascii="Arial" w:hAnsi="Arial" w:cs="Arial"/>
          <w:bCs/>
          <w:iCs/>
          <w:sz w:val="20"/>
          <w:szCs w:val="20"/>
        </w:rPr>
        <w:t>G</w:t>
      </w:r>
      <w:r w:rsidRPr="00B9212B">
        <w:rPr>
          <w:rFonts w:ascii="Arial" w:hAnsi="Arial" w:cs="Arial"/>
          <w:bCs/>
          <w:iCs/>
          <w:sz w:val="20"/>
          <w:szCs w:val="20"/>
        </w:rPr>
        <w:t xml:space="preserve">roupe de travail </w:t>
      </w:r>
      <w:r>
        <w:rPr>
          <w:rFonts w:ascii="Arial" w:hAnsi="Arial" w:cs="Arial"/>
          <w:bCs/>
          <w:iCs/>
          <w:sz w:val="20"/>
          <w:szCs w:val="20"/>
        </w:rPr>
        <w:t>SATURN de la CEPEJ</w:t>
      </w:r>
      <w:r w:rsidRPr="00B9212B">
        <w:rPr>
          <w:rFonts w:ascii="Arial" w:hAnsi="Arial" w:cs="Arial"/>
          <w:bCs/>
          <w:iCs/>
          <w:sz w:val="20"/>
          <w:szCs w:val="20"/>
        </w:rPr>
        <w:t xml:space="preserve"> a poursuivi ses travaux pour </w:t>
      </w:r>
      <w:r>
        <w:rPr>
          <w:rFonts w:ascii="Arial" w:hAnsi="Arial" w:cs="Arial"/>
          <w:bCs/>
          <w:iCs/>
          <w:sz w:val="20"/>
          <w:szCs w:val="20"/>
        </w:rPr>
        <w:t>mettre au point</w:t>
      </w:r>
      <w:r w:rsidRPr="00B9212B">
        <w:rPr>
          <w:rFonts w:ascii="Arial" w:hAnsi="Arial" w:cs="Arial"/>
          <w:bCs/>
          <w:iCs/>
          <w:sz w:val="20"/>
          <w:szCs w:val="20"/>
        </w:rPr>
        <w:t xml:space="preserve"> des outils pertinents sur la gestion du temps judiciaire</w:t>
      </w:r>
      <w:r>
        <w:rPr>
          <w:rFonts w:ascii="Arial" w:hAnsi="Arial" w:cs="Arial"/>
          <w:bCs/>
          <w:iCs/>
          <w:sz w:val="20"/>
          <w:szCs w:val="20"/>
        </w:rPr>
        <w:t xml:space="preserve"> et la connaissance des délais judiciaires, en s’appuyant sur l’expertise du Réseau des tribunaux-référents de la CEPEJ</w:t>
      </w:r>
      <w:r w:rsidRPr="00B9212B">
        <w:rPr>
          <w:rFonts w:ascii="Arial" w:hAnsi="Arial" w:cs="Arial"/>
          <w:bCs/>
          <w:iCs/>
          <w:sz w:val="20"/>
          <w:szCs w:val="20"/>
        </w:rPr>
        <w:t>.</w:t>
      </w:r>
    </w:p>
    <w:p w14:paraId="171FB0EE" w14:textId="77777777" w:rsidR="00C0060D" w:rsidRPr="00B9212B" w:rsidRDefault="00C0060D" w:rsidP="00C0060D">
      <w:pPr>
        <w:pStyle w:val="ListParagraph"/>
        <w:spacing w:after="0" w:line="240" w:lineRule="auto"/>
        <w:jc w:val="both"/>
        <w:rPr>
          <w:rFonts w:ascii="Arial" w:eastAsia="Times New Roman" w:hAnsi="Arial" w:cs="Arial"/>
          <w:b/>
          <w:i/>
          <w:sz w:val="20"/>
          <w:szCs w:val="20"/>
          <w:lang w:eastAsia="fr-FR"/>
        </w:rPr>
      </w:pPr>
    </w:p>
    <w:p w14:paraId="35D35D86" w14:textId="77777777" w:rsidR="00C0060D" w:rsidRPr="00B9212B" w:rsidRDefault="00C0060D" w:rsidP="00C0060D">
      <w:pPr>
        <w:pStyle w:val="ListParagraph"/>
        <w:numPr>
          <w:ilvl w:val="0"/>
          <w:numId w:val="1"/>
        </w:numPr>
        <w:spacing w:line="240" w:lineRule="auto"/>
        <w:ind w:hanging="720"/>
        <w:jc w:val="both"/>
        <w:rPr>
          <w:rFonts w:ascii="Arial" w:eastAsia="Times New Roman" w:hAnsi="Arial" w:cs="Arial"/>
          <w:b/>
          <w:i/>
          <w:sz w:val="20"/>
          <w:szCs w:val="20"/>
          <w:lang w:eastAsia="fr-FR"/>
        </w:rPr>
      </w:pPr>
      <w:r w:rsidRPr="00B9212B">
        <w:rPr>
          <w:rFonts w:ascii="Arial" w:hAnsi="Arial" w:cs="Arial"/>
          <w:bCs/>
          <w:iCs/>
          <w:sz w:val="20"/>
          <w:szCs w:val="20"/>
        </w:rPr>
        <w:t xml:space="preserve"> La CEPEJ a adopté le Manuel sur les tableaux de bord des tribunaux pour aider les tribunaux, leurs gestionnaires et les professionnels de la justice à suivre et analyser l’</w:t>
      </w:r>
      <w:r>
        <w:rPr>
          <w:rFonts w:ascii="Arial" w:hAnsi="Arial" w:cs="Arial"/>
          <w:bCs/>
          <w:iCs/>
          <w:sz w:val="20"/>
          <w:szCs w:val="20"/>
        </w:rPr>
        <w:t>activité et l’</w:t>
      </w:r>
      <w:r w:rsidRPr="00B9212B">
        <w:rPr>
          <w:rFonts w:ascii="Arial" w:hAnsi="Arial" w:cs="Arial"/>
          <w:bCs/>
          <w:iCs/>
          <w:sz w:val="20"/>
          <w:szCs w:val="20"/>
        </w:rPr>
        <w:t>efficacité des tribunaux en donnant une image globale de leurs performances. Le manuel fournit des directives pratiques</w:t>
      </w:r>
      <w:r>
        <w:rPr>
          <w:rFonts w:ascii="Arial" w:hAnsi="Arial" w:cs="Arial"/>
          <w:bCs/>
          <w:iCs/>
          <w:sz w:val="20"/>
          <w:szCs w:val="20"/>
        </w:rPr>
        <w:t>,</w:t>
      </w:r>
      <w:r w:rsidRPr="00B9212B">
        <w:rPr>
          <w:rFonts w:ascii="Arial" w:hAnsi="Arial" w:cs="Arial"/>
          <w:bCs/>
          <w:iCs/>
          <w:sz w:val="20"/>
          <w:szCs w:val="20"/>
        </w:rPr>
        <w:t xml:space="preserve"> étape par étape</w:t>
      </w:r>
      <w:r>
        <w:rPr>
          <w:rFonts w:ascii="Arial" w:hAnsi="Arial" w:cs="Arial"/>
          <w:bCs/>
          <w:iCs/>
          <w:sz w:val="20"/>
          <w:szCs w:val="20"/>
        </w:rPr>
        <w:t>,</w:t>
      </w:r>
      <w:r w:rsidRPr="00B9212B">
        <w:rPr>
          <w:rFonts w:ascii="Arial" w:hAnsi="Arial" w:cs="Arial"/>
          <w:bCs/>
          <w:iCs/>
          <w:sz w:val="20"/>
          <w:szCs w:val="20"/>
        </w:rPr>
        <w:t xml:space="preserve"> sur la façon de développer des tableaux de bord complets </w:t>
      </w:r>
      <w:r>
        <w:rPr>
          <w:rFonts w:ascii="Arial" w:hAnsi="Arial" w:cs="Arial"/>
          <w:bCs/>
          <w:iCs/>
          <w:sz w:val="20"/>
          <w:szCs w:val="20"/>
        </w:rPr>
        <w:t>concernant</w:t>
      </w:r>
      <w:r w:rsidRPr="00B9212B">
        <w:rPr>
          <w:rFonts w:ascii="Arial" w:hAnsi="Arial" w:cs="Arial"/>
          <w:bCs/>
          <w:iCs/>
          <w:sz w:val="20"/>
          <w:szCs w:val="20"/>
        </w:rPr>
        <w:t xml:space="preserve"> </w:t>
      </w:r>
      <w:r>
        <w:rPr>
          <w:rFonts w:ascii="Arial" w:hAnsi="Arial" w:cs="Arial"/>
          <w:bCs/>
          <w:iCs/>
          <w:sz w:val="20"/>
          <w:szCs w:val="20"/>
        </w:rPr>
        <w:t>l</w:t>
      </w:r>
      <w:r w:rsidRPr="00B9212B">
        <w:rPr>
          <w:rFonts w:ascii="Arial" w:hAnsi="Arial" w:cs="Arial"/>
          <w:bCs/>
          <w:iCs/>
          <w:sz w:val="20"/>
          <w:szCs w:val="20"/>
        </w:rPr>
        <w:t xml:space="preserve">es tribunaux et </w:t>
      </w:r>
      <w:r>
        <w:rPr>
          <w:rFonts w:ascii="Arial" w:hAnsi="Arial" w:cs="Arial"/>
          <w:bCs/>
          <w:iCs/>
          <w:sz w:val="20"/>
          <w:szCs w:val="20"/>
        </w:rPr>
        <w:t>l</w:t>
      </w:r>
      <w:r w:rsidRPr="00B9212B">
        <w:rPr>
          <w:rFonts w:ascii="Arial" w:hAnsi="Arial" w:cs="Arial"/>
          <w:bCs/>
          <w:iCs/>
          <w:sz w:val="20"/>
          <w:szCs w:val="20"/>
        </w:rPr>
        <w:t xml:space="preserve">es juges. Il couvre le processus de conception du tableau de bord, y compris son contenu, la visualisation des données et les exigences techniques. </w:t>
      </w:r>
    </w:p>
    <w:p w14:paraId="08B7A6F7" w14:textId="77777777" w:rsidR="00C0060D" w:rsidRPr="00B9212B" w:rsidRDefault="00C0060D" w:rsidP="00C0060D">
      <w:pPr>
        <w:pStyle w:val="ListParagraph"/>
        <w:spacing w:after="0" w:line="240" w:lineRule="auto"/>
        <w:jc w:val="both"/>
        <w:rPr>
          <w:rFonts w:ascii="Arial" w:eastAsia="Times New Roman" w:hAnsi="Arial" w:cs="Arial"/>
          <w:b/>
          <w:i/>
          <w:sz w:val="20"/>
          <w:szCs w:val="20"/>
          <w:lang w:eastAsia="fr-FR"/>
        </w:rPr>
      </w:pPr>
    </w:p>
    <w:p w14:paraId="088CF793" w14:textId="77777777" w:rsidR="00C0060D" w:rsidRPr="00B9212B" w:rsidRDefault="00C0060D" w:rsidP="00C0060D">
      <w:pPr>
        <w:pStyle w:val="ListParagraph"/>
        <w:numPr>
          <w:ilvl w:val="0"/>
          <w:numId w:val="1"/>
        </w:numPr>
        <w:spacing w:line="240" w:lineRule="auto"/>
        <w:ind w:hanging="720"/>
        <w:jc w:val="both"/>
        <w:rPr>
          <w:rFonts w:ascii="Arial" w:eastAsia="Times New Roman" w:hAnsi="Arial" w:cs="Arial"/>
          <w:b/>
          <w:i/>
          <w:sz w:val="20"/>
          <w:szCs w:val="20"/>
          <w:lang w:eastAsia="fr-FR"/>
        </w:rPr>
      </w:pPr>
      <w:r w:rsidRPr="00B9212B">
        <w:rPr>
          <w:rFonts w:ascii="Arial" w:hAnsi="Arial" w:cs="Arial"/>
          <w:color w:val="161616"/>
          <w:sz w:val="20"/>
          <w:szCs w:val="20"/>
          <w:shd w:val="clear" w:color="auto" w:fill="FFFFFF"/>
        </w:rPr>
        <w:t xml:space="preserve">La CEPEJ a adopté </w:t>
      </w:r>
      <w:r>
        <w:rPr>
          <w:rFonts w:ascii="Arial" w:hAnsi="Arial" w:cs="Arial"/>
          <w:color w:val="161616"/>
          <w:sz w:val="20"/>
          <w:szCs w:val="20"/>
          <w:shd w:val="clear" w:color="auto" w:fill="FFFFFF"/>
        </w:rPr>
        <w:t>d</w:t>
      </w:r>
      <w:r w:rsidRPr="00B9212B">
        <w:rPr>
          <w:rFonts w:ascii="Arial" w:hAnsi="Arial" w:cs="Arial"/>
          <w:color w:val="161616"/>
          <w:sz w:val="20"/>
          <w:szCs w:val="20"/>
          <w:shd w:val="clear" w:color="auto" w:fill="FFFFFF"/>
        </w:rPr>
        <w:t>es Lignes directrices SATURN révisées pour la gestion du temps judiciaires (4</w:t>
      </w:r>
      <w:r w:rsidRPr="00B9212B">
        <w:rPr>
          <w:rFonts w:ascii="Arial" w:hAnsi="Arial" w:cs="Arial"/>
          <w:color w:val="161616"/>
          <w:sz w:val="20"/>
          <w:szCs w:val="20"/>
          <w:shd w:val="clear" w:color="auto" w:fill="FFFFFF"/>
          <w:vertAlign w:val="superscript"/>
        </w:rPr>
        <w:t>e</w:t>
      </w:r>
      <w:r w:rsidRPr="00B9212B">
        <w:rPr>
          <w:rFonts w:ascii="Arial" w:hAnsi="Arial" w:cs="Arial"/>
          <w:color w:val="161616"/>
          <w:sz w:val="20"/>
          <w:szCs w:val="20"/>
          <w:shd w:val="clear" w:color="auto" w:fill="FFFFFF"/>
        </w:rPr>
        <w:t xml:space="preserve"> révision). Le document a été complété par les lignes directrices pour le personnel non judiciaire, les avocats, les experts, les agents d’exécution et les </w:t>
      </w:r>
      <w:proofErr w:type="spellStart"/>
      <w:r w:rsidRPr="00B9212B">
        <w:rPr>
          <w:rFonts w:ascii="Arial" w:hAnsi="Arial" w:cs="Arial"/>
          <w:color w:val="161616"/>
          <w:sz w:val="20"/>
          <w:szCs w:val="20"/>
          <w:shd w:val="clear" w:color="auto" w:fill="FFFFFF"/>
        </w:rPr>
        <w:t>Rechtspfleger</w:t>
      </w:r>
      <w:proofErr w:type="spellEnd"/>
      <w:r w:rsidRPr="00B9212B">
        <w:rPr>
          <w:rFonts w:ascii="Arial" w:hAnsi="Arial" w:cs="Arial"/>
          <w:color w:val="161616"/>
          <w:sz w:val="20"/>
          <w:szCs w:val="20"/>
          <w:shd w:val="clear" w:color="auto" w:fill="FFFFFF"/>
        </w:rPr>
        <w:t xml:space="preserve">. Les lignes directrices fournissent les principales mesures pour accélérer les procédures judiciaires tout en gardant à l’esprit les compétences spécifiques et les normes éthiques de chaque groupe professionnel. </w:t>
      </w:r>
      <w:r>
        <w:rPr>
          <w:rFonts w:ascii="Arial" w:hAnsi="Arial" w:cs="Arial"/>
          <w:color w:val="161616"/>
          <w:sz w:val="20"/>
          <w:szCs w:val="20"/>
          <w:shd w:val="clear" w:color="auto" w:fill="FFFFFF"/>
        </w:rPr>
        <w:t>Elles</w:t>
      </w:r>
      <w:r w:rsidRPr="00B9212B">
        <w:rPr>
          <w:rFonts w:ascii="Arial" w:hAnsi="Arial" w:cs="Arial"/>
          <w:color w:val="161616"/>
          <w:sz w:val="20"/>
          <w:szCs w:val="20"/>
          <w:shd w:val="clear" w:color="auto" w:fill="FFFFFF"/>
        </w:rPr>
        <w:t xml:space="preserve"> ont été élaboré</w:t>
      </w:r>
      <w:r>
        <w:rPr>
          <w:rFonts w:ascii="Arial" w:hAnsi="Arial" w:cs="Arial"/>
          <w:color w:val="161616"/>
          <w:sz w:val="20"/>
          <w:szCs w:val="20"/>
          <w:shd w:val="clear" w:color="auto" w:fill="FFFFFF"/>
        </w:rPr>
        <w:t>e</w:t>
      </w:r>
      <w:r w:rsidRPr="00B9212B">
        <w:rPr>
          <w:rFonts w:ascii="Arial" w:hAnsi="Arial" w:cs="Arial"/>
          <w:color w:val="161616"/>
          <w:sz w:val="20"/>
          <w:szCs w:val="20"/>
          <w:shd w:val="clear" w:color="auto" w:fill="FFFFFF"/>
        </w:rPr>
        <w:t xml:space="preserve">s conjointement avec le Conseil des barreaux européens (CCBE), l’Institut européen de l’expertise et de l’expertise (IEEE), l’Union européenne des </w:t>
      </w:r>
      <w:proofErr w:type="spellStart"/>
      <w:r w:rsidRPr="00B9212B">
        <w:rPr>
          <w:rFonts w:ascii="Arial" w:hAnsi="Arial" w:cs="Arial"/>
          <w:color w:val="161616"/>
          <w:sz w:val="20"/>
          <w:szCs w:val="20"/>
          <w:shd w:val="clear" w:color="auto" w:fill="FFFFFF"/>
        </w:rPr>
        <w:t>Rechtspfleger</w:t>
      </w:r>
      <w:proofErr w:type="spellEnd"/>
      <w:r w:rsidRPr="00B9212B">
        <w:rPr>
          <w:rFonts w:ascii="Arial" w:hAnsi="Arial" w:cs="Arial"/>
          <w:color w:val="161616"/>
          <w:sz w:val="20"/>
          <w:szCs w:val="20"/>
          <w:shd w:val="clear" w:color="auto" w:fill="FFFFFF"/>
        </w:rPr>
        <w:t xml:space="preserve"> (EUR) et l’Union international des huissiers de justice (UIHJ). </w:t>
      </w:r>
    </w:p>
    <w:p w14:paraId="23026B77" w14:textId="77777777" w:rsidR="00C0060D" w:rsidRPr="00B9212B" w:rsidRDefault="00C0060D" w:rsidP="00C0060D">
      <w:pPr>
        <w:pStyle w:val="ListParagraph"/>
        <w:spacing w:after="0" w:line="240" w:lineRule="auto"/>
        <w:jc w:val="both"/>
        <w:rPr>
          <w:rFonts w:ascii="Arial" w:eastAsia="Times New Roman" w:hAnsi="Arial" w:cs="Arial"/>
          <w:b/>
          <w:i/>
          <w:sz w:val="20"/>
          <w:szCs w:val="20"/>
          <w:lang w:eastAsia="fr-FR"/>
        </w:rPr>
      </w:pPr>
    </w:p>
    <w:p w14:paraId="2EE17C63" w14:textId="77777777" w:rsidR="00C0060D" w:rsidRPr="00B9212B" w:rsidRDefault="00C0060D" w:rsidP="00C0060D">
      <w:pPr>
        <w:pStyle w:val="ListParagraph"/>
        <w:numPr>
          <w:ilvl w:val="0"/>
          <w:numId w:val="1"/>
        </w:numPr>
        <w:spacing w:line="240" w:lineRule="auto"/>
        <w:ind w:hanging="720"/>
        <w:jc w:val="both"/>
        <w:rPr>
          <w:rFonts w:ascii="Arial" w:eastAsia="Times New Roman" w:hAnsi="Arial" w:cs="Arial"/>
          <w:b/>
          <w:i/>
          <w:sz w:val="20"/>
          <w:szCs w:val="20"/>
          <w:lang w:eastAsia="fr-FR"/>
        </w:rPr>
      </w:pPr>
      <w:r w:rsidRPr="00B9212B">
        <w:rPr>
          <w:rFonts w:ascii="Arial" w:hAnsi="Arial" w:cs="Arial"/>
          <w:color w:val="161616"/>
          <w:sz w:val="20"/>
          <w:szCs w:val="20"/>
          <w:shd w:val="clear" w:color="auto" w:fill="FFFFFF"/>
        </w:rPr>
        <w:t xml:space="preserve"> Le CEPEJ-SATURN a préparé un rapport sur les expériences des tribunaux en matière de gestion du temps judiciaire en temps de crise sanitaire</w:t>
      </w:r>
      <w:r>
        <w:rPr>
          <w:rFonts w:ascii="Arial" w:hAnsi="Arial" w:cs="Arial"/>
          <w:color w:val="161616"/>
          <w:sz w:val="20"/>
          <w:szCs w:val="20"/>
          <w:shd w:val="clear" w:color="auto" w:fill="FFFFFF"/>
        </w:rPr>
        <w:t>,</w:t>
      </w:r>
      <w:r w:rsidRPr="00B9212B">
        <w:rPr>
          <w:rFonts w:ascii="Arial" w:hAnsi="Arial" w:cs="Arial"/>
          <w:color w:val="161616"/>
          <w:sz w:val="20"/>
          <w:szCs w:val="20"/>
          <w:shd w:val="clear" w:color="auto" w:fill="FFFFFF"/>
        </w:rPr>
        <w:t xml:space="preserve"> en s’appuyant sur les informations fournies par le Réseau des tribunaux pilotes de la CEPEJ. Le rapport complète les informations recueillies par la CEPEJ auprès de ses membres sur le blog mis en place en mars 2020 et la Déclaration de la CEPEJ sur les leçons apprises et les défis pour les systèmes judiciaires pendant et après la pandémie de COVID-19 adoptée le 10 juin 2020. </w:t>
      </w:r>
    </w:p>
    <w:p w14:paraId="1B6DB8BC" w14:textId="77777777" w:rsidR="00C0060D" w:rsidRPr="00B9212B" w:rsidRDefault="00C0060D" w:rsidP="00C0060D">
      <w:pPr>
        <w:pStyle w:val="ListParagraph"/>
        <w:spacing w:after="0" w:line="240" w:lineRule="auto"/>
        <w:jc w:val="both"/>
        <w:rPr>
          <w:rFonts w:ascii="Arial" w:eastAsia="Times New Roman" w:hAnsi="Arial" w:cs="Arial"/>
          <w:b/>
          <w:i/>
          <w:sz w:val="20"/>
          <w:szCs w:val="20"/>
          <w:lang w:eastAsia="fr-FR"/>
        </w:rPr>
      </w:pPr>
    </w:p>
    <w:p w14:paraId="5B54C4CF" w14:textId="77777777" w:rsidR="00C0060D" w:rsidRPr="00B9212B" w:rsidRDefault="00C0060D" w:rsidP="00C0060D">
      <w:pPr>
        <w:pStyle w:val="ListParagraph"/>
        <w:numPr>
          <w:ilvl w:val="0"/>
          <w:numId w:val="1"/>
        </w:numPr>
        <w:spacing w:line="240" w:lineRule="auto"/>
        <w:ind w:hanging="720"/>
        <w:jc w:val="both"/>
        <w:rPr>
          <w:rFonts w:ascii="Arial" w:eastAsia="Times New Roman" w:hAnsi="Arial" w:cs="Arial"/>
          <w:b/>
          <w:i/>
          <w:sz w:val="20"/>
          <w:szCs w:val="20"/>
          <w:lang w:eastAsia="fr-FR"/>
        </w:rPr>
      </w:pPr>
      <w:r w:rsidRPr="00B9212B">
        <w:rPr>
          <w:rFonts w:ascii="Arial" w:hAnsi="Arial" w:cs="Arial"/>
          <w:color w:val="161616"/>
          <w:sz w:val="20"/>
          <w:szCs w:val="20"/>
        </w:rPr>
        <w:t xml:space="preserve"> Le CEPEJ-SATURN a également poursuivi ses travaux sur un outil permettant de mieux analyser les différents délais selon les différentes étapes de la procédure civile. Il a élaboré un </w:t>
      </w:r>
      <w:r w:rsidRPr="00B9212B">
        <w:rPr>
          <w:rFonts w:ascii="Arial" w:hAnsi="Arial" w:cs="Arial"/>
          <w:color w:val="161616"/>
          <w:sz w:val="20"/>
          <w:szCs w:val="20"/>
        </w:rPr>
        <w:lastRenderedPageBreak/>
        <w:t xml:space="preserve">questionnaire en vue d’identifier le </w:t>
      </w:r>
      <w:r>
        <w:rPr>
          <w:rFonts w:ascii="Arial" w:hAnsi="Arial" w:cs="Arial"/>
          <w:color w:val="161616"/>
          <w:sz w:val="20"/>
          <w:szCs w:val="20"/>
        </w:rPr>
        <w:t xml:space="preserve">temps prévu dans la règlementation </w:t>
      </w:r>
      <w:r w:rsidRPr="00B9212B">
        <w:rPr>
          <w:rFonts w:ascii="Arial" w:hAnsi="Arial" w:cs="Arial"/>
          <w:color w:val="161616"/>
          <w:sz w:val="20"/>
          <w:szCs w:val="20"/>
        </w:rPr>
        <w:t xml:space="preserve">pour </w:t>
      </w:r>
      <w:r>
        <w:rPr>
          <w:rFonts w:ascii="Arial" w:hAnsi="Arial" w:cs="Arial"/>
          <w:color w:val="161616"/>
          <w:sz w:val="20"/>
          <w:szCs w:val="20"/>
        </w:rPr>
        <w:t>chaque é</w:t>
      </w:r>
      <w:r w:rsidRPr="00B9212B">
        <w:rPr>
          <w:rFonts w:ascii="Arial" w:hAnsi="Arial" w:cs="Arial"/>
          <w:color w:val="161616"/>
          <w:sz w:val="20"/>
          <w:szCs w:val="20"/>
        </w:rPr>
        <w:t xml:space="preserve">tape d’une procédure civile ordinaire, </w:t>
      </w:r>
      <w:r>
        <w:rPr>
          <w:rFonts w:ascii="Arial" w:hAnsi="Arial" w:cs="Arial"/>
          <w:color w:val="161616"/>
          <w:sz w:val="20"/>
          <w:szCs w:val="20"/>
        </w:rPr>
        <w:t>la</w:t>
      </w:r>
      <w:r w:rsidRPr="00B9212B">
        <w:rPr>
          <w:rFonts w:ascii="Arial" w:hAnsi="Arial" w:cs="Arial"/>
          <w:color w:val="161616"/>
          <w:sz w:val="20"/>
          <w:szCs w:val="20"/>
        </w:rPr>
        <w:t xml:space="preserve"> durée estimée dans la pratique et </w:t>
      </w:r>
      <w:r>
        <w:rPr>
          <w:rFonts w:ascii="Arial" w:hAnsi="Arial" w:cs="Arial"/>
          <w:color w:val="161616"/>
          <w:sz w:val="20"/>
          <w:szCs w:val="20"/>
        </w:rPr>
        <w:t>les raisons expliquant la différence entre ces deux délais</w:t>
      </w:r>
      <w:r w:rsidRPr="00B9212B">
        <w:rPr>
          <w:rFonts w:ascii="Arial" w:hAnsi="Arial" w:cs="Arial"/>
          <w:color w:val="161616"/>
          <w:sz w:val="20"/>
          <w:szCs w:val="20"/>
        </w:rPr>
        <w:t>. L’objectif global de cette action est de détecter les retards des procédures civiles et d’identifier les causes de leur survenance.</w:t>
      </w:r>
    </w:p>
    <w:p w14:paraId="5E0F2219" w14:textId="77777777" w:rsidR="00C0060D" w:rsidRPr="00B9212B" w:rsidRDefault="00C0060D" w:rsidP="00C0060D">
      <w:pPr>
        <w:pStyle w:val="ListParagraph"/>
        <w:spacing w:line="240" w:lineRule="auto"/>
        <w:rPr>
          <w:rFonts w:ascii="Arial" w:hAnsi="Arial" w:cs="Arial"/>
          <w:color w:val="161616"/>
          <w:sz w:val="20"/>
          <w:szCs w:val="20"/>
          <w:shd w:val="clear" w:color="auto" w:fill="FFFFFF"/>
        </w:rPr>
      </w:pPr>
    </w:p>
    <w:p w14:paraId="059BFE50" w14:textId="77777777" w:rsidR="00C0060D" w:rsidRPr="00F20E56" w:rsidRDefault="00C0060D" w:rsidP="00C0060D">
      <w:pPr>
        <w:pStyle w:val="ListParagraph"/>
        <w:numPr>
          <w:ilvl w:val="0"/>
          <w:numId w:val="1"/>
        </w:numPr>
        <w:spacing w:after="0" w:line="240" w:lineRule="auto"/>
        <w:ind w:hanging="720"/>
        <w:jc w:val="both"/>
        <w:rPr>
          <w:rFonts w:ascii="Arial" w:eastAsia="Times New Roman" w:hAnsi="Arial" w:cs="Arial"/>
          <w:b/>
          <w:i/>
          <w:sz w:val="20"/>
          <w:szCs w:val="20"/>
          <w:lang w:eastAsia="fr-FR"/>
        </w:rPr>
      </w:pPr>
      <w:r w:rsidRPr="00B9212B">
        <w:rPr>
          <w:rFonts w:ascii="Arial" w:hAnsi="Arial" w:cs="Arial"/>
          <w:color w:val="161616"/>
          <w:sz w:val="20"/>
          <w:szCs w:val="20"/>
          <w:shd w:val="clear" w:color="auto" w:fill="FFFFFF"/>
        </w:rPr>
        <w:t xml:space="preserve"> Les membres et experts scientifiques du CEPEJ-SATURN</w:t>
      </w:r>
      <w:r>
        <w:rPr>
          <w:rFonts w:ascii="Arial" w:hAnsi="Arial" w:cs="Arial"/>
          <w:color w:val="161616"/>
          <w:sz w:val="20"/>
          <w:szCs w:val="20"/>
          <w:shd w:val="clear" w:color="auto" w:fill="FFFFFF"/>
        </w:rPr>
        <w:t xml:space="preserve"> </w:t>
      </w:r>
      <w:r w:rsidRPr="00B9212B">
        <w:rPr>
          <w:rFonts w:ascii="Arial" w:hAnsi="Arial" w:cs="Arial"/>
          <w:color w:val="161616"/>
          <w:sz w:val="20"/>
          <w:szCs w:val="20"/>
          <w:shd w:val="clear" w:color="auto" w:fill="FFFFFF"/>
        </w:rPr>
        <w:t xml:space="preserve">ont participé à plusieurs réunions (en ligne) en 2021 pour promouvoir les outils sur le temps judiciaire et la gestion des tribunaux. A titre d’exemple, on peut citer la réunion pour présenter au ministère de la Justice et </w:t>
      </w:r>
      <w:r>
        <w:rPr>
          <w:rFonts w:ascii="Arial" w:hAnsi="Arial" w:cs="Arial"/>
          <w:color w:val="161616"/>
          <w:sz w:val="20"/>
          <w:szCs w:val="20"/>
          <w:shd w:val="clear" w:color="auto" w:fill="FFFFFF"/>
        </w:rPr>
        <w:t xml:space="preserve">à des magistrats français </w:t>
      </w:r>
      <w:r w:rsidRPr="00B9212B">
        <w:rPr>
          <w:rFonts w:ascii="Arial" w:hAnsi="Arial" w:cs="Arial"/>
          <w:color w:val="161616"/>
          <w:sz w:val="20"/>
          <w:szCs w:val="20"/>
          <w:shd w:val="clear" w:color="auto" w:fill="FFFFFF"/>
        </w:rPr>
        <w:t>le système de pondération des affaires</w:t>
      </w:r>
      <w:r>
        <w:rPr>
          <w:rFonts w:ascii="Arial" w:hAnsi="Arial" w:cs="Arial"/>
          <w:color w:val="161616"/>
          <w:sz w:val="20"/>
          <w:szCs w:val="20"/>
          <w:shd w:val="clear" w:color="auto" w:fill="FFFFFF"/>
        </w:rPr>
        <w:t>, ou encore un sé</w:t>
      </w:r>
      <w:r w:rsidRPr="00B9212B">
        <w:rPr>
          <w:rFonts w:ascii="Arial" w:hAnsi="Arial" w:cs="Arial"/>
          <w:color w:val="161616"/>
          <w:sz w:val="20"/>
          <w:szCs w:val="20"/>
          <w:shd w:val="clear" w:color="auto" w:fill="FFFFFF"/>
        </w:rPr>
        <w:t xml:space="preserve">minaire pour accompagner le ministère de la Justice </w:t>
      </w:r>
      <w:r>
        <w:rPr>
          <w:rFonts w:ascii="Arial" w:hAnsi="Arial" w:cs="Arial"/>
          <w:color w:val="161616"/>
          <w:sz w:val="20"/>
          <w:szCs w:val="20"/>
          <w:shd w:val="clear" w:color="auto" w:fill="FFFFFF"/>
        </w:rPr>
        <w:t>turc</w:t>
      </w:r>
      <w:r w:rsidRPr="00B9212B">
        <w:rPr>
          <w:rFonts w:ascii="Arial" w:hAnsi="Arial" w:cs="Arial"/>
          <w:color w:val="161616"/>
          <w:sz w:val="20"/>
          <w:szCs w:val="20"/>
          <w:shd w:val="clear" w:color="auto" w:fill="FFFFFF"/>
        </w:rPr>
        <w:t xml:space="preserve"> dans sa réflexion sur l’amélioration du système de gestion du temps judiciaire. </w:t>
      </w:r>
    </w:p>
    <w:p w14:paraId="4C7805C0" w14:textId="77777777" w:rsidR="00C0060D" w:rsidRPr="00F20E56" w:rsidRDefault="00C0060D" w:rsidP="00C0060D">
      <w:pPr>
        <w:spacing w:after="0" w:line="240" w:lineRule="auto"/>
        <w:jc w:val="both"/>
        <w:rPr>
          <w:rFonts w:ascii="Arial" w:eastAsia="Times New Roman" w:hAnsi="Arial" w:cs="Arial"/>
          <w:b/>
          <w:i/>
          <w:sz w:val="20"/>
          <w:szCs w:val="20"/>
          <w:lang w:eastAsia="fr-FR"/>
        </w:rPr>
      </w:pPr>
    </w:p>
    <w:p w14:paraId="3381638D" w14:textId="77777777" w:rsidR="00C0060D" w:rsidRPr="006A66B5" w:rsidRDefault="00C0060D" w:rsidP="00C0060D">
      <w:pPr>
        <w:spacing w:after="0" w:line="240" w:lineRule="auto"/>
        <w:jc w:val="both"/>
        <w:rPr>
          <w:rFonts w:ascii="Arial" w:hAnsi="Arial" w:cs="Arial"/>
          <w:b/>
          <w:i/>
          <w:sz w:val="20"/>
          <w:szCs w:val="20"/>
        </w:rPr>
      </w:pPr>
      <w:r>
        <w:rPr>
          <w:rFonts w:ascii="Arial" w:hAnsi="Arial" w:cs="Arial"/>
          <w:b/>
          <w:i/>
          <w:sz w:val="20"/>
          <w:szCs w:val="20"/>
        </w:rPr>
        <w:t>2.3.</w:t>
      </w:r>
      <w:r>
        <w:rPr>
          <w:rFonts w:ascii="Arial" w:hAnsi="Arial" w:cs="Arial"/>
          <w:b/>
          <w:i/>
          <w:sz w:val="20"/>
          <w:szCs w:val="20"/>
        </w:rPr>
        <w:tab/>
      </w:r>
      <w:r w:rsidRPr="006A66B5">
        <w:rPr>
          <w:rFonts w:ascii="Arial" w:hAnsi="Arial" w:cs="Arial"/>
          <w:b/>
          <w:i/>
          <w:sz w:val="20"/>
          <w:szCs w:val="20"/>
        </w:rPr>
        <w:t xml:space="preserve">Promouvoir la qualité de la justice </w:t>
      </w:r>
    </w:p>
    <w:p w14:paraId="05D4F909" w14:textId="77777777" w:rsidR="00C0060D" w:rsidRPr="006A66B5" w:rsidRDefault="00C0060D" w:rsidP="00C0060D">
      <w:pPr>
        <w:pStyle w:val="ListParagraph"/>
        <w:spacing w:after="0" w:line="240" w:lineRule="auto"/>
        <w:jc w:val="both"/>
        <w:rPr>
          <w:rFonts w:ascii="Arial" w:hAnsi="Arial" w:cs="Arial"/>
          <w:color w:val="161616"/>
          <w:sz w:val="20"/>
          <w:szCs w:val="20"/>
        </w:rPr>
      </w:pPr>
    </w:p>
    <w:p w14:paraId="56627575" w14:textId="77777777" w:rsidR="00C0060D" w:rsidRPr="00B9212B" w:rsidRDefault="00C0060D" w:rsidP="00C0060D">
      <w:pPr>
        <w:pStyle w:val="ListParagraph"/>
        <w:numPr>
          <w:ilvl w:val="0"/>
          <w:numId w:val="1"/>
        </w:numPr>
        <w:spacing w:after="0" w:line="240" w:lineRule="auto"/>
        <w:ind w:hanging="720"/>
        <w:jc w:val="both"/>
        <w:rPr>
          <w:rFonts w:ascii="Arial" w:eastAsia="Times New Roman" w:hAnsi="Arial" w:cs="Arial"/>
          <w:b/>
          <w:i/>
          <w:sz w:val="20"/>
          <w:szCs w:val="20"/>
          <w:lang w:eastAsia="fr-FR"/>
        </w:rPr>
      </w:pPr>
      <w:r w:rsidRPr="00B9212B">
        <w:rPr>
          <w:rFonts w:ascii="Arial" w:eastAsia="Times New Roman" w:hAnsi="Arial" w:cs="Arial"/>
          <w:bCs/>
          <w:iCs/>
          <w:sz w:val="20"/>
          <w:szCs w:val="20"/>
          <w:lang w:eastAsia="fr-FR"/>
        </w:rPr>
        <w:t xml:space="preserve">Le Groupe de travail sur la qualité de la justice a </w:t>
      </w:r>
      <w:r>
        <w:rPr>
          <w:rFonts w:ascii="Arial" w:eastAsia="Times New Roman" w:hAnsi="Arial" w:cs="Arial"/>
          <w:bCs/>
          <w:iCs/>
          <w:sz w:val="20"/>
          <w:szCs w:val="20"/>
          <w:lang w:eastAsia="fr-FR"/>
        </w:rPr>
        <w:t>préparé</w:t>
      </w:r>
      <w:r w:rsidRPr="00B9212B">
        <w:rPr>
          <w:rFonts w:ascii="Arial" w:hAnsi="Arial" w:cs="Arial"/>
          <w:sz w:val="24"/>
          <w:szCs w:val="24"/>
        </w:rPr>
        <w:t xml:space="preserve"> </w:t>
      </w:r>
      <w:r w:rsidRPr="00B9212B">
        <w:rPr>
          <w:rFonts w:ascii="Arial" w:hAnsi="Arial" w:cs="Arial"/>
          <w:sz w:val="20"/>
          <w:szCs w:val="20"/>
        </w:rPr>
        <w:t>un document « Pour une meilleure intégration de l’usager dans les systèmes judiciaires - Lignes directrices et études comparatives sur la centralité de l’usager dans les procédures judiciaires et sur la simplification et la clarification du langage avec les plaignants</w:t>
      </w:r>
      <w:r>
        <w:rPr>
          <w:rFonts w:ascii="Arial" w:hAnsi="Arial" w:cs="Arial"/>
          <w:sz w:val="20"/>
          <w:szCs w:val="20"/>
        </w:rPr>
        <w:t> »</w:t>
      </w:r>
      <w:r w:rsidRPr="00B9212B">
        <w:rPr>
          <w:rFonts w:ascii="Arial" w:hAnsi="Arial" w:cs="Arial"/>
          <w:sz w:val="20"/>
          <w:szCs w:val="20"/>
        </w:rPr>
        <w:t>.</w:t>
      </w:r>
    </w:p>
    <w:p w14:paraId="1A40E345" w14:textId="77777777" w:rsidR="00C0060D" w:rsidRPr="00B9212B" w:rsidRDefault="00C0060D" w:rsidP="00C0060D">
      <w:pPr>
        <w:pStyle w:val="ListParagraph"/>
        <w:spacing w:after="0" w:line="240" w:lineRule="auto"/>
        <w:jc w:val="both"/>
        <w:rPr>
          <w:rFonts w:ascii="Arial" w:eastAsia="Times New Roman" w:hAnsi="Arial" w:cs="Arial"/>
          <w:b/>
          <w:i/>
          <w:sz w:val="20"/>
          <w:szCs w:val="20"/>
          <w:lang w:eastAsia="fr-FR"/>
        </w:rPr>
      </w:pPr>
    </w:p>
    <w:p w14:paraId="465B98C5" w14:textId="77777777" w:rsidR="00C0060D" w:rsidRPr="00B9212B" w:rsidRDefault="00C0060D" w:rsidP="00C0060D">
      <w:pPr>
        <w:pStyle w:val="ListParagraph"/>
        <w:numPr>
          <w:ilvl w:val="0"/>
          <w:numId w:val="1"/>
        </w:numPr>
        <w:spacing w:line="240" w:lineRule="auto"/>
        <w:ind w:hanging="720"/>
        <w:jc w:val="both"/>
        <w:rPr>
          <w:rFonts w:ascii="Arial" w:eastAsia="Times New Roman" w:hAnsi="Arial" w:cs="Arial"/>
          <w:b/>
          <w:i/>
          <w:sz w:val="20"/>
          <w:szCs w:val="20"/>
          <w:lang w:eastAsia="fr-FR"/>
        </w:rPr>
      </w:pPr>
      <w:r w:rsidRPr="00B9212B">
        <w:rPr>
          <w:rFonts w:ascii="Arial" w:hAnsi="Arial" w:cs="Arial"/>
          <w:sz w:val="20"/>
          <w:szCs w:val="20"/>
        </w:rPr>
        <w:t xml:space="preserve">Il a également </w:t>
      </w:r>
      <w:r>
        <w:rPr>
          <w:rFonts w:ascii="Arial" w:hAnsi="Arial" w:cs="Arial"/>
          <w:sz w:val="20"/>
          <w:szCs w:val="20"/>
        </w:rPr>
        <w:t>développé</w:t>
      </w:r>
      <w:r w:rsidRPr="00B9212B">
        <w:rPr>
          <w:rFonts w:ascii="Arial" w:hAnsi="Arial" w:cs="Arial"/>
          <w:sz w:val="20"/>
          <w:szCs w:val="20"/>
        </w:rPr>
        <w:t xml:space="preserve"> </w:t>
      </w:r>
      <w:r>
        <w:rPr>
          <w:rFonts w:ascii="Arial" w:hAnsi="Arial" w:cs="Arial"/>
          <w:sz w:val="20"/>
          <w:szCs w:val="20"/>
        </w:rPr>
        <w:t>un</w:t>
      </w:r>
      <w:r w:rsidRPr="00B9212B">
        <w:rPr>
          <w:rFonts w:ascii="Arial" w:hAnsi="Arial" w:cs="Arial"/>
          <w:sz w:val="20"/>
          <w:szCs w:val="20"/>
        </w:rPr>
        <w:t xml:space="preserve"> Programme de sensibilisation et de formation à la médiation pour les agents d’exécution</w:t>
      </w:r>
      <w:r>
        <w:rPr>
          <w:rFonts w:ascii="Arial" w:hAnsi="Arial" w:cs="Arial"/>
          <w:sz w:val="20"/>
          <w:szCs w:val="20"/>
        </w:rPr>
        <w:t>, qui vient compléter la boîte à outils sur la médiation</w:t>
      </w:r>
      <w:r w:rsidRPr="00B9212B">
        <w:rPr>
          <w:rFonts w:ascii="Arial" w:hAnsi="Arial" w:cs="Arial"/>
          <w:sz w:val="20"/>
          <w:szCs w:val="20"/>
        </w:rPr>
        <w:t xml:space="preserve">. </w:t>
      </w:r>
    </w:p>
    <w:p w14:paraId="43009B14" w14:textId="77777777" w:rsidR="00C0060D" w:rsidRPr="00B9212B" w:rsidRDefault="00C0060D" w:rsidP="00C0060D">
      <w:pPr>
        <w:pStyle w:val="ListParagraph"/>
        <w:spacing w:line="240" w:lineRule="auto"/>
        <w:rPr>
          <w:sz w:val="20"/>
          <w:szCs w:val="20"/>
        </w:rPr>
      </w:pPr>
    </w:p>
    <w:p w14:paraId="094A1C1F" w14:textId="77777777" w:rsidR="00C0060D" w:rsidRPr="00B9212B" w:rsidRDefault="00C0060D" w:rsidP="00C0060D">
      <w:pPr>
        <w:pStyle w:val="ListParagraph"/>
        <w:numPr>
          <w:ilvl w:val="0"/>
          <w:numId w:val="1"/>
        </w:numPr>
        <w:spacing w:line="240" w:lineRule="auto"/>
        <w:ind w:hanging="720"/>
        <w:jc w:val="both"/>
        <w:rPr>
          <w:rFonts w:ascii="Arial" w:eastAsia="Times New Roman" w:hAnsi="Arial" w:cs="Arial"/>
          <w:b/>
          <w:i/>
          <w:sz w:val="20"/>
          <w:szCs w:val="20"/>
          <w:lang w:eastAsia="fr-FR"/>
        </w:rPr>
      </w:pPr>
      <w:r w:rsidRPr="00B9212B">
        <w:rPr>
          <w:rFonts w:ascii="Arial" w:hAnsi="Arial" w:cs="Arial"/>
          <w:sz w:val="20"/>
          <w:szCs w:val="20"/>
        </w:rPr>
        <w:t xml:space="preserve">Le </w:t>
      </w:r>
      <w:r w:rsidRPr="00B9212B">
        <w:rPr>
          <w:rFonts w:ascii="Arial" w:eastAsia="Times New Roman" w:hAnsi="Arial" w:cs="Arial"/>
          <w:bCs/>
          <w:sz w:val="20"/>
          <w:szCs w:val="20"/>
          <w:lang w:eastAsia="fr-FR"/>
        </w:rPr>
        <w:t xml:space="preserve">CEPEJ-GT-QUAL a </w:t>
      </w:r>
      <w:r>
        <w:rPr>
          <w:rFonts w:ascii="Arial" w:eastAsia="Times New Roman" w:hAnsi="Arial" w:cs="Arial"/>
          <w:bCs/>
          <w:sz w:val="20"/>
          <w:szCs w:val="20"/>
          <w:lang w:eastAsia="fr-FR"/>
        </w:rPr>
        <w:t xml:space="preserve">également </w:t>
      </w:r>
      <w:r>
        <w:rPr>
          <w:rFonts w:ascii="Arial" w:hAnsi="Arial" w:cs="Arial"/>
          <w:sz w:val="20"/>
          <w:szCs w:val="20"/>
        </w:rPr>
        <w:t>préparé</w:t>
      </w:r>
      <w:r w:rsidRPr="00B9212B">
        <w:rPr>
          <w:rFonts w:ascii="Arial" w:hAnsi="Arial" w:cs="Arial"/>
          <w:b/>
          <w:bCs/>
          <w:sz w:val="20"/>
          <w:szCs w:val="20"/>
        </w:rPr>
        <w:t xml:space="preserve"> </w:t>
      </w:r>
      <w:r>
        <w:rPr>
          <w:rFonts w:ascii="Arial" w:hAnsi="Arial" w:cs="Arial"/>
          <w:sz w:val="20"/>
          <w:szCs w:val="20"/>
        </w:rPr>
        <w:t>une</w:t>
      </w:r>
      <w:r w:rsidRPr="00B9212B">
        <w:rPr>
          <w:rFonts w:ascii="Arial" w:hAnsi="Arial" w:cs="Arial"/>
          <w:sz w:val="20"/>
          <w:szCs w:val="20"/>
        </w:rPr>
        <w:t xml:space="preserve"> « Feuille de route </w:t>
      </w:r>
      <w:r>
        <w:rPr>
          <w:rFonts w:ascii="Arial" w:hAnsi="Arial" w:cs="Arial"/>
          <w:sz w:val="20"/>
          <w:szCs w:val="20"/>
        </w:rPr>
        <w:t>r</w:t>
      </w:r>
      <w:r w:rsidRPr="00B9212B">
        <w:rPr>
          <w:rFonts w:ascii="Arial" w:hAnsi="Arial" w:cs="Arial"/>
          <w:sz w:val="20"/>
          <w:szCs w:val="20"/>
        </w:rPr>
        <w:t>évisée visant à assurer le suivi approprié de la Charte éthique européenne de la CEPEJ sur l’utilisation de l’intelligence artificielle dans les systèmes judiciaires et leur environnement »</w:t>
      </w:r>
      <w:r>
        <w:rPr>
          <w:rFonts w:ascii="Arial" w:hAnsi="Arial" w:cs="Arial"/>
          <w:sz w:val="20"/>
          <w:szCs w:val="20"/>
        </w:rPr>
        <w:t xml:space="preserve">. Celle-ci préconise, en tant que suivi de la Charte éthique européenne sur l’utilisation de l’intelligence artificielle dans les systèmes judiciaires et leur environnement, l’abandon de la mise en place prévue d’un système de certification par la CEPEJ des outils utilisant l’intelligence artificielle dans le domaine de la justice, au profit d’une opérationnalisation des principes de la Charte. Il est également prévu de créer un centre de ressources sur les outils d’intelligence artificielle et un comité restreint d’experts sur la question pour renforcer l’expertise technique de la CEPEJ (Bureau consultatif sur l’intelligence artificielle – AIAB). </w:t>
      </w:r>
    </w:p>
    <w:p w14:paraId="7B257A2B" w14:textId="77777777" w:rsidR="00C0060D" w:rsidRPr="00B9212B" w:rsidRDefault="00C0060D" w:rsidP="00C0060D">
      <w:pPr>
        <w:pStyle w:val="ListParagraph"/>
        <w:spacing w:line="240" w:lineRule="auto"/>
        <w:rPr>
          <w:rFonts w:ascii="Arial" w:eastAsia="Times New Roman" w:hAnsi="Arial" w:cs="Arial"/>
          <w:b/>
          <w:i/>
          <w:sz w:val="20"/>
          <w:szCs w:val="20"/>
          <w:lang w:eastAsia="fr-FR"/>
        </w:rPr>
      </w:pPr>
    </w:p>
    <w:p w14:paraId="67CCCA91" w14:textId="77777777" w:rsidR="00C0060D" w:rsidRPr="00B9212B" w:rsidRDefault="00C0060D" w:rsidP="00C0060D">
      <w:pPr>
        <w:pStyle w:val="ListParagraph"/>
        <w:numPr>
          <w:ilvl w:val="0"/>
          <w:numId w:val="1"/>
        </w:numPr>
        <w:spacing w:line="240" w:lineRule="auto"/>
        <w:ind w:hanging="720"/>
        <w:jc w:val="both"/>
        <w:rPr>
          <w:rFonts w:ascii="Arial" w:eastAsia="Times New Roman" w:hAnsi="Arial" w:cs="Arial"/>
          <w:bCs/>
          <w:iCs/>
          <w:sz w:val="20"/>
          <w:szCs w:val="20"/>
          <w:lang w:eastAsia="fr-FR"/>
        </w:rPr>
      </w:pPr>
      <w:r>
        <w:rPr>
          <w:rFonts w:ascii="Arial" w:eastAsia="Times New Roman" w:hAnsi="Arial" w:cs="Arial"/>
          <w:bCs/>
          <w:iCs/>
          <w:sz w:val="20"/>
          <w:szCs w:val="20"/>
          <w:lang w:eastAsia="fr-FR"/>
        </w:rPr>
        <w:t xml:space="preserve">Ces divers documents ont été adoptés par la CEPEJ. Le </w:t>
      </w:r>
      <w:r w:rsidRPr="00B9212B">
        <w:rPr>
          <w:rFonts w:ascii="Arial" w:eastAsia="Times New Roman" w:hAnsi="Arial" w:cs="Arial"/>
          <w:bCs/>
          <w:iCs/>
          <w:sz w:val="20"/>
          <w:szCs w:val="20"/>
          <w:lang w:eastAsia="fr-FR"/>
        </w:rPr>
        <w:t>CEPE</w:t>
      </w:r>
      <w:r>
        <w:rPr>
          <w:rFonts w:ascii="Arial" w:eastAsia="Times New Roman" w:hAnsi="Arial" w:cs="Arial"/>
          <w:bCs/>
          <w:iCs/>
          <w:sz w:val="20"/>
          <w:szCs w:val="20"/>
          <w:lang w:eastAsia="fr-FR"/>
        </w:rPr>
        <w:t xml:space="preserve">J-GT-QUAL a également poursuivi ses travaux sur l’égalité de genre dans le processus de recrutement et de promotion des juges. </w:t>
      </w:r>
    </w:p>
    <w:p w14:paraId="3683FBC3" w14:textId="77777777" w:rsidR="00C0060D" w:rsidRPr="00B9212B" w:rsidRDefault="00C0060D" w:rsidP="00C0060D">
      <w:pPr>
        <w:pStyle w:val="ListParagraph"/>
        <w:spacing w:after="0" w:line="240" w:lineRule="auto"/>
        <w:jc w:val="both"/>
        <w:rPr>
          <w:rFonts w:ascii="Arial" w:eastAsia="Times New Roman" w:hAnsi="Arial" w:cs="Arial"/>
          <w:b/>
          <w:i/>
          <w:sz w:val="20"/>
          <w:szCs w:val="20"/>
          <w:lang w:eastAsia="fr-FR"/>
        </w:rPr>
      </w:pPr>
    </w:p>
    <w:p w14:paraId="005E2E94" w14:textId="77777777" w:rsidR="00C0060D" w:rsidRDefault="00C0060D" w:rsidP="00C0060D">
      <w:pPr>
        <w:tabs>
          <w:tab w:val="num" w:pos="0"/>
        </w:tabs>
        <w:spacing w:after="0" w:line="240" w:lineRule="auto"/>
        <w:jc w:val="both"/>
        <w:rPr>
          <w:rFonts w:ascii="Arial" w:eastAsia="Times New Roman" w:hAnsi="Arial" w:cs="Arial"/>
          <w:b/>
          <w:i/>
          <w:sz w:val="20"/>
          <w:szCs w:val="20"/>
          <w:lang w:eastAsia="fr-FR"/>
        </w:rPr>
      </w:pPr>
      <w:r w:rsidRPr="00D950CC">
        <w:rPr>
          <w:rFonts w:ascii="Arial" w:eastAsia="Times New Roman" w:hAnsi="Arial" w:cs="Arial"/>
          <w:b/>
          <w:i/>
          <w:sz w:val="20"/>
          <w:szCs w:val="20"/>
          <w:lang w:eastAsia="fr-FR"/>
        </w:rPr>
        <w:t>2.4.</w:t>
      </w:r>
      <w:r w:rsidRPr="00D950CC">
        <w:rPr>
          <w:rFonts w:ascii="Arial" w:eastAsia="Times New Roman" w:hAnsi="Arial" w:cs="Arial"/>
          <w:b/>
          <w:i/>
          <w:sz w:val="20"/>
          <w:szCs w:val="20"/>
          <w:lang w:eastAsia="fr-FR"/>
        </w:rPr>
        <w:tab/>
      </w:r>
      <w:r>
        <w:rPr>
          <w:rFonts w:ascii="Arial" w:eastAsia="Times New Roman" w:hAnsi="Arial" w:cs="Arial"/>
          <w:b/>
          <w:i/>
          <w:sz w:val="20"/>
          <w:szCs w:val="20"/>
          <w:lang w:eastAsia="fr-FR"/>
        </w:rPr>
        <w:t>Encadrer les développements en matière de c</w:t>
      </w:r>
      <w:r w:rsidRPr="00D950CC">
        <w:rPr>
          <w:rFonts w:ascii="Arial" w:eastAsia="Times New Roman" w:hAnsi="Arial" w:cs="Arial"/>
          <w:b/>
          <w:i/>
          <w:sz w:val="20"/>
          <w:szCs w:val="20"/>
          <w:lang w:eastAsia="fr-FR"/>
        </w:rPr>
        <w:t>yberjustice</w:t>
      </w:r>
    </w:p>
    <w:p w14:paraId="382D82DD" w14:textId="77777777" w:rsidR="00C0060D" w:rsidRDefault="00C0060D" w:rsidP="00C0060D">
      <w:pPr>
        <w:pStyle w:val="ListParagraph"/>
        <w:spacing w:after="0" w:line="240" w:lineRule="auto"/>
        <w:jc w:val="both"/>
        <w:rPr>
          <w:rFonts w:ascii="Arial" w:hAnsi="Arial" w:cs="Arial"/>
          <w:sz w:val="20"/>
          <w:szCs w:val="20"/>
        </w:rPr>
      </w:pPr>
    </w:p>
    <w:p w14:paraId="45021A60" w14:textId="77777777" w:rsidR="00C0060D" w:rsidRPr="00F20E56" w:rsidRDefault="00C0060D" w:rsidP="00C0060D">
      <w:pPr>
        <w:pStyle w:val="ListParagraph"/>
        <w:numPr>
          <w:ilvl w:val="0"/>
          <w:numId w:val="1"/>
        </w:numPr>
        <w:spacing w:after="0" w:line="240" w:lineRule="auto"/>
        <w:ind w:hanging="720"/>
        <w:jc w:val="both"/>
        <w:rPr>
          <w:rFonts w:ascii="Arial" w:eastAsia="Times New Roman" w:hAnsi="Arial" w:cs="Arial"/>
          <w:bCs/>
          <w:iCs/>
          <w:sz w:val="20"/>
          <w:szCs w:val="20"/>
          <w:lang w:eastAsia="fr-FR"/>
        </w:rPr>
      </w:pPr>
      <w:r w:rsidRPr="00F20E56">
        <w:rPr>
          <w:rFonts w:ascii="Arial" w:eastAsia="Times New Roman" w:hAnsi="Arial" w:cs="Arial"/>
          <w:bCs/>
          <w:iCs/>
          <w:sz w:val="20"/>
          <w:szCs w:val="20"/>
          <w:lang w:eastAsia="fr-FR"/>
        </w:rPr>
        <w:t>Suite à la demande de plusieurs Etats membres lors de la crise sanitaire et la fermeture des tribunaux, le CEPEJ-GT-CYBERJUST a préparé des lignes directrices sur la visioconférence dans les procédures judiciaires.</w:t>
      </w:r>
    </w:p>
    <w:p w14:paraId="7CBA9EAD" w14:textId="77777777" w:rsidR="00C0060D" w:rsidRPr="00F20E56" w:rsidRDefault="00C0060D" w:rsidP="00C0060D">
      <w:pPr>
        <w:pStyle w:val="ListParagraph"/>
        <w:numPr>
          <w:ilvl w:val="0"/>
          <w:numId w:val="1"/>
        </w:numPr>
        <w:spacing w:after="0" w:line="240" w:lineRule="auto"/>
        <w:ind w:hanging="720"/>
        <w:jc w:val="both"/>
        <w:rPr>
          <w:sz w:val="20"/>
          <w:szCs w:val="20"/>
        </w:rPr>
      </w:pPr>
      <w:r w:rsidRPr="00F20E56">
        <w:rPr>
          <w:rFonts w:ascii="Arial" w:hAnsi="Arial" w:cs="Arial"/>
          <w:sz w:val="20"/>
          <w:szCs w:val="20"/>
        </w:rPr>
        <w:t>Il a également adopté des lignes directrices sur la numérisation des dossiers judiciaires et la digitalisation des tribunaux.</w:t>
      </w:r>
    </w:p>
    <w:p w14:paraId="1E664FD5" w14:textId="77777777" w:rsidR="00C0060D" w:rsidRPr="00F20E56" w:rsidRDefault="00C0060D" w:rsidP="00C0060D">
      <w:pPr>
        <w:pStyle w:val="ListParagraph"/>
        <w:spacing w:after="0" w:line="240" w:lineRule="auto"/>
        <w:jc w:val="both"/>
        <w:rPr>
          <w:rFonts w:ascii="Arial" w:hAnsi="Arial" w:cs="Arial"/>
          <w:sz w:val="20"/>
          <w:szCs w:val="20"/>
        </w:rPr>
      </w:pPr>
    </w:p>
    <w:p w14:paraId="561150F4" w14:textId="77777777" w:rsidR="00C0060D" w:rsidRPr="00F20E56" w:rsidRDefault="00C0060D" w:rsidP="00C0060D">
      <w:pPr>
        <w:pStyle w:val="ListParagraph"/>
        <w:numPr>
          <w:ilvl w:val="0"/>
          <w:numId w:val="1"/>
        </w:numPr>
        <w:spacing w:after="0" w:line="240" w:lineRule="auto"/>
        <w:ind w:hanging="720"/>
        <w:jc w:val="both"/>
        <w:rPr>
          <w:rFonts w:ascii="Arial" w:hAnsi="Arial" w:cs="Arial"/>
          <w:sz w:val="20"/>
          <w:szCs w:val="20"/>
        </w:rPr>
      </w:pPr>
      <w:r w:rsidRPr="00F464AF">
        <w:rPr>
          <w:rFonts w:ascii="Arial" w:hAnsi="Arial" w:cs="Arial"/>
          <w:sz w:val="20"/>
          <w:szCs w:val="20"/>
        </w:rPr>
        <w:t>Un Réseau européen de cyberjustice a été créé et officiellement lancé le 16 novembre 2021.</w:t>
      </w:r>
      <w:r w:rsidRPr="00F20E56">
        <w:rPr>
          <w:rFonts w:ascii="Arial" w:hAnsi="Arial" w:cs="Arial"/>
          <w:sz w:val="20"/>
          <w:szCs w:val="20"/>
        </w:rPr>
        <w:t xml:space="preserve"> Il est composé d’experts en cyberjustice de l’ensemble des Etats membres et doit servir de plateforme d’échanges de bonnes pratiques en la matière et de discussion sur les enjeux du développements de la cyberjustice, notamment eu égard aux principes du procès équitable.</w:t>
      </w:r>
    </w:p>
    <w:p w14:paraId="715B91C8" w14:textId="77777777" w:rsidR="00C0060D" w:rsidRDefault="00C0060D" w:rsidP="00C0060D">
      <w:pPr>
        <w:pStyle w:val="Default"/>
        <w:jc w:val="both"/>
        <w:rPr>
          <w:sz w:val="20"/>
          <w:szCs w:val="20"/>
        </w:rPr>
      </w:pPr>
    </w:p>
    <w:p w14:paraId="60F48A22" w14:textId="77777777" w:rsidR="00C0060D" w:rsidRPr="00D950CC" w:rsidRDefault="00C0060D" w:rsidP="00C0060D">
      <w:pPr>
        <w:tabs>
          <w:tab w:val="num" w:pos="0"/>
        </w:tabs>
        <w:spacing w:after="0" w:line="240" w:lineRule="auto"/>
        <w:jc w:val="both"/>
        <w:rPr>
          <w:rFonts w:ascii="Arial" w:eastAsia="Times New Roman" w:hAnsi="Arial" w:cs="Arial"/>
          <w:b/>
          <w:i/>
          <w:sz w:val="20"/>
          <w:szCs w:val="20"/>
          <w:lang w:eastAsia="fr-FR"/>
        </w:rPr>
      </w:pPr>
      <w:r w:rsidRPr="00D950CC">
        <w:rPr>
          <w:rFonts w:ascii="Arial" w:eastAsia="Times New Roman" w:hAnsi="Arial" w:cs="Arial"/>
          <w:b/>
          <w:i/>
          <w:sz w:val="20"/>
          <w:szCs w:val="20"/>
          <w:lang w:eastAsia="fr-FR"/>
        </w:rPr>
        <w:t>2.5.</w:t>
      </w:r>
      <w:r w:rsidRPr="00D950CC">
        <w:rPr>
          <w:rFonts w:ascii="Arial" w:eastAsia="Times New Roman" w:hAnsi="Arial" w:cs="Arial"/>
          <w:b/>
          <w:i/>
          <w:sz w:val="20"/>
          <w:szCs w:val="20"/>
          <w:lang w:eastAsia="fr-FR"/>
        </w:rPr>
        <w:tab/>
        <w:t xml:space="preserve">Promouvoir le recours à la médiation </w:t>
      </w:r>
    </w:p>
    <w:p w14:paraId="20642A85" w14:textId="77777777" w:rsidR="00C0060D" w:rsidRDefault="00C0060D" w:rsidP="00C0060D">
      <w:pPr>
        <w:pStyle w:val="Default"/>
        <w:jc w:val="both"/>
        <w:rPr>
          <w:sz w:val="20"/>
          <w:szCs w:val="20"/>
        </w:rPr>
      </w:pPr>
    </w:p>
    <w:p w14:paraId="3DC006EF" w14:textId="77777777" w:rsidR="00C0060D" w:rsidRPr="00795D48" w:rsidRDefault="00C0060D" w:rsidP="00C0060D">
      <w:pPr>
        <w:pStyle w:val="ListParagraph"/>
        <w:numPr>
          <w:ilvl w:val="0"/>
          <w:numId w:val="1"/>
        </w:numPr>
        <w:spacing w:after="0" w:line="240" w:lineRule="auto"/>
        <w:ind w:hanging="720"/>
        <w:jc w:val="both"/>
        <w:rPr>
          <w:sz w:val="20"/>
          <w:szCs w:val="20"/>
        </w:rPr>
      </w:pPr>
      <w:r w:rsidRPr="006A66B5">
        <w:rPr>
          <w:rFonts w:ascii="Arial" w:hAnsi="Arial" w:cs="Arial"/>
          <w:sz w:val="20"/>
          <w:szCs w:val="20"/>
        </w:rPr>
        <w:t xml:space="preserve">Le CEPEJ-GT-MED a vu ses activités suspendues en 2020, mais la médiation reste un domaine soutenu activement par la CEPEJ via le CEPEJ-GT-QUAL, en tant que moyen </w:t>
      </w:r>
      <w:r>
        <w:rPr>
          <w:rFonts w:ascii="Arial" w:hAnsi="Arial" w:cs="Arial"/>
          <w:sz w:val="20"/>
          <w:szCs w:val="20"/>
        </w:rPr>
        <w:t xml:space="preserve">alternatif de résolution des litiges visant notamment à </w:t>
      </w:r>
      <w:r w:rsidRPr="006A66B5">
        <w:rPr>
          <w:rFonts w:ascii="Arial" w:hAnsi="Arial" w:cs="Arial"/>
          <w:sz w:val="20"/>
          <w:szCs w:val="20"/>
        </w:rPr>
        <w:t>désengorger les tribunaux</w:t>
      </w:r>
      <w:r>
        <w:rPr>
          <w:rFonts w:ascii="Arial" w:hAnsi="Arial" w:cs="Arial"/>
          <w:sz w:val="20"/>
          <w:szCs w:val="20"/>
        </w:rPr>
        <w:t xml:space="preserve"> tout en </w:t>
      </w:r>
      <w:r w:rsidRPr="006A66B5">
        <w:rPr>
          <w:rFonts w:ascii="Arial" w:hAnsi="Arial" w:cs="Arial"/>
          <w:sz w:val="20"/>
          <w:szCs w:val="20"/>
        </w:rPr>
        <w:t>amélior</w:t>
      </w:r>
      <w:r>
        <w:rPr>
          <w:rFonts w:ascii="Arial" w:hAnsi="Arial" w:cs="Arial"/>
          <w:sz w:val="20"/>
          <w:szCs w:val="20"/>
        </w:rPr>
        <w:t>ant</w:t>
      </w:r>
      <w:r w:rsidRPr="006A66B5">
        <w:rPr>
          <w:rFonts w:ascii="Arial" w:hAnsi="Arial" w:cs="Arial"/>
          <w:sz w:val="20"/>
          <w:szCs w:val="20"/>
        </w:rPr>
        <w:t xml:space="preserve"> leur efficacité et la qualité des décisions rendues. Dans ce cadre, la Boite à Outils pour le développement de la médiation conserve une importance, en particulier dans les projets de coopération. </w:t>
      </w:r>
    </w:p>
    <w:p w14:paraId="0AD6D7C5" w14:textId="77777777" w:rsidR="00C0060D" w:rsidRDefault="00C0060D" w:rsidP="00C0060D">
      <w:pPr>
        <w:spacing w:after="0" w:line="240" w:lineRule="auto"/>
        <w:jc w:val="both"/>
        <w:rPr>
          <w:sz w:val="20"/>
          <w:szCs w:val="20"/>
        </w:rPr>
      </w:pPr>
    </w:p>
    <w:p w14:paraId="6F2044FB" w14:textId="77777777" w:rsidR="00C0060D" w:rsidRDefault="00C0060D" w:rsidP="00C0060D">
      <w:pPr>
        <w:pStyle w:val="Default"/>
        <w:jc w:val="both"/>
        <w:rPr>
          <w:sz w:val="20"/>
          <w:szCs w:val="20"/>
        </w:rPr>
      </w:pPr>
    </w:p>
    <w:p w14:paraId="440335AA" w14:textId="77777777" w:rsidR="00C0060D" w:rsidRDefault="00C0060D" w:rsidP="00C0060D">
      <w:pPr>
        <w:tabs>
          <w:tab w:val="num" w:pos="0"/>
        </w:tabs>
        <w:spacing w:after="0" w:line="240" w:lineRule="auto"/>
        <w:jc w:val="both"/>
        <w:rPr>
          <w:rFonts w:ascii="Arial" w:eastAsia="Times New Roman" w:hAnsi="Arial" w:cs="Arial"/>
          <w:b/>
          <w:sz w:val="20"/>
          <w:szCs w:val="20"/>
          <w:lang w:eastAsia="fr-FR"/>
        </w:rPr>
      </w:pPr>
      <w:bookmarkStart w:id="1" w:name="_Hlk106379104"/>
      <w:r w:rsidRPr="00136CD0">
        <w:rPr>
          <w:rFonts w:ascii="Arial" w:eastAsia="Times New Roman" w:hAnsi="Arial" w:cs="Arial"/>
          <w:b/>
          <w:i/>
          <w:iCs/>
          <w:sz w:val="20"/>
          <w:szCs w:val="20"/>
          <w:lang w:eastAsia="fr-FR"/>
        </w:rPr>
        <w:lastRenderedPageBreak/>
        <w:t>2.6</w:t>
      </w:r>
      <w:r w:rsidRPr="00D950CC">
        <w:rPr>
          <w:rFonts w:ascii="Arial" w:eastAsia="Times New Roman" w:hAnsi="Arial" w:cs="Arial"/>
          <w:b/>
          <w:sz w:val="20"/>
          <w:szCs w:val="20"/>
          <w:lang w:eastAsia="fr-FR"/>
        </w:rPr>
        <w:tab/>
      </w:r>
      <w:r w:rsidRPr="004575E5">
        <w:rPr>
          <w:rFonts w:ascii="Arial" w:eastAsia="Times New Roman" w:hAnsi="Arial" w:cs="Arial"/>
          <w:b/>
          <w:i/>
          <w:iCs/>
          <w:sz w:val="20"/>
          <w:szCs w:val="20"/>
          <w:lang w:eastAsia="fr-FR"/>
        </w:rPr>
        <w:t>Soutien aux Etats dans leurs réformes judiciaires</w:t>
      </w:r>
      <w:r w:rsidRPr="00D950CC">
        <w:rPr>
          <w:rFonts w:ascii="Arial" w:eastAsia="Times New Roman" w:hAnsi="Arial" w:cs="Arial"/>
          <w:b/>
          <w:sz w:val="20"/>
          <w:szCs w:val="20"/>
          <w:lang w:eastAsia="fr-FR"/>
        </w:rPr>
        <w:t xml:space="preserve">  </w:t>
      </w:r>
    </w:p>
    <w:p w14:paraId="4A2E8490" w14:textId="77777777" w:rsidR="00C0060D" w:rsidRDefault="00C0060D" w:rsidP="00C0060D">
      <w:pPr>
        <w:pStyle w:val="Default"/>
        <w:jc w:val="both"/>
        <w:rPr>
          <w:sz w:val="20"/>
          <w:szCs w:val="20"/>
        </w:rPr>
      </w:pPr>
    </w:p>
    <w:p w14:paraId="75A05EED" w14:textId="77777777" w:rsidR="00C0060D" w:rsidRPr="006A66B5" w:rsidRDefault="00C0060D" w:rsidP="00C0060D">
      <w:pPr>
        <w:pStyle w:val="ListParagraph"/>
        <w:numPr>
          <w:ilvl w:val="0"/>
          <w:numId w:val="1"/>
        </w:numPr>
        <w:spacing w:after="0" w:line="240" w:lineRule="auto"/>
        <w:ind w:hanging="720"/>
        <w:jc w:val="both"/>
        <w:rPr>
          <w:sz w:val="20"/>
          <w:szCs w:val="20"/>
        </w:rPr>
      </w:pPr>
      <w:r w:rsidRPr="006A66B5">
        <w:rPr>
          <w:rFonts w:ascii="Arial" w:hAnsi="Arial" w:cs="Arial"/>
          <w:sz w:val="20"/>
          <w:szCs w:val="20"/>
        </w:rPr>
        <w:t xml:space="preserve">La CEPEJ poursuit un effort conséquent pour mettre sa méthodologie, ses outils et l’expérience de ses membres et experts au service du développement des capacités et de programmes de coopération, permettant ainsi au Conseil de l’Europe d’apporter aux États bénéficiaires une forte valeur ajoutée dans le cadre des réformes des systèmes judiciaires. De très bonnes synergies ont été développées entre le travail intergouvernemental de la CEPEJ et l’utilisation directe et approfondie de ce travail pour soutenir les réformes judiciaires nationales. Cette coopération s’adresse à la fois aux instances nationales chargées des politiques de la justice (Ministères de la justice, Parlements, Haut conseils de la justice) et aux tribunaux individuels. </w:t>
      </w:r>
    </w:p>
    <w:p w14:paraId="2466A967" w14:textId="77777777" w:rsidR="00C0060D" w:rsidRPr="006A66B5" w:rsidRDefault="00C0060D" w:rsidP="00C0060D">
      <w:pPr>
        <w:pStyle w:val="Default"/>
        <w:jc w:val="both"/>
        <w:rPr>
          <w:color w:val="auto"/>
          <w:sz w:val="20"/>
          <w:szCs w:val="20"/>
        </w:rPr>
      </w:pPr>
    </w:p>
    <w:p w14:paraId="117D9F46" w14:textId="77777777" w:rsidR="00C0060D" w:rsidRPr="006A66B5" w:rsidRDefault="00C0060D" w:rsidP="00C0060D">
      <w:pPr>
        <w:pStyle w:val="ListParagraph"/>
        <w:numPr>
          <w:ilvl w:val="0"/>
          <w:numId w:val="1"/>
        </w:numPr>
        <w:spacing w:after="0" w:line="240" w:lineRule="auto"/>
        <w:ind w:hanging="720"/>
        <w:jc w:val="both"/>
        <w:rPr>
          <w:sz w:val="20"/>
          <w:szCs w:val="20"/>
        </w:rPr>
      </w:pPr>
      <w:r w:rsidRPr="006A66B5">
        <w:rPr>
          <w:rFonts w:ascii="Arial" w:hAnsi="Arial" w:cs="Arial"/>
          <w:sz w:val="20"/>
          <w:szCs w:val="20"/>
        </w:rPr>
        <w:t>Des programmes spécifiques de coopération</w:t>
      </w:r>
      <w:r>
        <w:rPr>
          <w:rFonts w:ascii="Arial" w:hAnsi="Arial" w:cs="Arial"/>
          <w:sz w:val="20"/>
          <w:szCs w:val="20"/>
        </w:rPr>
        <w:t>,</w:t>
      </w:r>
      <w:r w:rsidRPr="006A66B5">
        <w:rPr>
          <w:rFonts w:ascii="Arial" w:hAnsi="Arial" w:cs="Arial"/>
          <w:sz w:val="20"/>
          <w:szCs w:val="20"/>
        </w:rPr>
        <w:t xml:space="preserve"> cofinancés par l’Union européenne </w:t>
      </w:r>
      <w:r>
        <w:rPr>
          <w:rFonts w:ascii="Arial" w:hAnsi="Arial" w:cs="Arial"/>
          <w:sz w:val="20"/>
          <w:szCs w:val="20"/>
        </w:rPr>
        <w:t xml:space="preserve">ou des contributions volontaires des Etats membres </w:t>
      </w:r>
      <w:r w:rsidRPr="006A66B5">
        <w:rPr>
          <w:rFonts w:ascii="Arial" w:hAnsi="Arial" w:cs="Arial"/>
          <w:sz w:val="20"/>
          <w:szCs w:val="20"/>
        </w:rPr>
        <w:t>et le Conseil de l’Europe</w:t>
      </w:r>
      <w:r>
        <w:rPr>
          <w:rFonts w:ascii="Arial" w:hAnsi="Arial" w:cs="Arial"/>
          <w:sz w:val="20"/>
          <w:szCs w:val="20"/>
        </w:rPr>
        <w:t>,</w:t>
      </w:r>
      <w:r w:rsidRPr="006A66B5">
        <w:rPr>
          <w:rFonts w:ascii="Arial" w:hAnsi="Arial" w:cs="Arial"/>
          <w:sz w:val="20"/>
          <w:szCs w:val="20"/>
        </w:rPr>
        <w:t xml:space="preserve"> ont été mis </w:t>
      </w:r>
      <w:r w:rsidRPr="0027153C">
        <w:rPr>
          <w:rFonts w:ascii="Arial" w:hAnsi="Arial" w:cs="Arial"/>
          <w:sz w:val="20"/>
          <w:szCs w:val="20"/>
        </w:rPr>
        <w:t xml:space="preserve">en </w:t>
      </w:r>
      <w:r w:rsidRPr="006A66B5">
        <w:rPr>
          <w:rFonts w:ascii="Arial" w:hAnsi="Arial" w:cs="Arial"/>
          <w:sz w:val="20"/>
          <w:szCs w:val="20"/>
        </w:rPr>
        <w:t>œuvre</w:t>
      </w:r>
      <w:r w:rsidRPr="0027153C">
        <w:rPr>
          <w:rFonts w:ascii="Arial" w:hAnsi="Arial" w:cs="Arial"/>
          <w:sz w:val="20"/>
          <w:szCs w:val="20"/>
        </w:rPr>
        <w:t xml:space="preserve"> </w:t>
      </w:r>
      <w:r w:rsidRPr="006A66B5">
        <w:rPr>
          <w:rFonts w:ascii="Arial" w:hAnsi="Arial" w:cs="Arial"/>
          <w:sz w:val="20"/>
          <w:szCs w:val="20"/>
        </w:rPr>
        <w:t xml:space="preserve">par la CEPEJ pour soutenir notamment les réformes judiciaires : </w:t>
      </w:r>
    </w:p>
    <w:p w14:paraId="1B540584" w14:textId="77777777" w:rsidR="00C0060D" w:rsidRPr="006A66B5" w:rsidRDefault="00C0060D" w:rsidP="00C0060D">
      <w:pPr>
        <w:tabs>
          <w:tab w:val="num" w:pos="0"/>
        </w:tabs>
        <w:spacing w:after="0" w:line="240" w:lineRule="auto"/>
        <w:jc w:val="both"/>
        <w:rPr>
          <w:rFonts w:ascii="Arial" w:hAnsi="Arial" w:cs="Arial"/>
          <w:sz w:val="20"/>
          <w:szCs w:val="20"/>
        </w:rPr>
      </w:pPr>
    </w:p>
    <w:p w14:paraId="01645E91" w14:textId="77777777" w:rsidR="00C0060D" w:rsidRPr="00B523DE" w:rsidRDefault="00C0060D" w:rsidP="00C0060D">
      <w:pPr>
        <w:pStyle w:val="ListParagraph"/>
        <w:numPr>
          <w:ilvl w:val="0"/>
          <w:numId w:val="4"/>
        </w:numPr>
        <w:tabs>
          <w:tab w:val="num" w:pos="0"/>
        </w:tabs>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e</w:t>
      </w:r>
      <w:r w:rsidRPr="00B523DE">
        <w:rPr>
          <w:rFonts w:ascii="Arial" w:eastAsia="Times New Roman" w:hAnsi="Arial" w:cs="Arial"/>
          <w:bCs/>
          <w:sz w:val="20"/>
          <w:szCs w:val="20"/>
          <w:lang w:eastAsia="fr-FR"/>
        </w:rPr>
        <w:t>n Albanie : « Renforcer la qualité et l’efficacité de la justice en Albanie (SEJ III) (mai 2019 – mai 2022)</w:t>
      </w:r>
      <w:r>
        <w:rPr>
          <w:rFonts w:ascii="Arial" w:eastAsia="Times New Roman" w:hAnsi="Arial" w:cs="Arial"/>
          <w:bCs/>
          <w:sz w:val="20"/>
          <w:szCs w:val="20"/>
          <w:lang w:eastAsia="fr-FR"/>
        </w:rPr>
        <w:t> ;</w:t>
      </w:r>
    </w:p>
    <w:p w14:paraId="028C8A57" w14:textId="77777777" w:rsidR="00C0060D" w:rsidRDefault="00C0060D" w:rsidP="00C0060D">
      <w:pPr>
        <w:tabs>
          <w:tab w:val="num" w:pos="0"/>
        </w:tabs>
        <w:spacing w:after="0" w:line="240" w:lineRule="auto"/>
        <w:jc w:val="both"/>
        <w:rPr>
          <w:rFonts w:ascii="Arial" w:eastAsia="Times New Roman" w:hAnsi="Arial" w:cs="Arial"/>
          <w:bCs/>
          <w:sz w:val="20"/>
          <w:szCs w:val="20"/>
          <w:lang w:eastAsia="fr-FR"/>
        </w:rPr>
      </w:pPr>
    </w:p>
    <w:p w14:paraId="64A3DEC8" w14:textId="77777777" w:rsidR="00C0060D" w:rsidRDefault="00C0060D" w:rsidP="00C0060D">
      <w:pPr>
        <w:pStyle w:val="Default"/>
        <w:numPr>
          <w:ilvl w:val="0"/>
          <w:numId w:val="4"/>
        </w:numPr>
        <w:jc w:val="both"/>
        <w:rPr>
          <w:sz w:val="20"/>
          <w:szCs w:val="20"/>
        </w:rPr>
      </w:pPr>
      <w:r>
        <w:rPr>
          <w:rFonts w:eastAsia="Times New Roman"/>
          <w:bCs/>
          <w:sz w:val="20"/>
          <w:szCs w:val="20"/>
          <w:lang w:eastAsia="fr-FR"/>
        </w:rPr>
        <w:t>e</w:t>
      </w:r>
      <w:r w:rsidRPr="001D1C3C">
        <w:rPr>
          <w:rFonts w:eastAsia="Times New Roman"/>
          <w:bCs/>
          <w:sz w:val="20"/>
          <w:szCs w:val="20"/>
          <w:lang w:eastAsia="fr-FR"/>
        </w:rPr>
        <w:t xml:space="preserve">n </w:t>
      </w:r>
      <w:r w:rsidRPr="001D1C3C">
        <w:rPr>
          <w:sz w:val="20"/>
          <w:szCs w:val="20"/>
        </w:rPr>
        <w:t>Azerbaïdjan</w:t>
      </w:r>
      <w:r>
        <w:rPr>
          <w:sz w:val="20"/>
          <w:szCs w:val="20"/>
        </w:rPr>
        <w:t> : « Renforcement de l’efficacité et de la qualité du système ju</w:t>
      </w:r>
      <w:r w:rsidRPr="001D1C3C">
        <w:rPr>
          <w:sz w:val="20"/>
          <w:szCs w:val="20"/>
        </w:rPr>
        <w:t>diciaire en Azerbaïdjan</w:t>
      </w:r>
      <w:r>
        <w:rPr>
          <w:sz w:val="20"/>
          <w:szCs w:val="20"/>
        </w:rPr>
        <w:t> » (Programme PGG II) (1</w:t>
      </w:r>
      <w:r w:rsidRPr="001D1C3C">
        <w:rPr>
          <w:sz w:val="20"/>
          <w:szCs w:val="20"/>
          <w:vertAlign w:val="superscript"/>
        </w:rPr>
        <w:t>er</w:t>
      </w:r>
      <w:r>
        <w:rPr>
          <w:sz w:val="20"/>
          <w:szCs w:val="20"/>
        </w:rPr>
        <w:t xml:space="preserve"> mars 2019 – août 2022) ;</w:t>
      </w:r>
    </w:p>
    <w:p w14:paraId="7DA68650" w14:textId="77777777" w:rsidR="00C0060D" w:rsidRDefault="00C0060D" w:rsidP="00C0060D">
      <w:pPr>
        <w:pStyle w:val="Default"/>
        <w:jc w:val="both"/>
        <w:rPr>
          <w:sz w:val="20"/>
          <w:szCs w:val="20"/>
        </w:rPr>
      </w:pPr>
    </w:p>
    <w:p w14:paraId="787BB2FB" w14:textId="77777777" w:rsidR="00C0060D" w:rsidRPr="00B523DE" w:rsidRDefault="00C0060D" w:rsidP="00C0060D">
      <w:pPr>
        <w:pStyle w:val="Default"/>
        <w:numPr>
          <w:ilvl w:val="0"/>
          <w:numId w:val="4"/>
        </w:numPr>
        <w:jc w:val="both"/>
        <w:rPr>
          <w:rFonts w:ascii="Times New Roman" w:hAnsi="Times New Roman" w:cs="Times New Roman"/>
        </w:rPr>
      </w:pPr>
      <w:r>
        <w:rPr>
          <w:sz w:val="20"/>
          <w:szCs w:val="20"/>
        </w:rPr>
        <w:t xml:space="preserve">en Espagne : « Promouvoir la cyberjustice en Espagne par la gestion du changement (juin 2020 – mai 2022) ; </w:t>
      </w:r>
    </w:p>
    <w:p w14:paraId="3C8E3434" w14:textId="77777777" w:rsidR="00C0060D" w:rsidRPr="00B523DE" w:rsidRDefault="00C0060D" w:rsidP="00C0060D">
      <w:pPr>
        <w:pStyle w:val="Default"/>
        <w:jc w:val="both"/>
        <w:rPr>
          <w:rFonts w:ascii="Times New Roman" w:hAnsi="Times New Roman" w:cs="Times New Roman"/>
        </w:rPr>
      </w:pPr>
    </w:p>
    <w:p w14:paraId="367593D2" w14:textId="77777777" w:rsidR="00C0060D" w:rsidRDefault="00C0060D" w:rsidP="00C0060D">
      <w:pPr>
        <w:pStyle w:val="Default"/>
        <w:numPr>
          <w:ilvl w:val="0"/>
          <w:numId w:val="4"/>
        </w:numPr>
        <w:jc w:val="both"/>
        <w:rPr>
          <w:sz w:val="20"/>
          <w:szCs w:val="20"/>
        </w:rPr>
      </w:pPr>
      <w:r>
        <w:rPr>
          <w:sz w:val="20"/>
          <w:szCs w:val="20"/>
        </w:rPr>
        <w:t>e</w:t>
      </w:r>
      <w:r w:rsidRPr="00B523DE">
        <w:rPr>
          <w:sz w:val="20"/>
          <w:szCs w:val="20"/>
        </w:rPr>
        <w:t>n Géorgie</w:t>
      </w:r>
      <w:r>
        <w:rPr>
          <w:sz w:val="20"/>
          <w:szCs w:val="20"/>
        </w:rPr>
        <w:t> : « Renforcer la responsabilité et l’efficacité du système judiciaire et le professionnalisme des avocats (Programme PGG II) (janvier 2020 – février 2023) ;</w:t>
      </w:r>
    </w:p>
    <w:p w14:paraId="57B4AC77" w14:textId="77777777" w:rsidR="00C0060D" w:rsidRDefault="00C0060D" w:rsidP="00C0060D">
      <w:pPr>
        <w:pStyle w:val="ListParagraph"/>
        <w:spacing w:after="0" w:line="240" w:lineRule="auto"/>
        <w:jc w:val="both"/>
        <w:rPr>
          <w:sz w:val="20"/>
          <w:szCs w:val="20"/>
        </w:rPr>
      </w:pPr>
    </w:p>
    <w:p w14:paraId="49492E84" w14:textId="77777777" w:rsidR="00C0060D" w:rsidRDefault="00C0060D" w:rsidP="00C0060D">
      <w:pPr>
        <w:pStyle w:val="Default"/>
        <w:numPr>
          <w:ilvl w:val="0"/>
          <w:numId w:val="4"/>
        </w:numPr>
        <w:jc w:val="both"/>
        <w:rPr>
          <w:sz w:val="20"/>
          <w:szCs w:val="20"/>
        </w:rPr>
      </w:pPr>
      <w:r>
        <w:rPr>
          <w:sz w:val="20"/>
          <w:szCs w:val="20"/>
        </w:rPr>
        <w:t>au Kosovo* « Renforcer la qualité et l’efficacité de la justice au Kosovo* (</w:t>
      </w:r>
      <w:proofErr w:type="spellStart"/>
      <w:r>
        <w:rPr>
          <w:sz w:val="20"/>
          <w:szCs w:val="20"/>
        </w:rPr>
        <w:t>KoSEJII</w:t>
      </w:r>
      <w:proofErr w:type="spellEnd"/>
      <w:r>
        <w:rPr>
          <w:sz w:val="20"/>
          <w:szCs w:val="20"/>
        </w:rPr>
        <w:t>) (mai 2019-mai 2022) ;</w:t>
      </w:r>
    </w:p>
    <w:p w14:paraId="178A5D44" w14:textId="77777777" w:rsidR="00C0060D" w:rsidRDefault="00C0060D" w:rsidP="00C0060D">
      <w:pPr>
        <w:pStyle w:val="ListParagraph"/>
        <w:spacing w:after="0" w:line="240" w:lineRule="auto"/>
        <w:rPr>
          <w:sz w:val="20"/>
          <w:szCs w:val="20"/>
        </w:rPr>
      </w:pPr>
    </w:p>
    <w:p w14:paraId="3228AEFA" w14:textId="77777777" w:rsidR="00C0060D" w:rsidRDefault="00C0060D" w:rsidP="00C0060D">
      <w:pPr>
        <w:pStyle w:val="Default"/>
        <w:numPr>
          <w:ilvl w:val="0"/>
          <w:numId w:val="4"/>
        </w:numPr>
        <w:jc w:val="both"/>
        <w:rPr>
          <w:sz w:val="20"/>
          <w:szCs w:val="20"/>
        </w:rPr>
      </w:pPr>
      <w:r>
        <w:rPr>
          <w:sz w:val="20"/>
          <w:szCs w:val="20"/>
        </w:rPr>
        <w:t>en Lettonie : « Renforcement de l’accès à la justice en Lettonie par la consolidation des services de médiation et d’aide juridique, ainsi que le soutien au développement des politiques judiciaires et l’amélioration de la qualité de gestion des tribunaux (DG Reform) (septembre 2019 à juin 2021)</w:t>
      </w:r>
    </w:p>
    <w:p w14:paraId="5DCD8C47" w14:textId="77777777" w:rsidR="00C0060D" w:rsidRDefault="00C0060D" w:rsidP="00C0060D">
      <w:pPr>
        <w:pStyle w:val="ListParagraph"/>
        <w:spacing w:after="0" w:line="240" w:lineRule="auto"/>
        <w:rPr>
          <w:sz w:val="20"/>
          <w:szCs w:val="20"/>
        </w:rPr>
      </w:pPr>
    </w:p>
    <w:p w14:paraId="318B695E" w14:textId="77777777" w:rsidR="00C0060D" w:rsidRDefault="00C0060D" w:rsidP="00C0060D">
      <w:pPr>
        <w:pStyle w:val="Default"/>
        <w:numPr>
          <w:ilvl w:val="0"/>
          <w:numId w:val="4"/>
        </w:numPr>
        <w:jc w:val="both"/>
        <w:rPr>
          <w:sz w:val="20"/>
          <w:szCs w:val="20"/>
        </w:rPr>
      </w:pPr>
      <w:r>
        <w:rPr>
          <w:sz w:val="20"/>
          <w:szCs w:val="20"/>
        </w:rPr>
        <w:t>A Malte, « Etablir une stratégie numérique pour le secteur judiciaire maltais » (DG Reform) (mai 2020-novembre 2021)</w:t>
      </w:r>
    </w:p>
    <w:p w14:paraId="4C56125D" w14:textId="77777777" w:rsidR="00C0060D" w:rsidRDefault="00C0060D" w:rsidP="00C0060D">
      <w:pPr>
        <w:pStyle w:val="ListParagraph"/>
        <w:spacing w:after="0" w:line="240" w:lineRule="auto"/>
        <w:rPr>
          <w:sz w:val="20"/>
          <w:szCs w:val="20"/>
        </w:rPr>
      </w:pPr>
    </w:p>
    <w:p w14:paraId="1D0B641C" w14:textId="77777777" w:rsidR="00C0060D" w:rsidRDefault="00C0060D" w:rsidP="00C0060D">
      <w:pPr>
        <w:pStyle w:val="Default"/>
        <w:numPr>
          <w:ilvl w:val="0"/>
          <w:numId w:val="4"/>
        </w:numPr>
        <w:jc w:val="both"/>
        <w:rPr>
          <w:sz w:val="20"/>
          <w:szCs w:val="20"/>
        </w:rPr>
      </w:pPr>
      <w:r>
        <w:rPr>
          <w:sz w:val="20"/>
          <w:szCs w:val="20"/>
        </w:rPr>
        <w:t>Au Maroc, « Amélioration du fonctionnement de la justice au Maroc sur la base des outils développés par la CEPEJ » phase II (novembre 2020-décembre 2021)</w:t>
      </w:r>
    </w:p>
    <w:p w14:paraId="590C5658" w14:textId="77777777" w:rsidR="00C0060D" w:rsidRDefault="00C0060D" w:rsidP="00C0060D">
      <w:pPr>
        <w:pStyle w:val="Default"/>
        <w:jc w:val="both"/>
        <w:rPr>
          <w:sz w:val="20"/>
          <w:szCs w:val="20"/>
        </w:rPr>
      </w:pPr>
    </w:p>
    <w:p w14:paraId="49595572" w14:textId="77777777" w:rsidR="00C0060D" w:rsidRDefault="00C0060D" w:rsidP="00C0060D">
      <w:pPr>
        <w:pStyle w:val="Default"/>
        <w:numPr>
          <w:ilvl w:val="0"/>
          <w:numId w:val="4"/>
        </w:numPr>
        <w:jc w:val="both"/>
        <w:rPr>
          <w:sz w:val="20"/>
          <w:szCs w:val="20"/>
        </w:rPr>
      </w:pPr>
      <w:r w:rsidRPr="00D54D91">
        <w:rPr>
          <w:sz w:val="20"/>
          <w:szCs w:val="20"/>
        </w:rPr>
        <w:t xml:space="preserve">en </w:t>
      </w:r>
      <w:r>
        <w:rPr>
          <w:sz w:val="20"/>
          <w:szCs w:val="20"/>
        </w:rPr>
        <w:t xml:space="preserve">République de </w:t>
      </w:r>
      <w:r w:rsidRPr="00D54D91">
        <w:rPr>
          <w:sz w:val="20"/>
          <w:szCs w:val="20"/>
        </w:rPr>
        <w:t>Mold</w:t>
      </w:r>
      <w:r>
        <w:rPr>
          <w:sz w:val="20"/>
          <w:szCs w:val="20"/>
        </w:rPr>
        <w:t>o</w:t>
      </w:r>
      <w:r w:rsidRPr="00D54D91">
        <w:rPr>
          <w:sz w:val="20"/>
          <w:szCs w:val="20"/>
        </w:rPr>
        <w:t>v</w:t>
      </w:r>
      <w:r>
        <w:rPr>
          <w:sz w:val="20"/>
          <w:szCs w:val="20"/>
        </w:rPr>
        <w:t>a</w:t>
      </w:r>
      <w:r w:rsidRPr="00D54D91">
        <w:rPr>
          <w:sz w:val="20"/>
          <w:szCs w:val="20"/>
        </w:rPr>
        <w:t> : « Soutien au renforcement de l’efficacité et de la qualité du système judiciaire de la République de Moldova (PGGII) (novembre 2019 – février 2023)</w:t>
      </w:r>
      <w:r>
        <w:rPr>
          <w:sz w:val="20"/>
          <w:szCs w:val="20"/>
        </w:rPr>
        <w:t> ;</w:t>
      </w:r>
    </w:p>
    <w:p w14:paraId="032FCA56" w14:textId="77777777" w:rsidR="00C0060D" w:rsidRDefault="00C0060D" w:rsidP="00C0060D">
      <w:pPr>
        <w:pStyle w:val="ListParagraph"/>
        <w:spacing w:after="0" w:line="240" w:lineRule="auto"/>
        <w:rPr>
          <w:sz w:val="20"/>
          <w:szCs w:val="20"/>
        </w:rPr>
      </w:pPr>
    </w:p>
    <w:p w14:paraId="5B720980" w14:textId="77777777" w:rsidR="00C0060D" w:rsidRPr="00D54D91" w:rsidRDefault="00C0060D" w:rsidP="00C0060D">
      <w:pPr>
        <w:pStyle w:val="Default"/>
        <w:numPr>
          <w:ilvl w:val="0"/>
          <w:numId w:val="4"/>
        </w:numPr>
        <w:jc w:val="both"/>
        <w:rPr>
          <w:sz w:val="20"/>
          <w:szCs w:val="20"/>
        </w:rPr>
      </w:pPr>
      <w:r>
        <w:rPr>
          <w:sz w:val="20"/>
          <w:szCs w:val="20"/>
        </w:rPr>
        <w:t>en République Slovaque, « Soutien continu à un système judiciaire slovaque performant » (DG Reform) (septembre 2019 – novembre 2021)</w:t>
      </w:r>
    </w:p>
    <w:p w14:paraId="40E35F8D" w14:textId="77777777" w:rsidR="00C0060D" w:rsidRDefault="00C0060D" w:rsidP="00C0060D">
      <w:pPr>
        <w:pStyle w:val="Default"/>
        <w:ind w:left="720"/>
        <w:jc w:val="both"/>
        <w:rPr>
          <w:sz w:val="20"/>
          <w:szCs w:val="20"/>
        </w:rPr>
      </w:pPr>
    </w:p>
    <w:p w14:paraId="6DD56BDA" w14:textId="77777777" w:rsidR="00C0060D" w:rsidRDefault="00C0060D" w:rsidP="00C0060D">
      <w:pPr>
        <w:pStyle w:val="Default"/>
        <w:numPr>
          <w:ilvl w:val="0"/>
          <w:numId w:val="4"/>
        </w:numPr>
        <w:jc w:val="both"/>
        <w:rPr>
          <w:sz w:val="20"/>
          <w:szCs w:val="20"/>
        </w:rPr>
      </w:pPr>
      <w:r>
        <w:rPr>
          <w:sz w:val="20"/>
          <w:szCs w:val="20"/>
        </w:rPr>
        <w:t>en Tunisie : « Amélioration du fonctionnement, de la performance et de l’accès à la justice en Tunisie (AP-JUST) (janvier 2019-décembre 2022).</w:t>
      </w:r>
    </w:p>
    <w:p w14:paraId="2F977CE9" w14:textId="77777777" w:rsidR="00C0060D" w:rsidRDefault="00C0060D" w:rsidP="00C0060D">
      <w:pPr>
        <w:pStyle w:val="ListParagraph"/>
        <w:spacing w:after="0" w:line="240" w:lineRule="auto"/>
        <w:rPr>
          <w:sz w:val="20"/>
          <w:szCs w:val="20"/>
        </w:rPr>
      </w:pPr>
    </w:p>
    <w:p w14:paraId="619FD414" w14:textId="77777777" w:rsidR="00C0060D" w:rsidRDefault="00C0060D" w:rsidP="00C0060D">
      <w:pPr>
        <w:pStyle w:val="Default"/>
        <w:numPr>
          <w:ilvl w:val="0"/>
          <w:numId w:val="4"/>
        </w:numPr>
        <w:jc w:val="both"/>
        <w:rPr>
          <w:sz w:val="20"/>
          <w:szCs w:val="20"/>
        </w:rPr>
      </w:pPr>
      <w:r>
        <w:rPr>
          <w:sz w:val="20"/>
          <w:szCs w:val="20"/>
        </w:rPr>
        <w:t>Soutien régional à la consolidation des droits de l’homme, de l’Etat de droit et de la démocratie dans le sud de la Méditerranée (Programme Sud IV) (mars 2020-août 2022)</w:t>
      </w:r>
    </w:p>
    <w:p w14:paraId="4B97F083" w14:textId="77777777" w:rsidR="00C0060D" w:rsidRDefault="00C0060D" w:rsidP="00C0060D">
      <w:pPr>
        <w:pStyle w:val="Default"/>
        <w:ind w:left="720"/>
        <w:jc w:val="both"/>
        <w:rPr>
          <w:sz w:val="20"/>
          <w:szCs w:val="20"/>
        </w:rPr>
      </w:pPr>
    </w:p>
    <w:bookmarkEnd w:id="1"/>
    <w:p w14:paraId="1EF2A4FD" w14:textId="77777777" w:rsidR="00C0060D" w:rsidRPr="004575E5" w:rsidRDefault="00C0060D" w:rsidP="00C0060D">
      <w:pPr>
        <w:tabs>
          <w:tab w:val="num" w:pos="0"/>
        </w:tabs>
        <w:spacing w:after="0" w:line="240" w:lineRule="auto"/>
        <w:jc w:val="both"/>
        <w:rPr>
          <w:rFonts w:ascii="Arial" w:eastAsia="Times New Roman" w:hAnsi="Arial" w:cs="Arial"/>
          <w:b/>
          <w:i/>
          <w:iCs/>
          <w:sz w:val="20"/>
          <w:szCs w:val="20"/>
          <w:lang w:eastAsia="fr-FR"/>
        </w:rPr>
      </w:pPr>
      <w:r w:rsidRPr="004575E5">
        <w:rPr>
          <w:rFonts w:ascii="Arial" w:eastAsia="Times New Roman" w:hAnsi="Arial" w:cs="Arial"/>
          <w:b/>
          <w:i/>
          <w:iCs/>
          <w:sz w:val="20"/>
          <w:szCs w:val="20"/>
          <w:lang w:eastAsia="fr-FR"/>
        </w:rPr>
        <w:t xml:space="preserve">2.7 </w:t>
      </w:r>
      <w:r w:rsidRPr="004575E5">
        <w:rPr>
          <w:rFonts w:ascii="Arial" w:eastAsia="Times New Roman" w:hAnsi="Arial" w:cs="Arial"/>
          <w:b/>
          <w:i/>
          <w:iCs/>
          <w:sz w:val="20"/>
          <w:szCs w:val="20"/>
          <w:lang w:eastAsia="fr-FR"/>
        </w:rPr>
        <w:tab/>
        <w:t xml:space="preserve">Renforcer les relations avec les usagers du système judiciaire et les organismes nationaux et internationaux </w:t>
      </w:r>
    </w:p>
    <w:p w14:paraId="5DB037C1" w14:textId="77777777" w:rsidR="00C0060D" w:rsidRPr="00952806" w:rsidRDefault="00C0060D" w:rsidP="00C0060D">
      <w:pPr>
        <w:pStyle w:val="ListParagraph"/>
        <w:tabs>
          <w:tab w:val="num" w:pos="0"/>
        </w:tabs>
        <w:spacing w:after="0" w:line="240" w:lineRule="auto"/>
        <w:jc w:val="both"/>
        <w:rPr>
          <w:rFonts w:ascii="Arial" w:eastAsia="Times New Roman" w:hAnsi="Arial" w:cs="Arial"/>
          <w:b/>
          <w:sz w:val="20"/>
          <w:szCs w:val="20"/>
          <w:lang w:eastAsia="fr-FR"/>
        </w:rPr>
      </w:pPr>
    </w:p>
    <w:p w14:paraId="4C57C9A5" w14:textId="04AA15C9" w:rsidR="00C0060D" w:rsidRPr="006A66B5" w:rsidRDefault="00C0060D" w:rsidP="00C0060D">
      <w:pPr>
        <w:spacing w:after="0" w:line="240" w:lineRule="auto"/>
        <w:jc w:val="both"/>
        <w:rPr>
          <w:rFonts w:ascii="Arial" w:eastAsia="Times New Roman" w:hAnsi="Arial" w:cs="Arial"/>
          <w:b/>
          <w:i/>
          <w:iCs/>
          <w:sz w:val="20"/>
          <w:szCs w:val="20"/>
          <w:lang w:eastAsia="fr-FR"/>
        </w:rPr>
      </w:pPr>
      <w:r w:rsidRPr="006A66B5">
        <w:rPr>
          <w:rFonts w:ascii="Arial" w:eastAsia="Times New Roman" w:hAnsi="Arial" w:cs="Arial"/>
          <w:b/>
          <w:bCs/>
          <w:i/>
          <w:iCs/>
          <w:sz w:val="20"/>
          <w:szCs w:val="20"/>
          <w:lang w:eastAsia="fr-FR"/>
        </w:rPr>
        <w:t>2.7.1</w:t>
      </w:r>
      <w:r w:rsidRPr="006A66B5">
        <w:rPr>
          <w:rFonts w:ascii="Arial" w:eastAsia="Times New Roman" w:hAnsi="Arial" w:cs="Arial"/>
          <w:b/>
          <w:bCs/>
          <w:i/>
          <w:iCs/>
          <w:sz w:val="20"/>
          <w:szCs w:val="20"/>
          <w:lang w:eastAsia="fr-FR"/>
        </w:rPr>
        <w:tab/>
        <w:t xml:space="preserve">Apporter une expertise spécifique au débat sur le fonctionnement du système judiciaire : offrir à la communauté juridique et judiciaire un espace de réflexion et de propositions et rapprocher les systèmes judiciaires de leurs usagers </w:t>
      </w:r>
      <w:r w:rsidRPr="006A66B5">
        <w:rPr>
          <w:rFonts w:ascii="Arial" w:eastAsia="Times New Roman" w:hAnsi="Arial" w:cs="Arial"/>
          <w:b/>
          <w:i/>
          <w:iCs/>
          <w:sz w:val="20"/>
          <w:szCs w:val="20"/>
          <w:lang w:eastAsia="fr-FR"/>
        </w:rPr>
        <w:t xml:space="preserve"> </w:t>
      </w:r>
    </w:p>
    <w:p w14:paraId="5EDF934F" w14:textId="77777777" w:rsidR="00C0060D" w:rsidRDefault="00C0060D" w:rsidP="00C0060D">
      <w:pPr>
        <w:pStyle w:val="ListParagraph"/>
        <w:spacing w:line="240" w:lineRule="auto"/>
        <w:rPr>
          <w:sz w:val="20"/>
          <w:szCs w:val="20"/>
        </w:rPr>
      </w:pPr>
    </w:p>
    <w:p w14:paraId="42232BC5" w14:textId="77777777" w:rsidR="00C0060D" w:rsidRPr="00C22369" w:rsidRDefault="00C0060D" w:rsidP="00C0060D">
      <w:pPr>
        <w:pStyle w:val="ListParagraph"/>
        <w:numPr>
          <w:ilvl w:val="0"/>
          <w:numId w:val="1"/>
        </w:numPr>
        <w:spacing w:after="0" w:line="240" w:lineRule="auto"/>
        <w:ind w:hanging="720"/>
        <w:jc w:val="both"/>
        <w:rPr>
          <w:sz w:val="20"/>
          <w:szCs w:val="20"/>
        </w:rPr>
      </w:pPr>
      <w:r w:rsidRPr="006A66B5">
        <w:rPr>
          <w:rFonts w:ascii="Arial" w:hAnsi="Arial" w:cs="Arial"/>
          <w:sz w:val="20"/>
          <w:szCs w:val="20"/>
        </w:rPr>
        <w:t>La CEPEJ a continué à développer des relations de travail privilégiées avec d'autres comités du Conseil de l'Europe, tels que les instances consultatives en matière de justice (CCJE, CCPE), les comités normatifs</w:t>
      </w:r>
      <w:r>
        <w:rPr>
          <w:rFonts w:ascii="Arial" w:hAnsi="Arial" w:cs="Arial"/>
          <w:sz w:val="20"/>
          <w:szCs w:val="20"/>
        </w:rPr>
        <w:t>, notamment le CDCJ</w:t>
      </w:r>
      <w:r w:rsidRPr="006A66B5">
        <w:rPr>
          <w:rFonts w:ascii="Arial" w:hAnsi="Arial" w:cs="Arial"/>
          <w:sz w:val="20"/>
          <w:szCs w:val="20"/>
        </w:rPr>
        <w:t xml:space="preserve"> et d'autres instances qui traitent de questions de justice, telles que le Service de l’exécution des arrêts de la CEDH. </w:t>
      </w:r>
    </w:p>
    <w:p w14:paraId="5A52F7E3" w14:textId="77777777" w:rsidR="00C0060D" w:rsidRPr="00C22369" w:rsidRDefault="00C0060D" w:rsidP="00C0060D">
      <w:pPr>
        <w:pStyle w:val="ListParagraph"/>
        <w:spacing w:after="0" w:line="240" w:lineRule="auto"/>
        <w:jc w:val="both"/>
        <w:rPr>
          <w:sz w:val="20"/>
          <w:szCs w:val="20"/>
        </w:rPr>
      </w:pPr>
    </w:p>
    <w:p w14:paraId="3BFC98B4" w14:textId="77777777" w:rsidR="00C0060D" w:rsidRPr="006A66B5" w:rsidRDefault="00C0060D" w:rsidP="00C0060D">
      <w:pPr>
        <w:pStyle w:val="ListParagraph"/>
        <w:numPr>
          <w:ilvl w:val="0"/>
          <w:numId w:val="1"/>
        </w:numPr>
        <w:spacing w:after="0" w:line="240" w:lineRule="auto"/>
        <w:ind w:hanging="720"/>
        <w:jc w:val="both"/>
        <w:rPr>
          <w:sz w:val="20"/>
          <w:szCs w:val="20"/>
        </w:rPr>
      </w:pPr>
      <w:r>
        <w:rPr>
          <w:rFonts w:ascii="Arial" w:hAnsi="Arial" w:cs="Arial"/>
          <w:sz w:val="20"/>
          <w:szCs w:val="20"/>
        </w:rPr>
        <w:t xml:space="preserve">La Journée européenne de la justice a été célébrée autour du 25 octobre dans 17 Etats membres à travers 23 manifestations, malgré les conditions rendues difficiles par la crise sanitaire.  </w:t>
      </w:r>
    </w:p>
    <w:p w14:paraId="647B180A" w14:textId="77777777" w:rsidR="00C0060D" w:rsidRDefault="00C0060D" w:rsidP="00C0060D">
      <w:pPr>
        <w:pStyle w:val="Default"/>
        <w:ind w:left="720"/>
        <w:jc w:val="both"/>
        <w:rPr>
          <w:sz w:val="20"/>
          <w:szCs w:val="20"/>
        </w:rPr>
      </w:pPr>
    </w:p>
    <w:p w14:paraId="615631FD" w14:textId="0C12816F" w:rsidR="00C0060D" w:rsidRDefault="00C0060D" w:rsidP="00C0060D">
      <w:pPr>
        <w:spacing w:after="0" w:line="240" w:lineRule="auto"/>
        <w:jc w:val="both"/>
        <w:rPr>
          <w:rFonts w:ascii="Arial" w:eastAsia="Times New Roman" w:hAnsi="Arial" w:cs="Arial"/>
          <w:b/>
          <w:bCs/>
          <w:i/>
          <w:iCs/>
          <w:sz w:val="20"/>
          <w:szCs w:val="20"/>
          <w:lang w:eastAsia="fr-FR"/>
        </w:rPr>
      </w:pPr>
      <w:r w:rsidRPr="00D54D91">
        <w:rPr>
          <w:rFonts w:ascii="Arial" w:eastAsia="Times New Roman" w:hAnsi="Arial" w:cs="Arial"/>
          <w:b/>
          <w:bCs/>
          <w:i/>
          <w:iCs/>
          <w:sz w:val="20"/>
          <w:szCs w:val="20"/>
          <w:lang w:eastAsia="fr-FR"/>
        </w:rPr>
        <w:t xml:space="preserve">2.7.2. </w:t>
      </w:r>
      <w:r w:rsidR="009C3532">
        <w:rPr>
          <w:rFonts w:ascii="Arial" w:eastAsia="Times New Roman" w:hAnsi="Arial" w:cs="Arial"/>
          <w:b/>
          <w:bCs/>
          <w:i/>
          <w:iCs/>
          <w:sz w:val="20"/>
          <w:szCs w:val="20"/>
          <w:lang w:eastAsia="fr-FR"/>
        </w:rPr>
        <w:tab/>
      </w:r>
      <w:r w:rsidRPr="00D54D91">
        <w:rPr>
          <w:rFonts w:ascii="Arial" w:eastAsia="Times New Roman" w:hAnsi="Arial" w:cs="Arial"/>
          <w:b/>
          <w:bCs/>
          <w:i/>
          <w:iCs/>
          <w:sz w:val="20"/>
          <w:szCs w:val="20"/>
          <w:lang w:eastAsia="fr-FR"/>
        </w:rPr>
        <w:t>Avec certains Etats membres et d’autres partenaires internationaux</w:t>
      </w:r>
    </w:p>
    <w:p w14:paraId="42C8A880" w14:textId="77777777" w:rsidR="00C0060D" w:rsidRPr="00D54D91" w:rsidRDefault="00C0060D" w:rsidP="00C0060D">
      <w:pPr>
        <w:spacing w:after="0" w:line="240" w:lineRule="auto"/>
        <w:jc w:val="both"/>
        <w:rPr>
          <w:rFonts w:ascii="Arial" w:eastAsia="Times New Roman" w:hAnsi="Arial" w:cs="Arial"/>
          <w:b/>
          <w:bCs/>
          <w:i/>
          <w:iCs/>
          <w:sz w:val="20"/>
          <w:szCs w:val="20"/>
          <w:lang w:eastAsia="fr-FR"/>
        </w:rPr>
      </w:pPr>
      <w:r w:rsidRPr="00D54D91">
        <w:rPr>
          <w:rFonts w:ascii="Arial" w:eastAsia="Times New Roman" w:hAnsi="Arial" w:cs="Arial"/>
          <w:b/>
          <w:bCs/>
          <w:i/>
          <w:iCs/>
          <w:sz w:val="20"/>
          <w:szCs w:val="20"/>
          <w:lang w:eastAsia="fr-FR"/>
        </w:rPr>
        <w:t xml:space="preserve"> </w:t>
      </w:r>
    </w:p>
    <w:p w14:paraId="26F51E6D" w14:textId="77777777" w:rsidR="00C0060D" w:rsidRPr="006A66B5" w:rsidRDefault="00C0060D" w:rsidP="00C0060D">
      <w:pPr>
        <w:pStyle w:val="ListParagraph"/>
        <w:numPr>
          <w:ilvl w:val="0"/>
          <w:numId w:val="1"/>
        </w:numPr>
        <w:spacing w:after="0" w:line="240" w:lineRule="auto"/>
        <w:ind w:hanging="720"/>
        <w:jc w:val="both"/>
        <w:rPr>
          <w:sz w:val="20"/>
          <w:szCs w:val="20"/>
        </w:rPr>
      </w:pPr>
      <w:r w:rsidRPr="006A66B5">
        <w:rPr>
          <w:rFonts w:ascii="Arial" w:hAnsi="Arial" w:cs="Arial"/>
          <w:sz w:val="20"/>
          <w:szCs w:val="20"/>
        </w:rPr>
        <w:t xml:space="preserve">La CEPEJ a été représentée par ses membres ou par son Secrétariat en Europe et dans le monde, lors de Conférences qui ont traité de questions intéressant directement le fonctionnement de la justice. Par ailleurs, de nombreux médias européens se réfèrent régulièrement aux travaux de la CEPEJ. Ceci confirme le grand intérêt que les communautés judiciaires européenne et internationales attachent à ses travaux. </w:t>
      </w:r>
    </w:p>
    <w:p w14:paraId="249D12F7" w14:textId="77777777" w:rsidR="00C0060D" w:rsidRPr="007F07D5" w:rsidRDefault="00C0060D" w:rsidP="00C0060D">
      <w:pPr>
        <w:pStyle w:val="Default"/>
        <w:ind w:left="720"/>
        <w:jc w:val="both"/>
        <w:rPr>
          <w:sz w:val="20"/>
          <w:szCs w:val="20"/>
        </w:rPr>
      </w:pPr>
    </w:p>
    <w:p w14:paraId="38ED5FA1" w14:textId="77777777" w:rsidR="00C0060D" w:rsidRPr="00D54D91" w:rsidRDefault="00C0060D" w:rsidP="00C0060D">
      <w:pPr>
        <w:pStyle w:val="ListParagraph"/>
        <w:numPr>
          <w:ilvl w:val="0"/>
          <w:numId w:val="2"/>
        </w:numPr>
        <w:spacing w:after="0" w:line="240" w:lineRule="auto"/>
        <w:ind w:left="0" w:firstLine="0"/>
        <w:jc w:val="both"/>
        <w:rPr>
          <w:rFonts w:ascii="Arial" w:eastAsia="Times New Roman" w:hAnsi="Arial" w:cs="Arial"/>
          <w:b/>
          <w:sz w:val="20"/>
          <w:szCs w:val="20"/>
          <w:lang w:eastAsia="fr-FR"/>
        </w:rPr>
      </w:pPr>
      <w:r w:rsidRPr="00D54D91">
        <w:rPr>
          <w:rFonts w:ascii="Arial" w:eastAsia="Times New Roman" w:hAnsi="Arial" w:cs="Arial"/>
          <w:b/>
          <w:sz w:val="20"/>
          <w:szCs w:val="20"/>
          <w:lang w:eastAsia="fr-FR"/>
        </w:rPr>
        <w:t xml:space="preserve">Outils de communication </w:t>
      </w:r>
    </w:p>
    <w:p w14:paraId="057A6B6C" w14:textId="77777777" w:rsidR="00C0060D" w:rsidRDefault="00C0060D" w:rsidP="00C0060D">
      <w:pPr>
        <w:pStyle w:val="Default"/>
        <w:jc w:val="both"/>
        <w:rPr>
          <w:sz w:val="20"/>
          <w:szCs w:val="20"/>
        </w:rPr>
      </w:pPr>
    </w:p>
    <w:p w14:paraId="4477D019" w14:textId="77777777" w:rsidR="00C0060D" w:rsidRPr="006A66B5" w:rsidRDefault="00C0060D" w:rsidP="00C0060D">
      <w:pPr>
        <w:pStyle w:val="ListParagraph"/>
        <w:numPr>
          <w:ilvl w:val="0"/>
          <w:numId w:val="1"/>
        </w:numPr>
        <w:spacing w:after="0" w:line="240" w:lineRule="auto"/>
        <w:ind w:hanging="720"/>
        <w:jc w:val="both"/>
        <w:rPr>
          <w:sz w:val="20"/>
          <w:szCs w:val="20"/>
        </w:rPr>
      </w:pPr>
      <w:r w:rsidRPr="006A66B5">
        <w:rPr>
          <w:rFonts w:ascii="Arial" w:hAnsi="Arial" w:cs="Arial"/>
          <w:sz w:val="20"/>
          <w:szCs w:val="20"/>
        </w:rPr>
        <w:t xml:space="preserve">Le site internet de la CEPEJ continue de rencontrer un succès confirmé, avec une moyenne de près de 10 000 visiteurs par mois. Le site reste une référence au sein de la communauté judiciaire européenne. La page Facebook de la CEPEJ compte près de 2000 abonnés. </w:t>
      </w:r>
    </w:p>
    <w:p w14:paraId="43771BF5" w14:textId="77777777" w:rsidR="00C0060D" w:rsidRPr="006A66B5" w:rsidRDefault="00C0060D" w:rsidP="00C0060D">
      <w:pPr>
        <w:pStyle w:val="ListParagraph"/>
        <w:spacing w:after="0" w:line="240" w:lineRule="auto"/>
        <w:jc w:val="both"/>
        <w:rPr>
          <w:sz w:val="20"/>
          <w:szCs w:val="20"/>
        </w:rPr>
      </w:pPr>
    </w:p>
    <w:p w14:paraId="4B786DC7" w14:textId="77777777" w:rsidR="00C0060D" w:rsidRPr="006A66B5" w:rsidRDefault="00C0060D" w:rsidP="00C0060D">
      <w:pPr>
        <w:pStyle w:val="ListParagraph"/>
        <w:numPr>
          <w:ilvl w:val="0"/>
          <w:numId w:val="1"/>
        </w:numPr>
        <w:spacing w:after="0" w:line="240" w:lineRule="auto"/>
        <w:ind w:hanging="720"/>
        <w:jc w:val="both"/>
        <w:rPr>
          <w:sz w:val="20"/>
          <w:szCs w:val="20"/>
        </w:rPr>
      </w:pPr>
      <w:r w:rsidRPr="006A66B5">
        <w:rPr>
          <w:rFonts w:ascii="Arial" w:hAnsi="Arial" w:cs="Arial"/>
          <w:sz w:val="20"/>
          <w:szCs w:val="20"/>
        </w:rPr>
        <w:t xml:space="preserve">La CEPEJ a </w:t>
      </w:r>
      <w:r>
        <w:rPr>
          <w:rFonts w:ascii="Arial" w:hAnsi="Arial" w:cs="Arial"/>
          <w:sz w:val="20"/>
          <w:szCs w:val="20"/>
        </w:rPr>
        <w:t>organisé</w:t>
      </w:r>
      <w:r w:rsidRPr="006A66B5">
        <w:rPr>
          <w:rFonts w:ascii="Arial" w:hAnsi="Arial" w:cs="Arial"/>
          <w:sz w:val="20"/>
          <w:szCs w:val="20"/>
        </w:rPr>
        <w:t xml:space="preserve"> la cérémonie de remise du Prix Balance de cristal </w:t>
      </w:r>
      <w:r>
        <w:rPr>
          <w:rFonts w:ascii="Arial" w:hAnsi="Arial" w:cs="Arial"/>
          <w:sz w:val="20"/>
          <w:szCs w:val="20"/>
        </w:rPr>
        <w:t>qui s’est tenue</w:t>
      </w:r>
      <w:r w:rsidRPr="006A66B5">
        <w:rPr>
          <w:rFonts w:ascii="Arial" w:hAnsi="Arial" w:cs="Arial"/>
          <w:sz w:val="20"/>
          <w:szCs w:val="20"/>
        </w:rPr>
        <w:t xml:space="preserve"> à Ljubljana le 1er octobre 2021 </w:t>
      </w:r>
      <w:r>
        <w:rPr>
          <w:rFonts w:ascii="Arial" w:hAnsi="Arial" w:cs="Arial"/>
          <w:sz w:val="20"/>
          <w:szCs w:val="20"/>
        </w:rPr>
        <w:t>suite à l’invitation de</w:t>
      </w:r>
      <w:r w:rsidRPr="006A66B5">
        <w:rPr>
          <w:rFonts w:ascii="Arial" w:hAnsi="Arial" w:cs="Arial"/>
          <w:sz w:val="20"/>
          <w:szCs w:val="20"/>
        </w:rPr>
        <w:t xml:space="preserve"> la Cour Suprême de Slovénie</w:t>
      </w:r>
      <w:r>
        <w:rPr>
          <w:rFonts w:ascii="Arial" w:hAnsi="Arial" w:cs="Arial"/>
          <w:sz w:val="20"/>
          <w:szCs w:val="20"/>
        </w:rPr>
        <w:t>, gagnante de l’édition précédente de ce Prix</w:t>
      </w:r>
      <w:r w:rsidRPr="006A66B5">
        <w:rPr>
          <w:rFonts w:ascii="Arial" w:hAnsi="Arial" w:cs="Arial"/>
          <w:sz w:val="20"/>
          <w:szCs w:val="20"/>
        </w:rPr>
        <w:t xml:space="preserve">. </w:t>
      </w:r>
      <w:r>
        <w:rPr>
          <w:rFonts w:ascii="Arial" w:hAnsi="Arial" w:cs="Arial"/>
          <w:sz w:val="20"/>
          <w:szCs w:val="20"/>
        </w:rPr>
        <w:t>Le Prix a été attribué au</w:t>
      </w:r>
      <w:r w:rsidRPr="006A66B5">
        <w:rPr>
          <w:rFonts w:ascii="Arial" w:hAnsi="Arial" w:cs="Arial"/>
          <w:sz w:val="20"/>
          <w:szCs w:val="20"/>
        </w:rPr>
        <w:t xml:space="preserve"> Ministère de la justice français, </w:t>
      </w:r>
      <w:r>
        <w:rPr>
          <w:rFonts w:ascii="Arial" w:hAnsi="Arial" w:cs="Arial"/>
          <w:sz w:val="20"/>
          <w:szCs w:val="20"/>
        </w:rPr>
        <w:t>pour</w:t>
      </w:r>
      <w:r w:rsidRPr="006A66B5">
        <w:rPr>
          <w:rFonts w:ascii="Arial" w:hAnsi="Arial" w:cs="Arial"/>
          <w:sz w:val="20"/>
          <w:szCs w:val="20"/>
        </w:rPr>
        <w:t xml:space="preserve"> son projet « Dépôt de plainte simplifié à l’hôpital pour les victimes de violences conjugales ». </w:t>
      </w:r>
    </w:p>
    <w:p w14:paraId="66185B15" w14:textId="77777777" w:rsidR="00C0060D" w:rsidRPr="00D950CC" w:rsidRDefault="00C0060D" w:rsidP="00C0060D">
      <w:pPr>
        <w:spacing w:after="0" w:line="240" w:lineRule="auto"/>
        <w:jc w:val="both"/>
        <w:rPr>
          <w:sz w:val="20"/>
          <w:szCs w:val="20"/>
        </w:rPr>
      </w:pPr>
    </w:p>
    <w:p w14:paraId="5D586706" w14:textId="77777777" w:rsidR="00532C8F" w:rsidRPr="00C0060D" w:rsidRDefault="00532C8F" w:rsidP="00C0060D"/>
    <w:sectPr w:rsidR="00532C8F" w:rsidRPr="00C0060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835F" w14:textId="77777777" w:rsidR="00E2772D" w:rsidRDefault="00E2772D" w:rsidP="005B620B">
      <w:pPr>
        <w:spacing w:after="0" w:line="240" w:lineRule="auto"/>
      </w:pPr>
      <w:r>
        <w:separator/>
      </w:r>
    </w:p>
  </w:endnote>
  <w:endnote w:type="continuationSeparator" w:id="0">
    <w:p w14:paraId="21C3FAC5" w14:textId="77777777" w:rsidR="00E2772D" w:rsidRDefault="00E2772D" w:rsidP="005B6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170517"/>
      <w:docPartObj>
        <w:docPartGallery w:val="Page Numbers (Bottom of Page)"/>
        <w:docPartUnique/>
      </w:docPartObj>
    </w:sdtPr>
    <w:sdtEndPr>
      <w:rPr>
        <w:rFonts w:ascii="Arial" w:hAnsi="Arial" w:cs="Arial"/>
        <w:sz w:val="20"/>
        <w:szCs w:val="20"/>
      </w:rPr>
    </w:sdtEndPr>
    <w:sdtContent>
      <w:p w14:paraId="394BEC92" w14:textId="77777777" w:rsidR="0095772F" w:rsidRPr="00136CD0" w:rsidRDefault="00211F9A">
        <w:pPr>
          <w:pStyle w:val="Footer"/>
          <w:jc w:val="center"/>
          <w:rPr>
            <w:rFonts w:ascii="Arial" w:hAnsi="Arial" w:cs="Arial"/>
            <w:sz w:val="20"/>
            <w:szCs w:val="20"/>
          </w:rPr>
        </w:pPr>
        <w:r w:rsidRPr="00136CD0">
          <w:rPr>
            <w:rFonts w:ascii="Arial" w:hAnsi="Arial" w:cs="Arial"/>
            <w:sz w:val="20"/>
            <w:szCs w:val="20"/>
          </w:rPr>
          <w:fldChar w:fldCharType="begin"/>
        </w:r>
        <w:r w:rsidRPr="00136CD0">
          <w:rPr>
            <w:rFonts w:ascii="Arial" w:hAnsi="Arial" w:cs="Arial"/>
            <w:sz w:val="20"/>
            <w:szCs w:val="20"/>
          </w:rPr>
          <w:instrText>PAGE   \* MERGEFORMAT</w:instrText>
        </w:r>
        <w:r w:rsidRPr="00136CD0">
          <w:rPr>
            <w:rFonts w:ascii="Arial" w:hAnsi="Arial" w:cs="Arial"/>
            <w:sz w:val="20"/>
            <w:szCs w:val="20"/>
          </w:rPr>
          <w:fldChar w:fldCharType="separate"/>
        </w:r>
        <w:r w:rsidRPr="00136CD0">
          <w:rPr>
            <w:rFonts w:ascii="Arial" w:hAnsi="Arial" w:cs="Arial"/>
            <w:sz w:val="20"/>
            <w:szCs w:val="20"/>
          </w:rPr>
          <w:t>2</w:t>
        </w:r>
        <w:r w:rsidRPr="00136CD0">
          <w:rPr>
            <w:rFonts w:ascii="Arial" w:hAnsi="Arial" w:cs="Arial"/>
            <w:sz w:val="20"/>
            <w:szCs w:val="20"/>
          </w:rPr>
          <w:fldChar w:fldCharType="end"/>
        </w:r>
      </w:p>
    </w:sdtContent>
  </w:sdt>
  <w:p w14:paraId="30BF8112" w14:textId="77777777" w:rsidR="0095772F" w:rsidRDefault="00E27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63AF8" w14:textId="77777777" w:rsidR="00E2772D" w:rsidRDefault="00E2772D" w:rsidP="005B620B">
      <w:pPr>
        <w:spacing w:after="0" w:line="240" w:lineRule="auto"/>
      </w:pPr>
      <w:r>
        <w:separator/>
      </w:r>
    </w:p>
  </w:footnote>
  <w:footnote w:type="continuationSeparator" w:id="0">
    <w:p w14:paraId="23FC5956" w14:textId="77777777" w:rsidR="00E2772D" w:rsidRDefault="00E2772D" w:rsidP="005B620B">
      <w:pPr>
        <w:spacing w:after="0" w:line="240" w:lineRule="auto"/>
      </w:pPr>
      <w:r>
        <w:continuationSeparator/>
      </w:r>
    </w:p>
  </w:footnote>
  <w:footnote w:id="1">
    <w:p w14:paraId="2406F0AD" w14:textId="77777777" w:rsidR="00C0060D" w:rsidRDefault="00C0060D" w:rsidP="00C0060D">
      <w:pPr>
        <w:pStyle w:val="FootnoteText"/>
        <w:jc w:val="both"/>
      </w:pPr>
      <w:r>
        <w:rPr>
          <w:rStyle w:val="FootnoteReference"/>
        </w:rPr>
        <w:footnoteRef/>
      </w:r>
      <w:r>
        <w:rPr>
          <w:rFonts w:ascii="Arial" w:hAnsi="Arial" w:cs="Arial"/>
          <w:sz w:val="16"/>
          <w:szCs w:val="16"/>
        </w:rPr>
        <w:t xml:space="preserve"> </w:t>
      </w:r>
      <w:r w:rsidRPr="006A66B5">
        <w:rPr>
          <w:rFonts w:ascii="Arial" w:hAnsi="Arial" w:cs="Arial"/>
          <w:sz w:val="16"/>
          <w:szCs w:val="16"/>
        </w:rPr>
        <w:t>Cette désignation est sans préjudice des positions sur le statut et est conforme à la résolution 1244 du Conseil de sécurité des Nations unies, ainsi qu'à l'avis de la CIJ sur la Déclaration d'Indépendance du Kosovo.</w:t>
      </w:r>
      <w:r>
        <w:rPr>
          <w:rFonts w:ascii="Arial" w:hAnsi="Arial" w:cs="Arial"/>
          <w:sz w:val="18"/>
          <w:szCs w:val="18"/>
        </w:rPr>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1676"/>
    <w:multiLevelType w:val="hybridMultilevel"/>
    <w:tmpl w:val="AC5E400C"/>
    <w:lvl w:ilvl="0" w:tplc="17D6B91A">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14121B6"/>
    <w:multiLevelType w:val="hybridMultilevel"/>
    <w:tmpl w:val="D53AB986"/>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136000CF"/>
    <w:multiLevelType w:val="hybridMultilevel"/>
    <w:tmpl w:val="7F102C4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1FCC1E80"/>
    <w:multiLevelType w:val="hybridMultilevel"/>
    <w:tmpl w:val="8BD041D0"/>
    <w:lvl w:ilvl="0" w:tplc="5246B58C">
      <w:start w:val="15"/>
      <w:numFmt w:val="decimal"/>
      <w:lvlText w:val="%1."/>
      <w:lvlJc w:val="left"/>
      <w:pPr>
        <w:ind w:left="720" w:hanging="360"/>
      </w:pPr>
      <w:rPr>
        <w:rFonts w:eastAsiaTheme="minorHAnsi" w:hint="default"/>
        <w:b w:val="0"/>
        <w:i w:val="0"/>
        <w:color w:val="00000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D9B517C"/>
    <w:multiLevelType w:val="multilevel"/>
    <w:tmpl w:val="A4A4D394"/>
    <w:lvl w:ilvl="0">
      <w:start w:val="1"/>
      <w:numFmt w:val="decimal"/>
      <w:lvlText w:val="%1."/>
      <w:lvlJc w:val="left"/>
      <w:pPr>
        <w:ind w:left="1080" w:hanging="360"/>
      </w:pPr>
      <w:rPr>
        <w:rFonts w:hint="default"/>
      </w:rPr>
    </w:lvl>
    <w:lvl w:ilvl="1">
      <w:start w:val="3"/>
      <w:numFmt w:val="decimal"/>
      <w:isLgl/>
      <w:lvlText w:val="%1.%2."/>
      <w:lvlJc w:val="left"/>
      <w:pPr>
        <w:ind w:left="1272" w:hanging="7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F8C4802"/>
    <w:multiLevelType w:val="hybridMultilevel"/>
    <w:tmpl w:val="EEFE1968"/>
    <w:lvl w:ilvl="0" w:tplc="4F4C9724">
      <w:start w:val="15"/>
      <w:numFmt w:val="decimal"/>
      <w:lvlText w:val="%1."/>
      <w:lvlJc w:val="left"/>
      <w:pPr>
        <w:ind w:left="1440" w:hanging="360"/>
      </w:pPr>
      <w:rPr>
        <w:rFonts w:eastAsiaTheme="minorHAnsi" w:hint="default"/>
        <w:b w:val="0"/>
        <w:i w:val="0"/>
        <w:color w:val="00000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5F6C6DE0"/>
    <w:multiLevelType w:val="multilevel"/>
    <w:tmpl w:val="0F4085D0"/>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1571614"/>
    <w:multiLevelType w:val="hybridMultilevel"/>
    <w:tmpl w:val="393630BE"/>
    <w:lvl w:ilvl="0" w:tplc="E7E0318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6A4F34B6"/>
    <w:multiLevelType w:val="multilevel"/>
    <w:tmpl w:val="0A2A69A6"/>
    <w:lvl w:ilvl="0">
      <w:start w:val="1"/>
      <w:numFmt w:val="decimal"/>
      <w:lvlText w:val="%1."/>
      <w:lvlJc w:val="left"/>
      <w:pPr>
        <w:ind w:left="720" w:hanging="360"/>
      </w:pPr>
      <w:rPr>
        <w:rFonts w:ascii="Arial" w:hAnsi="Arial" w:cs="Arial" w:hint="default"/>
        <w:b w:val="0"/>
        <w:bCs w:val="0"/>
        <w:sz w:val="20"/>
        <w:szCs w:val="2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A210A0A"/>
    <w:multiLevelType w:val="hybridMultilevel"/>
    <w:tmpl w:val="D53AB986"/>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7B1B7B6A"/>
    <w:multiLevelType w:val="hybridMultilevel"/>
    <w:tmpl w:val="79F66AF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1" w15:restartNumberingAfterBreak="0">
    <w:nsid w:val="7C7F5C74"/>
    <w:multiLevelType w:val="hybridMultilevel"/>
    <w:tmpl w:val="A392C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num>
  <w:num w:numId="4">
    <w:abstractNumId w:val="1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8F"/>
    <w:rsid w:val="00057601"/>
    <w:rsid w:val="00057F84"/>
    <w:rsid w:val="00074EC1"/>
    <w:rsid w:val="000A5C15"/>
    <w:rsid w:val="000C47CD"/>
    <w:rsid w:val="000F4A3E"/>
    <w:rsid w:val="00130AFE"/>
    <w:rsid w:val="00134510"/>
    <w:rsid w:val="00134BEF"/>
    <w:rsid w:val="001579B1"/>
    <w:rsid w:val="00197194"/>
    <w:rsid w:val="001D1C3C"/>
    <w:rsid w:val="001E231B"/>
    <w:rsid w:val="00211F9A"/>
    <w:rsid w:val="002450BB"/>
    <w:rsid w:val="00247281"/>
    <w:rsid w:val="00250C2F"/>
    <w:rsid w:val="00250FF1"/>
    <w:rsid w:val="00262701"/>
    <w:rsid w:val="0027153C"/>
    <w:rsid w:val="00271B7A"/>
    <w:rsid w:val="00287B25"/>
    <w:rsid w:val="00335A95"/>
    <w:rsid w:val="00340216"/>
    <w:rsid w:val="003451EA"/>
    <w:rsid w:val="0035323A"/>
    <w:rsid w:val="00390B27"/>
    <w:rsid w:val="003D3115"/>
    <w:rsid w:val="003F7C45"/>
    <w:rsid w:val="00411F41"/>
    <w:rsid w:val="00430893"/>
    <w:rsid w:val="00435C83"/>
    <w:rsid w:val="004575E5"/>
    <w:rsid w:val="00490023"/>
    <w:rsid w:val="00497A61"/>
    <w:rsid w:val="004C7CCC"/>
    <w:rsid w:val="004D5879"/>
    <w:rsid w:val="00532C8F"/>
    <w:rsid w:val="00563A58"/>
    <w:rsid w:val="00576718"/>
    <w:rsid w:val="00592AB0"/>
    <w:rsid w:val="005A300D"/>
    <w:rsid w:val="005B16F9"/>
    <w:rsid w:val="005B620B"/>
    <w:rsid w:val="005C31C6"/>
    <w:rsid w:val="00604310"/>
    <w:rsid w:val="00623709"/>
    <w:rsid w:val="006247AB"/>
    <w:rsid w:val="00636AEB"/>
    <w:rsid w:val="00636E96"/>
    <w:rsid w:val="00643CE2"/>
    <w:rsid w:val="00676550"/>
    <w:rsid w:val="00692667"/>
    <w:rsid w:val="006A66B5"/>
    <w:rsid w:val="006B2D1F"/>
    <w:rsid w:val="006E6924"/>
    <w:rsid w:val="006F7ED0"/>
    <w:rsid w:val="00721DE1"/>
    <w:rsid w:val="00734A58"/>
    <w:rsid w:val="00784443"/>
    <w:rsid w:val="00795D48"/>
    <w:rsid w:val="007A578B"/>
    <w:rsid w:val="007B4E69"/>
    <w:rsid w:val="007F07D5"/>
    <w:rsid w:val="008074BA"/>
    <w:rsid w:val="008157DA"/>
    <w:rsid w:val="00826BE9"/>
    <w:rsid w:val="00864DBE"/>
    <w:rsid w:val="00873CE7"/>
    <w:rsid w:val="008C4F8E"/>
    <w:rsid w:val="008C5729"/>
    <w:rsid w:val="008C5FBB"/>
    <w:rsid w:val="008D00EF"/>
    <w:rsid w:val="008F52A5"/>
    <w:rsid w:val="009024E8"/>
    <w:rsid w:val="00906383"/>
    <w:rsid w:val="009203D8"/>
    <w:rsid w:val="00931A1C"/>
    <w:rsid w:val="009370C3"/>
    <w:rsid w:val="00937917"/>
    <w:rsid w:val="00952806"/>
    <w:rsid w:val="0096648E"/>
    <w:rsid w:val="009845BC"/>
    <w:rsid w:val="00994435"/>
    <w:rsid w:val="009B467B"/>
    <w:rsid w:val="009C3532"/>
    <w:rsid w:val="009D1C54"/>
    <w:rsid w:val="009E7087"/>
    <w:rsid w:val="009F0F17"/>
    <w:rsid w:val="009F6592"/>
    <w:rsid w:val="00A01A73"/>
    <w:rsid w:val="00A207CC"/>
    <w:rsid w:val="00A46C2F"/>
    <w:rsid w:val="00A660DA"/>
    <w:rsid w:val="00B12B02"/>
    <w:rsid w:val="00B24245"/>
    <w:rsid w:val="00B257F4"/>
    <w:rsid w:val="00B523DE"/>
    <w:rsid w:val="00B52A69"/>
    <w:rsid w:val="00B9009F"/>
    <w:rsid w:val="00B9212B"/>
    <w:rsid w:val="00BA0899"/>
    <w:rsid w:val="00BA27E9"/>
    <w:rsid w:val="00BF4C1E"/>
    <w:rsid w:val="00BF686C"/>
    <w:rsid w:val="00C0060D"/>
    <w:rsid w:val="00C04AC7"/>
    <w:rsid w:val="00C22369"/>
    <w:rsid w:val="00C70994"/>
    <w:rsid w:val="00CA77F0"/>
    <w:rsid w:val="00CF1E26"/>
    <w:rsid w:val="00D0364E"/>
    <w:rsid w:val="00D31448"/>
    <w:rsid w:val="00D36348"/>
    <w:rsid w:val="00D477B2"/>
    <w:rsid w:val="00D54D91"/>
    <w:rsid w:val="00D66C59"/>
    <w:rsid w:val="00D70BAC"/>
    <w:rsid w:val="00D9250F"/>
    <w:rsid w:val="00D950CC"/>
    <w:rsid w:val="00DD2C02"/>
    <w:rsid w:val="00E018B1"/>
    <w:rsid w:val="00E2772D"/>
    <w:rsid w:val="00E61FFD"/>
    <w:rsid w:val="00E768BC"/>
    <w:rsid w:val="00F20E56"/>
    <w:rsid w:val="00F21597"/>
    <w:rsid w:val="00F24FC5"/>
    <w:rsid w:val="00F33539"/>
    <w:rsid w:val="00F35F20"/>
    <w:rsid w:val="00F464AF"/>
    <w:rsid w:val="00F82B1F"/>
    <w:rsid w:val="00FF0A46"/>
    <w:rsid w:val="00FF70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F8190"/>
  <w15:chartTrackingRefBased/>
  <w15:docId w15:val="{08264674-5D49-48E3-8BC0-A9239392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6AE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B620B"/>
    <w:rPr>
      <w:color w:val="0000FF"/>
      <w:u w:val="single"/>
    </w:rPr>
  </w:style>
  <w:style w:type="character" w:styleId="Strong">
    <w:name w:val="Strong"/>
    <w:basedOn w:val="DefaultParagraphFont"/>
    <w:uiPriority w:val="22"/>
    <w:qFormat/>
    <w:rsid w:val="005B620B"/>
    <w:rPr>
      <w:b/>
      <w:bCs/>
    </w:rPr>
  </w:style>
  <w:style w:type="character" w:styleId="FollowedHyperlink">
    <w:name w:val="FollowedHyperlink"/>
    <w:basedOn w:val="DefaultParagraphFont"/>
    <w:uiPriority w:val="99"/>
    <w:semiHidden/>
    <w:unhideWhenUsed/>
    <w:rsid w:val="005B620B"/>
    <w:rPr>
      <w:color w:val="954F72" w:themeColor="followedHyperlink"/>
      <w:u w:val="single"/>
    </w:rPr>
  </w:style>
  <w:style w:type="paragraph" w:styleId="FootnoteText">
    <w:name w:val="footnote text"/>
    <w:basedOn w:val="Normal"/>
    <w:link w:val="FootnoteTextChar"/>
    <w:uiPriority w:val="99"/>
    <w:semiHidden/>
    <w:unhideWhenUsed/>
    <w:rsid w:val="005B62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620B"/>
    <w:rPr>
      <w:sz w:val="20"/>
      <w:szCs w:val="20"/>
    </w:rPr>
  </w:style>
  <w:style w:type="character" w:styleId="FootnoteReference">
    <w:name w:val="footnote reference"/>
    <w:basedOn w:val="DefaultParagraphFont"/>
    <w:uiPriority w:val="99"/>
    <w:semiHidden/>
    <w:unhideWhenUsed/>
    <w:rsid w:val="005B620B"/>
    <w:rPr>
      <w:vertAlign w:val="superscript"/>
    </w:rPr>
  </w:style>
  <w:style w:type="paragraph" w:styleId="ListParagraph">
    <w:name w:val="List Paragraph"/>
    <w:basedOn w:val="Normal"/>
    <w:link w:val="ListParagraphChar"/>
    <w:uiPriority w:val="34"/>
    <w:qFormat/>
    <w:rsid w:val="005B620B"/>
    <w:pPr>
      <w:ind w:left="720"/>
      <w:contextualSpacing/>
    </w:pPr>
  </w:style>
  <w:style w:type="character" w:customStyle="1" w:styleId="ListParagraphChar">
    <w:name w:val="List Paragraph Char"/>
    <w:basedOn w:val="DefaultParagraphFont"/>
    <w:link w:val="ListParagraph"/>
    <w:uiPriority w:val="34"/>
    <w:locked/>
    <w:rsid w:val="00057601"/>
  </w:style>
  <w:style w:type="paragraph" w:styleId="NormalWeb">
    <w:name w:val="Normal (Web)"/>
    <w:basedOn w:val="Normal"/>
    <w:uiPriority w:val="99"/>
    <w:unhideWhenUsed/>
    <w:rsid w:val="00D31448"/>
    <w:pPr>
      <w:spacing w:before="100" w:beforeAutospacing="1" w:after="100" w:afterAutospacing="1" w:line="240" w:lineRule="auto"/>
    </w:pPr>
    <w:rPr>
      <w:rFonts w:ascii="Calibri" w:hAnsi="Calibri" w:cs="Calibri"/>
      <w:lang w:eastAsia="fr-FR"/>
    </w:rPr>
  </w:style>
  <w:style w:type="character" w:styleId="CommentReference">
    <w:name w:val="annotation reference"/>
    <w:basedOn w:val="DefaultParagraphFont"/>
    <w:uiPriority w:val="99"/>
    <w:semiHidden/>
    <w:unhideWhenUsed/>
    <w:rsid w:val="0035323A"/>
    <w:rPr>
      <w:sz w:val="16"/>
      <w:szCs w:val="16"/>
    </w:rPr>
  </w:style>
  <w:style w:type="paragraph" w:styleId="CommentText">
    <w:name w:val="annotation text"/>
    <w:basedOn w:val="Normal"/>
    <w:link w:val="CommentTextChar"/>
    <w:uiPriority w:val="99"/>
    <w:semiHidden/>
    <w:unhideWhenUsed/>
    <w:rsid w:val="0035323A"/>
    <w:pPr>
      <w:spacing w:line="240" w:lineRule="auto"/>
    </w:pPr>
    <w:rPr>
      <w:sz w:val="20"/>
      <w:szCs w:val="20"/>
    </w:rPr>
  </w:style>
  <w:style w:type="character" w:customStyle="1" w:styleId="CommentTextChar">
    <w:name w:val="Comment Text Char"/>
    <w:basedOn w:val="DefaultParagraphFont"/>
    <w:link w:val="CommentText"/>
    <w:uiPriority w:val="99"/>
    <w:semiHidden/>
    <w:rsid w:val="0035323A"/>
    <w:rPr>
      <w:sz w:val="20"/>
      <w:szCs w:val="20"/>
    </w:rPr>
  </w:style>
  <w:style w:type="paragraph" w:styleId="CommentSubject">
    <w:name w:val="annotation subject"/>
    <w:basedOn w:val="CommentText"/>
    <w:next w:val="CommentText"/>
    <w:link w:val="CommentSubjectChar"/>
    <w:uiPriority w:val="99"/>
    <w:semiHidden/>
    <w:unhideWhenUsed/>
    <w:rsid w:val="00490023"/>
    <w:rPr>
      <w:b/>
      <w:bCs/>
    </w:rPr>
  </w:style>
  <w:style w:type="character" w:customStyle="1" w:styleId="CommentSubjectChar">
    <w:name w:val="Comment Subject Char"/>
    <w:basedOn w:val="CommentTextChar"/>
    <w:link w:val="CommentSubject"/>
    <w:uiPriority w:val="99"/>
    <w:semiHidden/>
    <w:rsid w:val="00490023"/>
    <w:rPr>
      <w:b/>
      <w:bCs/>
      <w:sz w:val="20"/>
      <w:szCs w:val="20"/>
    </w:rPr>
  </w:style>
  <w:style w:type="character" w:styleId="UnresolvedMention">
    <w:name w:val="Unresolved Mention"/>
    <w:basedOn w:val="DefaultParagraphFont"/>
    <w:uiPriority w:val="99"/>
    <w:semiHidden/>
    <w:unhideWhenUsed/>
    <w:rsid w:val="00994435"/>
    <w:rPr>
      <w:color w:val="605E5C"/>
      <w:shd w:val="clear" w:color="auto" w:fill="E1DFDD"/>
    </w:rPr>
  </w:style>
  <w:style w:type="paragraph" w:styleId="Footer">
    <w:name w:val="footer"/>
    <w:basedOn w:val="Normal"/>
    <w:link w:val="FooterChar"/>
    <w:uiPriority w:val="99"/>
    <w:unhideWhenUsed/>
    <w:rsid w:val="00C006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572818">
      <w:bodyDiv w:val="1"/>
      <w:marLeft w:val="0"/>
      <w:marRight w:val="0"/>
      <w:marTop w:val="0"/>
      <w:marBottom w:val="0"/>
      <w:divBdr>
        <w:top w:val="none" w:sz="0" w:space="0" w:color="auto"/>
        <w:left w:val="none" w:sz="0" w:space="0" w:color="auto"/>
        <w:bottom w:val="none" w:sz="0" w:space="0" w:color="auto"/>
        <w:right w:val="none" w:sz="0" w:space="0" w:color="auto"/>
      </w:divBdr>
    </w:div>
    <w:div w:id="741609685">
      <w:bodyDiv w:val="1"/>
      <w:marLeft w:val="0"/>
      <w:marRight w:val="0"/>
      <w:marTop w:val="0"/>
      <w:marBottom w:val="0"/>
      <w:divBdr>
        <w:top w:val="none" w:sz="0" w:space="0" w:color="auto"/>
        <w:left w:val="none" w:sz="0" w:space="0" w:color="auto"/>
        <w:bottom w:val="none" w:sz="0" w:space="0" w:color="auto"/>
        <w:right w:val="none" w:sz="0" w:space="0" w:color="auto"/>
      </w:divBdr>
    </w:div>
    <w:div w:id="1556503434">
      <w:bodyDiv w:val="1"/>
      <w:marLeft w:val="0"/>
      <w:marRight w:val="0"/>
      <w:marTop w:val="0"/>
      <w:marBottom w:val="0"/>
      <w:divBdr>
        <w:top w:val="none" w:sz="0" w:space="0" w:color="auto"/>
        <w:left w:val="none" w:sz="0" w:space="0" w:color="auto"/>
        <w:bottom w:val="none" w:sz="0" w:space="0" w:color="auto"/>
        <w:right w:val="none" w:sz="0" w:space="0" w:color="auto"/>
      </w:divBdr>
    </w:div>
    <w:div w:id="1716586359">
      <w:bodyDiv w:val="1"/>
      <w:marLeft w:val="0"/>
      <w:marRight w:val="0"/>
      <w:marTop w:val="0"/>
      <w:marBottom w:val="0"/>
      <w:divBdr>
        <w:top w:val="none" w:sz="0" w:space="0" w:color="auto"/>
        <w:left w:val="none" w:sz="0" w:space="0" w:color="auto"/>
        <w:bottom w:val="none" w:sz="0" w:space="0" w:color="auto"/>
        <w:right w:val="none" w:sz="0" w:space="0" w:color="auto"/>
      </w:divBdr>
      <w:divsChild>
        <w:div w:id="1219393574">
          <w:marLeft w:val="0"/>
          <w:marRight w:val="0"/>
          <w:marTop w:val="0"/>
          <w:marBottom w:val="0"/>
          <w:divBdr>
            <w:top w:val="single" w:sz="6" w:space="6" w:color="D6D6D6"/>
            <w:left w:val="single" w:sz="6" w:space="18" w:color="D6D6D6"/>
            <w:bottom w:val="single" w:sz="6" w:space="6" w:color="D6D6D6"/>
            <w:right w:val="single" w:sz="6" w:space="18" w:color="D6D6D6"/>
          </w:divBdr>
          <w:divsChild>
            <w:div w:id="1045642179">
              <w:marLeft w:val="0"/>
              <w:marRight w:val="0"/>
              <w:marTop w:val="0"/>
              <w:marBottom w:val="0"/>
              <w:divBdr>
                <w:top w:val="none" w:sz="0" w:space="0" w:color="auto"/>
                <w:left w:val="none" w:sz="0" w:space="0" w:color="auto"/>
                <w:bottom w:val="none" w:sz="0" w:space="0" w:color="auto"/>
                <w:right w:val="none" w:sz="0" w:space="0" w:color="auto"/>
              </w:divBdr>
              <w:divsChild>
                <w:div w:id="167918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9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coe.int/cepej-2019-19-progactiv-2020-2021-f-final-10-decembre-2019-cs/1680993c7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e.int/CEPEJ"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F412F0F5D93C40AF45DB173BED0D23" ma:contentTypeVersion="0" ma:contentTypeDescription="Create a new document." ma:contentTypeScope="" ma:versionID="7d8e0af1b4d30f7de048d76a0ea4de1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9DCEE8-5768-4911-B302-829BECCBF8F4}">
  <ds:schemaRefs>
    <ds:schemaRef ds:uri="http://schemas.microsoft.com/sharepoint/v3/contenttype/forms"/>
  </ds:schemaRefs>
</ds:datastoreItem>
</file>

<file path=customXml/itemProps2.xml><?xml version="1.0" encoding="utf-8"?>
<ds:datastoreItem xmlns:ds="http://schemas.openxmlformats.org/officeDocument/2006/customXml" ds:itemID="{BF0ED0CC-BE5D-483F-BA99-F5959B24DB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4903CE-D6B8-46F5-AF77-D648BF693E0B}">
  <ds:schemaRefs>
    <ds:schemaRef ds:uri="http://schemas.openxmlformats.org/officeDocument/2006/bibliography"/>
  </ds:schemaRefs>
</ds:datastoreItem>
</file>

<file path=customXml/itemProps4.xml><?xml version="1.0" encoding="utf-8"?>
<ds:datastoreItem xmlns:ds="http://schemas.openxmlformats.org/officeDocument/2006/customXml" ds:itemID="{0547A790-CCE0-41CD-8418-F728DF64F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3548</Words>
  <Characters>19516</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FAURE Clemence</dc:creator>
  <cp:keywords/>
  <dc:description/>
  <cp:lastModifiedBy>VOELKEL Ioana</cp:lastModifiedBy>
  <cp:revision>6</cp:revision>
  <cp:lastPrinted>2022-08-30T15:20:00Z</cp:lastPrinted>
  <dcterms:created xsi:type="dcterms:W3CDTF">2022-06-27T10:49:00Z</dcterms:created>
  <dcterms:modified xsi:type="dcterms:W3CDTF">2022-09-02T07:50:00Z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0x01010092F412F0F5D93C40AF45DB173BED0D23</vt:lpwstr>
  </property>
</Properties>
</file>