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54A32DC7"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5827FF"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60338B4" w14:textId="12D2E250" w:rsidR="003122C0" w:rsidRPr="00C11BC1" w:rsidRDefault="004A5722">
            <w:pPr>
              <w:rPr>
                <w:rFonts w:ascii="Tahoma" w:hAnsi="Tahoma" w:cs="Tahoma"/>
                <w:caps/>
                <w:color w:val="000000" w:themeColor="text1"/>
                <w:sz w:val="18"/>
                <w:szCs w:val="18"/>
              </w:rPr>
            </w:pPr>
            <w:r w:rsidRPr="00C11BC1">
              <w:rPr>
                <w:rFonts w:ascii="Tahoma" w:hAnsi="Tahoma" w:cs="Tahoma"/>
                <w:caps/>
                <w:color w:val="000000" w:themeColor="text1"/>
                <w:sz w:val="18"/>
                <w:szCs w:val="18"/>
              </w:rPr>
              <w:t>9337/2025/</w:t>
            </w:r>
            <w:r w:rsidR="00C26F11" w:rsidRPr="00C11BC1">
              <w:rPr>
                <w:rFonts w:ascii="Tahoma" w:hAnsi="Tahoma" w:cs="Tahoma"/>
                <w:caps/>
                <w:color w:val="000000" w:themeColor="text1"/>
                <w:sz w:val="18"/>
                <w:szCs w:val="18"/>
              </w:rPr>
              <w:t>1</w:t>
            </w:r>
          </w:p>
        </w:tc>
      </w:tr>
      <w:tr w:rsidR="003122C0" w:rsidRPr="002A092A" w14:paraId="4CE6D2A5"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32003B6" w14:textId="77777777"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E3B1D7B" w14:textId="7458583A" w:rsidR="003122C0" w:rsidRPr="00C11BC1" w:rsidRDefault="007965A2">
            <w:pPr>
              <w:rPr>
                <w:rFonts w:ascii="Tahoma" w:hAnsi="Tahoma" w:cs="Tahoma"/>
                <w:caps/>
                <w:color w:val="000000" w:themeColor="text1"/>
                <w:sz w:val="18"/>
                <w:szCs w:val="18"/>
              </w:rPr>
            </w:pPr>
            <w:r w:rsidRPr="00C11BC1">
              <w:rPr>
                <w:rFonts w:ascii="Tahoma" w:hAnsi="Tahoma" w:cs="Tahoma"/>
                <w:caps/>
                <w:color w:val="000000" w:themeColor="text1"/>
                <w:sz w:val="18"/>
                <w:szCs w:val="18"/>
              </w:rPr>
              <w:t xml:space="preserve">BH 9337, </w:t>
            </w:r>
            <w:r w:rsidR="00244E43" w:rsidRPr="00C11BC1">
              <w:rPr>
                <w:rFonts w:ascii="Tahoma" w:hAnsi="Tahoma" w:cs="Tahoma"/>
                <w:caps/>
                <w:color w:val="000000" w:themeColor="text1"/>
                <w:sz w:val="18"/>
                <w:szCs w:val="18"/>
              </w:rPr>
              <w:t>PMM ID 3948 “Supporting democratic post-war elections in Ukraine - Phase II”</w:t>
            </w:r>
          </w:p>
        </w:tc>
      </w:tr>
      <w:tr w:rsidR="003122C0" w:rsidRPr="002A092A" w14:paraId="554AB642" w14:textId="77777777" w:rsidTr="007D4751">
        <w:trPr>
          <w:trHeight w:val="668"/>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E2BF169" w14:textId="77777777" w:rsidR="003122C0" w:rsidRPr="002A092A" w:rsidRDefault="003122C0">
            <w:pPr>
              <w:jc w:val="right"/>
              <w:rPr>
                <w:rFonts w:ascii="Tahoma" w:hAnsi="Tahoma" w:cs="Tahoma"/>
                <w:color w:val="0070C0"/>
                <w:sz w:val="18"/>
                <w:szCs w:val="18"/>
              </w:rPr>
            </w:pPr>
            <w:r w:rsidRPr="00C11BC1">
              <w:rPr>
                <w:rFonts w:ascii="Tahoma" w:hAnsi="Tahoma" w:cs="Tahoma"/>
                <w:sz w:val="18"/>
                <w:szCs w:val="18"/>
              </w:rPr>
              <w:t>Council of Europe contact</w:t>
            </w:r>
            <w:r w:rsidRPr="002A092A">
              <w:rPr>
                <w:rFonts w:ascii="Tahoma" w:hAnsi="Tahoma" w:cs="Tahoma"/>
                <w:sz w:val="18"/>
                <w:szCs w:val="18"/>
              </w:rPr>
              <w:t xml:space="preserve">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6D93173" w14:textId="32F3DA79" w:rsidR="003122C0" w:rsidRPr="002A092A" w:rsidRDefault="003122C0">
            <w:pPr>
              <w:rPr>
                <w:rFonts w:ascii="Tahoma" w:hAnsi="Tahoma" w:cs="Tahoma"/>
                <w:b/>
                <w:caps/>
                <w:color w:val="000000" w:themeColor="text1"/>
                <w:sz w:val="18"/>
                <w:szCs w:val="18"/>
                <w:highlight w:val="cyan"/>
              </w:rPr>
            </w:pPr>
          </w:p>
        </w:tc>
      </w:tr>
    </w:tbl>
    <w:p w14:paraId="2E3EE5A2" w14:textId="77777777" w:rsidR="000013DF" w:rsidRPr="002A092A" w:rsidRDefault="000013DF" w:rsidP="00E17F6A">
      <w:pPr>
        <w:rPr>
          <w:rFonts w:ascii="Tahoma" w:hAnsi="Tahoma" w:cs="Tahoma"/>
          <w:b/>
          <w:caps/>
          <w:sz w:val="28"/>
          <w:szCs w:val="28"/>
        </w:rPr>
      </w:pPr>
    </w:p>
    <w:p w14:paraId="3DFC41A8"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116FA0A7"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272D940" w14:textId="77777777" w:rsidR="00BD6B89" w:rsidRPr="002A092A" w:rsidRDefault="00BD6B89" w:rsidP="00C20349">
      <w:pPr>
        <w:jc w:val="center"/>
        <w:rPr>
          <w:rFonts w:ascii="Tahoma" w:hAnsi="Tahoma" w:cs="Tahoma"/>
          <w:b/>
          <w:sz w:val="16"/>
          <w:szCs w:val="16"/>
        </w:rPr>
      </w:pPr>
    </w:p>
    <w:p w14:paraId="0B0510AB" w14:textId="193BC3A1" w:rsidR="003840F5" w:rsidRPr="002A092A" w:rsidRDefault="00BD6B89" w:rsidP="008927C5">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w:t>
      </w:r>
      <w:r w:rsidRPr="00AA390B">
        <w:rPr>
          <w:rFonts w:ascii="Tahoma" w:hAnsi="Tahoma" w:cs="Tahoma"/>
          <w:b/>
        </w:rPr>
        <w:t>between the Provider</w:t>
      </w:r>
      <w:r w:rsidR="00141EE1" w:rsidRPr="00AA390B">
        <w:rPr>
          <w:rFonts w:ascii="Tahoma" w:hAnsi="Tahoma" w:cs="Tahoma"/>
          <w:b/>
        </w:rPr>
        <w:t xml:space="preserve"> (as described below,</w:t>
      </w:r>
      <w:r w:rsidRPr="00AA390B">
        <w:rPr>
          <w:rFonts w:ascii="Tahoma" w:hAnsi="Tahoma" w:cs="Tahoma"/>
          <w:b/>
        </w:rPr>
        <w:t xml:space="preserve"> and the Council of Europe</w:t>
      </w:r>
      <w:r w:rsidR="000013DF" w:rsidRPr="00AA390B">
        <w:rPr>
          <w:rFonts w:ascii="Tahoma" w:hAnsi="Tahoma" w:cs="Tahoma"/>
          <w:b/>
          <w:vertAlign w:val="superscript"/>
        </w:rPr>
        <w:footnoteReference w:id="2"/>
      </w:r>
      <w:r w:rsidR="00764810" w:rsidRPr="00AA390B">
        <w:rPr>
          <w:rFonts w:ascii="Tahoma" w:hAnsi="Tahoma" w:cs="Tahoma"/>
          <w:b/>
        </w:rPr>
        <w:t xml:space="preserve"> for the provision of</w:t>
      </w:r>
      <w:r w:rsidRPr="00AA390B">
        <w:rPr>
          <w:rFonts w:ascii="Tahoma" w:hAnsi="Tahoma" w:cs="Tahoma"/>
          <w:b/>
        </w:rPr>
        <w:t xml:space="preserve"> </w:t>
      </w:r>
      <w:r w:rsidR="00244E43" w:rsidRPr="00AA390B">
        <w:rPr>
          <w:rFonts w:ascii="Tahoma" w:hAnsi="Tahoma" w:cs="Tahoma"/>
          <w:b/>
        </w:rPr>
        <w:t>consultancy services on Ukrainian electoral legislation and practice within the framework of implementation of the Council of Europe project “Supporting democratic post-war elections in Ukraine – phase II”.</w:t>
      </w:r>
    </w:p>
    <w:p w14:paraId="5C5D2E3D"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7DC3BAE1" w14:textId="77777777" w:rsidR="00371509" w:rsidRPr="002A092A" w:rsidRDefault="00371509" w:rsidP="00371509">
      <w:pPr>
        <w:rPr>
          <w:rFonts w:ascii="Tahoma" w:hAnsi="Tahoma" w:cs="Tahoma"/>
          <w:b/>
          <w:sz w:val="20"/>
          <w:szCs w:val="20"/>
        </w:rPr>
      </w:pPr>
    </w:p>
    <w:p w14:paraId="58E54DC3"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6FE50DC6"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414E6043"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76CFC394"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1B8EEB6C"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63D4959B" w14:textId="77777777" w:rsidTr="00DC0E1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4EA3C04" w14:textId="77777777" w:rsidR="00AC5668" w:rsidRPr="0035618E" w:rsidRDefault="00AC5668" w:rsidP="00DC0E11">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0D3E9E" w14:textId="77777777" w:rsidR="00AC5668" w:rsidRPr="0035618E" w:rsidRDefault="00AC5668" w:rsidP="00DC0E11">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C281315" w14:textId="77777777" w:rsidR="00AC5668" w:rsidRPr="00DC499F" w:rsidRDefault="00C11BC1" w:rsidP="00DC0E11">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870E4BF" w14:textId="77777777" w:rsidR="00AC5668" w:rsidRPr="00DC499F" w:rsidRDefault="00C11BC1" w:rsidP="00DC0E11">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E043E3D" w14:textId="77777777" w:rsidR="00AC5668" w:rsidRPr="00DC499F" w:rsidRDefault="00C11BC1" w:rsidP="00DC0E11">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07E99406" w14:textId="77777777" w:rsidTr="00DC0E11">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6D7C4747" w14:textId="77777777" w:rsidR="00AC5668" w:rsidRPr="0035618E" w:rsidRDefault="00AC5668" w:rsidP="00DC0E11">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C7652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23816F41"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95C66A" w14:textId="77777777" w:rsidR="00AC5668" w:rsidRPr="0035618E" w:rsidRDefault="00AC5668" w:rsidP="00DC0E11">
            <w:pPr>
              <w:rPr>
                <w:rFonts w:ascii="Tahoma" w:hAnsi="Tahoma" w:cs="Tahoma"/>
                <w:color w:val="000000"/>
                <w:sz w:val="20"/>
                <w:szCs w:val="20"/>
              </w:rPr>
            </w:pPr>
          </w:p>
        </w:tc>
      </w:tr>
      <w:tr w:rsidR="00AC5668" w:rsidRPr="0035618E" w14:paraId="32077C66"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26E0508B"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7EBE57"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758BAEA" w14:textId="77777777" w:rsidR="00AC5668" w:rsidRPr="0035618E" w:rsidRDefault="00AC5668" w:rsidP="00DC0E11">
            <w:pPr>
              <w:rPr>
                <w:rFonts w:ascii="Tahoma" w:hAnsi="Tahoma" w:cs="Tahoma"/>
                <w:sz w:val="20"/>
                <w:szCs w:val="20"/>
              </w:rPr>
            </w:pPr>
          </w:p>
        </w:tc>
      </w:tr>
      <w:tr w:rsidR="00AC5668" w:rsidRPr="0035618E" w14:paraId="70181433"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43C2347"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224CE8"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Representative (for legal persons only)</w:t>
            </w:r>
          </w:p>
          <w:p w14:paraId="28ED52A0" w14:textId="77777777" w:rsidR="00AC5668" w:rsidRPr="00C546D8" w:rsidRDefault="00AC5668" w:rsidP="00DC0E11">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877ECC" w14:textId="77777777" w:rsidR="00AC5668" w:rsidRPr="0035618E" w:rsidRDefault="00AC5668" w:rsidP="00DC0E11">
            <w:pPr>
              <w:rPr>
                <w:rFonts w:ascii="Tahoma" w:hAnsi="Tahoma" w:cs="Tahoma"/>
                <w:sz w:val="20"/>
                <w:szCs w:val="20"/>
              </w:rPr>
            </w:pPr>
          </w:p>
        </w:tc>
      </w:tr>
      <w:tr w:rsidR="00AC5668" w:rsidRPr="0035618E" w14:paraId="4B513551"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6CBDC4A"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CEF526"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Contact person</w:t>
            </w:r>
          </w:p>
          <w:p w14:paraId="5F9F8CB8"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6E6477D" w14:textId="77777777" w:rsidR="00AC5668" w:rsidRPr="0035618E" w:rsidRDefault="00AC5668" w:rsidP="00DC0E11">
            <w:pPr>
              <w:rPr>
                <w:rFonts w:ascii="Tahoma" w:hAnsi="Tahoma" w:cs="Tahoma"/>
                <w:sz w:val="20"/>
                <w:szCs w:val="20"/>
              </w:rPr>
            </w:pPr>
          </w:p>
        </w:tc>
      </w:tr>
      <w:tr w:rsidR="00AC5668" w:rsidRPr="0035618E" w14:paraId="78FD4EDC"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05773308"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ED5BC6"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VAT n° (if any)</w:t>
            </w:r>
          </w:p>
          <w:p w14:paraId="54E698AA"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7B9484" w14:textId="77777777" w:rsidR="00AC5668" w:rsidRPr="0035618E" w:rsidRDefault="00AC5668" w:rsidP="00DC0E11">
            <w:pPr>
              <w:rPr>
                <w:rFonts w:ascii="Tahoma" w:hAnsi="Tahoma" w:cs="Tahoma"/>
                <w:sz w:val="20"/>
                <w:szCs w:val="20"/>
              </w:rPr>
            </w:pPr>
          </w:p>
        </w:tc>
      </w:tr>
      <w:tr w:rsidR="00AC5668" w:rsidRPr="0035618E" w14:paraId="27726392"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28C755FE"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3AC5B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Country and registration n° (if any)</w:t>
            </w:r>
          </w:p>
          <w:p w14:paraId="23BFF285"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C7A785" w14:textId="77777777" w:rsidR="00AC5668" w:rsidRPr="0035618E" w:rsidRDefault="00AC5668" w:rsidP="00DC0E11">
            <w:pPr>
              <w:rPr>
                <w:rFonts w:ascii="Tahoma" w:hAnsi="Tahoma" w:cs="Tahoma"/>
                <w:sz w:val="20"/>
                <w:szCs w:val="20"/>
              </w:rPr>
            </w:pPr>
          </w:p>
        </w:tc>
      </w:tr>
      <w:tr w:rsidR="00AC5668" w:rsidRPr="0035618E" w14:paraId="08FB9480"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A62B21A"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57760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Email (Contact person)</w:t>
            </w:r>
          </w:p>
          <w:p w14:paraId="21579135"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6A6D9B" w14:textId="77777777" w:rsidR="00AC5668" w:rsidRPr="0035618E" w:rsidRDefault="00AC5668" w:rsidP="00DC0E11">
            <w:pPr>
              <w:rPr>
                <w:rFonts w:ascii="Tahoma" w:hAnsi="Tahoma" w:cs="Tahoma"/>
                <w:sz w:val="20"/>
                <w:szCs w:val="20"/>
              </w:rPr>
            </w:pPr>
          </w:p>
        </w:tc>
      </w:tr>
      <w:tr w:rsidR="00AC5668" w:rsidRPr="0035618E" w14:paraId="4BEB2CF7" w14:textId="77777777" w:rsidTr="00DC0E1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67CA707"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2077A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Phone number (Contact person)</w:t>
            </w:r>
          </w:p>
          <w:p w14:paraId="639C3AA1"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22C52" w14:textId="77777777" w:rsidR="00AC5668" w:rsidRPr="0035618E" w:rsidRDefault="00AC5668" w:rsidP="00DC0E11">
            <w:pPr>
              <w:rPr>
                <w:rFonts w:ascii="Tahoma" w:hAnsi="Tahoma" w:cs="Tahoma"/>
                <w:sz w:val="20"/>
                <w:szCs w:val="20"/>
              </w:rPr>
            </w:pPr>
          </w:p>
        </w:tc>
      </w:tr>
      <w:tr w:rsidR="00AC5668" w:rsidRPr="0035618E" w14:paraId="0F6EB5A5" w14:textId="77777777" w:rsidTr="00DC0E1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828DE38" w14:textId="77777777" w:rsidR="00AC5668" w:rsidRPr="0035618E" w:rsidRDefault="00AC5668" w:rsidP="00DC0E11">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2E1BFB1"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5983CFBA"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0C4F819" w14:textId="77777777" w:rsidR="00AC5668" w:rsidRPr="0035618E" w:rsidRDefault="00AC5668" w:rsidP="00DC0E11">
            <w:pPr>
              <w:rPr>
                <w:rFonts w:ascii="Tahoma" w:hAnsi="Tahoma" w:cs="Tahoma"/>
                <w:sz w:val="20"/>
                <w:szCs w:val="20"/>
              </w:rPr>
            </w:pPr>
          </w:p>
        </w:tc>
      </w:tr>
      <w:tr w:rsidR="00AC5668" w:rsidRPr="0035618E" w14:paraId="237B6D5A"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53B3743"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C3C148"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IBAN n°</w:t>
            </w:r>
          </w:p>
          <w:p w14:paraId="4FDACCFC"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(if available)</w:t>
            </w:r>
          </w:p>
          <w:p w14:paraId="17F6B3B2"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E586677"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05FC2EA"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4C56334" w14:textId="77777777" w:rsidR="00AC5668" w:rsidRPr="0035618E" w:rsidRDefault="00AC5668" w:rsidP="00DC0E11">
            <w:pPr>
              <w:rPr>
                <w:rFonts w:ascii="Tahoma" w:hAnsi="Tahoma" w:cs="Tahoma"/>
                <w:sz w:val="20"/>
                <w:szCs w:val="20"/>
              </w:rPr>
            </w:pPr>
          </w:p>
        </w:tc>
      </w:tr>
      <w:tr w:rsidR="00AC5668" w:rsidRPr="0035618E" w14:paraId="51C1FCB4"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11ED6A8"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1DD761"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Bank name</w:t>
            </w:r>
          </w:p>
          <w:p w14:paraId="3EDC70B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and Branch</w:t>
            </w:r>
          </w:p>
          <w:p w14:paraId="29DDEDF6"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FEAE0A"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2678DE6"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BIC/SWIFT Code </w:t>
            </w:r>
          </w:p>
          <w:p w14:paraId="39BB8958"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A90D82C" w14:textId="77777777" w:rsidR="00AC5668" w:rsidRPr="0035618E" w:rsidRDefault="00AC5668" w:rsidP="00DC0E11">
            <w:pPr>
              <w:rPr>
                <w:rFonts w:ascii="Tahoma" w:hAnsi="Tahoma" w:cs="Tahoma"/>
                <w:sz w:val="20"/>
                <w:szCs w:val="20"/>
              </w:rPr>
            </w:pPr>
          </w:p>
        </w:tc>
      </w:tr>
      <w:tr w:rsidR="00AC5668" w:rsidRPr="0035618E" w14:paraId="7DEEB155" w14:textId="77777777" w:rsidTr="00DC0E1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A0874BD" w14:textId="77777777" w:rsidR="00AC5668" w:rsidRPr="0035618E" w:rsidRDefault="00AC5668" w:rsidP="00DC0E1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7326FD"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Bank Address </w:t>
            </w:r>
          </w:p>
          <w:p w14:paraId="49AB97D1"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6EC19F2"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AAC3DC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CCA74C5" w14:textId="77777777" w:rsidR="00AC5668" w:rsidRPr="0035618E" w:rsidRDefault="00AC5668" w:rsidP="00DC0E11">
            <w:pPr>
              <w:rPr>
                <w:rFonts w:ascii="Tahoma" w:hAnsi="Tahoma" w:cs="Tahoma"/>
                <w:sz w:val="20"/>
                <w:szCs w:val="20"/>
              </w:rPr>
            </w:pPr>
          </w:p>
        </w:tc>
      </w:tr>
      <w:bookmarkEnd w:id="0"/>
    </w:tbl>
    <w:p w14:paraId="49160F2D"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8262689" w14:textId="1CF61348" w:rsidR="008927C5" w:rsidRPr="00AA390B" w:rsidRDefault="008927C5" w:rsidP="008927C5">
      <w:pPr>
        <w:spacing w:line="276" w:lineRule="auto"/>
        <w:jc w:val="both"/>
        <w:rPr>
          <w:rFonts w:ascii="Tahoma" w:hAnsi="Tahoma" w:cs="Tahoma"/>
          <w:sz w:val="20"/>
          <w:szCs w:val="20"/>
        </w:rPr>
      </w:pPr>
      <w:r w:rsidRPr="00AA390B">
        <w:rPr>
          <w:rFonts w:ascii="Tahoma" w:hAnsi="Tahoma" w:cs="Tahoma"/>
          <w:sz w:val="20"/>
          <w:szCs w:val="20"/>
        </w:rPr>
        <w:t>Within the framework of the Action Plan for Ukraine</w:t>
      </w:r>
      <w:r w:rsidR="005A4B22" w:rsidRPr="00AA390B">
        <w:rPr>
          <w:rFonts w:ascii="Tahoma" w:hAnsi="Tahoma" w:cs="Tahoma"/>
          <w:sz w:val="20"/>
          <w:szCs w:val="20"/>
        </w:rPr>
        <w:t xml:space="preserve"> “Resilience, Recovery and Reconstruction”</w:t>
      </w:r>
      <w:r w:rsidRPr="00AA390B">
        <w:rPr>
          <w:rFonts w:ascii="Tahoma" w:hAnsi="Tahoma" w:cs="Tahoma"/>
          <w:sz w:val="20"/>
          <w:szCs w:val="20"/>
        </w:rPr>
        <w:t xml:space="preserve"> 2023 – 2026, the Council of Europe is currently implementing until 31 December 2026 a </w:t>
      </w:r>
      <w:r w:rsidR="005A4B22" w:rsidRPr="00AA390B">
        <w:rPr>
          <w:rFonts w:ascii="Tahoma" w:hAnsi="Tahoma" w:cs="Tahoma"/>
          <w:sz w:val="20"/>
          <w:szCs w:val="20"/>
        </w:rPr>
        <w:t>p</w:t>
      </w:r>
      <w:r w:rsidRPr="00AA390B">
        <w:rPr>
          <w:rFonts w:ascii="Tahoma" w:hAnsi="Tahoma" w:cs="Tahoma"/>
          <w:sz w:val="20"/>
          <w:szCs w:val="20"/>
        </w:rPr>
        <w:t xml:space="preserve">roject on “Supporting democratic post-war elections in Ukraine – Phase II” (hereinafter – ‘the Project’) aimed at ensuring that post-war national and local elections and referenda in Ukraine are democratic and held in line with international and European electoral standards and good practices. </w:t>
      </w:r>
    </w:p>
    <w:p w14:paraId="428C26D6" w14:textId="77777777" w:rsidR="00244E43" w:rsidRPr="00AA390B" w:rsidRDefault="00244E43" w:rsidP="00244E43">
      <w:pPr>
        <w:ind w:left="-142"/>
        <w:jc w:val="both"/>
        <w:rPr>
          <w:rFonts w:ascii="Tahoma" w:hAnsi="Tahoma" w:cs="Tahoma"/>
          <w:color w:val="000000" w:themeColor="text1"/>
          <w:sz w:val="20"/>
          <w:szCs w:val="20"/>
        </w:rPr>
      </w:pPr>
    </w:p>
    <w:p w14:paraId="131BDB8E" w14:textId="46DE92FB" w:rsidR="008927C5" w:rsidRPr="00AA390B" w:rsidRDefault="008927C5" w:rsidP="008927C5">
      <w:pPr>
        <w:spacing w:line="276" w:lineRule="auto"/>
        <w:jc w:val="both"/>
        <w:rPr>
          <w:rFonts w:ascii="Tahoma" w:hAnsi="Tahoma" w:cs="Tahoma"/>
          <w:sz w:val="20"/>
          <w:szCs w:val="20"/>
        </w:rPr>
      </w:pPr>
      <w:r w:rsidRPr="00AA390B">
        <w:rPr>
          <w:rFonts w:ascii="Tahoma" w:hAnsi="Tahoma" w:cs="Tahoma"/>
          <w:sz w:val="20"/>
          <w:szCs w:val="20"/>
        </w:rPr>
        <w:t>Project activities are aimed at achieving the following</w:t>
      </w:r>
      <w:r w:rsidR="005A4B22" w:rsidRPr="00AA390B">
        <w:rPr>
          <w:rFonts w:ascii="Tahoma" w:hAnsi="Tahoma" w:cs="Tahoma"/>
          <w:sz w:val="20"/>
          <w:szCs w:val="20"/>
        </w:rPr>
        <w:t xml:space="preserve"> outcomes</w:t>
      </w:r>
      <w:r w:rsidRPr="00AA390B">
        <w:rPr>
          <w:rFonts w:ascii="Tahoma" w:hAnsi="Tahoma" w:cs="Tahoma"/>
          <w:sz w:val="20"/>
          <w:szCs w:val="20"/>
        </w:rPr>
        <w:t xml:space="preserve">: </w:t>
      </w:r>
    </w:p>
    <w:p w14:paraId="2EC28318" w14:textId="77777777" w:rsidR="008927C5" w:rsidRPr="00AA390B" w:rsidRDefault="008927C5" w:rsidP="008927C5">
      <w:pPr>
        <w:spacing w:line="276" w:lineRule="auto"/>
        <w:jc w:val="both"/>
        <w:rPr>
          <w:rFonts w:ascii="Tahoma" w:hAnsi="Tahoma" w:cs="Tahoma"/>
          <w:sz w:val="20"/>
          <w:szCs w:val="20"/>
        </w:rPr>
      </w:pPr>
    </w:p>
    <w:p w14:paraId="772C0582" w14:textId="77777777" w:rsidR="008927C5" w:rsidRPr="00AA390B" w:rsidRDefault="008927C5" w:rsidP="008927C5">
      <w:pPr>
        <w:spacing w:line="276" w:lineRule="auto"/>
        <w:ind w:left="709"/>
        <w:jc w:val="both"/>
        <w:rPr>
          <w:rFonts w:ascii="Tahoma" w:hAnsi="Tahoma" w:cs="Tahoma"/>
          <w:sz w:val="20"/>
          <w:szCs w:val="20"/>
        </w:rPr>
      </w:pPr>
      <w:r w:rsidRPr="00AA390B">
        <w:rPr>
          <w:rFonts w:ascii="Tahoma" w:hAnsi="Tahoma" w:cs="Tahoma"/>
          <w:sz w:val="20"/>
          <w:szCs w:val="20"/>
        </w:rPr>
        <w:t>(1) Central Election Commission and other national authorities concerned incorporate into the national legal framework the criteria and measurable indicators to assess democratic pre-conditions necessary for the organisation and conduct of post-war elections at national and local levels in Ukraine in line with European electoral standards and good practices.</w:t>
      </w:r>
    </w:p>
    <w:p w14:paraId="6EDC4B9A" w14:textId="77777777" w:rsidR="008927C5" w:rsidRPr="00AA390B" w:rsidRDefault="008927C5" w:rsidP="008927C5">
      <w:pPr>
        <w:spacing w:line="276" w:lineRule="auto"/>
        <w:ind w:left="709"/>
        <w:jc w:val="both"/>
        <w:rPr>
          <w:rFonts w:ascii="Tahoma" w:hAnsi="Tahoma" w:cs="Tahoma"/>
          <w:sz w:val="20"/>
          <w:szCs w:val="20"/>
        </w:rPr>
      </w:pPr>
      <w:r w:rsidRPr="00AA390B">
        <w:rPr>
          <w:rFonts w:ascii="Tahoma" w:hAnsi="Tahoma" w:cs="Tahoma"/>
          <w:sz w:val="20"/>
          <w:szCs w:val="20"/>
        </w:rPr>
        <w:t>(2) Central Election Commission develops up-to-date solutions to ensure that first post-war elections in Ukraine are held in line with international electoral standards and good practices.</w:t>
      </w:r>
    </w:p>
    <w:p w14:paraId="144D4B0F" w14:textId="77777777" w:rsidR="008927C5" w:rsidRPr="00AA390B" w:rsidRDefault="008927C5" w:rsidP="008927C5">
      <w:pPr>
        <w:spacing w:line="276" w:lineRule="auto"/>
        <w:ind w:left="709"/>
        <w:jc w:val="both"/>
        <w:rPr>
          <w:rFonts w:ascii="Tahoma" w:hAnsi="Tahoma" w:cs="Tahoma"/>
          <w:sz w:val="20"/>
          <w:szCs w:val="20"/>
        </w:rPr>
      </w:pPr>
      <w:r w:rsidRPr="00AA390B">
        <w:rPr>
          <w:rFonts w:ascii="Tahoma" w:hAnsi="Tahoma" w:cs="Tahoma"/>
          <w:sz w:val="20"/>
          <w:szCs w:val="20"/>
        </w:rPr>
        <w:t>(3) Ukrainian voters within and beyond Ukraine are timely informed on election related and voting procedures via efficient, gender sensitive and inclusive communication led and coordinated by the Central Election Commission during the preparation and all the way to the conduct of the first post-war elections.</w:t>
      </w:r>
    </w:p>
    <w:p w14:paraId="74453884" w14:textId="77777777" w:rsidR="008927C5" w:rsidRPr="00AA390B" w:rsidRDefault="008927C5" w:rsidP="008927C5">
      <w:pPr>
        <w:spacing w:line="276" w:lineRule="auto"/>
        <w:ind w:left="709"/>
        <w:jc w:val="both"/>
        <w:rPr>
          <w:rFonts w:ascii="Tahoma" w:hAnsi="Tahoma" w:cs="Tahoma"/>
          <w:sz w:val="20"/>
          <w:szCs w:val="20"/>
          <w:lang w:val="uk-UA"/>
        </w:rPr>
      </w:pPr>
      <w:r w:rsidRPr="00AA390B">
        <w:rPr>
          <w:rFonts w:ascii="Tahoma" w:hAnsi="Tahoma" w:cs="Tahoma"/>
          <w:sz w:val="20"/>
          <w:szCs w:val="20"/>
        </w:rPr>
        <w:t>(4) Ukrainian voters benefit from a free and safe election process during the first post-war elections, as well as the protection of their electoral rights in line with European electoral standards and good practices.</w:t>
      </w:r>
    </w:p>
    <w:p w14:paraId="74F1DF04" w14:textId="77777777" w:rsidR="00776581" w:rsidRPr="00AA390B" w:rsidRDefault="00776581" w:rsidP="008927C5">
      <w:pPr>
        <w:spacing w:line="276" w:lineRule="auto"/>
        <w:ind w:left="709"/>
        <w:jc w:val="both"/>
        <w:rPr>
          <w:rFonts w:ascii="Tahoma" w:hAnsi="Tahoma" w:cs="Tahoma"/>
          <w:sz w:val="20"/>
          <w:szCs w:val="20"/>
          <w:lang w:val="uk-UA"/>
        </w:rPr>
      </w:pPr>
    </w:p>
    <w:p w14:paraId="14CB4073" w14:textId="1BF1D824" w:rsidR="00244E43" w:rsidRPr="00AA390B" w:rsidRDefault="00244E43" w:rsidP="00244E43">
      <w:pPr>
        <w:ind w:left="-142"/>
        <w:jc w:val="both"/>
        <w:rPr>
          <w:rFonts w:ascii="Tahoma" w:hAnsi="Tahoma" w:cs="Tahoma"/>
          <w:color w:val="000000" w:themeColor="text1"/>
          <w:sz w:val="20"/>
          <w:szCs w:val="20"/>
        </w:rPr>
      </w:pPr>
      <w:r w:rsidRPr="00AA390B">
        <w:rPr>
          <w:rFonts w:ascii="Tahoma" w:hAnsi="Tahoma" w:cs="Tahoma"/>
          <w:color w:val="000000" w:themeColor="text1"/>
          <w:sz w:val="20"/>
          <w:szCs w:val="20"/>
        </w:rPr>
        <w:t xml:space="preserve">The Council of Europe support within the Project will be mainly focused on </w:t>
      </w:r>
      <w:r w:rsidR="005A4B22" w:rsidRPr="00AA390B">
        <w:rPr>
          <w:rFonts w:ascii="Tahoma" w:hAnsi="Tahoma" w:cs="Tahoma"/>
          <w:color w:val="000000" w:themeColor="text1"/>
          <w:sz w:val="20"/>
          <w:szCs w:val="20"/>
        </w:rPr>
        <w:t xml:space="preserve">provision of legal and policy advice, as well as </w:t>
      </w:r>
      <w:r w:rsidRPr="00AA390B">
        <w:rPr>
          <w:rFonts w:ascii="Tahoma" w:hAnsi="Tahoma" w:cs="Tahoma"/>
          <w:color w:val="000000" w:themeColor="text1"/>
          <w:sz w:val="20"/>
          <w:szCs w:val="20"/>
        </w:rPr>
        <w:t>capacity building of electoral stakeholders and public awareness raising about international electoral standards and good practices. In this regard, provision of the Council of Europe expert and methodological support to respective national authorities and civil society is implied.</w:t>
      </w:r>
    </w:p>
    <w:p w14:paraId="54743552" w14:textId="77777777" w:rsidR="00244E43" w:rsidRPr="00AA390B" w:rsidRDefault="00244E43" w:rsidP="00244E43">
      <w:pPr>
        <w:ind w:left="-142"/>
        <w:jc w:val="both"/>
        <w:rPr>
          <w:rFonts w:ascii="Tahoma" w:hAnsi="Tahoma" w:cs="Tahoma"/>
          <w:color w:val="000000" w:themeColor="text1"/>
          <w:sz w:val="20"/>
          <w:szCs w:val="20"/>
        </w:rPr>
      </w:pPr>
    </w:p>
    <w:p w14:paraId="509CE0FF" w14:textId="7362CFEC" w:rsidR="00244E43" w:rsidRPr="00AA390B" w:rsidRDefault="00244E43" w:rsidP="00244E43">
      <w:pPr>
        <w:ind w:left="-142"/>
        <w:jc w:val="both"/>
        <w:rPr>
          <w:rFonts w:ascii="Tahoma" w:hAnsi="Tahoma" w:cs="Tahoma"/>
          <w:sz w:val="20"/>
          <w:szCs w:val="20"/>
        </w:rPr>
      </w:pPr>
      <w:r w:rsidRPr="00AA390B">
        <w:rPr>
          <w:rFonts w:ascii="Tahoma" w:eastAsia="Calibri" w:hAnsi="Tahoma" w:cs="Tahoma"/>
          <w:sz w:val="20"/>
          <w:szCs w:val="20"/>
          <w:lang w:eastAsia="en-US"/>
        </w:rPr>
        <w:t xml:space="preserve">In that context, </w:t>
      </w:r>
      <w:r w:rsidR="005A4B22" w:rsidRPr="00AA390B">
        <w:rPr>
          <w:rFonts w:ascii="Tahoma" w:eastAsia="Calibri" w:hAnsi="Tahoma" w:cs="Tahoma"/>
          <w:sz w:val="20"/>
          <w:szCs w:val="20"/>
          <w:lang w:eastAsia="en-US"/>
        </w:rPr>
        <w:t>t</w:t>
      </w:r>
      <w:r w:rsidRPr="00AA390B">
        <w:rPr>
          <w:rFonts w:ascii="Tahoma" w:eastAsia="Calibri" w:hAnsi="Tahoma" w:cs="Tahoma"/>
          <w:sz w:val="20"/>
          <w:szCs w:val="20"/>
          <w:lang w:eastAsia="en-US"/>
        </w:rPr>
        <w:t xml:space="preserve">he Council of Europe is looking for </w:t>
      </w:r>
      <w:bookmarkStart w:id="1" w:name="_Hlk95318244"/>
      <w:r w:rsidRPr="00AA390B">
        <w:rPr>
          <w:rFonts w:ascii="Tahoma" w:eastAsia="Calibri" w:hAnsi="Tahoma" w:cs="Tahoma"/>
          <w:sz w:val="20"/>
          <w:szCs w:val="20"/>
          <w:lang w:eastAsia="en-US"/>
        </w:rPr>
        <w:t xml:space="preserve">a maximum of </w:t>
      </w:r>
      <w:r w:rsidR="005A4B22" w:rsidRPr="00AA390B">
        <w:rPr>
          <w:rFonts w:ascii="Tahoma" w:eastAsia="Calibri" w:hAnsi="Tahoma" w:cs="Tahoma"/>
          <w:i/>
          <w:sz w:val="20"/>
          <w:szCs w:val="20"/>
          <w:lang w:eastAsia="en-US"/>
        </w:rPr>
        <w:t>fifteen</w:t>
      </w:r>
      <w:r w:rsidRPr="00AA390B">
        <w:rPr>
          <w:rFonts w:ascii="Tahoma" w:eastAsia="Calibri" w:hAnsi="Tahoma" w:cs="Tahoma"/>
          <w:sz w:val="20"/>
          <w:szCs w:val="20"/>
          <w:lang w:eastAsia="en-US"/>
        </w:rPr>
        <w:t xml:space="preserve"> </w:t>
      </w:r>
      <w:bookmarkEnd w:id="1"/>
      <w:r w:rsidRPr="00AA390B">
        <w:rPr>
          <w:rFonts w:ascii="Tahoma" w:eastAsia="Calibri" w:hAnsi="Tahoma" w:cs="Tahoma"/>
          <w:sz w:val="20"/>
          <w:szCs w:val="20"/>
          <w:lang w:eastAsia="en-US"/>
        </w:rPr>
        <w:t>Provider(s)</w:t>
      </w:r>
      <w:r w:rsidR="00032499" w:rsidRPr="00AA390B">
        <w:rPr>
          <w:rFonts w:ascii="Tahoma" w:eastAsia="Calibri" w:hAnsi="Tahoma" w:cs="Tahoma"/>
          <w:sz w:val="20"/>
          <w:szCs w:val="20"/>
          <w:lang w:val="uk-UA" w:eastAsia="en-US"/>
        </w:rPr>
        <w:t xml:space="preserve"> </w:t>
      </w:r>
      <w:r w:rsidRPr="00AA390B">
        <w:rPr>
          <w:rFonts w:ascii="Tahoma" w:hAnsi="Tahoma" w:cs="Tahoma"/>
          <w:sz w:val="20"/>
          <w:szCs w:val="20"/>
        </w:rPr>
        <w:t xml:space="preserve">for the provision of consultancy services on Ukrainian electoral legislation and practice to be requested by the Council on an as needed basis, in compliance with the ordering procedure defined in the Framework Contract. </w:t>
      </w:r>
    </w:p>
    <w:p w14:paraId="00E6E134" w14:textId="77777777" w:rsidR="00244E43" w:rsidRPr="00AA390B" w:rsidRDefault="00244E43" w:rsidP="00244E43">
      <w:pPr>
        <w:ind w:left="-142"/>
        <w:jc w:val="both"/>
        <w:rPr>
          <w:rFonts w:ascii="Tahoma" w:hAnsi="Tahoma" w:cs="Tahoma"/>
          <w:sz w:val="20"/>
          <w:szCs w:val="20"/>
        </w:rPr>
      </w:pPr>
    </w:p>
    <w:p w14:paraId="2B787BBC" w14:textId="77777777" w:rsidR="00244E43" w:rsidRPr="00AA390B" w:rsidRDefault="00244E43" w:rsidP="00244E43">
      <w:pPr>
        <w:spacing w:line="276" w:lineRule="auto"/>
        <w:ind w:left="-142"/>
        <w:jc w:val="both"/>
        <w:rPr>
          <w:rFonts w:ascii="Tahoma" w:hAnsi="Tahoma" w:cs="Tahoma"/>
          <w:sz w:val="20"/>
          <w:szCs w:val="20"/>
        </w:rPr>
      </w:pPr>
      <w:r w:rsidRPr="00AA390B">
        <w:rPr>
          <w:rFonts w:ascii="Tahoma" w:hAnsi="Tahoma" w:cs="Tahoma"/>
          <w:noProof/>
          <w:sz w:val="20"/>
          <w:szCs w:val="20"/>
          <w:lang w:eastAsia="fr-FR"/>
        </w:rPr>
        <w:t>Expert advice and support to be provided on issues related to Ukrainian electoral legislation and practice, may include but not be limited to</w:t>
      </w:r>
      <w:r w:rsidRPr="00AA390B">
        <w:rPr>
          <w:rFonts w:ascii="Tahoma" w:hAnsi="Tahoma" w:cs="Tahoma"/>
          <w:sz w:val="20"/>
          <w:szCs w:val="20"/>
        </w:rPr>
        <w:t>:</w:t>
      </w:r>
    </w:p>
    <w:p w14:paraId="482F9986"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providing legal and policy </w:t>
      </w:r>
      <w:proofErr w:type="gramStart"/>
      <w:r w:rsidRPr="00AA390B">
        <w:rPr>
          <w:rFonts w:ascii="Tahoma" w:hAnsi="Tahoma" w:cs="Tahoma"/>
          <w:sz w:val="20"/>
          <w:szCs w:val="20"/>
        </w:rPr>
        <w:t>advice;</w:t>
      </w:r>
      <w:proofErr w:type="gramEnd"/>
    </w:p>
    <w:p w14:paraId="6521910B" w14:textId="7BBE4308"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assessing and commenting on legal and policy documents, preparing overviews in line with the Council of Europe’s </w:t>
      </w:r>
      <w:r w:rsidR="005A4B22" w:rsidRPr="00AA390B">
        <w:rPr>
          <w:rFonts w:ascii="Tahoma" w:hAnsi="Tahoma" w:cs="Tahoma"/>
          <w:sz w:val="20"/>
          <w:szCs w:val="20"/>
        </w:rPr>
        <w:t xml:space="preserve">electoral </w:t>
      </w:r>
      <w:r w:rsidRPr="00AA390B">
        <w:rPr>
          <w:rFonts w:ascii="Tahoma" w:hAnsi="Tahoma" w:cs="Tahoma"/>
          <w:sz w:val="20"/>
          <w:szCs w:val="20"/>
        </w:rPr>
        <w:t xml:space="preserve">standards and identified good </w:t>
      </w:r>
      <w:proofErr w:type="gramStart"/>
      <w:r w:rsidRPr="00AA390B">
        <w:rPr>
          <w:rFonts w:ascii="Tahoma" w:hAnsi="Tahoma" w:cs="Tahoma"/>
          <w:sz w:val="20"/>
          <w:szCs w:val="20"/>
        </w:rPr>
        <w:t>practices;</w:t>
      </w:r>
      <w:proofErr w:type="gramEnd"/>
    </w:p>
    <w:p w14:paraId="53C62F9B"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preparing analytical reports, assessments and </w:t>
      </w:r>
      <w:proofErr w:type="gramStart"/>
      <w:r w:rsidRPr="00AA390B">
        <w:rPr>
          <w:rFonts w:ascii="Tahoma" w:hAnsi="Tahoma" w:cs="Tahoma"/>
          <w:sz w:val="20"/>
          <w:szCs w:val="20"/>
        </w:rPr>
        <w:t>recommendations;</w:t>
      </w:r>
      <w:proofErr w:type="gramEnd"/>
      <w:r w:rsidRPr="00AA390B">
        <w:rPr>
          <w:rFonts w:ascii="Tahoma" w:hAnsi="Tahoma" w:cs="Tahoma"/>
          <w:sz w:val="20"/>
          <w:szCs w:val="20"/>
        </w:rPr>
        <w:t xml:space="preserve"> </w:t>
      </w:r>
    </w:p>
    <w:p w14:paraId="751D3AA0"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developing policy documents and other </w:t>
      </w:r>
      <w:proofErr w:type="gramStart"/>
      <w:r w:rsidRPr="00AA390B">
        <w:rPr>
          <w:rFonts w:ascii="Tahoma" w:hAnsi="Tahoma" w:cs="Tahoma"/>
          <w:sz w:val="20"/>
          <w:szCs w:val="20"/>
        </w:rPr>
        <w:t>publications;</w:t>
      </w:r>
      <w:proofErr w:type="gramEnd"/>
      <w:r w:rsidRPr="00AA390B">
        <w:rPr>
          <w:rFonts w:ascii="Tahoma" w:hAnsi="Tahoma" w:cs="Tahoma"/>
          <w:sz w:val="20"/>
          <w:szCs w:val="20"/>
        </w:rPr>
        <w:t xml:space="preserve"> </w:t>
      </w:r>
    </w:p>
    <w:p w14:paraId="7D5F0CD9"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developing training courses and </w:t>
      </w:r>
      <w:proofErr w:type="gramStart"/>
      <w:r w:rsidRPr="00AA390B">
        <w:rPr>
          <w:rFonts w:ascii="Tahoma" w:hAnsi="Tahoma" w:cs="Tahoma"/>
          <w:sz w:val="20"/>
          <w:szCs w:val="20"/>
        </w:rPr>
        <w:t>materials;</w:t>
      </w:r>
      <w:proofErr w:type="gramEnd"/>
    </w:p>
    <w:p w14:paraId="427CE36F"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conducting trainings / workshops / </w:t>
      </w:r>
      <w:proofErr w:type="gramStart"/>
      <w:r w:rsidRPr="00AA390B">
        <w:rPr>
          <w:rFonts w:ascii="Tahoma" w:hAnsi="Tahoma" w:cs="Tahoma"/>
          <w:sz w:val="20"/>
          <w:szCs w:val="20"/>
        </w:rPr>
        <w:t>seminars;</w:t>
      </w:r>
      <w:proofErr w:type="gramEnd"/>
    </w:p>
    <w:p w14:paraId="4C2DE3E1"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developing strategies and methodologies, as well as providing follow-up for their </w:t>
      </w:r>
      <w:proofErr w:type="gramStart"/>
      <w:r w:rsidRPr="00AA390B">
        <w:rPr>
          <w:rFonts w:ascii="Tahoma" w:hAnsi="Tahoma" w:cs="Tahoma"/>
          <w:sz w:val="20"/>
          <w:szCs w:val="20"/>
        </w:rPr>
        <w:t>implementation;</w:t>
      </w:r>
      <w:proofErr w:type="gramEnd"/>
    </w:p>
    <w:p w14:paraId="178BFE51"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conducting needs assessment and preparing summary reports on specific </w:t>
      </w:r>
      <w:proofErr w:type="gramStart"/>
      <w:r w:rsidRPr="00AA390B">
        <w:rPr>
          <w:rFonts w:ascii="Tahoma" w:hAnsi="Tahoma" w:cs="Tahoma"/>
          <w:sz w:val="20"/>
          <w:szCs w:val="20"/>
        </w:rPr>
        <w:t>issues;</w:t>
      </w:r>
      <w:proofErr w:type="gramEnd"/>
    </w:p>
    <w:p w14:paraId="7BD9E20E" w14:textId="77777777"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developing content for infographics and other Project’s public awareness raising </w:t>
      </w:r>
      <w:proofErr w:type="gramStart"/>
      <w:r w:rsidRPr="00AA390B">
        <w:rPr>
          <w:rFonts w:ascii="Tahoma" w:hAnsi="Tahoma" w:cs="Tahoma"/>
          <w:sz w:val="20"/>
          <w:szCs w:val="20"/>
        </w:rPr>
        <w:t>materials;</w:t>
      </w:r>
      <w:proofErr w:type="gramEnd"/>
    </w:p>
    <w:p w14:paraId="70C21AB6" w14:textId="35F465FD"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participating in events organi</w:t>
      </w:r>
      <w:r w:rsidR="005A4B22" w:rsidRPr="00AA390B">
        <w:rPr>
          <w:rFonts w:ascii="Tahoma" w:hAnsi="Tahoma" w:cs="Tahoma"/>
          <w:sz w:val="20"/>
          <w:szCs w:val="20"/>
        </w:rPr>
        <w:t>s</w:t>
      </w:r>
      <w:r w:rsidRPr="00AA390B">
        <w:rPr>
          <w:rFonts w:ascii="Tahoma" w:hAnsi="Tahoma" w:cs="Tahoma"/>
          <w:sz w:val="20"/>
          <w:szCs w:val="20"/>
        </w:rPr>
        <w:t xml:space="preserve">ed with the support of the Project (meetings, round tables, workshops, seminars, working groups, trainings, conferences, high level meetings, </w:t>
      </w:r>
      <w:r w:rsidR="005A4B22" w:rsidRPr="00AA390B">
        <w:rPr>
          <w:rFonts w:ascii="Tahoma" w:hAnsi="Tahoma" w:cs="Tahoma"/>
          <w:sz w:val="20"/>
          <w:szCs w:val="20"/>
        </w:rPr>
        <w:t xml:space="preserve">onsite </w:t>
      </w:r>
      <w:r w:rsidRPr="00AA390B">
        <w:rPr>
          <w:rFonts w:ascii="Tahoma" w:hAnsi="Tahoma" w:cs="Tahoma"/>
          <w:sz w:val="20"/>
          <w:szCs w:val="20"/>
        </w:rPr>
        <w:t xml:space="preserve">visits, regional events, online events), preparing and making </w:t>
      </w:r>
      <w:proofErr w:type="gramStart"/>
      <w:r w:rsidRPr="00AA390B">
        <w:rPr>
          <w:rFonts w:ascii="Tahoma" w:hAnsi="Tahoma" w:cs="Tahoma"/>
          <w:sz w:val="20"/>
          <w:szCs w:val="20"/>
        </w:rPr>
        <w:t>presentations;</w:t>
      </w:r>
      <w:proofErr w:type="gramEnd"/>
    </w:p>
    <w:p w14:paraId="61879A0C" w14:textId="2673A128" w:rsidR="00244E43" w:rsidRPr="00AA390B" w:rsidRDefault="00244E43" w:rsidP="00244E43">
      <w:pPr>
        <w:pStyle w:val="ListParagraph"/>
        <w:numPr>
          <w:ilvl w:val="0"/>
          <w:numId w:val="40"/>
        </w:numPr>
        <w:shd w:val="clear" w:color="auto" w:fill="FFFFFF" w:themeFill="background1"/>
        <w:autoSpaceDE w:val="0"/>
        <w:autoSpaceDN w:val="0"/>
        <w:adjustRightInd w:val="0"/>
        <w:spacing w:line="276" w:lineRule="auto"/>
        <w:jc w:val="both"/>
        <w:rPr>
          <w:rFonts w:ascii="Tahoma" w:hAnsi="Tahoma" w:cs="Tahoma"/>
          <w:sz w:val="20"/>
          <w:szCs w:val="20"/>
        </w:rPr>
      </w:pPr>
      <w:r w:rsidRPr="00AA390B">
        <w:rPr>
          <w:rFonts w:ascii="Tahoma" w:hAnsi="Tahoma" w:cs="Tahoma"/>
          <w:sz w:val="20"/>
          <w:szCs w:val="20"/>
        </w:rPr>
        <w:t xml:space="preserve">moderating / facilitating </w:t>
      </w:r>
      <w:r w:rsidR="005A4B22" w:rsidRPr="00AA390B">
        <w:rPr>
          <w:rFonts w:ascii="Tahoma" w:hAnsi="Tahoma" w:cs="Tahoma"/>
          <w:sz w:val="20"/>
          <w:szCs w:val="20"/>
        </w:rPr>
        <w:t xml:space="preserve">thematic </w:t>
      </w:r>
      <w:r w:rsidRPr="00AA390B">
        <w:rPr>
          <w:rFonts w:ascii="Tahoma" w:hAnsi="Tahoma" w:cs="Tahoma"/>
          <w:sz w:val="20"/>
          <w:szCs w:val="20"/>
        </w:rPr>
        <w:t xml:space="preserve">discussions. </w:t>
      </w:r>
    </w:p>
    <w:p w14:paraId="2A2DA7C9" w14:textId="77777777" w:rsidR="00244E43" w:rsidRPr="00AA390B" w:rsidRDefault="00244E43" w:rsidP="00244E43">
      <w:pPr>
        <w:pStyle w:val="ListParagraph"/>
        <w:shd w:val="clear" w:color="auto" w:fill="FFFFFF" w:themeFill="background1"/>
        <w:autoSpaceDE w:val="0"/>
        <w:autoSpaceDN w:val="0"/>
        <w:adjustRightInd w:val="0"/>
        <w:spacing w:line="276" w:lineRule="auto"/>
        <w:ind w:left="1500"/>
        <w:jc w:val="both"/>
        <w:rPr>
          <w:rFonts w:ascii="Tahoma" w:hAnsi="Tahoma" w:cs="Tahoma"/>
          <w:sz w:val="20"/>
          <w:szCs w:val="20"/>
        </w:rPr>
      </w:pPr>
    </w:p>
    <w:p w14:paraId="0605E6EB" w14:textId="1B5F3FF7" w:rsidR="00244E43" w:rsidRPr="00AA390B" w:rsidRDefault="00B60AE3" w:rsidP="00244E43">
      <w:pPr>
        <w:ind w:left="-142"/>
        <w:jc w:val="both"/>
        <w:rPr>
          <w:rFonts w:ascii="Tahoma" w:hAnsi="Tahoma" w:cs="Tahoma"/>
          <w:sz w:val="20"/>
          <w:szCs w:val="20"/>
        </w:rPr>
      </w:pPr>
      <w:r w:rsidRPr="00AA390B">
        <w:rPr>
          <w:rFonts w:ascii="Tahoma" w:hAnsi="Tahoma" w:cs="Tahoma"/>
          <w:sz w:val="20"/>
          <w:szCs w:val="20"/>
        </w:rPr>
        <w:t xml:space="preserve">The above list is not considered exhaustive. The Council reserves the right to request deliverables not explicitly mentioned in the above list of expected </w:t>
      </w:r>
      <w:proofErr w:type="gramStart"/>
      <w:r w:rsidRPr="00AA390B">
        <w:rPr>
          <w:rFonts w:ascii="Tahoma" w:hAnsi="Tahoma" w:cs="Tahoma"/>
          <w:sz w:val="20"/>
          <w:szCs w:val="20"/>
        </w:rPr>
        <w:t>services,</w:t>
      </w:r>
      <w:r w:rsidR="00C26F11" w:rsidRPr="00AA390B">
        <w:rPr>
          <w:rFonts w:ascii="Tahoma" w:hAnsi="Tahoma" w:cs="Tahoma"/>
          <w:sz w:val="20"/>
          <w:szCs w:val="20"/>
        </w:rPr>
        <w:t xml:space="preserve"> </w:t>
      </w:r>
      <w:r w:rsidRPr="00AA390B">
        <w:rPr>
          <w:rFonts w:ascii="Tahoma" w:hAnsi="Tahoma" w:cs="Tahoma"/>
          <w:sz w:val="20"/>
          <w:szCs w:val="20"/>
        </w:rPr>
        <w:t>but</w:t>
      </w:r>
      <w:proofErr w:type="gramEnd"/>
      <w:r w:rsidRPr="00AA390B">
        <w:rPr>
          <w:rFonts w:ascii="Tahoma" w:hAnsi="Tahoma" w:cs="Tahoma"/>
          <w:sz w:val="20"/>
          <w:szCs w:val="20"/>
        </w:rPr>
        <w:t xml:space="preserve"> related to the field of expertise object of the present Framework Contract.</w:t>
      </w:r>
    </w:p>
    <w:p w14:paraId="425F6CE9" w14:textId="77777777" w:rsidR="00B60AE3" w:rsidRPr="00AA390B" w:rsidRDefault="00B60AE3" w:rsidP="00244E43">
      <w:pPr>
        <w:ind w:left="-142"/>
        <w:jc w:val="both"/>
        <w:rPr>
          <w:rFonts w:ascii="Tahoma" w:hAnsi="Tahoma" w:cs="Tahoma"/>
          <w:sz w:val="20"/>
          <w:szCs w:val="20"/>
        </w:rPr>
      </w:pPr>
    </w:p>
    <w:p w14:paraId="15568DD8" w14:textId="77777777" w:rsidR="003F5BE6" w:rsidRPr="002A092A" w:rsidRDefault="003F5BE6" w:rsidP="003F5BE6">
      <w:pPr>
        <w:spacing w:line="276" w:lineRule="auto"/>
        <w:ind w:left="-142"/>
        <w:jc w:val="both"/>
        <w:rPr>
          <w:rFonts w:ascii="Tahoma" w:hAnsi="Tahoma" w:cs="Tahoma"/>
          <w:sz w:val="20"/>
          <w:szCs w:val="20"/>
        </w:rPr>
      </w:pPr>
      <w:r w:rsidRPr="00AA390B">
        <w:rPr>
          <w:rFonts w:ascii="Tahoma" w:hAnsi="Tahoma" w:cs="Tahoma"/>
          <w:sz w:val="20"/>
          <w:szCs w:val="20"/>
        </w:rPr>
        <w:t>Each time an order form is sent, the selected Provider undertakes to take all the necessary measures to send it signed to the Council within 2 (two) working days after its reception.</w:t>
      </w:r>
      <w:r w:rsidRPr="002A092A">
        <w:rPr>
          <w:rFonts w:ascii="Tahoma" w:hAnsi="Tahoma" w:cs="Tahoma"/>
          <w:sz w:val="20"/>
          <w:szCs w:val="20"/>
        </w:rPr>
        <w:t xml:space="preserve"> </w:t>
      </w:r>
    </w:p>
    <w:p w14:paraId="348C41E1" w14:textId="77777777" w:rsidR="003F5BE6" w:rsidRDefault="003F5BE6" w:rsidP="003F5BE6">
      <w:pPr>
        <w:spacing w:line="276" w:lineRule="auto"/>
        <w:ind w:left="-142"/>
        <w:jc w:val="both"/>
        <w:rPr>
          <w:rFonts w:ascii="Tahoma" w:hAnsi="Tahoma" w:cs="Tahoma"/>
          <w:sz w:val="20"/>
          <w:szCs w:val="20"/>
        </w:rPr>
      </w:pPr>
    </w:p>
    <w:p w14:paraId="2C43FD71" w14:textId="77777777" w:rsidR="00C11BC1" w:rsidRPr="002A092A" w:rsidRDefault="00C11BC1" w:rsidP="003F5BE6">
      <w:pPr>
        <w:spacing w:line="276" w:lineRule="auto"/>
        <w:ind w:left="-142"/>
        <w:jc w:val="both"/>
        <w:rPr>
          <w:rFonts w:ascii="Tahoma" w:hAnsi="Tahoma" w:cs="Tahoma"/>
          <w:sz w:val="20"/>
          <w:szCs w:val="20"/>
        </w:rPr>
      </w:pPr>
    </w:p>
    <w:p w14:paraId="05DBD9CC" w14:textId="77777777" w:rsidR="003F5BE6" w:rsidRPr="00AA390B" w:rsidRDefault="003F5BE6" w:rsidP="003F5BE6">
      <w:pPr>
        <w:spacing w:line="276" w:lineRule="auto"/>
        <w:ind w:left="-142"/>
        <w:jc w:val="both"/>
        <w:rPr>
          <w:rFonts w:ascii="Tahoma" w:hAnsi="Tahoma" w:cs="Tahoma"/>
          <w:b/>
          <w:sz w:val="20"/>
          <w:szCs w:val="20"/>
        </w:rPr>
      </w:pPr>
      <w:r w:rsidRPr="00AA390B">
        <w:rPr>
          <w:rFonts w:ascii="Tahoma" w:hAnsi="Tahoma" w:cs="Tahoma"/>
          <w:b/>
          <w:sz w:val="20"/>
          <w:szCs w:val="20"/>
        </w:rPr>
        <w:lastRenderedPageBreak/>
        <w:t>Pooling</w:t>
      </w:r>
    </w:p>
    <w:p w14:paraId="5E3F109E" w14:textId="77777777" w:rsidR="003F5BE6" w:rsidRPr="00AA390B" w:rsidRDefault="003F5BE6" w:rsidP="003F5BE6">
      <w:pPr>
        <w:spacing w:line="276" w:lineRule="auto"/>
        <w:ind w:left="-142"/>
        <w:jc w:val="both"/>
        <w:rPr>
          <w:rFonts w:ascii="Tahoma" w:hAnsi="Tahoma" w:cs="Tahoma"/>
          <w:sz w:val="20"/>
          <w:szCs w:val="20"/>
        </w:rPr>
      </w:pPr>
      <w:r w:rsidRPr="00AA390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346D6F5E" w14:textId="77777777" w:rsidR="003F5BE6" w:rsidRPr="00AA390B" w:rsidRDefault="003F5BE6" w:rsidP="5A0258EF">
      <w:pPr>
        <w:pStyle w:val="Default"/>
        <w:numPr>
          <w:ilvl w:val="0"/>
          <w:numId w:val="5"/>
        </w:numPr>
        <w:ind w:left="567"/>
        <w:rPr>
          <w:rFonts w:ascii="Tahoma" w:hAnsi="Tahoma" w:cs="Tahoma"/>
          <w:sz w:val="20"/>
          <w:szCs w:val="20"/>
          <w:lang w:val="en-GB"/>
        </w:rPr>
      </w:pPr>
      <w:r w:rsidRPr="00AA390B">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AA390B">
        <w:rPr>
          <w:rFonts w:ascii="Tahoma" w:hAnsi="Tahoma" w:cs="Tahoma"/>
          <w:sz w:val="20"/>
          <w:szCs w:val="20"/>
          <w:lang w:val="en-GB"/>
        </w:rPr>
        <w:t>);</w:t>
      </w:r>
      <w:proofErr w:type="gramEnd"/>
    </w:p>
    <w:p w14:paraId="65562730" w14:textId="77777777" w:rsidR="003F5BE6" w:rsidRPr="00AA390B" w:rsidRDefault="003F5BE6" w:rsidP="5A0258EF">
      <w:pPr>
        <w:pStyle w:val="Default"/>
        <w:numPr>
          <w:ilvl w:val="0"/>
          <w:numId w:val="5"/>
        </w:numPr>
        <w:ind w:left="567"/>
        <w:rPr>
          <w:rFonts w:ascii="Tahoma" w:hAnsi="Tahoma" w:cs="Tahoma"/>
          <w:sz w:val="20"/>
          <w:szCs w:val="20"/>
          <w:lang w:val="en-GB"/>
        </w:rPr>
      </w:pPr>
      <w:r w:rsidRPr="00AA390B">
        <w:rPr>
          <w:rFonts w:ascii="Tahoma" w:hAnsi="Tahoma" w:cs="Tahoma"/>
          <w:sz w:val="20"/>
          <w:szCs w:val="20"/>
          <w:lang w:val="en-GB"/>
        </w:rPr>
        <w:t>availability (including, without limitation, capacity to meet required deadlines and, where relevant, geographical location); and</w:t>
      </w:r>
    </w:p>
    <w:p w14:paraId="352A4590" w14:textId="77777777" w:rsidR="003F5BE6" w:rsidRPr="00AA390B" w:rsidRDefault="003F5BE6" w:rsidP="00976B60">
      <w:pPr>
        <w:pStyle w:val="Default"/>
        <w:numPr>
          <w:ilvl w:val="0"/>
          <w:numId w:val="5"/>
        </w:numPr>
        <w:ind w:left="567"/>
        <w:rPr>
          <w:rFonts w:ascii="Tahoma" w:hAnsi="Tahoma" w:cs="Tahoma"/>
          <w:sz w:val="20"/>
          <w:szCs w:val="20"/>
        </w:rPr>
      </w:pPr>
      <w:r w:rsidRPr="00AA390B">
        <w:rPr>
          <w:rFonts w:ascii="Tahoma" w:hAnsi="Tahoma" w:cs="Tahoma"/>
          <w:sz w:val="20"/>
          <w:szCs w:val="20"/>
        </w:rPr>
        <w:t>price.</w:t>
      </w:r>
    </w:p>
    <w:p w14:paraId="31BB7915" w14:textId="719A7142" w:rsidR="003F5BE6" w:rsidRPr="00AA390B" w:rsidRDefault="003F5BE6" w:rsidP="003F5BE6">
      <w:pPr>
        <w:spacing w:line="276" w:lineRule="auto"/>
        <w:ind w:left="-142"/>
        <w:jc w:val="both"/>
        <w:rPr>
          <w:rFonts w:ascii="Tahoma" w:hAnsi="Tahoma" w:cs="Tahoma"/>
          <w:sz w:val="20"/>
          <w:szCs w:val="20"/>
        </w:rPr>
      </w:pPr>
      <w:r w:rsidRPr="00AA390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0020F752" w14:textId="77777777" w:rsidR="003F5BE6" w:rsidRPr="00AA390B" w:rsidRDefault="003F5BE6" w:rsidP="003F5BE6">
      <w:pPr>
        <w:spacing w:line="276" w:lineRule="auto"/>
        <w:ind w:left="-142"/>
        <w:jc w:val="both"/>
        <w:rPr>
          <w:rFonts w:ascii="Tahoma" w:hAnsi="Tahoma" w:cs="Tahoma"/>
          <w:sz w:val="20"/>
          <w:szCs w:val="20"/>
        </w:rPr>
      </w:pPr>
    </w:p>
    <w:p w14:paraId="3729E05D" w14:textId="77777777" w:rsidR="003F5BE6" w:rsidRPr="00AA390B" w:rsidRDefault="003F5BE6" w:rsidP="003F5BE6">
      <w:pPr>
        <w:spacing w:line="276" w:lineRule="auto"/>
        <w:ind w:left="-142"/>
        <w:jc w:val="both"/>
        <w:rPr>
          <w:rFonts w:ascii="Tahoma" w:hAnsi="Tahoma" w:cs="Tahoma"/>
          <w:b/>
          <w:sz w:val="20"/>
          <w:szCs w:val="20"/>
        </w:rPr>
      </w:pPr>
      <w:r w:rsidRPr="00AA390B">
        <w:rPr>
          <w:rFonts w:ascii="Tahoma" w:hAnsi="Tahoma" w:cs="Tahoma"/>
          <w:b/>
          <w:sz w:val="20"/>
          <w:szCs w:val="20"/>
        </w:rPr>
        <w:t>Fees</w:t>
      </w:r>
    </w:p>
    <w:p w14:paraId="5C912307" w14:textId="73780F12" w:rsidR="003F5BE6" w:rsidRPr="002A092A" w:rsidRDefault="003F5BE6" w:rsidP="003F5BE6">
      <w:pPr>
        <w:spacing w:line="276" w:lineRule="auto"/>
        <w:ind w:left="-142"/>
        <w:jc w:val="both"/>
        <w:rPr>
          <w:rFonts w:ascii="Tahoma" w:hAnsi="Tahoma" w:cs="Tahoma"/>
          <w:sz w:val="20"/>
          <w:szCs w:val="20"/>
        </w:rPr>
      </w:pPr>
      <w:r w:rsidRPr="00AA390B">
        <w:rPr>
          <w:rFonts w:ascii="Tahoma" w:hAnsi="Tahoma" w:cs="Tahoma"/>
          <w:sz w:val="20"/>
          <w:szCs w:val="20"/>
        </w:rPr>
        <w:t xml:space="preserve">The fees indicated below will be applicable throughout the duration of the Framework Contract. </w:t>
      </w:r>
      <w:r w:rsidRPr="00C11BC1">
        <w:rPr>
          <w:rFonts w:ascii="Tahoma" w:hAnsi="Tahoma" w:cs="Tahoma"/>
          <w:color w:val="000000"/>
          <w:sz w:val="20"/>
          <w:szCs w:val="20"/>
          <w:lang w:eastAsia="en-US"/>
        </w:rPr>
        <w:t>Prices are indicated</w:t>
      </w:r>
      <w:r w:rsidR="007965A2" w:rsidRPr="00C11BC1">
        <w:rPr>
          <w:rFonts w:ascii="Tahoma" w:hAnsi="Tahoma" w:cs="Tahoma"/>
          <w:color w:val="000000"/>
          <w:sz w:val="20"/>
          <w:szCs w:val="20"/>
          <w:lang w:eastAsia="en-US"/>
        </w:rPr>
        <w:t xml:space="preserve"> in two columns</w:t>
      </w:r>
      <w:r w:rsidR="007965A2" w:rsidRPr="00C11BC1">
        <w:rPr>
          <w:rFonts w:ascii="Tahoma" w:hAnsi="Tahoma" w:cs="Tahoma"/>
          <w:color w:val="000000"/>
          <w:sz w:val="20"/>
          <w:szCs w:val="20"/>
          <w:lang w:val="uk-UA" w:eastAsia="en-US"/>
        </w:rPr>
        <w:t>:</w:t>
      </w:r>
      <w:r w:rsidRPr="00C11BC1">
        <w:rPr>
          <w:rFonts w:ascii="Tahoma" w:hAnsi="Tahoma" w:cs="Tahoma"/>
          <w:color w:val="000000"/>
          <w:sz w:val="20"/>
          <w:szCs w:val="20"/>
          <w:lang w:eastAsia="en-US"/>
        </w:rPr>
        <w:t xml:space="preserve"> in Euros without VAT</w:t>
      </w:r>
      <w:r w:rsidR="007965A2" w:rsidRPr="00C11BC1">
        <w:rPr>
          <w:rFonts w:ascii="Tahoma" w:hAnsi="Tahoma" w:cs="Tahoma"/>
          <w:color w:val="000000"/>
          <w:sz w:val="20"/>
          <w:szCs w:val="20"/>
          <w:lang w:eastAsia="en-US"/>
        </w:rPr>
        <w:t xml:space="preserve"> and in Euros with VAT</w:t>
      </w:r>
      <w:r w:rsidRPr="00C11BC1">
        <w:rPr>
          <w:rFonts w:ascii="Tahoma" w:hAnsi="Tahoma" w:cs="Tahoma"/>
          <w:color w:val="000000"/>
          <w:sz w:val="20"/>
          <w:szCs w:val="20"/>
          <w:lang w:eastAsia="en-US"/>
        </w:rPr>
        <w:t>. For the VAT regime to be mentioned on the invoice(s), please refer to Article 4.2 of the Legal Conditions (See Section C. below).</w:t>
      </w:r>
      <w:r w:rsidRPr="002A092A">
        <w:rPr>
          <w:rFonts w:ascii="Tahoma" w:hAnsi="Tahoma" w:cs="Tahoma"/>
          <w:color w:val="000000"/>
          <w:sz w:val="20"/>
          <w:szCs w:val="20"/>
          <w:lang w:eastAsia="en-US"/>
        </w:rPr>
        <w:t xml:space="preserve"> </w:t>
      </w:r>
    </w:p>
    <w:p w14:paraId="46F9BC2D" w14:textId="77777777" w:rsidR="003F5BE6" w:rsidRPr="002A092A" w:rsidRDefault="003F5BE6" w:rsidP="003F5BE6">
      <w:pPr>
        <w:spacing w:line="276" w:lineRule="auto"/>
        <w:ind w:left="-142"/>
        <w:jc w:val="both"/>
        <w:rPr>
          <w:rFonts w:ascii="Tahoma" w:hAnsi="Tahoma" w:cs="Tahoma"/>
          <w:sz w:val="20"/>
          <w:szCs w:val="20"/>
        </w:rPr>
      </w:pPr>
    </w:p>
    <w:p w14:paraId="75B4F51E"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3A2C79E2"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58241" behindDoc="0" locked="1" layoutInCell="1" allowOverlap="1" wp14:anchorId="51202CAC" wp14:editId="5A5EA64A">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88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6"/>
        <w:gridCol w:w="1406"/>
        <w:gridCol w:w="1418"/>
      </w:tblGrid>
      <w:tr w:rsidR="00697845" w:rsidRPr="002A092A" w14:paraId="7CF7B567" w14:textId="77777777" w:rsidTr="00697845">
        <w:trPr>
          <w:trHeight w:val="688"/>
        </w:trPr>
        <w:tc>
          <w:tcPr>
            <w:tcW w:w="7556" w:type="dxa"/>
            <w:shd w:val="clear" w:color="auto" w:fill="DBE5F1" w:themeFill="accent1" w:themeFillTint="33"/>
            <w:vAlign w:val="center"/>
          </w:tcPr>
          <w:p w14:paraId="6E7B8B52" w14:textId="77777777" w:rsidR="00697845" w:rsidRPr="002A092A" w:rsidRDefault="00697845" w:rsidP="00D50922">
            <w:pPr>
              <w:tabs>
                <w:tab w:val="left" w:pos="0"/>
              </w:tabs>
              <w:spacing w:line="276" w:lineRule="auto"/>
              <w:ind w:left="-142"/>
              <w:jc w:val="center"/>
              <w:rPr>
                <w:rFonts w:ascii="Tahoma" w:hAnsi="Tahoma" w:cs="Tahoma"/>
                <w:b/>
                <w:sz w:val="18"/>
                <w:szCs w:val="18"/>
                <w:lang w:eastAsia="en-US"/>
              </w:rPr>
            </w:pPr>
            <w:bookmarkStart w:id="2" w:name="_Hlk62556255"/>
            <w:bookmarkStart w:id="3" w:name="_Hlk62555567"/>
            <w:r w:rsidRPr="002A092A">
              <w:rPr>
                <w:rFonts w:ascii="Tahoma" w:hAnsi="Tahoma" w:cs="Tahoma"/>
                <w:b/>
                <w:sz w:val="18"/>
                <w:szCs w:val="18"/>
                <w:lang w:eastAsia="en-US"/>
              </w:rPr>
              <w:t xml:space="preserve">Type(s) of Units </w:t>
            </w:r>
            <w:r w:rsidRPr="002A092A">
              <w:rPr>
                <w:b/>
                <w:sz w:val="18"/>
                <w:szCs w:val="18"/>
                <w:lang w:eastAsia="en-US"/>
              </w:rPr>
              <w:t>▼</w:t>
            </w:r>
          </w:p>
        </w:tc>
        <w:tc>
          <w:tcPr>
            <w:tcW w:w="1406" w:type="dxa"/>
            <w:tcBorders>
              <w:bottom w:val="single" w:sz="2" w:space="0" w:color="FF0000"/>
            </w:tcBorders>
            <w:shd w:val="clear" w:color="auto" w:fill="DBE5F1" w:themeFill="accent1" w:themeFillTint="33"/>
            <w:vAlign w:val="center"/>
          </w:tcPr>
          <w:p w14:paraId="149CBE0E" w14:textId="77777777" w:rsidR="00697845" w:rsidRDefault="00697845" w:rsidP="00D50922">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C33DCE6" w14:textId="77777777" w:rsidR="00697845" w:rsidRPr="002A092A" w:rsidRDefault="00697845" w:rsidP="00D50922">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without VAT</w:t>
            </w:r>
          </w:p>
          <w:p w14:paraId="4CAE5E23" w14:textId="77777777" w:rsidR="00697845" w:rsidRPr="002A092A" w:rsidRDefault="00697845" w:rsidP="00D50922">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418" w:type="dxa"/>
            <w:tcBorders>
              <w:bottom w:val="single" w:sz="2" w:space="0" w:color="808080" w:themeColor="background1" w:themeShade="80"/>
            </w:tcBorders>
            <w:shd w:val="clear" w:color="auto" w:fill="DBE5F1" w:themeFill="accent1" w:themeFillTint="33"/>
            <w:vAlign w:val="center"/>
          </w:tcPr>
          <w:p w14:paraId="585E44D9" w14:textId="77777777" w:rsidR="00697845" w:rsidRDefault="00697845" w:rsidP="00D50922">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33841465" w14:textId="77777777" w:rsidR="00697845" w:rsidRDefault="00697845" w:rsidP="00D50922">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with VAT</w:t>
            </w:r>
          </w:p>
          <w:p w14:paraId="6D0F3F2E" w14:textId="77777777" w:rsidR="00697845" w:rsidRPr="002A092A" w:rsidRDefault="00697845" w:rsidP="00D50922">
            <w:pPr>
              <w:spacing w:line="276" w:lineRule="auto"/>
              <w:ind w:left="-142" w:right="-84"/>
              <w:jc w:val="center"/>
              <w:rPr>
                <w:rFonts w:ascii="Tahoma" w:hAnsi="Tahoma" w:cs="Tahoma"/>
                <w:b/>
                <w:sz w:val="18"/>
                <w:szCs w:val="18"/>
                <w:lang w:eastAsia="en-US"/>
              </w:rPr>
            </w:pPr>
            <w:r w:rsidRPr="002A092A">
              <w:rPr>
                <w:b/>
                <w:sz w:val="18"/>
                <w:szCs w:val="18"/>
                <w:lang w:eastAsia="en-US"/>
              </w:rPr>
              <w:t>▼</w:t>
            </w:r>
          </w:p>
        </w:tc>
      </w:tr>
      <w:tr w:rsidR="00697845" w:rsidRPr="002A092A" w14:paraId="4364487C" w14:textId="77777777" w:rsidTr="00697845">
        <w:trPr>
          <w:trHeight w:val="374"/>
        </w:trPr>
        <w:tc>
          <w:tcPr>
            <w:tcW w:w="7556" w:type="dxa"/>
            <w:tcBorders>
              <w:right w:val="single" w:sz="2" w:space="0" w:color="FF0000"/>
            </w:tcBorders>
            <w:shd w:val="clear" w:color="auto" w:fill="F2F2F2" w:themeFill="background1" w:themeFillShade="F2"/>
            <w:vAlign w:val="center"/>
          </w:tcPr>
          <w:p w14:paraId="45F72DA0" w14:textId="77777777" w:rsidR="00697845" w:rsidRPr="002A092A" w:rsidRDefault="00697845" w:rsidP="00D50922">
            <w:pPr>
              <w:spacing w:line="276" w:lineRule="auto"/>
              <w:ind w:left="34"/>
              <w:rPr>
                <w:rFonts w:ascii="Tahoma" w:hAnsi="Tahoma" w:cs="Tahoma"/>
                <w:sz w:val="18"/>
                <w:szCs w:val="18"/>
                <w:highlight w:val="yellow"/>
                <w:lang w:eastAsia="en-US"/>
              </w:rPr>
            </w:pPr>
            <w:r w:rsidRPr="00801C7F">
              <w:rPr>
                <w:rFonts w:ascii="Tahoma" w:hAnsi="Tahoma" w:cs="Tahoma"/>
                <w:sz w:val="18"/>
                <w:szCs w:val="18"/>
                <w:lang w:eastAsia="en-US"/>
              </w:rPr>
              <w:t>Daily fee for consultancy services on</w:t>
            </w:r>
            <w:r>
              <w:rPr>
                <w:rFonts w:ascii="Tahoma" w:hAnsi="Tahoma" w:cs="Tahoma"/>
                <w:sz w:val="18"/>
                <w:szCs w:val="18"/>
                <w:lang w:eastAsia="en-US"/>
              </w:rPr>
              <w:t xml:space="preserve"> Ukrainian electoral legislation and practice</w:t>
            </w:r>
          </w:p>
        </w:tc>
        <w:tc>
          <w:tcPr>
            <w:tcW w:w="14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9E1AAF" w14:textId="77777777" w:rsidR="00697845" w:rsidRPr="002A092A" w:rsidRDefault="00697845" w:rsidP="00D50922">
            <w:pPr>
              <w:spacing w:line="276" w:lineRule="auto"/>
              <w:ind w:left="-142" w:right="-91"/>
              <w:jc w:val="center"/>
              <w:rPr>
                <w:rFonts w:ascii="Tahoma" w:hAnsi="Tahoma" w:cs="Tahoma"/>
                <w:sz w:val="18"/>
                <w:szCs w:val="18"/>
                <w:highlight w:val="yellow"/>
                <w:lang w:eastAsia="en-US"/>
              </w:rPr>
            </w:pPr>
          </w:p>
        </w:tc>
        <w:tc>
          <w:tcPr>
            <w:tcW w:w="141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A7270F5" w14:textId="77777777" w:rsidR="00697845" w:rsidRPr="002A092A" w:rsidRDefault="00697845" w:rsidP="00D50922">
            <w:pPr>
              <w:spacing w:line="276" w:lineRule="auto"/>
              <w:ind w:left="-142" w:right="-91"/>
              <w:rPr>
                <w:rFonts w:ascii="Tahoma" w:hAnsi="Tahoma" w:cs="Tahoma"/>
                <w:sz w:val="18"/>
                <w:szCs w:val="18"/>
                <w:highlight w:val="yellow"/>
                <w:lang w:eastAsia="en-US"/>
              </w:rPr>
            </w:pPr>
          </w:p>
        </w:tc>
      </w:tr>
    </w:tbl>
    <w:p w14:paraId="6CD1AE97" w14:textId="77777777" w:rsidR="00697845" w:rsidRDefault="00697845" w:rsidP="009E64B7">
      <w:pPr>
        <w:ind w:left="-142"/>
        <w:rPr>
          <w:rFonts w:ascii="Tahoma" w:hAnsi="Tahoma" w:cs="Tahoma"/>
          <w:bCs/>
          <w:highlight w:val="cyan"/>
        </w:rPr>
      </w:pPr>
    </w:p>
    <w:p w14:paraId="49098BDA" w14:textId="55CE559D" w:rsidR="009E64B7" w:rsidRPr="004A5722" w:rsidRDefault="009E64B7" w:rsidP="009E64B7">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4A5722" w14:paraId="4EA26D39" w14:textId="77777777" w:rsidTr="00DC0E11">
        <w:tc>
          <w:tcPr>
            <w:tcW w:w="9105" w:type="dxa"/>
            <w:shd w:val="clear" w:color="auto" w:fill="DBE5F1" w:themeFill="accent1" w:themeFillTint="33"/>
            <w:vAlign w:val="center"/>
          </w:tcPr>
          <w:p w14:paraId="0E470696" w14:textId="77777777" w:rsidR="009E64B7" w:rsidRPr="004A5722" w:rsidRDefault="009E64B7" w:rsidP="00DC0E11">
            <w:pPr>
              <w:spacing w:before="120" w:after="120"/>
              <w:rPr>
                <w:rFonts w:ascii="Tahoma" w:hAnsi="Tahoma" w:cs="Tahoma"/>
                <w:sz w:val="20"/>
                <w:szCs w:val="20"/>
              </w:rPr>
            </w:pPr>
            <w:r w:rsidRPr="004A5722">
              <w:rPr>
                <w:rFonts w:ascii="Tahoma" w:hAnsi="Tahoma" w:cs="Tahoma"/>
                <w:sz w:val="20"/>
                <w:szCs w:val="20"/>
              </w:rPr>
              <w:t>This Framework Contract</w:t>
            </w:r>
            <w:r w:rsidRPr="004A5722">
              <w:rPr>
                <w:rFonts w:ascii="Tahoma" w:eastAsia="Calibri" w:hAnsi="Tahoma" w:cs="Tahoma"/>
                <w:sz w:val="20"/>
                <w:szCs w:val="20"/>
                <w:lang w:val="en-US" w:eastAsia="en-US"/>
              </w:rPr>
              <w:t xml:space="preserve"> takes effect as from the date of its signature by both parties and is</w:t>
            </w:r>
            <w:r w:rsidRPr="004A572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61516A42BD6415B85E0D36FF6D0140B"/>
              </w:placeholder>
              <w:date w:fullDate="2026-12-31T00:00:00Z">
                <w:dateFormat w:val="dd/MM/yyyy"/>
                <w:lid w:val="fr-FR"/>
                <w:storeMappedDataAs w:val="dateTime"/>
                <w:calendar w:val="gregorian"/>
              </w:date>
            </w:sdtPr>
            <w:sdtEndPr>
              <w:rPr>
                <w:rStyle w:val="Style71"/>
              </w:rPr>
            </w:sdtEndPr>
            <w:sdtContent>
              <w:p w14:paraId="55D45A8B" w14:textId="3E50647D" w:rsidR="009E64B7" w:rsidRPr="004A5722" w:rsidRDefault="004A5722" w:rsidP="00DC0E11">
                <w:pPr>
                  <w:spacing w:before="120" w:after="120"/>
                  <w:rPr>
                    <w:rFonts w:ascii="Tahoma" w:hAnsi="Tahoma" w:cs="Tahoma"/>
                    <w:sz w:val="20"/>
                    <w:szCs w:val="20"/>
                  </w:rPr>
                </w:pPr>
                <w:r w:rsidRPr="004A5722">
                  <w:rPr>
                    <w:rStyle w:val="Style71"/>
                    <w:rFonts w:ascii="Tahoma" w:hAnsi="Tahoma" w:cs="Tahoma"/>
                    <w:szCs w:val="20"/>
                  </w:rPr>
                  <w:t>31/12/2026</w:t>
                </w:r>
              </w:p>
            </w:sdtContent>
          </w:sdt>
        </w:tc>
      </w:tr>
      <w:tr w:rsidR="009E64B7" w:rsidRPr="00026E8A" w14:paraId="60C43027" w14:textId="77777777" w:rsidTr="00DC0E11">
        <w:tc>
          <w:tcPr>
            <w:tcW w:w="9105" w:type="dxa"/>
            <w:shd w:val="clear" w:color="auto" w:fill="DBE5F1" w:themeFill="accent1" w:themeFillTint="33"/>
            <w:vAlign w:val="center"/>
          </w:tcPr>
          <w:p w14:paraId="4844FEAB" w14:textId="77777777" w:rsidR="009E64B7" w:rsidRPr="004A5722" w:rsidRDefault="009E64B7" w:rsidP="00DC0E11">
            <w:pPr>
              <w:spacing w:before="120" w:after="120"/>
              <w:rPr>
                <w:rFonts w:ascii="Tahoma" w:hAnsi="Tahoma" w:cs="Tahoma"/>
                <w:sz w:val="20"/>
                <w:szCs w:val="20"/>
              </w:rPr>
            </w:pPr>
            <w:r w:rsidRPr="004A572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DB146C157C1E43BAA2399A62EDF81C5C"/>
              </w:placeholder>
              <w:date w:fullDate="2027-12-31T00:00:00Z">
                <w:dateFormat w:val="dd/MM/yyyy"/>
                <w:lid w:val="fr-FR"/>
                <w:storeMappedDataAs w:val="dateTime"/>
                <w:calendar w:val="gregorian"/>
              </w:date>
            </w:sdtPr>
            <w:sdtEndPr>
              <w:rPr>
                <w:rStyle w:val="Style71"/>
              </w:rPr>
            </w:sdtEndPr>
            <w:sdtContent>
              <w:p w14:paraId="19EAD398" w14:textId="10E5B1C5" w:rsidR="009E64B7" w:rsidRPr="004A5722" w:rsidRDefault="004A5722" w:rsidP="00DC0E11">
                <w:pPr>
                  <w:spacing w:before="120" w:after="120"/>
                  <w:rPr>
                    <w:rStyle w:val="Style71"/>
                    <w:rFonts w:ascii="Tahoma" w:hAnsi="Tahoma" w:cs="Tahoma"/>
                  </w:rPr>
                </w:pPr>
                <w:r w:rsidRPr="004A5722">
                  <w:rPr>
                    <w:rStyle w:val="Style71"/>
                    <w:rFonts w:ascii="Tahoma" w:hAnsi="Tahoma" w:cs="Tahoma"/>
                    <w:szCs w:val="20"/>
                  </w:rPr>
                  <w:t>31/12/2027</w:t>
                </w:r>
              </w:p>
            </w:sdtContent>
          </w:sdt>
        </w:tc>
      </w:tr>
      <w:bookmarkEnd w:id="2"/>
      <w:bookmarkEnd w:id="3"/>
    </w:tbl>
    <w:p w14:paraId="2586FCB4" w14:textId="77777777" w:rsidR="003F5BE6" w:rsidRPr="002A092A" w:rsidRDefault="003F5BE6" w:rsidP="003F5BE6">
      <w:pPr>
        <w:spacing w:before="60" w:after="120"/>
        <w:ind w:left="-142"/>
        <w:rPr>
          <w:rFonts w:ascii="Tahoma" w:hAnsi="Tahoma" w:cs="Tahoma"/>
          <w:b/>
        </w:rPr>
      </w:pPr>
    </w:p>
    <w:p w14:paraId="46993D5D" w14:textId="77777777" w:rsidR="003F5BE6" w:rsidRPr="002A092A" w:rsidRDefault="003F5BE6" w:rsidP="003F5BE6">
      <w:pPr>
        <w:ind w:left="-142"/>
        <w:rPr>
          <w:rFonts w:ascii="Tahoma" w:hAnsi="Tahoma" w:cs="Tahoma"/>
          <w:b/>
        </w:rPr>
      </w:pPr>
      <w:r w:rsidRPr="002A092A">
        <w:rPr>
          <w:rFonts w:ascii="Tahoma" w:hAnsi="Tahoma" w:cs="Tahoma"/>
          <w:b/>
        </w:rPr>
        <w:br w:type="page"/>
      </w:r>
    </w:p>
    <w:p w14:paraId="7FD3E68F"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F40EA9D"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875942D"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51C26806"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2A1D9AC1"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4CC69928"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79EE7276" w14:textId="77777777"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4BAA1E64" w14:textId="77777777"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85CB02D" w14:textId="77777777"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76DFA3FB" w14:textId="77777777"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04DF4">
        <w:rPr>
          <w:rFonts w:ascii="Tahoma" w:hAnsi="Tahoma" w:cs="Tahoma"/>
          <w:sz w:val="20"/>
          <w:szCs w:val="20"/>
        </w:rPr>
        <w:t>procedure;</w:t>
      </w:r>
      <w:proofErr w:type="gramEnd"/>
    </w:p>
    <w:p w14:paraId="0EBD6013"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121B7FB6"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A75F5">
        <w:rPr>
          <w:rFonts w:ascii="Tahoma" w:hAnsi="Tahoma" w:cs="Tahoma"/>
          <w:sz w:val="20"/>
          <w:szCs w:val="20"/>
        </w:rPr>
        <w:t>,</w:t>
      </w:r>
      <w:r w:rsidR="00D35205" w:rsidRPr="00CA75F5">
        <w:rPr>
          <w:rFonts w:ascii="Tahoma" w:hAnsi="Tahoma" w:cs="Tahoma"/>
          <w:sz w:val="20"/>
          <w:szCs w:val="20"/>
        </w:rPr>
        <w:t xml:space="preserve"> </w:t>
      </w:r>
      <w:r w:rsidR="00A8391C" w:rsidRPr="00CA75F5">
        <w:rPr>
          <w:rFonts w:ascii="Tahoma" w:hAnsi="Tahoma" w:cs="Tahoma"/>
          <w:sz w:val="20"/>
          <w:szCs w:val="20"/>
        </w:rPr>
        <w:t>inclusion in the lists of persons or entities subject to restrictive measures applied by the</w:t>
      </w:r>
      <w:r w:rsidR="00A502A9" w:rsidRPr="00CA75F5">
        <w:rPr>
          <w:rFonts w:ascii="Tahoma" w:hAnsi="Tahoma" w:cs="Tahoma"/>
          <w:sz w:val="20"/>
          <w:szCs w:val="20"/>
        </w:rPr>
        <w:t xml:space="preserve"> United Nations Security Council or the</w:t>
      </w:r>
      <w:r w:rsidR="00A8391C" w:rsidRPr="00CA75F5">
        <w:rPr>
          <w:rFonts w:ascii="Tahoma" w:hAnsi="Tahoma" w:cs="Tahoma"/>
          <w:sz w:val="20"/>
          <w:szCs w:val="20"/>
        </w:rPr>
        <w:t xml:space="preserve"> European </w:t>
      </w:r>
      <w:proofErr w:type="gramStart"/>
      <w:r w:rsidR="00A8391C" w:rsidRPr="00CA75F5">
        <w:rPr>
          <w:rFonts w:ascii="Tahoma" w:hAnsi="Tahoma" w:cs="Tahoma"/>
          <w:sz w:val="20"/>
          <w:szCs w:val="20"/>
        </w:rPr>
        <w:t>Union;</w:t>
      </w:r>
      <w:proofErr w:type="gramEnd"/>
    </w:p>
    <w:p w14:paraId="43FF358B"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30B5F9D4" w14:textId="77777777" w:rsidR="00E81D73" w:rsidRPr="002A092A" w:rsidRDefault="00E81D73" w:rsidP="003A0F5F">
      <w:pPr>
        <w:tabs>
          <w:tab w:val="left" w:pos="142"/>
          <w:tab w:val="left" w:pos="426"/>
        </w:tabs>
        <w:ind w:left="-426"/>
        <w:jc w:val="both"/>
        <w:rPr>
          <w:rFonts w:ascii="Tahoma" w:hAnsi="Tahoma" w:cs="Tahoma"/>
          <w:sz w:val="20"/>
          <w:szCs w:val="20"/>
        </w:rPr>
      </w:pPr>
    </w:p>
    <w:p w14:paraId="503DF5CF" w14:textId="77777777"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740BDE16" w14:textId="77777777" w:rsidR="003A0F5F" w:rsidRPr="002A092A" w:rsidRDefault="003A0F5F" w:rsidP="003A0F5F">
      <w:pPr>
        <w:tabs>
          <w:tab w:val="left" w:pos="142"/>
          <w:tab w:val="left" w:pos="426"/>
        </w:tabs>
        <w:ind w:left="-426"/>
        <w:jc w:val="both"/>
        <w:rPr>
          <w:rFonts w:ascii="Tahoma" w:hAnsi="Tahoma" w:cs="Tahoma"/>
          <w:sz w:val="20"/>
          <w:szCs w:val="20"/>
        </w:rPr>
      </w:pPr>
    </w:p>
    <w:p w14:paraId="0653F4AC"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1E3C9F" wp14:editId="2F089480">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C5E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0E98A3D8" w14:textId="77777777" w:rsidTr="00DC0E11">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DDE1591" w14:textId="77777777" w:rsidR="00AC5668" w:rsidRPr="0035618E" w:rsidRDefault="00AC5668" w:rsidP="00DC0E11">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BEE4686"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Provider</w:t>
            </w:r>
          </w:p>
          <w:p w14:paraId="6F145D44" w14:textId="77777777" w:rsidR="00AC5668" w:rsidRPr="0035618E" w:rsidRDefault="00AC5668" w:rsidP="00DC0E11">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B4AEAB1" w14:textId="77777777" w:rsidR="00AC5668" w:rsidRPr="0035618E" w:rsidRDefault="00AC5668" w:rsidP="00DC0E11">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41A8536"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8"/>
            </w:r>
          </w:p>
          <w:p w14:paraId="0875144E" w14:textId="77777777" w:rsidR="00AC5668" w:rsidRPr="0035618E" w:rsidRDefault="00AC5668" w:rsidP="00DC0E11">
            <w:pPr>
              <w:ind w:left="-284"/>
              <w:jc w:val="center"/>
              <w:rPr>
                <w:rFonts w:ascii="Tahoma" w:hAnsi="Tahoma" w:cs="Tahoma"/>
                <w:sz w:val="20"/>
                <w:szCs w:val="20"/>
              </w:rPr>
            </w:pPr>
            <w:r w:rsidRPr="0035618E">
              <w:rPr>
                <w:b/>
                <w:sz w:val="24"/>
                <w:szCs w:val="24"/>
              </w:rPr>
              <w:t>▼</w:t>
            </w:r>
          </w:p>
        </w:tc>
      </w:tr>
      <w:tr w:rsidR="00AC5668" w:rsidRPr="0035618E" w14:paraId="48E5E61B" w14:textId="77777777" w:rsidTr="00DC0E11">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0D24F18" w14:textId="77777777" w:rsidR="00AC5668" w:rsidRPr="0035618E" w:rsidRDefault="00AC5668" w:rsidP="00DC0E11">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30F2FB"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E667EB" w14:textId="77777777" w:rsidR="00AC5668" w:rsidRPr="0035618E" w:rsidRDefault="00AC5668" w:rsidP="00DC0E11">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92D6906" w14:textId="77777777" w:rsidR="00AC5668" w:rsidRPr="0035618E" w:rsidRDefault="00AC5668" w:rsidP="00DC0E11">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5E231665" w14:textId="77777777" w:rsidR="00AC5668" w:rsidRPr="0035618E" w:rsidRDefault="00AC5668" w:rsidP="00DC0E11">
            <w:pPr>
              <w:ind w:left="280"/>
              <w:rPr>
                <w:rFonts w:ascii="Tahoma" w:hAnsi="Tahoma" w:cs="Tahoma"/>
                <w:sz w:val="18"/>
                <w:szCs w:val="18"/>
              </w:rPr>
            </w:pPr>
            <w:r w:rsidRPr="00C11BC1">
              <w:rPr>
                <w:rFonts w:ascii="Tahoma" w:hAnsi="Tahoma" w:cs="Tahoma"/>
                <w:sz w:val="18"/>
                <w:szCs w:val="18"/>
              </w:rPr>
              <w:t>Signatory (Name, Function and Entity</w:t>
            </w:r>
            <w:r w:rsidRPr="00746847">
              <w:rPr>
                <w:rFonts w:ascii="Tahoma" w:hAnsi="Tahoma" w:cs="Tahoma"/>
                <w:sz w:val="18"/>
                <w:szCs w:val="18"/>
              </w:rPr>
              <w:t>)</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031F0D6B" w14:textId="77777777" w:rsidR="00AC5668" w:rsidRPr="0035618E" w:rsidRDefault="00AC5668" w:rsidP="00DC0E11">
            <w:pPr>
              <w:ind w:left="-284"/>
              <w:rPr>
                <w:rFonts w:ascii="Tahoma" w:hAnsi="Tahoma" w:cs="Tahoma"/>
                <w:sz w:val="20"/>
                <w:szCs w:val="20"/>
              </w:rPr>
            </w:pPr>
          </w:p>
          <w:p w14:paraId="5952647D" w14:textId="77777777" w:rsidR="00AC5668" w:rsidRPr="0035618E" w:rsidRDefault="00AC5668" w:rsidP="00DC0E11">
            <w:pPr>
              <w:ind w:left="-284"/>
              <w:rPr>
                <w:rFonts w:ascii="Tahoma" w:hAnsi="Tahoma" w:cs="Tahoma"/>
                <w:sz w:val="20"/>
                <w:szCs w:val="20"/>
              </w:rPr>
            </w:pPr>
          </w:p>
        </w:tc>
      </w:tr>
      <w:tr w:rsidR="00AC5668" w:rsidRPr="0035618E" w14:paraId="2F881CBD" w14:textId="77777777" w:rsidTr="00DC0E11">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6B96A5B"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320904"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w:t>
            </w:r>
            <w:proofErr w:type="spellStart"/>
            <w:r w:rsidR="00A502A9">
              <w:rPr>
                <w:rFonts w:ascii="Tahoma" w:hAnsi="Tahoma" w:cs="Tahoma"/>
                <w:sz w:val="18"/>
                <w:szCs w:val="18"/>
              </w:rPr>
              <w:t>ies</w:t>
            </w:r>
            <w:proofErr w:type="spellEnd"/>
            <w:r w:rsidR="00A502A9">
              <w:rPr>
                <w:rFonts w:ascii="Tahoma" w:hAnsi="Tahoma" w:cs="Tahoma"/>
                <w:sz w:val="18"/>
                <w:szCs w:val="18"/>
              </w:rPr>
              <w:t>)</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09DC4" w14:textId="77777777" w:rsidR="00AC5668" w:rsidRPr="0035618E" w:rsidRDefault="00AC5668" w:rsidP="00DC0E11">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B0154B4" w14:textId="77777777" w:rsidR="00AC5668" w:rsidRPr="0035618E" w:rsidRDefault="00AC5668" w:rsidP="00DC0E11">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0D1B4879" w14:textId="77777777" w:rsidR="00AC5668" w:rsidRPr="0035618E" w:rsidRDefault="00AC5668" w:rsidP="00DC0E11">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AB7FD95" w14:textId="77777777" w:rsidR="00AC5668" w:rsidRPr="0035618E" w:rsidRDefault="00AC5668" w:rsidP="00DC0E11">
            <w:pPr>
              <w:ind w:left="-284"/>
              <w:rPr>
                <w:rFonts w:ascii="Tahoma" w:hAnsi="Tahoma" w:cs="Tahoma"/>
                <w:sz w:val="20"/>
                <w:szCs w:val="20"/>
              </w:rPr>
            </w:pPr>
          </w:p>
        </w:tc>
      </w:tr>
      <w:tr w:rsidR="00AC5668" w:rsidRPr="0035618E" w14:paraId="06E79AD5" w14:textId="77777777" w:rsidTr="00DC0E11">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3C34FCF"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D9872C"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238E0F"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90D9E94"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A897865"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6DC925B"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r>
      <w:tr w:rsidR="00AC5668" w:rsidRPr="0035618E" w14:paraId="1FEDA5FA" w14:textId="77777777" w:rsidTr="00DC0E11">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E2B94E6"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FC2C3F"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3A4DEC"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0CC12D4"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1FFB1C6B"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F7E00B2"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5C7C2795"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B051E4A"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67FF1D"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10"/>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6B2A352" w14:textId="77777777" w:rsidR="00AC5668" w:rsidRPr="0035618E" w:rsidRDefault="00AC5668" w:rsidP="00DC0E11">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E306BF0"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2A9A649"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315D1F07" w14:textId="77777777" w:rsidR="00AC5668" w:rsidRPr="0035618E" w:rsidRDefault="00AC5668" w:rsidP="00DC0E11">
            <w:pPr>
              <w:ind w:left="-284"/>
              <w:rPr>
                <w:rFonts w:ascii="Tahoma" w:hAnsi="Tahoma" w:cs="Tahoma"/>
                <w:sz w:val="20"/>
                <w:szCs w:val="20"/>
              </w:rPr>
            </w:pPr>
          </w:p>
        </w:tc>
      </w:tr>
      <w:bookmarkEnd w:id="5"/>
    </w:tbl>
    <w:p w14:paraId="22076961" w14:textId="77777777" w:rsidR="003A0F5F" w:rsidRDefault="003A0F5F" w:rsidP="003A0F5F">
      <w:pPr>
        <w:jc w:val="center"/>
        <w:rPr>
          <w:rFonts w:ascii="Tahoma" w:hAnsi="Tahoma" w:cs="Tahoma"/>
          <w:sz w:val="20"/>
          <w:szCs w:val="20"/>
        </w:rPr>
      </w:pPr>
    </w:p>
    <w:p w14:paraId="11627772" w14:textId="77777777" w:rsidR="002F6585" w:rsidRDefault="002F6585" w:rsidP="003A0F5F">
      <w:pPr>
        <w:jc w:val="center"/>
        <w:rPr>
          <w:rFonts w:ascii="Tahoma" w:hAnsi="Tahoma" w:cs="Tahoma"/>
          <w:sz w:val="20"/>
          <w:szCs w:val="20"/>
        </w:rPr>
      </w:pPr>
    </w:p>
    <w:p w14:paraId="5367EFE9" w14:textId="77777777"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556B8E1E"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1A37F1E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6F4754E6"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E90E7AE"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3814B5E2" w14:textId="77777777"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0D92775F"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6FA29F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627BF6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DE64C0D"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70057B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73316B1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9E5E489"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137D48CB"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85E523C"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585B45E"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5655B8E"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C76358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DF00E7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682C0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06DA38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926E7C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24969BA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0DD3D4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02842203"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2198B6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906D999"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6D69CD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24CEC22"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2C0B9504"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3608AED"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9BE8316"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CB7A66D"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C788FB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82E63C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B7A721"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E93A042"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0780D2D"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89E1AF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47C4DBF"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2FBF4E39"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928BAE2"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A964DF4"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43393D5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5F31930"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5A19ED19"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FA9CDC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048CC4D"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3D25A80"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57E6A0A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5AD79A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B2035B0"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DB861C1"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58AE12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BECB6A3"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32775D6"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BE07EDD"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E6FC251"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07E9C0F" w14:textId="77777777"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4"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5"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34359E07"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7FC3D5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2C95744" w14:textId="77777777"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075D47">
        <w:rPr>
          <w:rFonts w:ascii="Tahoma" w:hAnsi="Tahoma" w:cs="Tahoma"/>
          <w:sz w:val="18"/>
          <w:szCs w:val="18"/>
          <w:lang w:eastAsia="fr-FR"/>
        </w:rPr>
        <w:t>in order to</w:t>
      </w:r>
      <w:proofErr w:type="gramEnd"/>
      <w:r w:rsidRPr="00075D47">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125BBCC"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FA250C3"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100FF89"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E581B88"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5253EC6"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0E5E9E7"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F4B10B2"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1DCC44F9"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07EC2CC"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A03EABE"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35164AC" w14:textId="77777777" w:rsidR="00114E2A" w:rsidRPr="00AF491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660746FA" w14:textId="77777777" w:rsidR="00AF491A" w:rsidRDefault="00AF491A" w:rsidP="00AF491A">
      <w:pPr>
        <w:tabs>
          <w:tab w:val="left" w:pos="426"/>
        </w:tabs>
        <w:autoSpaceDE w:val="0"/>
        <w:autoSpaceDN w:val="0"/>
        <w:spacing w:after="30"/>
        <w:jc w:val="both"/>
        <w:rPr>
          <w:rFonts w:ascii="Tahoma" w:hAnsi="Tahoma" w:cs="Tahoma"/>
          <w:sz w:val="18"/>
          <w:szCs w:val="18"/>
          <w:lang w:val="uk-UA" w:eastAsia="fr-FR"/>
        </w:rPr>
      </w:pPr>
    </w:p>
    <w:p w14:paraId="35BD707A" w14:textId="77777777" w:rsidR="00AF491A" w:rsidRPr="00AF491A" w:rsidRDefault="00AF491A" w:rsidP="00AF491A">
      <w:pPr>
        <w:tabs>
          <w:tab w:val="left" w:pos="426"/>
        </w:tabs>
        <w:autoSpaceDE w:val="0"/>
        <w:autoSpaceDN w:val="0"/>
        <w:spacing w:after="30"/>
        <w:jc w:val="both"/>
        <w:rPr>
          <w:rFonts w:ascii="Tahoma" w:hAnsi="Tahoma" w:cs="Tahoma"/>
          <w:sz w:val="18"/>
          <w:szCs w:val="18"/>
          <w:lang w:val="uk-UA" w:eastAsia="fr-FR"/>
        </w:rPr>
      </w:pPr>
    </w:p>
    <w:p w14:paraId="448FF8AB"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lastRenderedPageBreak/>
        <w:t>4.3 Invoicing and payment</w:t>
      </w:r>
    </w:p>
    <w:p w14:paraId="62439E52"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571DA6B3"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79104FC"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0178F6D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18A3426C"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4A37DD4F"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C320E4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0759C10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94E4B1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331845">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3" w:name="_Toc179868652"/>
    </w:p>
    <w:p w14:paraId="6BA2566A"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4DDA03CA"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3FD029C9"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FDFCFD9"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38358AC7"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7919D10D"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6E75DAFA"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3A5EA161"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5B61EA1E"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565F5F9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bookmarkEnd w:id="13"/>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23E3ADEE"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0943729"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115067A"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EA61D10"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12ADF99D" w14:textId="77777777" w:rsidR="00C11BC1" w:rsidRDefault="00C11BC1" w:rsidP="00C11BC1">
      <w:pPr>
        <w:tabs>
          <w:tab w:val="left" w:pos="284"/>
        </w:tabs>
        <w:autoSpaceDE w:val="0"/>
        <w:autoSpaceDN w:val="0"/>
        <w:jc w:val="both"/>
        <w:rPr>
          <w:rFonts w:ascii="Tahoma" w:hAnsi="Tahoma" w:cs="Tahoma"/>
          <w:sz w:val="18"/>
          <w:szCs w:val="18"/>
          <w:lang w:eastAsia="fr-FR"/>
        </w:rPr>
      </w:pPr>
    </w:p>
    <w:p w14:paraId="375A05CE" w14:textId="77777777" w:rsidR="00C11BC1" w:rsidRPr="00C11BC1" w:rsidRDefault="00C11BC1" w:rsidP="00C11BC1">
      <w:pPr>
        <w:tabs>
          <w:tab w:val="left" w:pos="284"/>
        </w:tabs>
        <w:autoSpaceDE w:val="0"/>
        <w:autoSpaceDN w:val="0"/>
        <w:jc w:val="both"/>
        <w:rPr>
          <w:rFonts w:ascii="Tahoma" w:hAnsi="Tahoma" w:cs="Tahoma"/>
          <w:sz w:val="18"/>
          <w:szCs w:val="18"/>
          <w:lang w:eastAsia="fr-FR"/>
        </w:rPr>
      </w:pPr>
    </w:p>
    <w:p w14:paraId="65B59EC4"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0398B423"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443664E"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B86BAA"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560754D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24E8E26"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AB04409"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72EED6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E5663FC"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3466CAD"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FC3F02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AE1EB8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8166E11"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9E64B7">
        <w:rPr>
          <w:rFonts w:ascii="Tahoma" w:hAnsi="Tahoma" w:cs="Tahoma"/>
          <w:b/>
          <w:smallCaps/>
          <w:color w:val="365F91" w:themeColor="accent1" w:themeShade="BF"/>
          <w:sz w:val="18"/>
          <w:szCs w:val="18"/>
          <w:lang w:eastAsia="fr-FR"/>
        </w:rPr>
        <w:t>Article 10 – Consortium</w:t>
      </w:r>
    </w:p>
    <w:p w14:paraId="1F89671B"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754543FB"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D4DF7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332985C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5AFD6C85"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47390C9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72A6159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689715EC"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730F773"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C919BCA"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79128A3E"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574E6216"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515BFAE"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5E67604F"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3EE69855"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2F6EC25B"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722EFDB"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22587363"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lastRenderedPageBreak/>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364F53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8"/>
    <w:p w14:paraId="1C4C4B0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5E755C9" w14:textId="77777777"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6D2DEBC" w14:textId="7777777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62B7763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33DE981"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933BA13"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00765E4C"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80C3298"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66FDD8C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371E3EB" w14:textId="77777777" w:rsidR="00EC5F9A" w:rsidRPr="00D3520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33418CDB" w14:textId="77777777" w:rsidR="00C94EDA" w:rsidRPr="00CA75F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A75F5">
        <w:rPr>
          <w:rFonts w:ascii="Tahoma" w:hAnsi="Tahoma" w:cs="Tahoma"/>
          <w:sz w:val="18"/>
          <w:szCs w:val="18"/>
        </w:rPr>
        <w:t>i</w:t>
      </w:r>
      <w:r w:rsidR="00EC5F9A" w:rsidRPr="00CA75F5">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CA75F5">
        <w:rPr>
          <w:rFonts w:ascii="Tahoma" w:hAnsi="Tahoma" w:cs="Tahoma"/>
          <w:color w:val="000000"/>
          <w:sz w:val="18"/>
          <w:szCs w:val="18"/>
        </w:rPr>
        <w:t xml:space="preserve">the United Nations Security Council or </w:t>
      </w:r>
      <w:r w:rsidR="00EC5F9A" w:rsidRPr="00CA75F5">
        <w:rPr>
          <w:rFonts w:ascii="Tahoma" w:hAnsi="Tahoma" w:cs="Tahoma"/>
          <w:sz w:val="18"/>
          <w:szCs w:val="18"/>
        </w:rPr>
        <w:t>the European Union</w:t>
      </w:r>
      <w:r w:rsidR="00C94EDA" w:rsidRPr="00CA75F5">
        <w:rPr>
          <w:rFonts w:ascii="Tahoma" w:hAnsi="Tahoma" w:cs="Tahoma"/>
          <w:sz w:val="18"/>
          <w:szCs w:val="18"/>
          <w:lang w:val="en-US"/>
        </w:rPr>
        <w:t>.</w:t>
      </w:r>
    </w:p>
    <w:p w14:paraId="74C58945"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5930027E"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1DC814E"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23594589"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2CD5517"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A460F4D"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CC5BC70"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bookmarkEnd w:id="20"/>
    <w:p w14:paraId="08DAE8C3"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F491A">
      <w:type w:val="continuous"/>
      <w:pgSz w:w="11907" w:h="16840" w:code="9"/>
      <w:pgMar w:top="993" w:right="1134" w:bottom="993"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493A" w14:textId="77777777" w:rsidR="00763588" w:rsidRDefault="00763588" w:rsidP="00D50F13">
      <w:r>
        <w:separator/>
      </w:r>
    </w:p>
  </w:endnote>
  <w:endnote w:type="continuationSeparator" w:id="0">
    <w:p w14:paraId="1FFEB4F4" w14:textId="77777777" w:rsidR="00763588" w:rsidRDefault="00763588" w:rsidP="00D50F13">
      <w:r>
        <w:continuationSeparator/>
      </w:r>
    </w:p>
  </w:endnote>
  <w:endnote w:type="continuationNotice" w:id="1">
    <w:p w14:paraId="435B6825" w14:textId="77777777" w:rsidR="00763588" w:rsidRDefault="00763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16ECB19"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939F903" w14:textId="77777777" w:rsidR="00533AAF" w:rsidRPr="00AE2D2B" w:rsidRDefault="00533AAF" w:rsidP="00DC0E1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4012EF30" w14:textId="1EF0E5A8" w:rsidR="00533AAF" w:rsidRPr="00AE2D2B" w:rsidRDefault="004A5722" w:rsidP="00DC0E11">
          <w:pPr>
            <w:rPr>
              <w:rFonts w:ascii="Arial Narrow" w:hAnsi="Arial Narrow"/>
              <w:caps/>
              <w:color w:val="000000"/>
              <w:sz w:val="18"/>
              <w:szCs w:val="18"/>
              <w:highlight w:val="cyan"/>
            </w:rPr>
          </w:pPr>
          <w:r w:rsidRPr="004A5722">
            <w:rPr>
              <w:rFonts w:ascii="Tahoma" w:hAnsi="Tahoma" w:cs="Tahoma"/>
              <w:caps/>
              <w:color w:val="000000" w:themeColor="text1"/>
              <w:sz w:val="18"/>
              <w:szCs w:val="18"/>
            </w:rPr>
            <w:t>9337/2025/</w:t>
          </w:r>
          <w:r w:rsidR="00C26F11">
            <w:rPr>
              <w:rFonts w:ascii="Tahoma" w:hAnsi="Tahoma" w:cs="Tahoma"/>
              <w:caps/>
              <w:color w:val="000000" w:themeColor="text1"/>
              <w:sz w:val="18"/>
              <w:szCs w:val="18"/>
            </w:rPr>
            <w:t>1</w:t>
          </w:r>
        </w:p>
      </w:tc>
    </w:tr>
  </w:tbl>
  <w:p w14:paraId="02723C94"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77F9" w14:textId="77777777" w:rsidR="00763588" w:rsidRDefault="00763588" w:rsidP="00D50F13">
      <w:r>
        <w:separator/>
      </w:r>
    </w:p>
  </w:footnote>
  <w:footnote w:type="continuationSeparator" w:id="0">
    <w:p w14:paraId="1F24FB08" w14:textId="77777777" w:rsidR="00763588" w:rsidRDefault="00763588" w:rsidP="00D50F13">
      <w:r>
        <w:continuationSeparator/>
      </w:r>
    </w:p>
  </w:footnote>
  <w:footnote w:type="continuationNotice" w:id="1">
    <w:p w14:paraId="0955D7BB" w14:textId="77777777" w:rsidR="00763588" w:rsidRDefault="00763588"/>
  </w:footnote>
  <w:footnote w:id="2">
    <w:p w14:paraId="0C9CC87D" w14:textId="77777777"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3">
    <w:p w14:paraId="75C40AD2"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CE008F4"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5">
    <w:p w14:paraId="39C483C8"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43007556"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7">
    <w:p w14:paraId="03A22A61"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7F407F4F"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9">
    <w:p w14:paraId="6861031E" w14:textId="77777777"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7" w:name="_Hlk149662103"/>
      <w:bookmarkStart w:id="8" w:name="_Hlk149814411"/>
      <w:r w:rsidR="00A502A9" w:rsidRPr="00A502A9">
        <w:rPr>
          <w:rFonts w:ascii="Tahoma" w:hAnsi="Tahoma" w:cs="Tahoma"/>
          <w:b/>
          <w:bCs/>
          <w:sz w:val="18"/>
          <w:szCs w:val="18"/>
        </w:rPr>
        <w:t>In case of the bidder being a consortium, indicate one signatory for each consortium member.</w:t>
      </w:r>
      <w:bookmarkEnd w:id="7"/>
    </w:p>
    <w:p w14:paraId="6CC174D5" w14:textId="77777777" w:rsidR="00AC5668" w:rsidRPr="00C546D8" w:rsidRDefault="00AC5668" w:rsidP="00AC5668">
      <w:pPr>
        <w:pStyle w:val="FootnoteText"/>
        <w:rPr>
          <w:lang w:val="en-US"/>
        </w:rPr>
      </w:pPr>
    </w:p>
    <w:bookmarkEnd w:id="8"/>
  </w:footnote>
  <w:footnote w:id="10">
    <w:p w14:paraId="54ABEE89" w14:textId="77777777" w:rsidR="00AC5668" w:rsidRPr="003D6E92" w:rsidRDefault="00AC5668" w:rsidP="00AC5668">
      <w:pPr>
        <w:pStyle w:val="FootnoteText"/>
        <w:rPr>
          <w:lang w:val="en-US"/>
        </w:rPr>
      </w:pPr>
      <w:r w:rsidRPr="00C546D8">
        <w:rPr>
          <w:rStyle w:val="FootnoteReference"/>
        </w:rPr>
        <w:footnoteRef/>
      </w:r>
      <w:bookmarkStart w:id="9"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9"/>
    </w:p>
  </w:footnote>
  <w:footnote w:id="11">
    <w:p w14:paraId="62EAF1F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A56CA18"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D715" w14:textId="77777777" w:rsidR="005C5D6E" w:rsidRDefault="004F2CFB">
    <w:pPr>
      <w:pStyle w:val="Header"/>
    </w:pPr>
    <w:r>
      <w:rPr>
        <w:noProof/>
        <w:lang w:val="en-US" w:eastAsia="en-US"/>
      </w:rPr>
      <w:drawing>
        <wp:anchor distT="0" distB="0" distL="114300" distR="114300" simplePos="0" relativeHeight="251658240" behindDoc="0" locked="0" layoutInCell="1" allowOverlap="1" wp14:anchorId="3B1AABF7" wp14:editId="0943E45F">
          <wp:simplePos x="0" y="0"/>
          <wp:positionH relativeFrom="column">
            <wp:posOffset>4923155</wp:posOffset>
          </wp:positionH>
          <wp:positionV relativeFrom="paragraph">
            <wp:posOffset>156845</wp:posOffset>
          </wp:positionV>
          <wp:extent cx="1438910" cy="1152525"/>
          <wp:effectExtent l="0" t="0" r="0" b="0"/>
          <wp:wrapSquare wrapText="bothSides"/>
          <wp:docPr id="89494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83D3D"/>
    <w:multiLevelType w:val="hybridMultilevel"/>
    <w:tmpl w:val="1E8E8C1E"/>
    <w:lvl w:ilvl="0" w:tplc="E3B40D2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1"/>
  </w:num>
  <w:num w:numId="2" w16cid:durableId="2077429521">
    <w:abstractNumId w:val="35"/>
  </w:num>
  <w:num w:numId="3" w16cid:durableId="1191651689">
    <w:abstractNumId w:val="36"/>
  </w:num>
  <w:num w:numId="4" w16cid:durableId="1325009937">
    <w:abstractNumId w:val="1"/>
  </w:num>
  <w:num w:numId="5" w16cid:durableId="821386275">
    <w:abstractNumId w:val="4"/>
  </w:num>
  <w:num w:numId="6" w16cid:durableId="819663061">
    <w:abstractNumId w:val="14"/>
  </w:num>
  <w:num w:numId="7" w16cid:durableId="1123188692">
    <w:abstractNumId w:val="19"/>
  </w:num>
  <w:num w:numId="8" w16cid:durableId="405152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30"/>
  </w:num>
  <w:num w:numId="11" w16cid:durableId="1984575578">
    <w:abstractNumId w:val="0"/>
  </w:num>
  <w:num w:numId="12" w16cid:durableId="30570556">
    <w:abstractNumId w:val="16"/>
  </w:num>
  <w:num w:numId="13" w16cid:durableId="1114636912">
    <w:abstractNumId w:val="22"/>
  </w:num>
  <w:num w:numId="14" w16cid:durableId="967659943">
    <w:abstractNumId w:val="34"/>
  </w:num>
  <w:num w:numId="15" w16cid:durableId="542715202">
    <w:abstractNumId w:val="7"/>
  </w:num>
  <w:num w:numId="16" w16cid:durableId="1618878251">
    <w:abstractNumId w:val="33"/>
  </w:num>
  <w:num w:numId="17" w16cid:durableId="585266001">
    <w:abstractNumId w:val="26"/>
  </w:num>
  <w:num w:numId="18" w16cid:durableId="315031682">
    <w:abstractNumId w:val="20"/>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1"/>
  </w:num>
  <w:num w:numId="25" w16cid:durableId="224873658">
    <w:abstractNumId w:val="23"/>
  </w:num>
  <w:num w:numId="26" w16cid:durableId="2061008303">
    <w:abstractNumId w:val="2"/>
  </w:num>
  <w:num w:numId="27" w16cid:durableId="743063904">
    <w:abstractNumId w:val="9"/>
  </w:num>
  <w:num w:numId="28" w16cid:durableId="661814036">
    <w:abstractNumId w:val="12"/>
  </w:num>
  <w:num w:numId="29" w16cid:durableId="1574705649">
    <w:abstractNumId w:val="37"/>
  </w:num>
  <w:num w:numId="30" w16cid:durableId="977807261">
    <w:abstractNumId w:val="10"/>
  </w:num>
  <w:num w:numId="31" w16cid:durableId="1483540159">
    <w:abstractNumId w:val="27"/>
  </w:num>
  <w:num w:numId="32" w16cid:durableId="2052613181">
    <w:abstractNumId w:val="3"/>
  </w:num>
  <w:num w:numId="33" w16cid:durableId="1166240577">
    <w:abstractNumId w:val="29"/>
  </w:num>
  <w:num w:numId="34" w16cid:durableId="967664249">
    <w:abstractNumId w:val="25"/>
  </w:num>
  <w:num w:numId="35" w16cid:durableId="910038766">
    <w:abstractNumId w:val="13"/>
  </w:num>
  <w:num w:numId="36" w16cid:durableId="1206914185">
    <w:abstractNumId w:val="24"/>
  </w:num>
  <w:num w:numId="37" w16cid:durableId="1211726881">
    <w:abstractNumId w:val="32"/>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8"/>
  </w:num>
  <w:num w:numId="40" w16cid:durableId="95263625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C6"/>
    <w:rsid w:val="00000725"/>
    <w:rsid w:val="000013DF"/>
    <w:rsid w:val="00007AEB"/>
    <w:rsid w:val="000128DD"/>
    <w:rsid w:val="0001537A"/>
    <w:rsid w:val="00015DB4"/>
    <w:rsid w:val="0002105E"/>
    <w:rsid w:val="00032499"/>
    <w:rsid w:val="00037A7D"/>
    <w:rsid w:val="0004179C"/>
    <w:rsid w:val="000478B8"/>
    <w:rsid w:val="00072FB8"/>
    <w:rsid w:val="00075D47"/>
    <w:rsid w:val="0008106F"/>
    <w:rsid w:val="00081D6D"/>
    <w:rsid w:val="000837E6"/>
    <w:rsid w:val="000841B9"/>
    <w:rsid w:val="00084509"/>
    <w:rsid w:val="000850E6"/>
    <w:rsid w:val="000852FE"/>
    <w:rsid w:val="00093155"/>
    <w:rsid w:val="000966F4"/>
    <w:rsid w:val="000A0D8A"/>
    <w:rsid w:val="000A19C2"/>
    <w:rsid w:val="000B26A2"/>
    <w:rsid w:val="000B4274"/>
    <w:rsid w:val="000C43DE"/>
    <w:rsid w:val="000C4D6D"/>
    <w:rsid w:val="000C4FCD"/>
    <w:rsid w:val="000D3674"/>
    <w:rsid w:val="000E0285"/>
    <w:rsid w:val="000E2440"/>
    <w:rsid w:val="000E3E9A"/>
    <w:rsid w:val="000E59BC"/>
    <w:rsid w:val="000E59DC"/>
    <w:rsid w:val="000E5DF5"/>
    <w:rsid w:val="000F1520"/>
    <w:rsid w:val="000F18A2"/>
    <w:rsid w:val="000F3067"/>
    <w:rsid w:val="000F3CB2"/>
    <w:rsid w:val="000F3FFC"/>
    <w:rsid w:val="000F448F"/>
    <w:rsid w:val="000F5561"/>
    <w:rsid w:val="0010042E"/>
    <w:rsid w:val="00104DF4"/>
    <w:rsid w:val="00113108"/>
    <w:rsid w:val="00114E2A"/>
    <w:rsid w:val="0011556A"/>
    <w:rsid w:val="00126183"/>
    <w:rsid w:val="0012667B"/>
    <w:rsid w:val="00127842"/>
    <w:rsid w:val="00127AB4"/>
    <w:rsid w:val="00134003"/>
    <w:rsid w:val="00135199"/>
    <w:rsid w:val="001359BE"/>
    <w:rsid w:val="0014098C"/>
    <w:rsid w:val="00141376"/>
    <w:rsid w:val="00141EE1"/>
    <w:rsid w:val="00150C0F"/>
    <w:rsid w:val="00160002"/>
    <w:rsid w:val="0016172B"/>
    <w:rsid w:val="00162598"/>
    <w:rsid w:val="00183E4D"/>
    <w:rsid w:val="0019283C"/>
    <w:rsid w:val="00195739"/>
    <w:rsid w:val="001A207E"/>
    <w:rsid w:val="001A5371"/>
    <w:rsid w:val="001B0127"/>
    <w:rsid w:val="001B138A"/>
    <w:rsid w:val="001C4BA2"/>
    <w:rsid w:val="001C5A91"/>
    <w:rsid w:val="001C6878"/>
    <w:rsid w:val="001D40AD"/>
    <w:rsid w:val="001D5926"/>
    <w:rsid w:val="001E2C6A"/>
    <w:rsid w:val="001E5424"/>
    <w:rsid w:val="001F5A87"/>
    <w:rsid w:val="001F6AB7"/>
    <w:rsid w:val="002019A5"/>
    <w:rsid w:val="002111B3"/>
    <w:rsid w:val="002133FA"/>
    <w:rsid w:val="00213A16"/>
    <w:rsid w:val="002227A8"/>
    <w:rsid w:val="00225B0D"/>
    <w:rsid w:val="00230A4B"/>
    <w:rsid w:val="002336A0"/>
    <w:rsid w:val="00244E43"/>
    <w:rsid w:val="00251355"/>
    <w:rsid w:val="00254DA0"/>
    <w:rsid w:val="00256E49"/>
    <w:rsid w:val="002818A7"/>
    <w:rsid w:val="00290EAC"/>
    <w:rsid w:val="00293CBB"/>
    <w:rsid w:val="00294937"/>
    <w:rsid w:val="002A092A"/>
    <w:rsid w:val="002A2C42"/>
    <w:rsid w:val="002A56A1"/>
    <w:rsid w:val="002A5887"/>
    <w:rsid w:val="002B4786"/>
    <w:rsid w:val="002C6F98"/>
    <w:rsid w:val="002C7C0B"/>
    <w:rsid w:val="002D5425"/>
    <w:rsid w:val="002D5DC0"/>
    <w:rsid w:val="002E5240"/>
    <w:rsid w:val="002E5606"/>
    <w:rsid w:val="002E59DA"/>
    <w:rsid w:val="002E6F41"/>
    <w:rsid w:val="002F6585"/>
    <w:rsid w:val="00300098"/>
    <w:rsid w:val="00305B31"/>
    <w:rsid w:val="003122C0"/>
    <w:rsid w:val="00312EC4"/>
    <w:rsid w:val="00316188"/>
    <w:rsid w:val="00320711"/>
    <w:rsid w:val="00331845"/>
    <w:rsid w:val="00332AF4"/>
    <w:rsid w:val="003347E8"/>
    <w:rsid w:val="003355DD"/>
    <w:rsid w:val="00342BAD"/>
    <w:rsid w:val="0034681E"/>
    <w:rsid w:val="00346E71"/>
    <w:rsid w:val="00350F4E"/>
    <w:rsid w:val="0035108E"/>
    <w:rsid w:val="00352519"/>
    <w:rsid w:val="0035431A"/>
    <w:rsid w:val="00361219"/>
    <w:rsid w:val="003705A6"/>
    <w:rsid w:val="003712F2"/>
    <w:rsid w:val="00371509"/>
    <w:rsid w:val="00376293"/>
    <w:rsid w:val="003840F5"/>
    <w:rsid w:val="00386026"/>
    <w:rsid w:val="00390527"/>
    <w:rsid w:val="0039258A"/>
    <w:rsid w:val="00394B2C"/>
    <w:rsid w:val="003A0F5F"/>
    <w:rsid w:val="003A2B0D"/>
    <w:rsid w:val="003B05AD"/>
    <w:rsid w:val="003B1C2E"/>
    <w:rsid w:val="003B2E7E"/>
    <w:rsid w:val="003B4914"/>
    <w:rsid w:val="003C1D13"/>
    <w:rsid w:val="003C5354"/>
    <w:rsid w:val="003D1EFC"/>
    <w:rsid w:val="003D3998"/>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6945"/>
    <w:rsid w:val="004874F6"/>
    <w:rsid w:val="00487967"/>
    <w:rsid w:val="00487FFD"/>
    <w:rsid w:val="00490018"/>
    <w:rsid w:val="00492214"/>
    <w:rsid w:val="00494C86"/>
    <w:rsid w:val="00495856"/>
    <w:rsid w:val="00497AEE"/>
    <w:rsid w:val="004A3080"/>
    <w:rsid w:val="004A5722"/>
    <w:rsid w:val="004B0F2D"/>
    <w:rsid w:val="004B2022"/>
    <w:rsid w:val="004B3F9D"/>
    <w:rsid w:val="004C3551"/>
    <w:rsid w:val="004C6F59"/>
    <w:rsid w:val="004D084E"/>
    <w:rsid w:val="004D4F09"/>
    <w:rsid w:val="004E01F7"/>
    <w:rsid w:val="004E1F03"/>
    <w:rsid w:val="004E67E1"/>
    <w:rsid w:val="004E796F"/>
    <w:rsid w:val="004E7A45"/>
    <w:rsid w:val="004E7D01"/>
    <w:rsid w:val="004F00FA"/>
    <w:rsid w:val="004F04A6"/>
    <w:rsid w:val="004F2CFB"/>
    <w:rsid w:val="004F3999"/>
    <w:rsid w:val="004F71A4"/>
    <w:rsid w:val="0051306A"/>
    <w:rsid w:val="00523268"/>
    <w:rsid w:val="00527592"/>
    <w:rsid w:val="00531A42"/>
    <w:rsid w:val="0053377B"/>
    <w:rsid w:val="00533AAF"/>
    <w:rsid w:val="00542FEE"/>
    <w:rsid w:val="00550849"/>
    <w:rsid w:val="00566A81"/>
    <w:rsid w:val="00567F3E"/>
    <w:rsid w:val="005805EB"/>
    <w:rsid w:val="005845C2"/>
    <w:rsid w:val="005873CA"/>
    <w:rsid w:val="005A4B22"/>
    <w:rsid w:val="005A5930"/>
    <w:rsid w:val="005A6974"/>
    <w:rsid w:val="005B0752"/>
    <w:rsid w:val="005B17CB"/>
    <w:rsid w:val="005C5D6E"/>
    <w:rsid w:val="005D5A3B"/>
    <w:rsid w:val="005E2710"/>
    <w:rsid w:val="005F0999"/>
    <w:rsid w:val="005F0F4C"/>
    <w:rsid w:val="005F65E7"/>
    <w:rsid w:val="005F6F67"/>
    <w:rsid w:val="00611175"/>
    <w:rsid w:val="00613313"/>
    <w:rsid w:val="00617867"/>
    <w:rsid w:val="006232B4"/>
    <w:rsid w:val="006266B6"/>
    <w:rsid w:val="006365E9"/>
    <w:rsid w:val="006426F7"/>
    <w:rsid w:val="00647C28"/>
    <w:rsid w:val="00653BB6"/>
    <w:rsid w:val="006546CE"/>
    <w:rsid w:val="006558F9"/>
    <w:rsid w:val="00660256"/>
    <w:rsid w:val="00662182"/>
    <w:rsid w:val="00662FF0"/>
    <w:rsid w:val="00667B18"/>
    <w:rsid w:val="006717A7"/>
    <w:rsid w:val="0067529C"/>
    <w:rsid w:val="006771B6"/>
    <w:rsid w:val="00680325"/>
    <w:rsid w:val="00687D63"/>
    <w:rsid w:val="006912CB"/>
    <w:rsid w:val="00692E3B"/>
    <w:rsid w:val="00697845"/>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5E0A"/>
    <w:rsid w:val="007332D8"/>
    <w:rsid w:val="00743F00"/>
    <w:rsid w:val="0074615A"/>
    <w:rsid w:val="00746847"/>
    <w:rsid w:val="00747ADB"/>
    <w:rsid w:val="00751959"/>
    <w:rsid w:val="007556CC"/>
    <w:rsid w:val="0075705D"/>
    <w:rsid w:val="00762290"/>
    <w:rsid w:val="00762726"/>
    <w:rsid w:val="00763588"/>
    <w:rsid w:val="00764810"/>
    <w:rsid w:val="00766341"/>
    <w:rsid w:val="00766CF1"/>
    <w:rsid w:val="00776581"/>
    <w:rsid w:val="007768D1"/>
    <w:rsid w:val="007860E1"/>
    <w:rsid w:val="007867C0"/>
    <w:rsid w:val="0079040A"/>
    <w:rsid w:val="00791E04"/>
    <w:rsid w:val="00792B49"/>
    <w:rsid w:val="007960C5"/>
    <w:rsid w:val="007965A2"/>
    <w:rsid w:val="007B0925"/>
    <w:rsid w:val="007B768B"/>
    <w:rsid w:val="007C267B"/>
    <w:rsid w:val="007C4BED"/>
    <w:rsid w:val="007D15F9"/>
    <w:rsid w:val="007D46B2"/>
    <w:rsid w:val="007D4751"/>
    <w:rsid w:val="007D4E81"/>
    <w:rsid w:val="007D5BE8"/>
    <w:rsid w:val="007E094B"/>
    <w:rsid w:val="007E335A"/>
    <w:rsid w:val="007F79F8"/>
    <w:rsid w:val="00806CD2"/>
    <w:rsid w:val="00810D55"/>
    <w:rsid w:val="00812319"/>
    <w:rsid w:val="00812B47"/>
    <w:rsid w:val="00812FBB"/>
    <w:rsid w:val="00814352"/>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BFC"/>
    <w:rsid w:val="00890F8A"/>
    <w:rsid w:val="008927C5"/>
    <w:rsid w:val="00892D73"/>
    <w:rsid w:val="008A0E1B"/>
    <w:rsid w:val="008A486B"/>
    <w:rsid w:val="008B3EEE"/>
    <w:rsid w:val="008B6FDD"/>
    <w:rsid w:val="008C754F"/>
    <w:rsid w:val="008D113B"/>
    <w:rsid w:val="008D3220"/>
    <w:rsid w:val="008F2664"/>
    <w:rsid w:val="008F2874"/>
    <w:rsid w:val="008F2DBD"/>
    <w:rsid w:val="008F3844"/>
    <w:rsid w:val="008F3D21"/>
    <w:rsid w:val="008F475E"/>
    <w:rsid w:val="008F4A5C"/>
    <w:rsid w:val="00901C1A"/>
    <w:rsid w:val="00904B93"/>
    <w:rsid w:val="009058FD"/>
    <w:rsid w:val="009214B5"/>
    <w:rsid w:val="0092251F"/>
    <w:rsid w:val="00924B27"/>
    <w:rsid w:val="009252EE"/>
    <w:rsid w:val="00927108"/>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02A9"/>
    <w:rsid w:val="00A51EDA"/>
    <w:rsid w:val="00A52A71"/>
    <w:rsid w:val="00A535BA"/>
    <w:rsid w:val="00A53BF2"/>
    <w:rsid w:val="00A65785"/>
    <w:rsid w:val="00A675CC"/>
    <w:rsid w:val="00A77DE0"/>
    <w:rsid w:val="00A8391C"/>
    <w:rsid w:val="00A8461F"/>
    <w:rsid w:val="00A85379"/>
    <w:rsid w:val="00A96A37"/>
    <w:rsid w:val="00AA1957"/>
    <w:rsid w:val="00AA390B"/>
    <w:rsid w:val="00AA7B01"/>
    <w:rsid w:val="00AB03AB"/>
    <w:rsid w:val="00AB13EF"/>
    <w:rsid w:val="00AB1B8D"/>
    <w:rsid w:val="00AB4B4A"/>
    <w:rsid w:val="00AC5668"/>
    <w:rsid w:val="00AD1331"/>
    <w:rsid w:val="00AD33C7"/>
    <w:rsid w:val="00AD423A"/>
    <w:rsid w:val="00AD5E4A"/>
    <w:rsid w:val="00AE2A99"/>
    <w:rsid w:val="00AE5507"/>
    <w:rsid w:val="00AF491A"/>
    <w:rsid w:val="00B018FC"/>
    <w:rsid w:val="00B036FF"/>
    <w:rsid w:val="00B11F35"/>
    <w:rsid w:val="00B14D5F"/>
    <w:rsid w:val="00B20EBF"/>
    <w:rsid w:val="00B21BA4"/>
    <w:rsid w:val="00B221A3"/>
    <w:rsid w:val="00B2354B"/>
    <w:rsid w:val="00B242A3"/>
    <w:rsid w:val="00B30098"/>
    <w:rsid w:val="00B3135A"/>
    <w:rsid w:val="00B43A63"/>
    <w:rsid w:val="00B47508"/>
    <w:rsid w:val="00B50164"/>
    <w:rsid w:val="00B50419"/>
    <w:rsid w:val="00B5712C"/>
    <w:rsid w:val="00B60AE3"/>
    <w:rsid w:val="00B60F30"/>
    <w:rsid w:val="00B653B9"/>
    <w:rsid w:val="00B72357"/>
    <w:rsid w:val="00B74DC5"/>
    <w:rsid w:val="00B90E6D"/>
    <w:rsid w:val="00BA355F"/>
    <w:rsid w:val="00BA535D"/>
    <w:rsid w:val="00BB11AE"/>
    <w:rsid w:val="00BB66CF"/>
    <w:rsid w:val="00BC30D7"/>
    <w:rsid w:val="00BC4242"/>
    <w:rsid w:val="00BC6F5D"/>
    <w:rsid w:val="00BD3959"/>
    <w:rsid w:val="00BD671C"/>
    <w:rsid w:val="00BD6B89"/>
    <w:rsid w:val="00BE13D6"/>
    <w:rsid w:val="00BE33D8"/>
    <w:rsid w:val="00BF0EF7"/>
    <w:rsid w:val="00BF5134"/>
    <w:rsid w:val="00C029E4"/>
    <w:rsid w:val="00C05D8B"/>
    <w:rsid w:val="00C07F6F"/>
    <w:rsid w:val="00C11BC1"/>
    <w:rsid w:val="00C11F6F"/>
    <w:rsid w:val="00C12D50"/>
    <w:rsid w:val="00C16967"/>
    <w:rsid w:val="00C16B04"/>
    <w:rsid w:val="00C20349"/>
    <w:rsid w:val="00C26F11"/>
    <w:rsid w:val="00C27AAD"/>
    <w:rsid w:val="00C35F97"/>
    <w:rsid w:val="00C4103C"/>
    <w:rsid w:val="00C5327B"/>
    <w:rsid w:val="00C53AF9"/>
    <w:rsid w:val="00C57EAD"/>
    <w:rsid w:val="00C674A5"/>
    <w:rsid w:val="00C73C2F"/>
    <w:rsid w:val="00C73ED8"/>
    <w:rsid w:val="00C7643B"/>
    <w:rsid w:val="00C8018D"/>
    <w:rsid w:val="00C81B85"/>
    <w:rsid w:val="00C8260C"/>
    <w:rsid w:val="00C82FF6"/>
    <w:rsid w:val="00C91E13"/>
    <w:rsid w:val="00C921E4"/>
    <w:rsid w:val="00C935CB"/>
    <w:rsid w:val="00C94EDA"/>
    <w:rsid w:val="00CA4416"/>
    <w:rsid w:val="00CA6E6F"/>
    <w:rsid w:val="00CA75F5"/>
    <w:rsid w:val="00CC5ED1"/>
    <w:rsid w:val="00CD061B"/>
    <w:rsid w:val="00CE0F61"/>
    <w:rsid w:val="00CE2F98"/>
    <w:rsid w:val="00CE4E5E"/>
    <w:rsid w:val="00CE58F8"/>
    <w:rsid w:val="00CF528F"/>
    <w:rsid w:val="00CF59FB"/>
    <w:rsid w:val="00D038A8"/>
    <w:rsid w:val="00D04381"/>
    <w:rsid w:val="00D10FC0"/>
    <w:rsid w:val="00D11491"/>
    <w:rsid w:val="00D11A2F"/>
    <w:rsid w:val="00D121FC"/>
    <w:rsid w:val="00D135C6"/>
    <w:rsid w:val="00D14044"/>
    <w:rsid w:val="00D21549"/>
    <w:rsid w:val="00D225E4"/>
    <w:rsid w:val="00D25795"/>
    <w:rsid w:val="00D322CA"/>
    <w:rsid w:val="00D338C6"/>
    <w:rsid w:val="00D34C9B"/>
    <w:rsid w:val="00D35205"/>
    <w:rsid w:val="00D417C2"/>
    <w:rsid w:val="00D44009"/>
    <w:rsid w:val="00D47F70"/>
    <w:rsid w:val="00D50229"/>
    <w:rsid w:val="00D50F13"/>
    <w:rsid w:val="00D51502"/>
    <w:rsid w:val="00D52157"/>
    <w:rsid w:val="00D5261C"/>
    <w:rsid w:val="00D5513E"/>
    <w:rsid w:val="00D73100"/>
    <w:rsid w:val="00D751E1"/>
    <w:rsid w:val="00D81B84"/>
    <w:rsid w:val="00D90F8E"/>
    <w:rsid w:val="00DA6978"/>
    <w:rsid w:val="00DA7468"/>
    <w:rsid w:val="00DC0E11"/>
    <w:rsid w:val="00DC3F97"/>
    <w:rsid w:val="00DD4C16"/>
    <w:rsid w:val="00DE0239"/>
    <w:rsid w:val="00E00276"/>
    <w:rsid w:val="00E00310"/>
    <w:rsid w:val="00E0039F"/>
    <w:rsid w:val="00E01DF3"/>
    <w:rsid w:val="00E03EF5"/>
    <w:rsid w:val="00E045AD"/>
    <w:rsid w:val="00E049B6"/>
    <w:rsid w:val="00E05457"/>
    <w:rsid w:val="00E05C41"/>
    <w:rsid w:val="00E0771D"/>
    <w:rsid w:val="00E11E01"/>
    <w:rsid w:val="00E160F4"/>
    <w:rsid w:val="00E16762"/>
    <w:rsid w:val="00E17F6A"/>
    <w:rsid w:val="00E22FD7"/>
    <w:rsid w:val="00E41727"/>
    <w:rsid w:val="00E442A9"/>
    <w:rsid w:val="00E44537"/>
    <w:rsid w:val="00E56FDA"/>
    <w:rsid w:val="00E57189"/>
    <w:rsid w:val="00E7726D"/>
    <w:rsid w:val="00E81D73"/>
    <w:rsid w:val="00E83B04"/>
    <w:rsid w:val="00E86556"/>
    <w:rsid w:val="00E90DC4"/>
    <w:rsid w:val="00E9309D"/>
    <w:rsid w:val="00E937A5"/>
    <w:rsid w:val="00E94437"/>
    <w:rsid w:val="00EA0514"/>
    <w:rsid w:val="00EB550D"/>
    <w:rsid w:val="00EB648F"/>
    <w:rsid w:val="00EB6C90"/>
    <w:rsid w:val="00EC08A1"/>
    <w:rsid w:val="00EC4771"/>
    <w:rsid w:val="00EC5F9A"/>
    <w:rsid w:val="00ED4FC6"/>
    <w:rsid w:val="00EE1D09"/>
    <w:rsid w:val="00EE7240"/>
    <w:rsid w:val="00EE76A1"/>
    <w:rsid w:val="00EF66B8"/>
    <w:rsid w:val="00F06707"/>
    <w:rsid w:val="00F07A45"/>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53C"/>
    <w:rsid w:val="00FE2DD4"/>
    <w:rsid w:val="00FE4C32"/>
    <w:rsid w:val="00FE4FEF"/>
    <w:rsid w:val="00FE66DB"/>
    <w:rsid w:val="00FF40AA"/>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244E4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zachenko\Desktop\&#1073;&#1077;&#1088;&#1077;&#1079;&#1077;&#1085;&#1100;%202025%20&#1088;&#1086;&#1082;&#1091;\&#1058;&#1077;&#1085;&#1076;&#1077;&#1088;%20&#1084;&#1110;&#1078;&#1085;&#1072;&#1088;&#1086;&#1076;&#1085;&#1110;%20&#1082;&#1086;&#1085;&#1089;&#1091;&#1083;&#1100;&#1090;&#1072;&#1085;&#1090;&#1080;\&#1086;&#1085;&#1086;&#1074;&#1083;&#1077;&#1085;&#1110;%20&#1076;&#1086;&#1082;&#1091;&#1084;&#1077;&#1085;&#1090;&#1080;%20&#1076;&#1083;&#1103;%20&#1079;&#1072;&#1087;&#1086;&#1074;&#1085;&#1077;&#1085;&#1085;&#1103;\AE%20CBP%20F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16A42BD6415B85E0D36FF6D0140B"/>
        <w:category>
          <w:name w:val="General"/>
          <w:gallery w:val="placeholder"/>
        </w:category>
        <w:types>
          <w:type w:val="bbPlcHdr"/>
        </w:types>
        <w:behaviors>
          <w:behavior w:val="content"/>
        </w:behaviors>
        <w:guid w:val="{D29D94FE-B83D-45FD-8B5D-F1072F60B79D}"/>
      </w:docPartPr>
      <w:docPartBody>
        <w:p w:rsidR="006561CB" w:rsidRDefault="006561CB">
          <w:pPr>
            <w:pStyle w:val="661516A42BD6415B85E0D36FF6D0140B"/>
          </w:pPr>
          <w:r w:rsidRPr="00802563">
            <w:rPr>
              <w:rStyle w:val="PlaceholderText"/>
              <w:rFonts w:ascii="Arial Narrow" w:hAnsi="Arial Narrow"/>
              <w:sz w:val="20"/>
              <w:szCs w:val="20"/>
              <w:highlight w:val="cyan"/>
            </w:rPr>
            <w:t>date</w:t>
          </w:r>
        </w:p>
      </w:docPartBody>
    </w:docPart>
    <w:docPart>
      <w:docPartPr>
        <w:name w:val="DB146C157C1E43BAA2399A62EDF81C5C"/>
        <w:category>
          <w:name w:val="General"/>
          <w:gallery w:val="placeholder"/>
        </w:category>
        <w:types>
          <w:type w:val="bbPlcHdr"/>
        </w:types>
        <w:behaviors>
          <w:behavior w:val="content"/>
        </w:behaviors>
        <w:guid w:val="{46F9B0C2-BC68-4563-A9CF-0DB48B777E90}"/>
      </w:docPartPr>
      <w:docPartBody>
        <w:p w:rsidR="006561CB" w:rsidRDefault="006561CB">
          <w:pPr>
            <w:pStyle w:val="DB146C157C1E43BAA2399A62EDF81C5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CB"/>
    <w:rsid w:val="000C4FCD"/>
    <w:rsid w:val="00195739"/>
    <w:rsid w:val="002227A8"/>
    <w:rsid w:val="004D4F09"/>
    <w:rsid w:val="004E01F7"/>
    <w:rsid w:val="0051306A"/>
    <w:rsid w:val="006561CB"/>
    <w:rsid w:val="006858B0"/>
    <w:rsid w:val="007B233C"/>
    <w:rsid w:val="007D15F9"/>
    <w:rsid w:val="00924B27"/>
    <w:rsid w:val="00C8018D"/>
    <w:rsid w:val="00E8655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BE" w:eastAsia="en-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661516A42BD6415B85E0D36FF6D0140B">
    <w:name w:val="661516A42BD6415B85E0D36FF6D0140B"/>
  </w:style>
  <w:style w:type="paragraph" w:customStyle="1" w:styleId="DB146C157C1E43BAA2399A62EDF81C5C">
    <w:name w:val="DB146C157C1E43BAA2399A62EDF81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CBP FC EN</Template>
  <TotalTime>0</TotalTime>
  <Pages>11</Pages>
  <Words>6408</Words>
  <Characters>36529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2025-04-22T14:09:00Z</dcterms:created>
  <dcterms:modified xsi:type="dcterms:W3CDTF">2025-04-23T10:37:00Z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