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3CDDDA52" w:rsidR="00BE43B2" w:rsidRPr="00EA2362" w:rsidRDefault="00381817">
            <w:pPr>
              <w:rPr>
                <w:rFonts w:ascii="Tahoma" w:hAnsi="Tahoma" w:cs="Tahoma"/>
                <w:caps/>
                <w:color w:val="000000" w:themeColor="text1"/>
                <w:sz w:val="18"/>
                <w:szCs w:val="18"/>
                <w:highlight w:val="cyan"/>
              </w:rPr>
            </w:pPr>
            <w:r w:rsidRPr="00D77E59">
              <w:rPr>
                <w:rFonts w:ascii="Tahoma" w:hAnsi="Tahoma" w:cs="Tahoma"/>
                <w:caps/>
                <w:color w:val="000000" w:themeColor="text1"/>
                <w:sz w:val="18"/>
                <w:szCs w:val="18"/>
              </w:rPr>
              <w:t>BH9192_</w:t>
            </w:r>
            <w:r w:rsidR="00D77E59" w:rsidRPr="00D77E59">
              <w:rPr>
                <w:rFonts w:ascii="Tahoma" w:hAnsi="Tahoma" w:cs="Tahoma"/>
                <w:caps/>
                <w:color w:val="000000" w:themeColor="text1"/>
                <w:sz w:val="18"/>
                <w:szCs w:val="18"/>
              </w:rPr>
              <w:t>20</w:t>
            </w:r>
            <w:r w:rsidRPr="00D77E59">
              <w:rPr>
                <w:rFonts w:ascii="Tahoma" w:hAnsi="Tahoma" w:cs="Tahoma"/>
                <w:caps/>
                <w:color w:val="000000" w:themeColor="text1"/>
                <w:sz w:val="18"/>
                <w:szCs w:val="18"/>
              </w:rPr>
              <w:t>/05/2024</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D17A51" w14:textId="77777777" w:rsidR="00381817" w:rsidRDefault="00381817" w:rsidP="00381817">
            <w:pPr>
              <w:autoSpaceDE w:val="0"/>
              <w:autoSpaceDN w:val="0"/>
              <w:adjustRightInd w:val="0"/>
              <w:rPr>
                <w:rFonts w:ascii="Tahoma" w:hAnsi="Tahoma" w:cs="Tahoma"/>
                <w:sz w:val="18"/>
                <w:szCs w:val="18"/>
                <w:lang w:eastAsia="en-US"/>
              </w:rPr>
            </w:pPr>
            <w:r>
              <w:rPr>
                <w:rFonts w:ascii="Tahoma" w:hAnsi="Tahoma" w:cs="Tahoma"/>
                <w:sz w:val="18"/>
                <w:szCs w:val="18"/>
                <w:lang w:eastAsia="en-US"/>
              </w:rPr>
              <w:t>VC3689-BH9192- Enhancing Human Rights Compliant</w:t>
            </w:r>
          </w:p>
          <w:p w14:paraId="0E129DEA" w14:textId="734E1FE8" w:rsidR="00BE43B2" w:rsidRPr="00EA2362" w:rsidRDefault="00381817" w:rsidP="00381817">
            <w:pPr>
              <w:rPr>
                <w:rFonts w:ascii="Tahoma" w:hAnsi="Tahoma" w:cs="Tahoma"/>
                <w:caps/>
                <w:color w:val="000000" w:themeColor="text1"/>
                <w:sz w:val="18"/>
                <w:szCs w:val="18"/>
                <w:highlight w:val="cyan"/>
              </w:rPr>
            </w:pPr>
            <w:r>
              <w:rPr>
                <w:rFonts w:ascii="Tahoma" w:hAnsi="Tahoma" w:cs="Tahoma"/>
                <w:sz w:val="18"/>
                <w:szCs w:val="18"/>
                <w:lang w:eastAsia="en-US"/>
              </w:rPr>
              <w:t>Approaches in Law Enforcement Institutions in Georgia</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720C5C4E" w:rsidR="00BE43B2" w:rsidRPr="00EA2362" w:rsidRDefault="00000000">
            <w:pPr>
              <w:rPr>
                <w:rFonts w:ascii="Tahoma" w:hAnsi="Tahoma" w:cs="Tahoma"/>
                <w:b/>
                <w:caps/>
                <w:color w:val="000000" w:themeColor="text1"/>
                <w:sz w:val="18"/>
                <w:szCs w:val="18"/>
                <w:highlight w:val="cyan"/>
              </w:rPr>
            </w:pPr>
            <w:sdt>
              <w:sdtPr>
                <w:rPr>
                  <w:rStyle w:val="Style61"/>
                  <w:rFonts w:ascii="Tahoma" w:hAnsi="Tahoma" w:cs="Tahoma"/>
                  <w:szCs w:val="20"/>
                </w:rPr>
                <w:id w:val="1878348945"/>
                <w:placeholder>
                  <w:docPart w:val="3FEC75D3C2E24B89A51FB7655E35B645"/>
                </w:placeholder>
              </w:sdtPr>
              <w:sdtEndPr>
                <w:rPr>
                  <w:rStyle w:val="DefaultParagraphFont"/>
                  <w:b w:val="0"/>
                  <w:color w:val="auto"/>
                  <w:sz w:val="22"/>
                  <w:lang w:eastAsia="fr-FR"/>
                </w:rPr>
              </w:sdtEndPr>
              <w:sdtContent>
                <w:hyperlink r:id="rId11" w:history="1">
                  <w:r w:rsidR="00381817" w:rsidRPr="00BE2B4C">
                    <w:rPr>
                      <w:rStyle w:val="Hyperlink"/>
                      <w:rFonts w:ascii="Tahoma" w:hAnsi="Tahoma" w:cs="Tahoma"/>
                      <w:sz w:val="20"/>
                      <w:szCs w:val="20"/>
                    </w:rPr>
                    <w:t>PolicePrisons.Projects@coe.int</w:t>
                  </w:r>
                </w:hyperlink>
              </w:sdtContent>
            </w:sdt>
            <w:r w:rsidR="00381817">
              <w:rPr>
                <w:rFonts w:ascii="Tahoma" w:hAnsi="Tahoma" w:cs="Tahoma"/>
                <w:szCs w:val="20"/>
                <w:lang w:eastAsia="fr-FR"/>
              </w:rPr>
              <w:t xml:space="preserve"> </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30296C3" w14:textId="6789C032" w:rsidR="00381817" w:rsidRPr="00381817" w:rsidRDefault="00261462" w:rsidP="00381817">
      <w:pPr>
        <w:rPr>
          <w:rFonts w:ascii="Tahoma" w:hAnsi="Tahoma" w:cs="Tahoma"/>
          <w:b/>
          <w:highlight w:val="cyan"/>
        </w:rPr>
      </w:pPr>
      <w:r w:rsidRPr="00381817">
        <w:rPr>
          <w:rFonts w:ascii="Tahoma" w:hAnsi="Tahoma" w:cs="Tahoma"/>
          <w:b/>
        </w:rPr>
        <w:t xml:space="preserve">This Act of Engagement lays down the terms and conditions of the contract between the Provider, </w:t>
      </w:r>
      <w:r w:rsidR="00453769" w:rsidRPr="00381817">
        <w:rPr>
          <w:rFonts w:ascii="Tahoma" w:hAnsi="Tahoma" w:cs="Tahoma"/>
          <w:b/>
        </w:rPr>
        <w:t>as described below,</w:t>
      </w:r>
      <w:r w:rsidRPr="00381817">
        <w:rPr>
          <w:rFonts w:ascii="Tahoma" w:hAnsi="Tahoma" w:cs="Tahoma"/>
          <w:b/>
        </w:rPr>
        <w:t xml:space="preserve"> and the Council of Europe</w:t>
      </w:r>
      <w:r w:rsidRPr="00381817">
        <w:rPr>
          <w:rStyle w:val="FootnoteReference"/>
          <w:rFonts w:ascii="Tahoma" w:hAnsi="Tahoma" w:cs="Tahoma"/>
          <w:b/>
        </w:rPr>
        <w:footnoteReference w:id="2"/>
      </w:r>
      <w:r w:rsidRPr="00381817">
        <w:rPr>
          <w:rFonts w:ascii="Tahoma" w:hAnsi="Tahoma" w:cs="Tahoma"/>
          <w:b/>
        </w:rPr>
        <w:t xml:space="preserve"> for the provision of </w:t>
      </w:r>
      <w:r w:rsidR="00381817" w:rsidRPr="00381817">
        <w:rPr>
          <w:rFonts w:ascii="Tahoma" w:hAnsi="Tahoma" w:cs="Tahoma"/>
          <w:b/>
        </w:rPr>
        <w:t xml:space="preserve">Research services to conduct a Public Opinion Survey about the Special Investigation Service </w:t>
      </w:r>
    </w:p>
    <w:p w14:paraId="69C3D274" w14:textId="655E855D" w:rsidR="00261462" w:rsidRPr="00EA2362" w:rsidRDefault="00261462" w:rsidP="00381817">
      <w:pPr>
        <w:jc w:val="both"/>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97E6C" w:rsidRPr="0035618E" w14:paraId="65D00B1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F3B3F8C" w14:textId="77777777" w:rsidR="00997E6C" w:rsidRPr="0035618E" w:rsidRDefault="00997E6C"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1C422" w14:textId="77777777" w:rsidR="00997E6C" w:rsidRPr="0035618E" w:rsidRDefault="00997E6C"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1CE4A3C"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029944"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BEABC3"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Consortium</w:t>
            </w:r>
          </w:p>
        </w:tc>
      </w:tr>
      <w:tr w:rsidR="00997E6C" w:rsidRPr="0035618E" w14:paraId="2CADF635"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46547C"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23FECD"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1F2CBB9"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7E5C77" w14:textId="77777777" w:rsidR="00997E6C" w:rsidRPr="0035618E" w:rsidRDefault="00997E6C" w:rsidP="00AA1545">
            <w:pPr>
              <w:rPr>
                <w:rFonts w:ascii="Tahoma" w:hAnsi="Tahoma" w:cs="Tahoma"/>
                <w:color w:val="000000"/>
                <w:sz w:val="20"/>
                <w:szCs w:val="20"/>
              </w:rPr>
            </w:pPr>
          </w:p>
        </w:tc>
      </w:tr>
      <w:tr w:rsidR="00997E6C" w:rsidRPr="0035618E" w14:paraId="057EBCD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CB12D7"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9E95CE"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E5AF32" w14:textId="77777777" w:rsidR="00997E6C" w:rsidRPr="0035618E" w:rsidRDefault="00997E6C" w:rsidP="00AA1545">
            <w:pPr>
              <w:rPr>
                <w:rFonts w:ascii="Tahoma" w:hAnsi="Tahoma" w:cs="Tahoma"/>
                <w:sz w:val="20"/>
                <w:szCs w:val="20"/>
              </w:rPr>
            </w:pPr>
          </w:p>
        </w:tc>
      </w:tr>
      <w:tr w:rsidR="00997E6C" w:rsidRPr="0035618E" w14:paraId="6E0D42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1FA6B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4B0102"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Representative (for legal persons only)</w:t>
            </w:r>
          </w:p>
          <w:p w14:paraId="67729DB7" w14:textId="77777777" w:rsidR="00997E6C" w:rsidRPr="00C546D8" w:rsidRDefault="00997E6C"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195637" w14:textId="77777777" w:rsidR="00997E6C" w:rsidRPr="0035618E" w:rsidRDefault="00997E6C" w:rsidP="00AA1545">
            <w:pPr>
              <w:rPr>
                <w:rFonts w:ascii="Tahoma" w:hAnsi="Tahoma" w:cs="Tahoma"/>
                <w:sz w:val="20"/>
                <w:szCs w:val="20"/>
              </w:rPr>
            </w:pPr>
          </w:p>
        </w:tc>
      </w:tr>
      <w:tr w:rsidR="00997E6C" w:rsidRPr="0035618E" w14:paraId="0619C5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BF6C3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A6AAEF"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Contact person</w:t>
            </w:r>
          </w:p>
          <w:p w14:paraId="2BF85477"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CD1133" w14:textId="77777777" w:rsidR="00997E6C" w:rsidRPr="0035618E" w:rsidRDefault="00997E6C" w:rsidP="00AA1545">
            <w:pPr>
              <w:rPr>
                <w:rFonts w:ascii="Tahoma" w:hAnsi="Tahoma" w:cs="Tahoma"/>
                <w:sz w:val="20"/>
                <w:szCs w:val="20"/>
              </w:rPr>
            </w:pPr>
          </w:p>
        </w:tc>
      </w:tr>
      <w:tr w:rsidR="00997E6C" w:rsidRPr="0035618E" w14:paraId="0656EDC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5C0F994"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336F0A"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VAT n° (if any)</w:t>
            </w:r>
          </w:p>
          <w:p w14:paraId="0B37CF64"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1BF36F" w14:textId="77777777" w:rsidR="00997E6C" w:rsidRPr="0035618E" w:rsidRDefault="00997E6C" w:rsidP="00AA1545">
            <w:pPr>
              <w:rPr>
                <w:rFonts w:ascii="Tahoma" w:hAnsi="Tahoma" w:cs="Tahoma"/>
                <w:sz w:val="20"/>
                <w:szCs w:val="20"/>
              </w:rPr>
            </w:pPr>
          </w:p>
        </w:tc>
      </w:tr>
      <w:tr w:rsidR="00997E6C" w:rsidRPr="0035618E" w14:paraId="2ED830A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FED8A58"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E126A3"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Country and registration n° (if any)</w:t>
            </w:r>
          </w:p>
          <w:p w14:paraId="66941ECB"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6E3AF2" w14:textId="77777777" w:rsidR="00997E6C" w:rsidRPr="0035618E" w:rsidRDefault="00997E6C" w:rsidP="00AA1545">
            <w:pPr>
              <w:rPr>
                <w:rFonts w:ascii="Tahoma" w:hAnsi="Tahoma" w:cs="Tahoma"/>
                <w:sz w:val="20"/>
                <w:szCs w:val="20"/>
              </w:rPr>
            </w:pPr>
          </w:p>
        </w:tc>
      </w:tr>
      <w:tr w:rsidR="00997E6C" w:rsidRPr="0035618E" w14:paraId="598B098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6CF4F3C"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F7F1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Email (Contact person)</w:t>
            </w:r>
          </w:p>
          <w:p w14:paraId="355BB4CE"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340AB2" w14:textId="77777777" w:rsidR="00997E6C" w:rsidRPr="0035618E" w:rsidRDefault="00997E6C" w:rsidP="00AA1545">
            <w:pPr>
              <w:rPr>
                <w:rFonts w:ascii="Tahoma" w:hAnsi="Tahoma" w:cs="Tahoma"/>
                <w:sz w:val="20"/>
                <w:szCs w:val="20"/>
              </w:rPr>
            </w:pPr>
          </w:p>
        </w:tc>
      </w:tr>
      <w:tr w:rsidR="00997E6C" w:rsidRPr="0035618E" w14:paraId="70A34011"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5FA83F2"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A4C251"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Phone number (Contact person)</w:t>
            </w:r>
          </w:p>
          <w:p w14:paraId="69BF6A60"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60D39E" w14:textId="77777777" w:rsidR="00997E6C" w:rsidRPr="0035618E" w:rsidRDefault="00997E6C" w:rsidP="00AA1545">
            <w:pPr>
              <w:rPr>
                <w:rFonts w:ascii="Tahoma" w:hAnsi="Tahoma" w:cs="Tahoma"/>
                <w:sz w:val="20"/>
                <w:szCs w:val="20"/>
              </w:rPr>
            </w:pPr>
          </w:p>
        </w:tc>
      </w:tr>
      <w:tr w:rsidR="00997E6C" w:rsidRPr="0035618E" w14:paraId="3DD7EADB"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1DDCD21" w14:textId="77777777" w:rsidR="00997E6C" w:rsidRPr="0035618E" w:rsidRDefault="00997E6C"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1335B0"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CFFA4CF"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6628D69" w14:textId="77777777" w:rsidR="00997E6C" w:rsidRPr="0035618E" w:rsidRDefault="00997E6C" w:rsidP="00AA1545">
            <w:pPr>
              <w:rPr>
                <w:rFonts w:ascii="Tahoma" w:hAnsi="Tahoma" w:cs="Tahoma"/>
                <w:sz w:val="20"/>
                <w:szCs w:val="20"/>
              </w:rPr>
            </w:pPr>
          </w:p>
        </w:tc>
      </w:tr>
      <w:tr w:rsidR="00997E6C" w:rsidRPr="0035618E" w14:paraId="151236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F59BB30"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06EDBEE"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IBAN n°</w:t>
            </w:r>
          </w:p>
          <w:p w14:paraId="47F81BD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(if available)</w:t>
            </w:r>
          </w:p>
          <w:p w14:paraId="1450F3E8"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0A9B4DF"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C7B3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D5FF3A0" w14:textId="77777777" w:rsidR="00997E6C" w:rsidRPr="0035618E" w:rsidRDefault="00997E6C" w:rsidP="00AA1545">
            <w:pPr>
              <w:rPr>
                <w:rFonts w:ascii="Tahoma" w:hAnsi="Tahoma" w:cs="Tahoma"/>
                <w:sz w:val="20"/>
                <w:szCs w:val="20"/>
              </w:rPr>
            </w:pPr>
          </w:p>
        </w:tc>
      </w:tr>
      <w:tr w:rsidR="00997E6C" w:rsidRPr="0035618E" w14:paraId="21EA24D4"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6B3488E"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6F3751B"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Bank name</w:t>
            </w:r>
          </w:p>
          <w:p w14:paraId="54E08105"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and Branch</w:t>
            </w:r>
          </w:p>
          <w:p w14:paraId="43C29274"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A794CBA"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81343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BIC/SWIFT Code </w:t>
            </w:r>
          </w:p>
          <w:p w14:paraId="09BD081D"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3ECE3C1" w14:textId="77777777" w:rsidR="00997E6C" w:rsidRPr="0035618E" w:rsidRDefault="00997E6C" w:rsidP="00AA1545">
            <w:pPr>
              <w:rPr>
                <w:rFonts w:ascii="Tahoma" w:hAnsi="Tahoma" w:cs="Tahoma"/>
                <w:sz w:val="20"/>
                <w:szCs w:val="20"/>
              </w:rPr>
            </w:pPr>
          </w:p>
        </w:tc>
      </w:tr>
      <w:tr w:rsidR="00997E6C" w:rsidRPr="0035618E" w14:paraId="15D798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E9397F5"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395BA8"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Bank Address </w:t>
            </w:r>
          </w:p>
          <w:p w14:paraId="067E2B14"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7593C"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9372AC4"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705E1E" w14:textId="77777777" w:rsidR="00997E6C" w:rsidRPr="0035618E" w:rsidRDefault="00997E6C" w:rsidP="00AA1545">
            <w:pPr>
              <w:rPr>
                <w:rFonts w:ascii="Tahoma" w:hAnsi="Tahoma" w:cs="Tahoma"/>
                <w:sz w:val="20"/>
                <w:szCs w:val="20"/>
              </w:rPr>
            </w:pPr>
          </w:p>
        </w:tc>
      </w:tr>
      <w:bookmarkEnd w:id="0"/>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60CDBD72" w:rsidR="00EC5AFE" w:rsidRDefault="00EC5AFE" w:rsidP="00EC5AFE">
      <w:pPr>
        <w:pBdr>
          <w:bottom w:val="single" w:sz="4" w:space="1" w:color="808080" w:themeColor="background1" w:themeShade="80"/>
        </w:pBdr>
        <w:tabs>
          <w:tab w:val="left" w:pos="284"/>
        </w:tabs>
        <w:rPr>
          <w:rFonts w:ascii="Tahoma" w:hAnsi="Tahoma" w:cs="Tahoma"/>
          <w:b/>
          <w:lang w:eastAsia="en-US"/>
        </w:rPr>
      </w:pPr>
    </w:p>
    <w:p w14:paraId="4FE996C1" w14:textId="4F4949D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9A3CF18" w14:textId="2C4CB8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5AEF63" w14:textId="399E6B0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7DB382" w14:textId="2A5C374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EC16959" w14:textId="4CF34AE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C8D7C60" w14:textId="4AE93D6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E559AE" w14:textId="29AE4A1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5C50B5" w14:textId="5691041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580756" w14:textId="101E1B3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064CC4" w14:textId="02BBE1D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CD462B3" w14:textId="7ADB6C8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E07A59" w14:textId="14C27E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478EA20" w14:textId="2DBA8EE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9087C52" w14:textId="0596382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F5B66A" w14:textId="6363F6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00A8F0" w14:textId="6D5DC01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09E7E48" w14:textId="1B5F60D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5137D16" w14:textId="47B292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A84CD8" w14:textId="5B98CDD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01E777F" w14:textId="7BDAFF4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B8127B5" w14:textId="44DD129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1FCBED" w14:textId="0EDF3A7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4D281FB" w14:textId="3AD14E1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AE2612" w14:textId="55F74639"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4DCFB4" w14:textId="6625DB7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56080F3" w14:textId="723FD0A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5338EFA" w14:textId="7600C23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28B1EC" w14:textId="323E65B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D0825C" w14:textId="4025C05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35096EF" w14:textId="45BB13A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4EEF7A5" w14:textId="4E9F41F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B29671" w14:textId="3442549A"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FB472D5" w14:textId="78A63BE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C541329" w14:textId="606FDF7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EDBB9D5" w14:textId="0E74FAA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8C1473E" w14:textId="69D6D62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E3BFE8" w14:textId="49462AA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3DE4C5D" w14:textId="2224588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764736D" w14:textId="13AD14A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FD643D" w14:textId="20FB6CC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887CD80" w14:textId="3CE399D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291ADFE" w14:textId="77777777" w:rsidR="00997E6C" w:rsidRPr="00EC5AFE" w:rsidRDefault="00997E6C"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049E2725" w14:textId="0F05C73E" w:rsidR="00E55F69" w:rsidRDefault="00381817" w:rsidP="003E0A41">
      <w:pPr>
        <w:spacing w:line="276" w:lineRule="auto"/>
        <w:jc w:val="both"/>
        <w:rPr>
          <w:rFonts w:ascii="Tahoma" w:hAnsi="Tahoma" w:cs="Tahoma"/>
          <w:sz w:val="20"/>
          <w:szCs w:val="20"/>
        </w:rPr>
      </w:pPr>
      <w:r w:rsidRPr="00EB5355">
        <w:rPr>
          <w:rFonts w:ascii="Tahoma" w:hAnsi="Tahoma" w:cs="Tahoma"/>
          <w:sz w:val="20"/>
          <w:szCs w:val="20"/>
        </w:rPr>
        <w:t xml:space="preserve">The Council of Europe </w:t>
      </w:r>
      <w:r w:rsidRPr="00E34008">
        <w:rPr>
          <w:rFonts w:ascii="Tahoma" w:hAnsi="Tahoma" w:cs="Tahoma"/>
          <w:sz w:val="20"/>
          <w:szCs w:val="20"/>
        </w:rPr>
        <w:t>is</w:t>
      </w:r>
      <w:r>
        <w:rPr>
          <w:rFonts w:ascii="Tahoma" w:hAnsi="Tahoma" w:cs="Tahoma"/>
          <w:sz w:val="20"/>
          <w:szCs w:val="20"/>
        </w:rPr>
        <w:t xml:space="preserve"> currently </w:t>
      </w:r>
      <w:r w:rsidRPr="00E34008">
        <w:rPr>
          <w:rFonts w:ascii="Tahoma" w:hAnsi="Tahoma" w:cs="Tahoma"/>
          <w:sz w:val="20"/>
          <w:szCs w:val="20"/>
        </w:rPr>
        <w:t xml:space="preserve">implementing a Project on </w:t>
      </w:r>
      <w:r w:rsidRPr="00706389">
        <w:rPr>
          <w:rFonts w:ascii="Tahoma" w:hAnsi="Tahoma" w:cs="Tahoma"/>
          <w:sz w:val="20"/>
          <w:szCs w:val="20"/>
        </w:rPr>
        <w:t xml:space="preserve">“Enhancing Human Rights Compliant Approaches in Law Enforcement Institutions in Georgia” </w:t>
      </w:r>
      <w:r w:rsidRPr="00E34008">
        <w:rPr>
          <w:rFonts w:ascii="Tahoma" w:hAnsi="Tahoma" w:cs="Tahoma"/>
          <w:sz w:val="20"/>
          <w:szCs w:val="20"/>
        </w:rPr>
        <w:t xml:space="preserve">until </w:t>
      </w:r>
      <w:r>
        <w:rPr>
          <w:rFonts w:ascii="Tahoma" w:hAnsi="Tahoma" w:cs="Tahoma"/>
          <w:sz w:val="20"/>
          <w:szCs w:val="20"/>
        </w:rPr>
        <w:t xml:space="preserve">31 </w:t>
      </w:r>
      <w:proofErr w:type="gramStart"/>
      <w:r>
        <w:rPr>
          <w:rFonts w:ascii="Tahoma" w:hAnsi="Tahoma" w:cs="Tahoma"/>
          <w:sz w:val="20"/>
          <w:szCs w:val="20"/>
        </w:rPr>
        <w:t>December,</w:t>
      </w:r>
      <w:proofErr w:type="gramEnd"/>
      <w:r>
        <w:rPr>
          <w:rFonts w:ascii="Tahoma" w:hAnsi="Tahoma" w:cs="Tahoma"/>
          <w:sz w:val="20"/>
          <w:szCs w:val="20"/>
        </w:rPr>
        <w:t xml:space="preserve"> 2025. </w:t>
      </w:r>
      <w:r w:rsidRPr="00EB5355">
        <w:rPr>
          <w:rFonts w:ascii="Tahoma" w:hAnsi="Tahoma" w:cs="Tahoma"/>
          <w:sz w:val="20"/>
          <w:szCs w:val="20"/>
        </w:rPr>
        <w:t xml:space="preserve"> In that context, it is looking for a Provider for the provision of </w:t>
      </w:r>
      <w:r>
        <w:rPr>
          <w:rFonts w:ascii="Tahoma" w:hAnsi="Tahoma" w:cs="Tahoma"/>
          <w:sz w:val="20"/>
          <w:szCs w:val="20"/>
        </w:rPr>
        <w:t>public opinion survey about the Special Investigation Service.</w:t>
      </w:r>
    </w:p>
    <w:p w14:paraId="740A9FF0" w14:textId="77777777" w:rsidR="00381817" w:rsidRDefault="00381817" w:rsidP="003E0A41">
      <w:pPr>
        <w:spacing w:line="276" w:lineRule="auto"/>
        <w:jc w:val="both"/>
        <w:rPr>
          <w:rFonts w:ascii="Tahoma" w:hAnsi="Tahoma" w:cs="Tahoma"/>
          <w:sz w:val="20"/>
          <w:szCs w:val="20"/>
        </w:rPr>
      </w:pPr>
    </w:p>
    <w:p w14:paraId="248EDCFD" w14:textId="77777777" w:rsidR="00381817" w:rsidRDefault="00381817" w:rsidP="00381817">
      <w:pPr>
        <w:jc w:val="both"/>
        <w:rPr>
          <w:rFonts w:asciiTheme="minorHAnsi" w:hAnsiTheme="minorHAnsi" w:cs="Tahoma"/>
          <w:sz w:val="20"/>
          <w:szCs w:val="20"/>
          <w:lang w:val="ka-GE"/>
        </w:rPr>
      </w:pPr>
      <w:r w:rsidRPr="00381817">
        <w:rPr>
          <w:rFonts w:ascii="Tahoma" w:hAnsi="Tahoma" w:cs="Tahoma"/>
          <w:sz w:val="20"/>
          <w:szCs w:val="20"/>
          <w:lang w:val="ka-GE"/>
        </w:rPr>
        <w:t>Since its inception, the organi</w:t>
      </w:r>
      <w:r w:rsidRPr="00381817">
        <w:rPr>
          <w:rFonts w:ascii="Tahoma" w:hAnsi="Tahoma" w:cs="Tahoma"/>
          <w:sz w:val="20"/>
          <w:szCs w:val="20"/>
          <w:lang w:val="en-US"/>
        </w:rPr>
        <w:t>s</w:t>
      </w:r>
      <w:r w:rsidRPr="00381817">
        <w:rPr>
          <w:rFonts w:ascii="Tahoma" w:hAnsi="Tahoma" w:cs="Tahoma"/>
          <w:sz w:val="20"/>
          <w:szCs w:val="20"/>
          <w:lang w:val="ka-GE"/>
        </w:rPr>
        <w:t xml:space="preserve">ational structure of the </w:t>
      </w:r>
      <w:r w:rsidRPr="00381817">
        <w:rPr>
          <w:rFonts w:ascii="Tahoma" w:hAnsi="Tahoma" w:cs="Tahoma"/>
          <w:sz w:val="20"/>
          <w:szCs w:val="20"/>
          <w:lang w:val="en-US"/>
        </w:rPr>
        <w:t>Special Investigation Service</w:t>
      </w:r>
      <w:r w:rsidRPr="00381817">
        <w:rPr>
          <w:rFonts w:ascii="Tahoma" w:hAnsi="Tahoma" w:cs="Tahoma"/>
          <w:sz w:val="20"/>
          <w:szCs w:val="20"/>
          <w:lang w:val="ka-GE"/>
        </w:rPr>
        <w:t xml:space="preserve"> has undergone several changes, along with adjustments to its mandate. Concurrently, the Service has significantly expanded its territorial coverage, introduced new service branches such as the Victims' Rights Division, initiated public awareness campaigns across </w:t>
      </w:r>
      <w:r w:rsidRPr="00381817">
        <w:rPr>
          <w:rFonts w:ascii="Tahoma" w:hAnsi="Tahoma" w:cs="Tahoma"/>
          <w:sz w:val="20"/>
          <w:szCs w:val="20"/>
          <w:lang w:val="en-US"/>
        </w:rPr>
        <w:t>several regions</w:t>
      </w:r>
      <w:r w:rsidRPr="00381817">
        <w:rPr>
          <w:rFonts w:ascii="Tahoma" w:hAnsi="Tahoma" w:cs="Tahoma"/>
          <w:sz w:val="20"/>
          <w:szCs w:val="20"/>
          <w:lang w:val="ka-GE"/>
        </w:rPr>
        <w:t xml:space="preserve">, and accumulated expertise in executing its mandated services. Considering these factors, the </w:t>
      </w:r>
      <w:bookmarkStart w:id="1" w:name="_Hlk164169174"/>
      <w:r w:rsidRPr="00381817">
        <w:rPr>
          <w:rFonts w:ascii="Tahoma" w:hAnsi="Tahoma" w:cs="Tahoma"/>
          <w:sz w:val="20"/>
          <w:szCs w:val="20"/>
          <w:lang w:val="ka-GE"/>
        </w:rPr>
        <w:t xml:space="preserve">current </w:t>
      </w:r>
      <w:r w:rsidRPr="00381817">
        <w:rPr>
          <w:rFonts w:ascii="Tahoma" w:hAnsi="Tahoma" w:cs="Tahoma"/>
          <w:sz w:val="20"/>
          <w:szCs w:val="20"/>
          <w:lang w:val="en-US"/>
        </w:rPr>
        <w:t>objective</w:t>
      </w:r>
      <w:r w:rsidRPr="00381817">
        <w:rPr>
          <w:rFonts w:ascii="Tahoma" w:hAnsi="Tahoma" w:cs="Tahoma"/>
          <w:sz w:val="20"/>
          <w:szCs w:val="20"/>
          <w:lang w:val="ka-GE"/>
        </w:rPr>
        <w:t xml:space="preserve"> </w:t>
      </w:r>
      <w:bookmarkEnd w:id="1"/>
      <w:r w:rsidRPr="00381817">
        <w:rPr>
          <w:rFonts w:ascii="Tahoma" w:hAnsi="Tahoma" w:cs="Tahoma"/>
          <w:sz w:val="20"/>
          <w:szCs w:val="20"/>
          <w:lang w:val="ka-GE"/>
        </w:rPr>
        <w:t xml:space="preserve">presents an </w:t>
      </w:r>
      <w:r w:rsidRPr="00381817">
        <w:rPr>
          <w:rFonts w:ascii="Tahoma" w:hAnsi="Tahoma" w:cs="Tahoma"/>
          <w:sz w:val="20"/>
          <w:szCs w:val="20"/>
          <w:lang w:val="en-US"/>
        </w:rPr>
        <w:t xml:space="preserve">opportunity </w:t>
      </w:r>
      <w:r w:rsidRPr="00381817">
        <w:rPr>
          <w:rFonts w:ascii="Tahoma" w:hAnsi="Tahoma" w:cs="Tahoma"/>
          <w:sz w:val="20"/>
          <w:szCs w:val="20"/>
          <w:lang w:val="ka-GE"/>
        </w:rPr>
        <w:t xml:space="preserve">to assess public awareness </w:t>
      </w:r>
      <w:r w:rsidRPr="00381817">
        <w:rPr>
          <w:rFonts w:ascii="Tahoma" w:hAnsi="Tahoma" w:cs="Tahoma"/>
          <w:sz w:val="20"/>
          <w:szCs w:val="20"/>
          <w:lang w:val="en-US"/>
        </w:rPr>
        <w:t xml:space="preserve">around </w:t>
      </w:r>
      <w:r w:rsidRPr="00381817">
        <w:rPr>
          <w:rFonts w:ascii="Tahoma" w:hAnsi="Tahoma" w:cs="Tahoma"/>
          <w:sz w:val="20"/>
          <w:szCs w:val="20"/>
          <w:lang w:val="ka-GE"/>
        </w:rPr>
        <w:t xml:space="preserve">the </w:t>
      </w:r>
      <w:r w:rsidRPr="00381817">
        <w:rPr>
          <w:rFonts w:ascii="Tahoma" w:hAnsi="Tahoma" w:cs="Tahoma"/>
          <w:sz w:val="20"/>
          <w:szCs w:val="20"/>
          <w:lang w:val="en-US"/>
        </w:rPr>
        <w:t xml:space="preserve">Special Investigation </w:t>
      </w:r>
      <w:r w:rsidRPr="00381817">
        <w:rPr>
          <w:rFonts w:ascii="Tahoma" w:hAnsi="Tahoma" w:cs="Tahoma"/>
          <w:sz w:val="20"/>
          <w:szCs w:val="20"/>
          <w:lang w:val="ka-GE"/>
        </w:rPr>
        <w:t>Service</w:t>
      </w:r>
      <w:r w:rsidRPr="00381817">
        <w:rPr>
          <w:rFonts w:ascii="Tahoma" w:hAnsi="Tahoma" w:cs="Tahoma"/>
          <w:sz w:val="20"/>
          <w:szCs w:val="20"/>
          <w:lang w:val="en-US"/>
        </w:rPr>
        <w:t xml:space="preserve"> and its mandate</w:t>
      </w:r>
      <w:r w:rsidRPr="00381817">
        <w:rPr>
          <w:rFonts w:ascii="Tahoma" w:hAnsi="Tahoma" w:cs="Tahoma"/>
          <w:sz w:val="20"/>
          <w:szCs w:val="20"/>
          <w:lang w:val="ka-GE"/>
        </w:rPr>
        <w:t>, aimin</w:t>
      </w:r>
      <w:r w:rsidRPr="00381817">
        <w:rPr>
          <w:rFonts w:ascii="Tahoma" w:hAnsi="Tahoma" w:cs="Tahoma"/>
          <w:sz w:val="20"/>
          <w:szCs w:val="20"/>
          <w:lang w:val="en-US"/>
        </w:rPr>
        <w:t>g</w:t>
      </w:r>
      <w:r w:rsidRPr="00381817">
        <w:rPr>
          <w:rFonts w:ascii="Tahoma" w:hAnsi="Tahoma" w:cs="Tahoma"/>
          <w:sz w:val="20"/>
          <w:szCs w:val="20"/>
          <w:lang w:val="ka-GE"/>
        </w:rPr>
        <w:t xml:space="preserve"> to </w:t>
      </w:r>
      <w:proofErr w:type="spellStart"/>
      <w:r w:rsidRPr="00381817">
        <w:rPr>
          <w:rFonts w:ascii="Tahoma" w:hAnsi="Tahoma" w:cs="Tahoma"/>
          <w:sz w:val="20"/>
          <w:szCs w:val="20"/>
          <w:lang w:val="en-US"/>
        </w:rPr>
        <w:t>analyse</w:t>
      </w:r>
      <w:proofErr w:type="spellEnd"/>
      <w:r w:rsidRPr="00381817">
        <w:rPr>
          <w:rFonts w:ascii="Tahoma" w:hAnsi="Tahoma" w:cs="Tahoma"/>
          <w:sz w:val="20"/>
          <w:szCs w:val="20"/>
          <w:lang w:val="ka-GE"/>
        </w:rPr>
        <w:t xml:space="preserve"> its current standing and </w:t>
      </w:r>
      <w:r w:rsidRPr="00381817">
        <w:rPr>
          <w:rFonts w:ascii="Tahoma" w:hAnsi="Tahoma" w:cs="Tahoma"/>
          <w:sz w:val="20"/>
          <w:szCs w:val="20"/>
          <w:lang w:val="en-US"/>
        </w:rPr>
        <w:t>provide recommendations</w:t>
      </w:r>
      <w:r w:rsidRPr="00381817">
        <w:rPr>
          <w:rFonts w:ascii="Tahoma" w:hAnsi="Tahoma" w:cs="Tahoma"/>
          <w:sz w:val="20"/>
          <w:szCs w:val="20"/>
          <w:lang w:val="ka-GE"/>
        </w:rPr>
        <w:t xml:space="preserve"> for future development</w:t>
      </w:r>
      <w:r w:rsidRPr="00381817">
        <w:rPr>
          <w:rFonts w:ascii="Tahoma" w:hAnsi="Tahoma" w:cs="Tahoma"/>
          <w:sz w:val="20"/>
          <w:szCs w:val="20"/>
          <w:lang w:val="en-US"/>
        </w:rPr>
        <w:t>s</w:t>
      </w:r>
      <w:r w:rsidRPr="00381817">
        <w:rPr>
          <w:rFonts w:ascii="Tahoma" w:hAnsi="Tahoma" w:cs="Tahoma"/>
          <w:sz w:val="20"/>
          <w:szCs w:val="20"/>
          <w:lang w:val="ka-GE"/>
        </w:rPr>
        <w:t>.</w:t>
      </w:r>
    </w:p>
    <w:p w14:paraId="55D9199C" w14:textId="77777777" w:rsidR="00381817" w:rsidRPr="00381817" w:rsidRDefault="00381817" w:rsidP="00381817">
      <w:pPr>
        <w:jc w:val="both"/>
        <w:rPr>
          <w:rFonts w:asciiTheme="minorHAnsi" w:hAnsiTheme="minorHAnsi" w:cs="Tahoma"/>
          <w:sz w:val="20"/>
          <w:szCs w:val="20"/>
          <w:lang w:val="ka-GE"/>
        </w:rPr>
      </w:pPr>
    </w:p>
    <w:p w14:paraId="17C09A66" w14:textId="77777777" w:rsidR="00381817" w:rsidRDefault="00381817" w:rsidP="00381817">
      <w:pPr>
        <w:jc w:val="both"/>
        <w:rPr>
          <w:rFonts w:asciiTheme="minorHAnsi" w:hAnsiTheme="minorHAnsi" w:cs="Tahoma"/>
          <w:sz w:val="20"/>
          <w:szCs w:val="20"/>
          <w:lang w:val="ka-GE"/>
        </w:rPr>
      </w:pPr>
      <w:r w:rsidRPr="00381817">
        <w:rPr>
          <w:rFonts w:ascii="Tahoma" w:hAnsi="Tahoma" w:cs="Tahoma"/>
          <w:sz w:val="20"/>
          <w:szCs w:val="20"/>
          <w:lang w:val="ka-GE"/>
        </w:rPr>
        <w:t>To accomplish these objectives effectively, the survey should primarily focus on two key aspects: awareness of the Service's functions, institutional status (public or private), independence, jurisdiction</w:t>
      </w:r>
      <w:r w:rsidRPr="00381817">
        <w:rPr>
          <w:rFonts w:ascii="Tahoma" w:hAnsi="Tahoma" w:cs="Tahoma"/>
          <w:sz w:val="20"/>
          <w:szCs w:val="20"/>
          <w:lang w:val="en-US"/>
        </w:rPr>
        <w:t xml:space="preserve"> and </w:t>
      </w:r>
      <w:r w:rsidRPr="00381817">
        <w:rPr>
          <w:rFonts w:ascii="Tahoma" w:hAnsi="Tahoma" w:cs="Tahoma"/>
          <w:sz w:val="20"/>
          <w:szCs w:val="20"/>
          <w:lang w:val="ka-GE"/>
        </w:rPr>
        <w:t>investigative scope; and public trust in the Service, particularly in cases of concern. Emphasis should be placed on dev</w:t>
      </w:r>
      <w:r w:rsidRPr="00381817">
        <w:rPr>
          <w:rFonts w:ascii="Tahoma" w:hAnsi="Tahoma" w:cs="Tahoma"/>
          <w:sz w:val="20"/>
          <w:szCs w:val="20"/>
          <w:lang w:val="en-US"/>
        </w:rPr>
        <w:t>eloping</w:t>
      </w:r>
      <w:r w:rsidRPr="00381817">
        <w:rPr>
          <w:rFonts w:ascii="Tahoma" w:hAnsi="Tahoma" w:cs="Tahoma"/>
          <w:sz w:val="20"/>
          <w:szCs w:val="20"/>
          <w:lang w:val="ka-GE"/>
        </w:rPr>
        <w:t xml:space="preserve"> relevant research methodologies that encompass all crime directions pertinent to the Service's </w:t>
      </w:r>
      <w:r w:rsidRPr="00381817">
        <w:rPr>
          <w:rFonts w:ascii="Tahoma" w:hAnsi="Tahoma" w:cs="Tahoma"/>
          <w:sz w:val="20"/>
          <w:szCs w:val="20"/>
          <w:lang w:val="en-US"/>
        </w:rPr>
        <w:t>mandate</w:t>
      </w:r>
      <w:r w:rsidRPr="00381817">
        <w:rPr>
          <w:rFonts w:ascii="Tahoma" w:hAnsi="Tahoma" w:cs="Tahoma"/>
          <w:sz w:val="20"/>
          <w:szCs w:val="20"/>
          <w:lang w:val="ka-GE"/>
        </w:rPr>
        <w:t>.</w:t>
      </w:r>
    </w:p>
    <w:p w14:paraId="0D77EAEB" w14:textId="77777777" w:rsidR="00C8693E" w:rsidRPr="00C8693E" w:rsidRDefault="00C8693E" w:rsidP="00381817">
      <w:pPr>
        <w:jc w:val="both"/>
        <w:rPr>
          <w:rFonts w:asciiTheme="minorHAnsi" w:hAnsiTheme="minorHAnsi" w:cs="Tahoma"/>
          <w:sz w:val="20"/>
          <w:szCs w:val="20"/>
          <w:lang w:val="ka-GE"/>
        </w:rPr>
      </w:pPr>
    </w:p>
    <w:p w14:paraId="52EFEF47" w14:textId="77777777" w:rsidR="00381817" w:rsidRDefault="00381817" w:rsidP="00381817">
      <w:pPr>
        <w:jc w:val="both"/>
        <w:rPr>
          <w:rFonts w:ascii="Tahoma" w:hAnsi="Tahoma" w:cs="Tahoma"/>
          <w:sz w:val="20"/>
          <w:szCs w:val="20"/>
          <w:lang w:val="en-US"/>
        </w:rPr>
      </w:pPr>
      <w:r w:rsidRPr="00381817">
        <w:rPr>
          <w:rFonts w:ascii="Tahoma" w:hAnsi="Tahoma" w:cs="Tahoma"/>
          <w:sz w:val="20"/>
          <w:szCs w:val="20"/>
          <w:lang w:val="ka-GE"/>
        </w:rPr>
        <w:t>Furthermore, to attain a comprehensive overview, the research</w:t>
      </w:r>
      <w:r w:rsidRPr="00381817">
        <w:rPr>
          <w:rFonts w:ascii="Tahoma" w:hAnsi="Tahoma" w:cs="Tahoma"/>
          <w:sz w:val="20"/>
          <w:szCs w:val="20"/>
          <w:lang w:val="en-US"/>
        </w:rPr>
        <w:t xml:space="preserve"> initially</w:t>
      </w:r>
      <w:r w:rsidRPr="00381817">
        <w:rPr>
          <w:rFonts w:ascii="Tahoma" w:hAnsi="Tahoma" w:cs="Tahoma"/>
          <w:sz w:val="20"/>
          <w:szCs w:val="20"/>
          <w:lang w:val="ka-GE"/>
        </w:rPr>
        <w:t xml:space="preserve"> must encompass all districts of Tbilisi, followed by broader coverage </w:t>
      </w:r>
      <w:r w:rsidRPr="00381817">
        <w:rPr>
          <w:rFonts w:ascii="Tahoma" w:hAnsi="Tahoma" w:cs="Tahoma"/>
          <w:sz w:val="20"/>
          <w:szCs w:val="20"/>
          <w:lang w:val="en-US"/>
        </w:rPr>
        <w:t xml:space="preserve">(representative) </w:t>
      </w:r>
      <w:r w:rsidRPr="00381817">
        <w:rPr>
          <w:rFonts w:ascii="Tahoma" w:hAnsi="Tahoma" w:cs="Tahoma"/>
          <w:sz w:val="20"/>
          <w:szCs w:val="20"/>
          <w:lang w:val="ka-GE"/>
        </w:rPr>
        <w:t xml:space="preserve">extending to </w:t>
      </w:r>
      <w:r w:rsidRPr="00381817">
        <w:rPr>
          <w:rFonts w:ascii="Tahoma" w:hAnsi="Tahoma" w:cs="Tahoma"/>
          <w:sz w:val="20"/>
          <w:szCs w:val="20"/>
          <w:lang w:val="en-US"/>
        </w:rPr>
        <w:t xml:space="preserve">the </w:t>
      </w:r>
      <w:r w:rsidRPr="00381817">
        <w:rPr>
          <w:rFonts w:ascii="Tahoma" w:hAnsi="Tahoma" w:cs="Tahoma"/>
          <w:sz w:val="20"/>
          <w:szCs w:val="20"/>
          <w:lang w:val="ka-GE"/>
        </w:rPr>
        <w:t>regions of Georgia</w:t>
      </w:r>
      <w:r w:rsidRPr="00381817">
        <w:rPr>
          <w:rFonts w:ascii="Tahoma" w:hAnsi="Tahoma" w:cs="Tahoma"/>
          <w:sz w:val="20"/>
          <w:szCs w:val="20"/>
          <w:lang w:val="en-US"/>
        </w:rPr>
        <w:t>, namely Adjara, Kakheti and Samegrelo</w:t>
      </w:r>
      <w:r w:rsidRPr="00381817">
        <w:rPr>
          <w:rFonts w:ascii="Tahoma" w:hAnsi="Tahoma" w:cs="Tahoma"/>
          <w:sz w:val="20"/>
          <w:szCs w:val="20"/>
          <w:lang w:val="ka-GE"/>
        </w:rPr>
        <w:t xml:space="preserve">, </w:t>
      </w:r>
      <w:r w:rsidRPr="00381817">
        <w:rPr>
          <w:rFonts w:ascii="Tahoma" w:hAnsi="Tahoma" w:cs="Tahoma"/>
          <w:sz w:val="20"/>
          <w:szCs w:val="20"/>
          <w:lang w:val="en-US"/>
        </w:rPr>
        <w:t>where the Service has already established its regional offices.</w:t>
      </w:r>
    </w:p>
    <w:p w14:paraId="4814DFB2" w14:textId="77777777" w:rsidR="00C8693E" w:rsidRPr="00381817" w:rsidRDefault="00C8693E" w:rsidP="00381817">
      <w:pPr>
        <w:jc w:val="both"/>
        <w:rPr>
          <w:rFonts w:ascii="Tahoma" w:hAnsi="Tahoma" w:cs="Tahoma"/>
          <w:sz w:val="20"/>
          <w:szCs w:val="20"/>
          <w:lang w:val="ka-GE"/>
        </w:rPr>
      </w:pPr>
    </w:p>
    <w:p w14:paraId="59BB67C9" w14:textId="77777777" w:rsidR="00381817" w:rsidRPr="00381817" w:rsidRDefault="00381817" w:rsidP="00381817">
      <w:pPr>
        <w:jc w:val="both"/>
        <w:rPr>
          <w:rFonts w:ascii="Tahoma" w:hAnsi="Tahoma" w:cs="Tahoma"/>
          <w:sz w:val="20"/>
          <w:szCs w:val="20"/>
          <w:lang w:val="ka-GE"/>
        </w:rPr>
      </w:pPr>
      <w:r w:rsidRPr="00381817">
        <w:rPr>
          <w:rFonts w:ascii="Tahoma" w:hAnsi="Tahoma" w:cs="Tahoma"/>
          <w:sz w:val="20"/>
          <w:szCs w:val="20"/>
          <w:lang w:val="en-US"/>
        </w:rPr>
        <w:t>I</w:t>
      </w:r>
      <w:r w:rsidRPr="00381817">
        <w:rPr>
          <w:rFonts w:ascii="Tahoma" w:hAnsi="Tahoma" w:cs="Tahoma"/>
          <w:sz w:val="20"/>
          <w:szCs w:val="20"/>
          <w:lang w:val="ka-GE"/>
        </w:rPr>
        <w:t xml:space="preserve">t's crucial to encompass at least two distinct segments: individuals with prior interaction with the Service, benefiting from its services, and the general </w:t>
      </w:r>
      <w:r w:rsidRPr="00381817">
        <w:rPr>
          <w:rFonts w:ascii="Tahoma" w:hAnsi="Tahoma" w:cs="Tahoma"/>
          <w:sz w:val="20"/>
          <w:szCs w:val="20"/>
          <w:lang w:val="en-US"/>
        </w:rPr>
        <w:t>population,</w:t>
      </w:r>
      <w:r w:rsidRPr="00381817">
        <w:rPr>
          <w:rFonts w:ascii="Tahoma" w:hAnsi="Tahoma" w:cs="Tahoma"/>
          <w:sz w:val="20"/>
          <w:szCs w:val="20"/>
          <w:lang w:val="ka-GE"/>
        </w:rPr>
        <w:t xml:space="preserve"> who may possess information or opinions regarding the research subject despite lacking direct engagement with the Service.</w:t>
      </w:r>
    </w:p>
    <w:p w14:paraId="3FB52D12" w14:textId="77777777" w:rsidR="00381817" w:rsidRPr="00381817" w:rsidRDefault="00381817" w:rsidP="003E0A41">
      <w:pPr>
        <w:spacing w:line="276" w:lineRule="auto"/>
        <w:jc w:val="both"/>
        <w:rPr>
          <w:rFonts w:ascii="Tahoma" w:hAnsi="Tahoma" w:cs="Tahoma"/>
          <w:sz w:val="18"/>
          <w:szCs w:val="18"/>
        </w:rPr>
      </w:pPr>
    </w:p>
    <w:p w14:paraId="3030F70F" w14:textId="77777777" w:rsidR="00381817" w:rsidRPr="00EA2362" w:rsidRDefault="00381817"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7A78E732"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00381817">
        <w:rPr>
          <w:rFonts w:ascii="Tahoma" w:hAnsi="Tahoma" w:cs="Tahoma"/>
          <w:color w:val="000000"/>
          <w:sz w:val="20"/>
          <w:szCs w:val="20"/>
          <w:lang w:eastAsia="en-US"/>
        </w:rPr>
        <w:t>GEL</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37F51849">
                <wp:simplePos x="0" y="0"/>
                <wp:positionH relativeFrom="column">
                  <wp:posOffset>4438650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5276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9.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" adj="3973"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2131"/>
        <w:gridCol w:w="2070"/>
      </w:tblGrid>
      <w:tr w:rsidR="00C8693E" w:rsidRPr="00EA2362" w14:paraId="0166D4C8" w14:textId="77777777" w:rsidTr="00C8693E">
        <w:trPr>
          <w:trHeight w:val="688"/>
          <w:jc w:val="center"/>
        </w:trPr>
        <w:tc>
          <w:tcPr>
            <w:tcW w:w="5606" w:type="dxa"/>
            <w:shd w:val="clear" w:color="auto" w:fill="DBE5F1" w:themeFill="accent1" w:themeFillTint="33"/>
            <w:vAlign w:val="center"/>
          </w:tcPr>
          <w:p w14:paraId="7C25DC9A" w14:textId="77777777" w:rsidR="00C8693E" w:rsidRDefault="00C8693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C8693E" w:rsidRPr="00EA2362" w:rsidRDefault="00C8693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2131" w:type="dxa"/>
            <w:shd w:val="clear" w:color="auto" w:fill="DBE5F1" w:themeFill="accent1" w:themeFillTint="33"/>
            <w:vAlign w:val="center"/>
          </w:tcPr>
          <w:p w14:paraId="4C4B2597" w14:textId="77777777" w:rsidR="00C8693E" w:rsidRPr="00EA2362" w:rsidRDefault="00C8693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C8693E" w:rsidRPr="00EA2362" w:rsidRDefault="00C8693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2070" w:type="dxa"/>
            <w:tcBorders>
              <w:bottom w:val="single" w:sz="2" w:space="0" w:color="FF0000"/>
            </w:tcBorders>
            <w:shd w:val="clear" w:color="auto" w:fill="DBE5F1" w:themeFill="accent1" w:themeFillTint="33"/>
            <w:vAlign w:val="center"/>
          </w:tcPr>
          <w:p w14:paraId="39664718" w14:textId="77777777" w:rsidR="00C8693E" w:rsidRPr="00EA2362" w:rsidRDefault="00C8693E"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C8693E" w:rsidRPr="00EA2362" w:rsidRDefault="00C8693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C8693E" w:rsidRPr="00EA2362" w14:paraId="6CA125F2" w14:textId="77777777" w:rsidTr="00C8693E">
        <w:trPr>
          <w:trHeight w:val="432"/>
          <w:jc w:val="center"/>
        </w:trPr>
        <w:tc>
          <w:tcPr>
            <w:tcW w:w="5606" w:type="dxa"/>
            <w:shd w:val="clear" w:color="auto" w:fill="F2F2F2" w:themeFill="background1" w:themeFillShade="F2"/>
            <w:vAlign w:val="center"/>
          </w:tcPr>
          <w:p w14:paraId="75C8178A" w14:textId="60A73B6F" w:rsidR="00DD7E10" w:rsidRPr="00672F8A" w:rsidRDefault="00C8693E" w:rsidP="00381817">
            <w:pPr>
              <w:pStyle w:val="ListParagraph"/>
              <w:numPr>
                <w:ilvl w:val="0"/>
                <w:numId w:val="45"/>
              </w:numPr>
              <w:tabs>
                <w:tab w:val="left" w:pos="-139"/>
              </w:tabs>
              <w:spacing w:line="276" w:lineRule="auto"/>
              <w:ind w:right="113"/>
              <w:jc w:val="both"/>
              <w:rPr>
                <w:rFonts w:ascii="Tahoma" w:hAnsi="Tahoma" w:cs="Tahoma"/>
                <w:sz w:val="20"/>
                <w:szCs w:val="20"/>
                <w:lang w:eastAsia="en-US"/>
              </w:rPr>
            </w:pPr>
            <w:r w:rsidRPr="00381817">
              <w:rPr>
                <w:rFonts w:ascii="Tahoma" w:hAnsi="Tahoma" w:cs="Tahoma"/>
                <w:sz w:val="20"/>
                <w:szCs w:val="20"/>
                <w:lang w:val="en-US"/>
              </w:rPr>
              <w:t xml:space="preserve">The selected company shall provide </w:t>
            </w:r>
            <w:r w:rsidR="006866D5">
              <w:rPr>
                <w:rFonts w:ascii="Tahoma" w:hAnsi="Tahoma" w:cs="Tahoma"/>
                <w:sz w:val="20"/>
                <w:szCs w:val="20"/>
                <w:lang w:val="en-US"/>
              </w:rPr>
              <w:t>detailed</w:t>
            </w:r>
            <w:r w:rsidR="006866D5" w:rsidRPr="00381817">
              <w:rPr>
                <w:rFonts w:ascii="Tahoma" w:hAnsi="Tahoma" w:cs="Tahoma"/>
                <w:sz w:val="20"/>
                <w:szCs w:val="20"/>
                <w:lang w:val="en-US"/>
              </w:rPr>
              <w:t xml:space="preserve"> </w:t>
            </w:r>
            <w:r w:rsidR="00DD7E10">
              <w:rPr>
                <w:rFonts w:ascii="Tahoma" w:hAnsi="Tahoma" w:cs="Tahoma"/>
                <w:sz w:val="20"/>
                <w:szCs w:val="20"/>
                <w:lang w:val="en-US"/>
              </w:rPr>
              <w:t>survey</w:t>
            </w:r>
            <w:r w:rsidR="00DD7E10" w:rsidRPr="00381817">
              <w:rPr>
                <w:rFonts w:ascii="Tahoma" w:hAnsi="Tahoma" w:cs="Tahoma"/>
                <w:sz w:val="20"/>
                <w:szCs w:val="20"/>
                <w:lang w:val="en-US"/>
              </w:rPr>
              <w:t xml:space="preserve"> </w:t>
            </w:r>
            <w:r w:rsidRPr="00381817">
              <w:rPr>
                <w:rFonts w:ascii="Tahoma" w:hAnsi="Tahoma" w:cs="Tahoma"/>
                <w:sz w:val="20"/>
                <w:szCs w:val="20"/>
                <w:lang w:val="en-US"/>
              </w:rPr>
              <w:t>methodology,</w:t>
            </w:r>
            <w:r w:rsidR="00DD7E10">
              <w:rPr>
                <w:rFonts w:ascii="Tahoma" w:hAnsi="Tahoma" w:cs="Tahoma"/>
                <w:sz w:val="20"/>
                <w:szCs w:val="20"/>
                <w:lang w:val="en-US"/>
              </w:rPr>
              <w:t xml:space="preserve"> in English and </w:t>
            </w:r>
            <w:r w:rsidR="00285FCC">
              <w:rPr>
                <w:rFonts w:ascii="Tahoma" w:hAnsi="Tahoma" w:cs="Tahoma"/>
                <w:sz w:val="20"/>
                <w:szCs w:val="20"/>
                <w:lang w:val="en-US"/>
              </w:rPr>
              <w:t>Georgian</w:t>
            </w:r>
            <w:r w:rsidR="00DD7E10">
              <w:rPr>
                <w:rFonts w:ascii="Tahoma" w:hAnsi="Tahoma" w:cs="Tahoma"/>
                <w:sz w:val="20"/>
                <w:szCs w:val="20"/>
                <w:lang w:val="en-US"/>
              </w:rPr>
              <w:t xml:space="preserve"> language</w:t>
            </w:r>
            <w:r w:rsidR="00285FCC">
              <w:rPr>
                <w:rFonts w:ascii="Tahoma" w:hAnsi="Tahoma" w:cs="Tahoma"/>
                <w:sz w:val="20"/>
                <w:szCs w:val="20"/>
                <w:lang w:val="en-US"/>
              </w:rPr>
              <w:t>s</w:t>
            </w:r>
            <w:r w:rsidR="00DD7E10">
              <w:rPr>
                <w:rFonts w:ascii="Tahoma" w:hAnsi="Tahoma" w:cs="Tahoma"/>
                <w:sz w:val="20"/>
                <w:szCs w:val="20"/>
                <w:lang w:val="en-US"/>
              </w:rPr>
              <w:t>,</w:t>
            </w:r>
            <w:r w:rsidRPr="00381817">
              <w:rPr>
                <w:rFonts w:ascii="Tahoma" w:hAnsi="Tahoma" w:cs="Tahoma"/>
                <w:sz w:val="20"/>
                <w:szCs w:val="20"/>
                <w:lang w:val="en-US"/>
              </w:rPr>
              <w:t xml:space="preserve"> identifying the </w:t>
            </w:r>
            <w:r w:rsidRPr="00381817">
              <w:rPr>
                <w:rFonts w:ascii="Tahoma" w:hAnsi="Tahoma" w:cs="Tahoma"/>
                <w:sz w:val="20"/>
                <w:szCs w:val="20"/>
              </w:rPr>
              <w:t>specific research</w:t>
            </w:r>
            <w:r w:rsidRPr="00381817">
              <w:rPr>
                <w:rFonts w:ascii="Tahoma" w:hAnsi="Tahoma" w:cs="Tahoma"/>
                <w:sz w:val="20"/>
                <w:szCs w:val="20"/>
                <w:lang w:val="en-US"/>
              </w:rPr>
              <w:t xml:space="preserve"> methods, sampling strategy, research </w:t>
            </w:r>
            <w:r w:rsidR="00742077">
              <w:rPr>
                <w:rFonts w:ascii="Tahoma" w:hAnsi="Tahoma" w:cs="Tahoma"/>
                <w:sz w:val="20"/>
                <w:szCs w:val="20"/>
                <w:lang w:val="en-US"/>
              </w:rPr>
              <w:t>tools/</w:t>
            </w:r>
            <w:r w:rsidRPr="00381817">
              <w:rPr>
                <w:rFonts w:ascii="Tahoma" w:hAnsi="Tahoma" w:cs="Tahoma"/>
                <w:sz w:val="20"/>
                <w:szCs w:val="20"/>
                <w:lang w:val="en-US"/>
              </w:rPr>
              <w:t>instruments, timeline and data analysis approach.</w:t>
            </w:r>
            <w:r w:rsidRPr="00381817">
              <w:rPr>
                <w:rFonts w:ascii="Tahoma" w:hAnsi="Tahoma" w:cs="Tahoma"/>
                <w:sz w:val="20"/>
                <w:szCs w:val="20"/>
                <w:lang w:val="ka-GE"/>
              </w:rPr>
              <w:t xml:space="preserve"> (e.g., face-to-face interviews, focus groups, surveys</w:t>
            </w:r>
            <w:r w:rsidRPr="00381817">
              <w:rPr>
                <w:rFonts w:ascii="Tahoma" w:hAnsi="Tahoma" w:cs="Tahoma"/>
                <w:sz w:val="20"/>
                <w:szCs w:val="20"/>
                <w:lang w:val="en-US"/>
              </w:rPr>
              <w:t xml:space="preserve">, </w:t>
            </w:r>
            <w:r w:rsidR="00742077">
              <w:rPr>
                <w:rFonts w:ascii="Tahoma" w:hAnsi="Tahoma" w:cs="Tahoma"/>
                <w:sz w:val="20"/>
                <w:szCs w:val="20"/>
                <w:lang w:val="en-US"/>
              </w:rPr>
              <w:t xml:space="preserve">number and type of </w:t>
            </w:r>
            <w:r w:rsidRPr="00381817">
              <w:rPr>
                <w:rFonts w:ascii="Tahoma" w:hAnsi="Tahoma" w:cs="Tahoma"/>
                <w:sz w:val="20"/>
                <w:szCs w:val="20"/>
                <w:lang w:val="en-US"/>
              </w:rPr>
              <w:t xml:space="preserve">questionnaires, timeframes, number of interviewed persons </w:t>
            </w:r>
            <w:r w:rsidR="00742077">
              <w:rPr>
                <w:rFonts w:ascii="Tahoma" w:hAnsi="Tahoma" w:cs="Tahoma"/>
                <w:sz w:val="20"/>
                <w:szCs w:val="20"/>
                <w:lang w:val="en-US"/>
              </w:rPr>
              <w:t>in</w:t>
            </w:r>
            <w:r w:rsidR="00742077" w:rsidRPr="00381817">
              <w:rPr>
                <w:rFonts w:ascii="Tahoma" w:hAnsi="Tahoma" w:cs="Tahoma"/>
                <w:sz w:val="20"/>
                <w:szCs w:val="20"/>
                <w:lang w:val="en-US"/>
              </w:rPr>
              <w:t xml:space="preserve"> </w:t>
            </w:r>
            <w:r w:rsidRPr="00381817">
              <w:rPr>
                <w:rFonts w:ascii="Tahoma" w:hAnsi="Tahoma" w:cs="Tahoma"/>
                <w:sz w:val="20"/>
                <w:szCs w:val="20"/>
                <w:lang w:val="en-US"/>
              </w:rPr>
              <w:t>Tbilisi and</w:t>
            </w:r>
            <w:r w:rsidR="00742077">
              <w:rPr>
                <w:rFonts w:ascii="Tahoma" w:hAnsi="Tahoma" w:cs="Tahoma"/>
                <w:sz w:val="20"/>
                <w:szCs w:val="20"/>
                <w:lang w:val="en-US"/>
              </w:rPr>
              <w:t xml:space="preserve"> per</w:t>
            </w:r>
            <w:r w:rsidRPr="00381817">
              <w:rPr>
                <w:rFonts w:ascii="Tahoma" w:hAnsi="Tahoma" w:cs="Tahoma"/>
                <w:sz w:val="20"/>
                <w:szCs w:val="20"/>
                <w:lang w:val="en-US"/>
              </w:rPr>
              <w:t xml:space="preserve"> regions, etc.</w:t>
            </w:r>
            <w:r w:rsidRPr="00381817">
              <w:rPr>
                <w:rFonts w:ascii="Tahoma" w:hAnsi="Tahoma" w:cs="Tahoma"/>
                <w:sz w:val="20"/>
                <w:szCs w:val="20"/>
                <w:lang w:val="ka-GE"/>
              </w:rPr>
              <w:t>)</w:t>
            </w:r>
            <w:r w:rsidRPr="00381817">
              <w:rPr>
                <w:rFonts w:ascii="Tahoma" w:hAnsi="Tahoma" w:cs="Tahoma"/>
                <w:sz w:val="20"/>
                <w:szCs w:val="20"/>
                <w:lang w:val="en-US"/>
              </w:rPr>
              <w:t>.</w:t>
            </w:r>
            <w:r w:rsidRPr="00381817">
              <w:rPr>
                <w:rFonts w:ascii="Tahoma" w:hAnsi="Tahoma" w:cs="Tahoma"/>
                <w:sz w:val="20"/>
                <w:szCs w:val="20"/>
                <w:lang w:val="ka-GE"/>
              </w:rPr>
              <w:t xml:space="preserve"> </w:t>
            </w:r>
          </w:p>
          <w:p w14:paraId="1CEB54B9" w14:textId="77777777" w:rsidR="00DD7E10" w:rsidRDefault="00DD7E10" w:rsidP="00DD7E10">
            <w:pPr>
              <w:pStyle w:val="ListParagraph"/>
              <w:tabs>
                <w:tab w:val="left" w:pos="-139"/>
              </w:tabs>
              <w:spacing w:line="276" w:lineRule="auto"/>
              <w:ind w:right="113"/>
              <w:jc w:val="both"/>
              <w:rPr>
                <w:rFonts w:ascii="Tahoma" w:hAnsi="Tahoma" w:cs="Tahoma"/>
                <w:sz w:val="20"/>
                <w:szCs w:val="20"/>
              </w:rPr>
            </w:pPr>
          </w:p>
          <w:p w14:paraId="38156F28" w14:textId="019773C8" w:rsidR="00C8693E" w:rsidRPr="00C8693E" w:rsidRDefault="00DD7E10" w:rsidP="00672F8A">
            <w:pPr>
              <w:pStyle w:val="ListParagraph"/>
              <w:tabs>
                <w:tab w:val="left" w:pos="-139"/>
              </w:tabs>
              <w:spacing w:line="276" w:lineRule="auto"/>
              <w:ind w:right="113"/>
              <w:jc w:val="both"/>
              <w:rPr>
                <w:rFonts w:ascii="Tahoma" w:hAnsi="Tahoma" w:cs="Tahoma"/>
                <w:sz w:val="20"/>
                <w:szCs w:val="20"/>
                <w:lang w:eastAsia="en-US"/>
              </w:rPr>
            </w:pPr>
            <w:r>
              <w:rPr>
                <w:rFonts w:ascii="Tahoma" w:hAnsi="Tahoma" w:cs="Tahoma"/>
                <w:sz w:val="20"/>
                <w:szCs w:val="20"/>
              </w:rPr>
              <w:t xml:space="preserve">Finalise the documents in line with the feedback received from the </w:t>
            </w:r>
            <w:proofErr w:type="spellStart"/>
            <w:r>
              <w:rPr>
                <w:rFonts w:ascii="Tahoma" w:hAnsi="Tahoma" w:cs="Tahoma"/>
                <w:sz w:val="20"/>
                <w:szCs w:val="20"/>
              </w:rPr>
              <w:t>CoE</w:t>
            </w:r>
            <w:proofErr w:type="spellEnd"/>
            <w:r>
              <w:rPr>
                <w:rFonts w:ascii="Tahoma" w:hAnsi="Tahoma" w:cs="Tahoma"/>
                <w:sz w:val="20"/>
                <w:szCs w:val="20"/>
              </w:rPr>
              <w:t xml:space="preserve"> and the SIS. </w:t>
            </w:r>
            <w:r w:rsidR="00C8693E" w:rsidRPr="00381817">
              <w:rPr>
                <w:rFonts w:ascii="Tahoma" w:hAnsi="Tahoma" w:cs="Tahoma"/>
                <w:sz w:val="20"/>
                <w:szCs w:val="20"/>
                <w:lang w:val="en-US"/>
              </w:rPr>
              <w:t xml:space="preserve"> </w:t>
            </w:r>
          </w:p>
          <w:p w14:paraId="60FDA710" w14:textId="20A716FE" w:rsidR="00C8693E" w:rsidRPr="00381817" w:rsidRDefault="00C8693E" w:rsidP="00C8693E">
            <w:pPr>
              <w:pStyle w:val="ListParagraph"/>
              <w:tabs>
                <w:tab w:val="left" w:pos="-139"/>
              </w:tabs>
              <w:spacing w:line="276" w:lineRule="auto"/>
              <w:ind w:right="113"/>
              <w:jc w:val="both"/>
              <w:rPr>
                <w:rFonts w:ascii="Tahoma" w:hAnsi="Tahoma" w:cs="Tahoma"/>
                <w:sz w:val="20"/>
                <w:szCs w:val="20"/>
                <w:lang w:eastAsia="en-US"/>
              </w:rPr>
            </w:pPr>
          </w:p>
        </w:tc>
        <w:tc>
          <w:tcPr>
            <w:tcW w:w="2131" w:type="dxa"/>
            <w:tcBorders>
              <w:right w:val="single" w:sz="2" w:space="0" w:color="FF0000"/>
            </w:tcBorders>
            <w:shd w:val="clear" w:color="auto" w:fill="F2F2F2" w:themeFill="background1" w:themeFillShade="F2"/>
            <w:vAlign w:val="center"/>
          </w:tcPr>
          <w:p w14:paraId="7DFF09AB" w14:textId="087EC804" w:rsidR="00C8693E" w:rsidRPr="00EA2362" w:rsidRDefault="00742077" w:rsidP="00261462">
            <w:pPr>
              <w:tabs>
                <w:tab w:val="left" w:pos="-139"/>
              </w:tabs>
              <w:spacing w:line="276" w:lineRule="auto"/>
              <w:ind w:right="-140"/>
              <w:jc w:val="center"/>
              <w:rPr>
                <w:rFonts w:ascii="Tahoma" w:hAnsi="Tahoma" w:cs="Tahoma"/>
                <w:sz w:val="18"/>
                <w:szCs w:val="18"/>
                <w:highlight w:val="yellow"/>
                <w:lang w:eastAsia="en-US"/>
              </w:rPr>
            </w:pPr>
            <w:r w:rsidRPr="00D77E59">
              <w:rPr>
                <w:rFonts w:ascii="Tahoma" w:hAnsi="Tahoma" w:cs="Tahoma"/>
                <w:sz w:val="18"/>
                <w:szCs w:val="18"/>
                <w:lang w:eastAsia="en-US"/>
              </w:rPr>
              <w:t xml:space="preserve">28 </w:t>
            </w:r>
            <w:r w:rsidR="00C8693E" w:rsidRPr="00D77E59">
              <w:rPr>
                <w:rFonts w:ascii="Tahoma" w:hAnsi="Tahoma" w:cs="Tahoma"/>
                <w:sz w:val="18"/>
                <w:szCs w:val="18"/>
                <w:lang w:eastAsia="en-US"/>
              </w:rPr>
              <w:t>June, 2024</w:t>
            </w:r>
          </w:p>
        </w:tc>
        <w:tc>
          <w:tcPr>
            <w:tcW w:w="20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C8693E" w:rsidRPr="00EA2362" w:rsidRDefault="00C8693E" w:rsidP="00261462">
            <w:pPr>
              <w:tabs>
                <w:tab w:val="left" w:pos="-139"/>
              </w:tabs>
              <w:spacing w:line="276" w:lineRule="auto"/>
              <w:ind w:right="-140"/>
              <w:jc w:val="center"/>
              <w:rPr>
                <w:rFonts w:ascii="Tahoma" w:hAnsi="Tahoma" w:cs="Tahoma"/>
                <w:sz w:val="18"/>
                <w:szCs w:val="18"/>
                <w:highlight w:val="yellow"/>
                <w:lang w:eastAsia="en-US"/>
              </w:rPr>
            </w:pPr>
          </w:p>
        </w:tc>
      </w:tr>
      <w:tr w:rsidR="00C8693E" w:rsidRPr="00EA2362" w14:paraId="65EA8AD9" w14:textId="77777777" w:rsidTr="00C8693E">
        <w:trPr>
          <w:trHeight w:val="432"/>
          <w:jc w:val="center"/>
        </w:trPr>
        <w:tc>
          <w:tcPr>
            <w:tcW w:w="5606" w:type="dxa"/>
            <w:shd w:val="clear" w:color="auto" w:fill="F2F2F2" w:themeFill="background1" w:themeFillShade="F2"/>
            <w:vAlign w:val="center"/>
          </w:tcPr>
          <w:p w14:paraId="324DE89A" w14:textId="28A48655" w:rsidR="00C8693E" w:rsidRPr="00381817" w:rsidRDefault="00DD7E10" w:rsidP="00672F8A">
            <w:pPr>
              <w:pStyle w:val="ListParagraph"/>
              <w:numPr>
                <w:ilvl w:val="0"/>
                <w:numId w:val="45"/>
              </w:numPr>
              <w:tabs>
                <w:tab w:val="left" w:pos="-139"/>
              </w:tabs>
              <w:spacing w:line="276" w:lineRule="auto"/>
              <w:ind w:right="113"/>
              <w:jc w:val="both"/>
              <w:rPr>
                <w:rFonts w:ascii="Tahoma" w:hAnsi="Tahoma" w:cs="Tahoma"/>
                <w:sz w:val="20"/>
                <w:szCs w:val="20"/>
                <w:lang w:eastAsia="en-US"/>
              </w:rPr>
            </w:pPr>
            <w:r>
              <w:rPr>
                <w:rFonts w:ascii="Tahoma" w:hAnsi="Tahoma" w:cs="Tahoma"/>
                <w:sz w:val="20"/>
                <w:szCs w:val="20"/>
                <w:lang w:val="en-US"/>
              </w:rPr>
              <w:t xml:space="preserve">Conduct the survey in line with </w:t>
            </w:r>
            <w:r w:rsidR="00742077">
              <w:rPr>
                <w:rFonts w:ascii="Tahoma" w:hAnsi="Tahoma" w:cs="Tahoma"/>
                <w:sz w:val="20"/>
                <w:szCs w:val="20"/>
                <w:lang w:val="en-US"/>
              </w:rPr>
              <w:t xml:space="preserve">the above requirements and </w:t>
            </w:r>
            <w:r>
              <w:rPr>
                <w:rFonts w:ascii="Tahoma" w:hAnsi="Tahoma" w:cs="Tahoma"/>
                <w:sz w:val="20"/>
                <w:szCs w:val="20"/>
                <w:lang w:val="en-US"/>
              </w:rPr>
              <w:t>the approved methodology and submit the survey</w:t>
            </w:r>
            <w:r w:rsidR="00C8693E" w:rsidRPr="00381817">
              <w:rPr>
                <w:rFonts w:ascii="Tahoma" w:hAnsi="Tahoma" w:cs="Tahoma"/>
                <w:sz w:val="20"/>
                <w:szCs w:val="20"/>
                <w:lang w:val="en-US"/>
              </w:rPr>
              <w:t xml:space="preserve"> report </w:t>
            </w:r>
            <w:r>
              <w:rPr>
                <w:rFonts w:ascii="Tahoma" w:hAnsi="Tahoma" w:cs="Tahoma"/>
                <w:sz w:val="20"/>
                <w:szCs w:val="20"/>
                <w:lang w:val="en-US"/>
              </w:rPr>
              <w:t>with the results and</w:t>
            </w:r>
            <w:r w:rsidR="00C8693E" w:rsidRPr="00381817">
              <w:rPr>
                <w:rFonts w:ascii="Tahoma" w:hAnsi="Tahoma" w:cs="Tahoma"/>
                <w:sz w:val="20"/>
                <w:szCs w:val="20"/>
                <w:lang w:val="en-US"/>
              </w:rPr>
              <w:t xml:space="preserve"> </w:t>
            </w:r>
            <w:r w:rsidR="00C8693E" w:rsidRPr="00381817">
              <w:rPr>
                <w:rFonts w:ascii="Tahoma" w:hAnsi="Tahoma" w:cs="Tahoma"/>
                <w:sz w:val="20"/>
                <w:szCs w:val="20"/>
                <w:lang w:val="en-US"/>
              </w:rPr>
              <w:lastRenderedPageBreak/>
              <w:t>recommendations for the communication strategy of the Service</w:t>
            </w:r>
            <w:r>
              <w:rPr>
                <w:rFonts w:ascii="Tahoma" w:hAnsi="Tahoma" w:cs="Tahoma"/>
                <w:sz w:val="20"/>
                <w:szCs w:val="20"/>
                <w:lang w:val="en-US"/>
              </w:rPr>
              <w:t xml:space="preserve">, in English and Georgian languages. </w:t>
            </w:r>
          </w:p>
        </w:tc>
        <w:tc>
          <w:tcPr>
            <w:tcW w:w="2131" w:type="dxa"/>
            <w:tcBorders>
              <w:right w:val="single" w:sz="2" w:space="0" w:color="FF0000"/>
            </w:tcBorders>
            <w:shd w:val="clear" w:color="auto" w:fill="F2F2F2" w:themeFill="background1" w:themeFillShade="F2"/>
            <w:vAlign w:val="center"/>
          </w:tcPr>
          <w:p w14:paraId="71E133AF" w14:textId="05995697" w:rsidR="00C8693E" w:rsidRPr="00EA2362" w:rsidRDefault="00C8693E" w:rsidP="00261462">
            <w:pPr>
              <w:tabs>
                <w:tab w:val="left" w:pos="-139"/>
              </w:tabs>
              <w:spacing w:line="276" w:lineRule="auto"/>
              <w:ind w:right="-140"/>
              <w:jc w:val="center"/>
              <w:rPr>
                <w:rFonts w:ascii="Tahoma" w:hAnsi="Tahoma" w:cs="Tahoma"/>
                <w:sz w:val="18"/>
                <w:szCs w:val="18"/>
                <w:highlight w:val="yellow"/>
                <w:lang w:eastAsia="en-US"/>
              </w:rPr>
            </w:pPr>
            <w:r w:rsidRPr="00D77E59">
              <w:rPr>
                <w:rFonts w:ascii="Tahoma" w:hAnsi="Tahoma" w:cs="Tahoma"/>
                <w:sz w:val="18"/>
                <w:szCs w:val="18"/>
                <w:lang w:eastAsia="en-US"/>
              </w:rPr>
              <w:lastRenderedPageBreak/>
              <w:t>15 September, 2024</w:t>
            </w:r>
          </w:p>
        </w:tc>
        <w:tc>
          <w:tcPr>
            <w:tcW w:w="20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C8693E" w:rsidRPr="00EA2362" w:rsidRDefault="00C8693E" w:rsidP="00261462">
            <w:pPr>
              <w:tabs>
                <w:tab w:val="left" w:pos="-139"/>
              </w:tabs>
              <w:spacing w:line="276" w:lineRule="auto"/>
              <w:ind w:right="-140"/>
              <w:jc w:val="center"/>
              <w:rPr>
                <w:rFonts w:ascii="Tahoma" w:hAnsi="Tahoma" w:cs="Tahoma"/>
                <w:sz w:val="18"/>
                <w:szCs w:val="18"/>
                <w:highlight w:val="yellow"/>
                <w:lang w:eastAsia="en-US"/>
              </w:rPr>
            </w:pPr>
          </w:p>
        </w:tc>
      </w:tr>
      <w:tr w:rsidR="00C8693E" w:rsidRPr="00EA2362" w14:paraId="5491A5A2" w14:textId="77777777" w:rsidTr="00C8693E">
        <w:trPr>
          <w:trHeight w:val="432"/>
          <w:jc w:val="center"/>
        </w:trPr>
        <w:tc>
          <w:tcPr>
            <w:tcW w:w="5606" w:type="dxa"/>
            <w:shd w:val="clear" w:color="auto" w:fill="F2F2F2" w:themeFill="background1" w:themeFillShade="F2"/>
            <w:vAlign w:val="center"/>
          </w:tcPr>
          <w:p w14:paraId="72C15A23" w14:textId="67C83AB6" w:rsidR="00C8693E" w:rsidRPr="00672F8A" w:rsidRDefault="00DD7E10" w:rsidP="00381817">
            <w:pPr>
              <w:pStyle w:val="ListParagraph"/>
              <w:numPr>
                <w:ilvl w:val="0"/>
                <w:numId w:val="45"/>
              </w:numPr>
              <w:tabs>
                <w:tab w:val="left" w:pos="-139"/>
              </w:tabs>
              <w:spacing w:line="276" w:lineRule="auto"/>
              <w:ind w:right="113"/>
              <w:jc w:val="both"/>
              <w:rPr>
                <w:rFonts w:ascii="Tahoma" w:hAnsi="Tahoma" w:cs="Tahoma"/>
                <w:sz w:val="20"/>
                <w:szCs w:val="20"/>
                <w:lang w:eastAsia="en-US"/>
              </w:rPr>
            </w:pPr>
            <w:r w:rsidRPr="00672F8A">
              <w:rPr>
                <w:rFonts w:ascii="Tahoma" w:hAnsi="Tahoma" w:cs="Tahoma"/>
                <w:sz w:val="20"/>
                <w:szCs w:val="20"/>
                <w:lang w:val="en-US"/>
              </w:rPr>
              <w:t xml:space="preserve">Present the </w:t>
            </w:r>
            <w:r w:rsidR="00C8693E" w:rsidRPr="00672F8A">
              <w:rPr>
                <w:rFonts w:ascii="Tahoma" w:hAnsi="Tahoma" w:cs="Tahoma"/>
                <w:sz w:val="20"/>
                <w:szCs w:val="20"/>
                <w:lang w:val="en-US"/>
              </w:rPr>
              <w:t xml:space="preserve">findings </w:t>
            </w:r>
            <w:r w:rsidRPr="00672F8A">
              <w:rPr>
                <w:rFonts w:ascii="Tahoma" w:hAnsi="Tahoma" w:cs="Tahoma"/>
                <w:sz w:val="20"/>
                <w:szCs w:val="20"/>
                <w:lang w:val="en-US"/>
              </w:rPr>
              <w:t xml:space="preserve">of the </w:t>
            </w:r>
            <w:r w:rsidR="00C8693E" w:rsidRPr="00672F8A">
              <w:rPr>
                <w:rFonts w:ascii="Tahoma" w:hAnsi="Tahoma" w:cs="Tahoma"/>
                <w:sz w:val="20"/>
                <w:szCs w:val="20"/>
                <w:lang w:val="en-US"/>
              </w:rPr>
              <w:t xml:space="preserve">report and recommendations for future actions </w:t>
            </w:r>
            <w:r w:rsidRPr="00672F8A">
              <w:rPr>
                <w:rFonts w:ascii="Tahoma" w:hAnsi="Tahoma" w:cs="Tahoma"/>
                <w:sz w:val="20"/>
                <w:szCs w:val="20"/>
                <w:lang w:val="en-US"/>
              </w:rPr>
              <w:t xml:space="preserve">to the </w:t>
            </w:r>
            <w:r w:rsidR="00C8693E" w:rsidRPr="00672F8A">
              <w:rPr>
                <w:rFonts w:ascii="Tahoma" w:hAnsi="Tahoma" w:cs="Tahoma"/>
                <w:sz w:val="20"/>
                <w:szCs w:val="20"/>
                <w:lang w:val="en-US"/>
              </w:rPr>
              <w:t>Special Investigation Service</w:t>
            </w:r>
            <w:r w:rsidRPr="00672F8A">
              <w:rPr>
                <w:rFonts w:ascii="Tahoma" w:hAnsi="Tahoma" w:cs="Tahoma"/>
                <w:sz w:val="20"/>
                <w:szCs w:val="20"/>
                <w:lang w:val="en-US"/>
              </w:rPr>
              <w:t xml:space="preserve"> and </w:t>
            </w:r>
            <w:proofErr w:type="spellStart"/>
            <w:r w:rsidRPr="00672F8A">
              <w:rPr>
                <w:rFonts w:ascii="Tahoma" w:hAnsi="Tahoma" w:cs="Tahoma"/>
                <w:sz w:val="20"/>
                <w:szCs w:val="20"/>
                <w:lang w:val="en-US"/>
              </w:rPr>
              <w:t>finalise</w:t>
            </w:r>
            <w:proofErr w:type="spellEnd"/>
            <w:r w:rsidRPr="00672F8A">
              <w:rPr>
                <w:rFonts w:ascii="Tahoma" w:hAnsi="Tahoma" w:cs="Tahoma"/>
                <w:sz w:val="20"/>
                <w:szCs w:val="20"/>
                <w:lang w:val="en-US"/>
              </w:rPr>
              <w:t xml:space="preserve"> the report in accordance with the feedback received. </w:t>
            </w:r>
          </w:p>
          <w:p w14:paraId="71DD8877" w14:textId="6151B1D8" w:rsidR="00C8693E" w:rsidRPr="00381817" w:rsidRDefault="00C8693E" w:rsidP="00C8693E">
            <w:pPr>
              <w:pStyle w:val="ListParagraph"/>
              <w:tabs>
                <w:tab w:val="left" w:pos="-139"/>
              </w:tabs>
              <w:spacing w:line="276" w:lineRule="auto"/>
              <w:ind w:right="113"/>
              <w:jc w:val="both"/>
              <w:rPr>
                <w:rFonts w:ascii="Tahoma" w:hAnsi="Tahoma" w:cs="Tahoma"/>
                <w:sz w:val="18"/>
                <w:szCs w:val="18"/>
                <w:lang w:eastAsia="en-US"/>
              </w:rPr>
            </w:pPr>
          </w:p>
        </w:tc>
        <w:tc>
          <w:tcPr>
            <w:tcW w:w="2131" w:type="dxa"/>
            <w:tcBorders>
              <w:right w:val="single" w:sz="2" w:space="0" w:color="FF0000"/>
            </w:tcBorders>
            <w:shd w:val="clear" w:color="auto" w:fill="F2F2F2" w:themeFill="background1" w:themeFillShade="F2"/>
            <w:vAlign w:val="center"/>
          </w:tcPr>
          <w:p w14:paraId="5AC921B5" w14:textId="0769F7FC" w:rsidR="00C8693E" w:rsidRPr="00EA2362" w:rsidRDefault="00C8693E" w:rsidP="00261462">
            <w:pPr>
              <w:tabs>
                <w:tab w:val="left" w:pos="-139"/>
              </w:tabs>
              <w:spacing w:line="276" w:lineRule="auto"/>
              <w:ind w:right="-140"/>
              <w:jc w:val="center"/>
              <w:rPr>
                <w:rFonts w:ascii="Tahoma" w:hAnsi="Tahoma" w:cs="Tahoma"/>
                <w:sz w:val="18"/>
                <w:szCs w:val="18"/>
                <w:highlight w:val="yellow"/>
                <w:lang w:eastAsia="en-US"/>
              </w:rPr>
            </w:pPr>
            <w:r w:rsidRPr="00D77E59">
              <w:rPr>
                <w:rFonts w:ascii="Tahoma" w:hAnsi="Tahoma" w:cs="Tahoma"/>
                <w:sz w:val="18"/>
                <w:szCs w:val="18"/>
                <w:lang w:eastAsia="en-US"/>
              </w:rPr>
              <w:t xml:space="preserve">30 </w:t>
            </w:r>
            <w:proofErr w:type="gramStart"/>
            <w:r w:rsidRPr="00D77E59">
              <w:rPr>
                <w:rFonts w:ascii="Tahoma" w:hAnsi="Tahoma" w:cs="Tahoma"/>
                <w:sz w:val="18"/>
                <w:szCs w:val="18"/>
                <w:lang w:eastAsia="en-US"/>
              </w:rPr>
              <w:t>September,</w:t>
            </w:r>
            <w:proofErr w:type="gramEnd"/>
            <w:r w:rsidRPr="00D77E59">
              <w:rPr>
                <w:rFonts w:ascii="Tahoma" w:hAnsi="Tahoma" w:cs="Tahoma"/>
                <w:sz w:val="18"/>
                <w:szCs w:val="18"/>
                <w:lang w:eastAsia="en-US"/>
              </w:rPr>
              <w:t xml:space="preserve"> 2024 </w:t>
            </w:r>
          </w:p>
        </w:tc>
        <w:tc>
          <w:tcPr>
            <w:tcW w:w="20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C8693E" w:rsidRPr="00EA2362" w:rsidRDefault="00C8693E" w:rsidP="00261462">
            <w:pPr>
              <w:tabs>
                <w:tab w:val="left" w:pos="-139"/>
              </w:tabs>
              <w:spacing w:line="276" w:lineRule="auto"/>
              <w:ind w:right="-140"/>
              <w:jc w:val="center"/>
              <w:rPr>
                <w:rFonts w:ascii="Tahoma" w:hAnsi="Tahoma" w:cs="Tahoma"/>
                <w:sz w:val="18"/>
                <w:szCs w:val="18"/>
                <w:highlight w:val="yellow"/>
                <w:lang w:eastAsia="en-US"/>
              </w:rPr>
            </w:pPr>
          </w:p>
        </w:tc>
      </w:tr>
      <w:tr w:rsidR="00C8693E" w:rsidRPr="00EA2362" w14:paraId="1564909A" w14:textId="77777777" w:rsidTr="00C8693E">
        <w:trPr>
          <w:trHeight w:val="432"/>
          <w:jc w:val="center"/>
        </w:trPr>
        <w:tc>
          <w:tcPr>
            <w:tcW w:w="7737" w:type="dxa"/>
            <w:gridSpan w:val="2"/>
            <w:tcBorders>
              <w:right w:val="single" w:sz="2" w:space="0" w:color="FF0000"/>
            </w:tcBorders>
            <w:shd w:val="clear" w:color="auto" w:fill="F2F2F2" w:themeFill="background1" w:themeFillShade="F2"/>
            <w:vAlign w:val="center"/>
          </w:tcPr>
          <w:p w14:paraId="6F353B92" w14:textId="70B453C1" w:rsidR="00C8693E" w:rsidRPr="00EA2362" w:rsidRDefault="00C8693E"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20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C8693E" w:rsidRPr="00EA2362" w:rsidRDefault="00C8693E"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2E1BD162" w:rsidR="00C7241E"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7C3C5CF6" w14:textId="0B11E68B" w:rsidR="00996068" w:rsidRPr="00C92B98" w:rsidRDefault="00996068" w:rsidP="00EF7F5D">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t>Declare that I am currently not employed by the Council of Europe and was not employed by the Council of Europe on the date of the launch of the procurement procedure;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34A9C"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02CBFE64"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997E6C">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359EFFCD"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997E6C">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77777777"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6" w:name="_Toc179868643"/>
    </w:p>
    <w:bookmarkEnd w:id="6"/>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7"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4EDF6737" w:rsidR="005920E6" w:rsidRPr="003A02AA" w:rsidRDefault="005920E6" w:rsidP="003A02AA">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9"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20"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64D107D9"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226F0CA" w14:textId="5C6C1762" w:rsidR="007D7B9A" w:rsidRPr="00C3395C" w:rsidRDefault="007D7B9A"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1F48F87F"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BDCD7FE"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C76FA" w:rsidRPr="000C76FA">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C7241E" w:rsidRPr="00C7241E">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C7241E" w:rsidRPr="00C7241E">
        <w:rPr>
          <w:rFonts w:ascii="Tahoma" w:hAnsi="Tahoma" w:cs="Tahoma"/>
          <w:sz w:val="18"/>
          <w:szCs w:val="18"/>
          <w:lang w:eastAsia="fr-FR"/>
        </w:rPr>
        <w:t>+32 2 739 9991 (EN)</w:t>
      </w:r>
      <w:r w:rsidR="00C7241E">
        <w:rPr>
          <w:rFonts w:ascii="Tahoma" w:hAnsi="Tahoma" w:cs="Tahoma"/>
          <w:sz w:val="18"/>
          <w:szCs w:val="18"/>
          <w:lang w:eastAsia="fr-FR"/>
        </w:rPr>
        <w:t xml:space="preserve"> or</w:t>
      </w:r>
      <w:r w:rsidR="00C7241E" w:rsidRPr="00C7241E">
        <w:rPr>
          <w:rFonts w:ascii="Tahoma" w:hAnsi="Tahoma" w:cs="Tahoma"/>
          <w:sz w:val="18"/>
          <w:szCs w:val="18"/>
          <w:lang w:eastAsia="fr-FR"/>
        </w:rPr>
        <w:t xml:space="preserve"> +32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repatriation, death, cancellation of journey or flight, theft or loss of personal possessions). The insurance policy does not cover persons over 75 years of age.</w:t>
      </w:r>
      <w:bookmarkStart w:id="9"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9"/>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10"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10"/>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61759"/>
      <w:bookmarkStart w:id="15"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4"/>
    </w:p>
    <w:bookmarkEnd w:id="15"/>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3"/>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1B83388D"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78DAD0" w14:textId="262C36CE"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7"/>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FDE2" w14:textId="77777777" w:rsidR="000A6C55" w:rsidRDefault="000A6C55" w:rsidP="00D50F13">
      <w:r>
        <w:separator/>
      </w:r>
    </w:p>
  </w:endnote>
  <w:endnote w:type="continuationSeparator" w:id="0">
    <w:p w14:paraId="7D758335" w14:textId="77777777" w:rsidR="000A6C55" w:rsidRDefault="000A6C55" w:rsidP="00D50F13">
      <w:r>
        <w:continuationSeparator/>
      </w:r>
    </w:p>
  </w:endnote>
  <w:endnote w:type="continuationNotice" w:id="1">
    <w:p w14:paraId="0E77B6E0" w14:textId="77777777" w:rsidR="000A6C55" w:rsidRDefault="000A6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77E59">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auto"/>
          <w:vAlign w:val="center"/>
        </w:tcPr>
        <w:p w14:paraId="71077CCC" w14:textId="6B323EB0" w:rsidR="00F96680" w:rsidRPr="00D77E59" w:rsidRDefault="00D77E59" w:rsidP="00FC7772">
          <w:pPr>
            <w:rPr>
              <w:rFonts w:ascii="Arial Narrow" w:hAnsi="Arial Narrow"/>
              <w:caps/>
              <w:color w:val="000000"/>
              <w:sz w:val="18"/>
              <w:szCs w:val="18"/>
            </w:rPr>
          </w:pPr>
          <w:r w:rsidRPr="00D77E59">
            <w:rPr>
              <w:rFonts w:ascii="Tahoma" w:hAnsi="Tahoma" w:cs="Tahoma"/>
              <w:caps/>
              <w:color w:val="000000" w:themeColor="text1"/>
              <w:sz w:val="18"/>
              <w:szCs w:val="18"/>
            </w:rPr>
            <w:t>BH9192_20/05/2024</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FA7E" w14:textId="77777777" w:rsidR="000A6C55" w:rsidRDefault="000A6C55" w:rsidP="00D50F13">
      <w:r>
        <w:separator/>
      </w:r>
    </w:p>
  </w:footnote>
  <w:footnote w:type="continuationSeparator" w:id="0">
    <w:p w14:paraId="43A07F16" w14:textId="77777777" w:rsidR="000A6C55" w:rsidRDefault="000A6C55" w:rsidP="00D50F13">
      <w:r>
        <w:continuationSeparator/>
      </w:r>
    </w:p>
  </w:footnote>
  <w:footnote w:type="continuationNotice" w:id="1">
    <w:p w14:paraId="2A8BC4DE" w14:textId="77777777" w:rsidR="000A6C55" w:rsidRDefault="000A6C55"/>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0B059DB8" w14:textId="77777777" w:rsidR="00997E6C" w:rsidRPr="00C546D8" w:rsidRDefault="00997E6C"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1804C8B"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6205733F"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06231062"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A382093"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6EB059D" w14:textId="1CD9675B" w:rsidR="00997E6C" w:rsidRPr="00997E6C" w:rsidRDefault="00997E6C">
      <w:pPr>
        <w:pStyle w:val="FootnoteText"/>
        <w:rPr>
          <w:lang w:val="en-US"/>
        </w:rPr>
      </w:pPr>
      <w:r>
        <w:rPr>
          <w:rStyle w:val="FootnoteReference"/>
        </w:rPr>
        <w:footnoteRef/>
      </w:r>
      <w:r>
        <w:t xml:space="preserve"> </w:t>
      </w:r>
      <w:bookmarkStart w:id="3" w:name="_Hlk149814289"/>
      <w:bookmarkStart w:id="4" w:name="_Hlk149814411"/>
      <w:r w:rsidRPr="00C546D8">
        <w:rPr>
          <w:rFonts w:ascii="Tahoma" w:hAnsi="Tahoma" w:cs="Tahoma"/>
          <w:sz w:val="18"/>
          <w:szCs w:val="18"/>
        </w:rPr>
        <w:t>In case of the bidder being a consortium, indicate one signatory for each consortium member.</w:t>
      </w:r>
      <w:bookmarkEnd w:id="3"/>
      <w:bookmarkEnd w:id="4"/>
    </w:p>
  </w:footnote>
  <w:footnote w:id="9">
    <w:p w14:paraId="2FC81BC3" w14:textId="7B05F104" w:rsidR="00997E6C" w:rsidRPr="00997E6C" w:rsidRDefault="00997E6C">
      <w:pPr>
        <w:pStyle w:val="FootnoteText"/>
        <w:rPr>
          <w:lang w:val="en-US"/>
        </w:rPr>
      </w:pPr>
      <w:r>
        <w:rPr>
          <w:rStyle w:val="FootnoteReference"/>
        </w:rPr>
        <w:footnoteRef/>
      </w:r>
      <w:r>
        <w:t xml:space="preserve"> </w:t>
      </w:r>
      <w:bookmarkStart w:id="5" w:name="_Hlk149814299"/>
      <w:r w:rsidRPr="00C546D8">
        <w:rPr>
          <w:rFonts w:ascii="Tahoma" w:hAnsi="Tahoma" w:cs="Tahoma"/>
          <w:sz w:val="18"/>
          <w:szCs w:val="18"/>
        </w:rPr>
        <w:t>In case of the bidder being a consortium, the field “Signature” must include the signatures of all consortium members.</w:t>
      </w:r>
      <w:bookmarkEnd w:id="5"/>
    </w:p>
  </w:footnote>
  <w:footnote w:id="10">
    <w:p w14:paraId="73BAE27E" w14:textId="3EA8B8F0"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666692"/>
    <w:multiLevelType w:val="hybridMultilevel"/>
    <w:tmpl w:val="66183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94318A"/>
    <w:multiLevelType w:val="hybridMultilevel"/>
    <w:tmpl w:val="5A1C4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098123">
    <w:abstractNumId w:val="37"/>
  </w:num>
  <w:num w:numId="2" w16cid:durableId="1187601403">
    <w:abstractNumId w:val="39"/>
  </w:num>
  <w:num w:numId="3" w16cid:durableId="341783579">
    <w:abstractNumId w:val="2"/>
  </w:num>
  <w:num w:numId="4" w16cid:durableId="2133671386">
    <w:abstractNumId w:val="23"/>
  </w:num>
  <w:num w:numId="5" w16cid:durableId="407003900">
    <w:abstractNumId w:val="1"/>
  </w:num>
  <w:num w:numId="6" w16cid:durableId="1367636509">
    <w:abstractNumId w:val="41"/>
  </w:num>
  <w:num w:numId="7" w16cid:durableId="362751363">
    <w:abstractNumId w:val="11"/>
  </w:num>
  <w:num w:numId="8" w16cid:durableId="906498470">
    <w:abstractNumId w:val="26"/>
  </w:num>
  <w:num w:numId="9" w16cid:durableId="1902860714">
    <w:abstractNumId w:val="21"/>
  </w:num>
  <w:num w:numId="10" w16cid:durableId="430400209">
    <w:abstractNumId w:val="34"/>
  </w:num>
  <w:num w:numId="11" w16cid:durableId="1785690607">
    <w:abstractNumId w:val="18"/>
  </w:num>
  <w:num w:numId="12" w16cid:durableId="1328636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163775">
    <w:abstractNumId w:val="14"/>
  </w:num>
  <w:num w:numId="14" w16cid:durableId="2131779252">
    <w:abstractNumId w:val="19"/>
  </w:num>
  <w:num w:numId="15" w16cid:durableId="1186290901">
    <w:abstractNumId w:val="31"/>
  </w:num>
  <w:num w:numId="16" w16cid:durableId="503055720">
    <w:abstractNumId w:val="12"/>
  </w:num>
  <w:num w:numId="17" w16cid:durableId="1123425499">
    <w:abstractNumId w:val="32"/>
  </w:num>
  <w:num w:numId="18" w16cid:durableId="496388016">
    <w:abstractNumId w:val="0"/>
  </w:num>
  <w:num w:numId="19" w16cid:durableId="1384257914">
    <w:abstractNumId w:val="16"/>
  </w:num>
  <w:num w:numId="20" w16cid:durableId="1231816209">
    <w:abstractNumId w:val="22"/>
  </w:num>
  <w:num w:numId="21" w16cid:durableId="831607834">
    <w:abstractNumId w:val="36"/>
  </w:num>
  <w:num w:numId="22" w16cid:durableId="963078309">
    <w:abstractNumId w:val="7"/>
  </w:num>
  <w:num w:numId="23" w16cid:durableId="1034574263">
    <w:abstractNumId w:val="35"/>
  </w:num>
  <w:num w:numId="24" w16cid:durableId="1262563496">
    <w:abstractNumId w:val="28"/>
  </w:num>
  <w:num w:numId="25" w16cid:durableId="1371883325">
    <w:abstractNumId w:val="20"/>
  </w:num>
  <w:num w:numId="26" w16cid:durableId="1138305144">
    <w:abstractNumId w:val="17"/>
  </w:num>
  <w:num w:numId="27" w16cid:durableId="1328097607">
    <w:abstractNumId w:val="4"/>
  </w:num>
  <w:num w:numId="28" w16cid:durableId="1240556618">
    <w:abstractNumId w:val="15"/>
  </w:num>
  <w:num w:numId="29" w16cid:durableId="984041419">
    <w:abstractNumId w:val="8"/>
  </w:num>
  <w:num w:numId="30" w16cid:durableId="1778717620">
    <w:abstractNumId w:val="6"/>
  </w:num>
  <w:num w:numId="31" w16cid:durableId="1300526644">
    <w:abstractNumId w:val="33"/>
  </w:num>
  <w:num w:numId="32" w16cid:durableId="367875218">
    <w:abstractNumId w:val="24"/>
  </w:num>
  <w:num w:numId="33" w16cid:durableId="1626159649">
    <w:abstractNumId w:val="9"/>
  </w:num>
  <w:num w:numId="34" w16cid:durableId="1709642165">
    <w:abstractNumId w:val="40"/>
  </w:num>
  <w:num w:numId="35" w16cid:durableId="1834104161">
    <w:abstractNumId w:val="10"/>
  </w:num>
  <w:num w:numId="36" w16cid:durableId="1618218479">
    <w:abstractNumId w:val="29"/>
  </w:num>
  <w:num w:numId="37" w16cid:durableId="1509565228">
    <w:abstractNumId w:val="3"/>
  </w:num>
  <w:num w:numId="38" w16cid:durableId="2064480601">
    <w:abstractNumId w:val="30"/>
  </w:num>
  <w:num w:numId="39" w16cid:durableId="648022619">
    <w:abstractNumId w:val="27"/>
  </w:num>
  <w:num w:numId="40" w16cid:durableId="1964725638">
    <w:abstractNumId w:val="5"/>
  </w:num>
  <w:num w:numId="41" w16cid:durableId="514423713">
    <w:abstractNumId w:val="25"/>
  </w:num>
  <w:num w:numId="42" w16cid:durableId="308289491">
    <w:abstractNumId w:val="13"/>
  </w:num>
  <w:num w:numId="43"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8289043">
    <w:abstractNumId w:val="38"/>
  </w:num>
  <w:num w:numId="45" w16cid:durableId="770248083">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xMrM0tzC3sDQ1NzJS0lEKTi0uzszPAykwrAUAB3MstCwAAAA="/>
  </w:docVars>
  <w:rsids>
    <w:rsidRoot w:val="00D50F13"/>
    <w:rsid w:val="00000B53"/>
    <w:rsid w:val="00002808"/>
    <w:rsid w:val="00004D79"/>
    <w:rsid w:val="00007AEB"/>
    <w:rsid w:val="00007C19"/>
    <w:rsid w:val="0001537A"/>
    <w:rsid w:val="00023D4C"/>
    <w:rsid w:val="000264A7"/>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6C55"/>
    <w:rsid w:val="000B4274"/>
    <w:rsid w:val="000C17F7"/>
    <w:rsid w:val="000C3AE6"/>
    <w:rsid w:val="000C6FA6"/>
    <w:rsid w:val="000C76FA"/>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85FCC"/>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50C53"/>
    <w:rsid w:val="00350F4E"/>
    <w:rsid w:val="0035108E"/>
    <w:rsid w:val="00355DF5"/>
    <w:rsid w:val="003603A8"/>
    <w:rsid w:val="00370DA0"/>
    <w:rsid w:val="003712F2"/>
    <w:rsid w:val="00373C8A"/>
    <w:rsid w:val="00374142"/>
    <w:rsid w:val="00375BEA"/>
    <w:rsid w:val="00376FF0"/>
    <w:rsid w:val="00381817"/>
    <w:rsid w:val="00384F85"/>
    <w:rsid w:val="00386026"/>
    <w:rsid w:val="0039258A"/>
    <w:rsid w:val="00394B2C"/>
    <w:rsid w:val="003A02AA"/>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75389"/>
    <w:rsid w:val="004845C7"/>
    <w:rsid w:val="004859D2"/>
    <w:rsid w:val="004874F6"/>
    <w:rsid w:val="00487967"/>
    <w:rsid w:val="00490018"/>
    <w:rsid w:val="00491013"/>
    <w:rsid w:val="00494998"/>
    <w:rsid w:val="00494C86"/>
    <w:rsid w:val="0049519C"/>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2F8A"/>
    <w:rsid w:val="0067529C"/>
    <w:rsid w:val="00680325"/>
    <w:rsid w:val="00681751"/>
    <w:rsid w:val="00682F97"/>
    <w:rsid w:val="006866D5"/>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2077"/>
    <w:rsid w:val="007434E5"/>
    <w:rsid w:val="00743F00"/>
    <w:rsid w:val="00747ADB"/>
    <w:rsid w:val="00751959"/>
    <w:rsid w:val="007556CC"/>
    <w:rsid w:val="007608C2"/>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D7B9A"/>
    <w:rsid w:val="007E26A2"/>
    <w:rsid w:val="007F083D"/>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40A5"/>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90987"/>
    <w:rsid w:val="00992761"/>
    <w:rsid w:val="00995C0C"/>
    <w:rsid w:val="00996068"/>
    <w:rsid w:val="00997E6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241E"/>
    <w:rsid w:val="00C7643B"/>
    <w:rsid w:val="00C8260C"/>
    <w:rsid w:val="00C8439C"/>
    <w:rsid w:val="00C8528A"/>
    <w:rsid w:val="00C865A7"/>
    <w:rsid w:val="00C8693E"/>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0446"/>
    <w:rsid w:val="00D322CA"/>
    <w:rsid w:val="00D32C12"/>
    <w:rsid w:val="00D34C9B"/>
    <w:rsid w:val="00D417C2"/>
    <w:rsid w:val="00D47F70"/>
    <w:rsid w:val="00D50229"/>
    <w:rsid w:val="00D50F13"/>
    <w:rsid w:val="00D51502"/>
    <w:rsid w:val="00D52157"/>
    <w:rsid w:val="00D5513E"/>
    <w:rsid w:val="00D65C3C"/>
    <w:rsid w:val="00D73100"/>
    <w:rsid w:val="00D77E59"/>
    <w:rsid w:val="00D90F8E"/>
    <w:rsid w:val="00D949C9"/>
    <w:rsid w:val="00D94AEA"/>
    <w:rsid w:val="00DC11A1"/>
    <w:rsid w:val="00DD5282"/>
    <w:rsid w:val="00DD7E10"/>
    <w:rsid w:val="00DE0239"/>
    <w:rsid w:val="00DE24D6"/>
    <w:rsid w:val="00DF57FB"/>
    <w:rsid w:val="00E00310"/>
    <w:rsid w:val="00E045AD"/>
    <w:rsid w:val="00E05457"/>
    <w:rsid w:val="00E05C41"/>
    <w:rsid w:val="00E0771D"/>
    <w:rsid w:val="00E1029D"/>
    <w:rsid w:val="00E11E01"/>
    <w:rsid w:val="00E160F4"/>
    <w:rsid w:val="00E16355"/>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254"/>
    <w:rsid w:val="00EC5AFE"/>
    <w:rsid w:val="00ED72CA"/>
    <w:rsid w:val="00EE1A66"/>
    <w:rsid w:val="00EE1D09"/>
    <w:rsid w:val="00EE7240"/>
    <w:rsid w:val="00EF66B8"/>
    <w:rsid w:val="00EF7F5D"/>
    <w:rsid w:val="00F03EB4"/>
    <w:rsid w:val="00F06E93"/>
    <w:rsid w:val="00F130D7"/>
    <w:rsid w:val="00F17C76"/>
    <w:rsid w:val="00F21315"/>
    <w:rsid w:val="00F21D31"/>
    <w:rsid w:val="00F25459"/>
    <w:rsid w:val="00F26952"/>
    <w:rsid w:val="00F270C4"/>
    <w:rsid w:val="00F30E47"/>
    <w:rsid w:val="00F50784"/>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ePrisons.Projects@coe.i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C75D3C2E24B89A51FB7655E35B645"/>
        <w:category>
          <w:name w:val="General"/>
          <w:gallery w:val="placeholder"/>
        </w:category>
        <w:types>
          <w:type w:val="bbPlcHdr"/>
        </w:types>
        <w:behaviors>
          <w:behavior w:val="content"/>
        </w:behaviors>
        <w:guid w:val="{8DA193B4-611B-4567-BBDD-0BC7410EA754}"/>
      </w:docPartPr>
      <w:docPartBody>
        <w:p w:rsidR="00574DB9" w:rsidRDefault="00976D04" w:rsidP="00976D04">
          <w:pPr>
            <w:pStyle w:val="3FEC75D3C2E24B89A51FB7655E35B645"/>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04"/>
    <w:rsid w:val="003A725B"/>
    <w:rsid w:val="00574DB9"/>
    <w:rsid w:val="0076260B"/>
    <w:rsid w:val="008258EE"/>
    <w:rsid w:val="00976D04"/>
    <w:rsid w:val="00977EFD"/>
    <w:rsid w:val="00B25FF8"/>
    <w:rsid w:val="00CE5147"/>
    <w:rsid w:val="00D80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D04"/>
    <w:rPr>
      <w:color w:val="808080"/>
    </w:rPr>
  </w:style>
  <w:style w:type="paragraph" w:customStyle="1" w:styleId="3FEC75D3C2E24B89A51FB7655E35B645">
    <w:name w:val="3FEC75D3C2E24B89A51FB7655E35B645"/>
    <w:rsid w:val="0097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3.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1391A3-C315-41F3-9CA6-0088300E1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6236</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2024-04-26T13:04:00Z</dcterms:created>
  <dcterms:modified xsi:type="dcterms:W3CDTF">2024-05-01T12:59:00Z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