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11A" w14:textId="58C5268E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 xml:space="preserve">IT </w:t>
      </w:r>
      <w:r w:rsidR="00D926E0">
        <w:rPr>
          <w:rFonts w:ascii="Arial Narrow" w:hAnsi="Arial Narrow"/>
          <w:b/>
        </w:rPr>
        <w:t>EQUIPMENT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011EB0">
        <w:rPr>
          <w:rFonts w:ascii="Arial Narrow" w:hAnsi="Arial Narrow"/>
          <w:b/>
        </w:rPr>
        <w:t xml:space="preserve">                          </w:t>
      </w:r>
      <w:r w:rsidR="00011EB0" w:rsidRPr="00011EB0">
        <w:rPr>
          <w:rFonts w:ascii="Arial Narrow" w:hAnsi="Arial Narrow"/>
          <w:b/>
        </w:rPr>
        <w:t>no.</w:t>
      </w:r>
      <w:r w:rsidR="00CD482B">
        <w:rPr>
          <w:rFonts w:ascii="Arial" w:hAnsi="Arial" w:cs="Arial"/>
          <w:lang w:val="ro-RO"/>
        </w:rPr>
        <w:t xml:space="preserve"> </w:t>
      </w:r>
      <w:r w:rsidR="00CD482B" w:rsidRPr="00CD482B">
        <w:rPr>
          <w:rFonts w:ascii="Arial Narrow" w:hAnsi="Arial Narrow"/>
          <w:b/>
        </w:rPr>
        <w:t xml:space="preserve">BH 9278/2025/06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CD482B" w:rsidRPr="00CD482B">
        <w:rPr>
          <w:rFonts w:ascii="Arial Narrow" w:hAnsi="Arial Narrow"/>
          <w:b/>
        </w:rPr>
        <w:t>GENERAL INSPECTORATE FOR MIGRATION OF THE MINISTRY OF INTERNAL AFFAIRS OF THE REPUBLIC OF MOLDOVA</w:t>
      </w:r>
      <w:r w:rsidR="00CD482B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 xml:space="preserve">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011EB0">
        <w:rPr>
          <w:rFonts w:ascii="Arial Narrow" w:hAnsi="Arial Narrow"/>
          <w:b/>
        </w:rPr>
        <w:t>XXX</w:t>
      </w:r>
      <w:r w:rsidR="003341CE" w:rsidRPr="009D4600">
        <w:rPr>
          <w:rFonts w:ascii="Arial Narrow" w:hAnsi="Arial Narrow"/>
          <w:b/>
        </w:rPr>
        <w:t xml:space="preserve"> (the Provider)</w:t>
      </w:r>
    </w:p>
    <w:p w14:paraId="76D0011B" w14:textId="587DAEAB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the </w:t>
      </w:r>
      <w:r w:rsidRPr="00D926E0">
        <w:rPr>
          <w:rFonts w:ascii="Arial Narrow" w:hAnsi="Arial Narrow"/>
        </w:rPr>
        <w:t xml:space="preserve">contract </w:t>
      </w:r>
      <w:r w:rsidR="00011EB0">
        <w:rPr>
          <w:rFonts w:ascii="Arial Narrow" w:hAnsi="Arial Narrow"/>
        </w:rPr>
        <w:t>no.</w:t>
      </w:r>
      <w:r w:rsidRPr="00D926E0">
        <w:rPr>
          <w:rFonts w:ascii="Arial Narrow" w:hAnsi="Arial Narrow"/>
        </w:rPr>
        <w:t xml:space="preserve"> </w:t>
      </w:r>
      <w:r w:rsidR="00D926E0" w:rsidRPr="00D926E0">
        <w:rPr>
          <w:rFonts w:ascii="Arial Narrow" w:hAnsi="Arial Narrow"/>
        </w:rPr>
        <w:t xml:space="preserve">BH </w:t>
      </w:r>
      <w:r w:rsidR="00CD482B" w:rsidRPr="00CD482B">
        <w:rPr>
          <w:rFonts w:ascii="Arial Narrow" w:hAnsi="Arial Narrow"/>
        </w:rPr>
        <w:t>9278/2025/06</w:t>
      </w:r>
      <w:r w:rsidR="0055491B" w:rsidRPr="00D926E0">
        <w:rPr>
          <w:rFonts w:ascii="Arial Narrow" w:hAnsi="Arial Narrow"/>
        </w:rPr>
        <w:t xml:space="preserve">, </w:t>
      </w:r>
      <w:r w:rsidR="0055491B" w:rsidRPr="00011EB0">
        <w:rPr>
          <w:rFonts w:ascii="Arial Narrow" w:hAnsi="Arial Narrow"/>
        </w:rPr>
        <w:t>dated [DATE]</w:t>
      </w:r>
      <w:r w:rsidR="00081989" w:rsidRPr="009D4600">
        <w:rPr>
          <w:rFonts w:ascii="Arial Narrow" w:hAnsi="Arial Narrow"/>
        </w:rPr>
        <w:t xml:space="preserve"> (“the </w:t>
      </w:r>
      <w:r w:rsidR="00FF3B2F" w:rsidRPr="009D4600">
        <w:rPr>
          <w:rFonts w:ascii="Arial Narrow" w:hAnsi="Arial Narrow"/>
        </w:rPr>
        <w:t>Contract</w:t>
      </w:r>
      <w:r w:rsidR="00081989" w:rsidRPr="009D4600">
        <w:rPr>
          <w:rFonts w:ascii="Arial Narrow" w:hAnsi="Arial Narrow"/>
        </w:rPr>
        <w:t>”)</w:t>
      </w:r>
      <w:r w:rsidRPr="009D4600">
        <w:rPr>
          <w:rFonts w:ascii="Arial Narrow" w:hAnsi="Arial Narrow"/>
        </w:rPr>
        <w:t xml:space="preserve">. The terms and conditions laid down by that </w:t>
      </w:r>
      <w:r w:rsidR="00FF3B2F" w:rsidRPr="009D4600">
        <w:rPr>
          <w:rFonts w:ascii="Arial Narrow" w:hAnsi="Arial Narrow"/>
        </w:rPr>
        <w:t xml:space="preserve">Contract </w:t>
      </w:r>
      <w:r w:rsidRPr="009D4600">
        <w:rPr>
          <w:rFonts w:ascii="Arial Narrow" w:hAnsi="Arial Narrow"/>
        </w:rPr>
        <w:t xml:space="preserve">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alter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 xml:space="preserve">of the original </w:t>
      </w:r>
      <w:r w:rsidR="00FF3B2F" w:rsidRPr="009D4600">
        <w:rPr>
          <w:rFonts w:ascii="Arial Narrow" w:hAnsi="Arial Narrow"/>
        </w:rPr>
        <w:t>Contract</w:t>
      </w:r>
      <w:r w:rsidRPr="009D4600">
        <w:rPr>
          <w:rFonts w:ascii="Arial Narrow" w:hAnsi="Arial Narrow"/>
        </w:rPr>
        <w:t xml:space="preserve">, or the rights and obligations of the parties thereto, except insofar as this document is a record of the performance of that </w:t>
      </w:r>
      <w:r w:rsidR="00FF3B2F" w:rsidRPr="009D4600">
        <w:rPr>
          <w:rFonts w:ascii="Arial Narrow" w:hAnsi="Arial Narrow"/>
        </w:rPr>
        <w:t>Contract</w:t>
      </w:r>
      <w:r w:rsidRPr="009D4600">
        <w:rPr>
          <w:rFonts w:ascii="Arial Narrow" w:hAnsi="Arial Narrow"/>
        </w:rPr>
        <w:t>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4DF6D931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="00D926E0">
        <w:rPr>
          <w:rFonts w:ascii="Arial Narrow" w:hAnsi="Arial Narrow"/>
        </w:rPr>
        <w:t xml:space="preserve"> (Appendix I to the C</w:t>
      </w:r>
      <w:r w:rsidR="00D926E0" w:rsidRPr="00D926E0">
        <w:rPr>
          <w:rFonts w:ascii="Arial Narrow" w:hAnsi="Arial Narrow"/>
        </w:rPr>
        <w:t xml:space="preserve">ontract </w:t>
      </w:r>
      <w:r w:rsidR="00D926E0">
        <w:rPr>
          <w:rFonts w:ascii="Arial Narrow" w:hAnsi="Arial Narrow"/>
        </w:rPr>
        <w:t xml:space="preserve">no. </w:t>
      </w:r>
      <w:r w:rsidR="00CD482B" w:rsidRPr="00D926E0">
        <w:rPr>
          <w:rFonts w:ascii="Arial Narrow" w:hAnsi="Arial Narrow"/>
        </w:rPr>
        <w:t xml:space="preserve">BH </w:t>
      </w:r>
      <w:r w:rsidR="00CD482B" w:rsidRPr="00CD482B">
        <w:rPr>
          <w:rFonts w:ascii="Arial Narrow" w:hAnsi="Arial Narrow"/>
        </w:rPr>
        <w:t>9278/2025/06</w:t>
      </w:r>
      <w:r w:rsidR="00D926E0">
        <w:rPr>
          <w:rFonts w:ascii="Arial Narrow" w:hAnsi="Arial Narrow"/>
        </w:rPr>
        <w:t>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7E24E4C1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CD482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F47EA2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</w:t>
      </w:r>
      <w:r w:rsidR="00D926E0">
        <w:rPr>
          <w:rFonts w:ascii="Arial Narrow" w:hAnsi="Arial Narrow"/>
        </w:rPr>
        <w:t>Provider</w:t>
      </w:r>
      <w:r w:rsidRPr="00B20401">
        <w:rPr>
          <w:rFonts w:ascii="Arial Narrow" w:hAnsi="Arial Narrow"/>
        </w:rPr>
        <w:t xml:space="preserve"> shall remain liable to provide, deliver and install any goods 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1646E079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="00CD482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76D00128" w14:textId="4DDD66B4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 xml:space="preserve">of the </w:t>
      </w:r>
      <w:r w:rsidR="00CD482B" w:rsidRPr="00B20401">
        <w:rPr>
          <w:rFonts w:ascii="Arial Narrow" w:hAnsi="Arial Narrow"/>
        </w:rPr>
        <w:t>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957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926E0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D926E0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D926E0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D926E0">
        <w:trPr>
          <w:trHeight w:val="477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D926E0">
        <w:trPr>
          <w:trHeight w:val="378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D926E0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D926E0">
        <w:trPr>
          <w:trHeight w:val="141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926E0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926E0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926E0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926E0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D926E0" w14:paraId="0BCB1AA7" w14:textId="66490271" w:rsidTr="00D926E0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45EADD14" w14:textId="68B9D279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</w:t>
            </w:r>
            <w:r w:rsidR="00D926E0"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</w:p>
          <w:p w14:paraId="197DD7C3" w14:textId="2930B72B" w:rsidR="00D926E0" w:rsidRPr="0055027B" w:rsidRDefault="00D926E0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1EB0">
              <w:rPr>
                <w:rFonts w:ascii="Arial Narrow" w:hAnsi="Arial Narrow"/>
                <w:b/>
                <w:sz w:val="18"/>
                <w:szCs w:val="18"/>
              </w:rPr>
              <w:t>XX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Pr="00D926E0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>Signature for and on behalf of</w:t>
            </w:r>
          </w:p>
          <w:p w14:paraId="25CFBA04" w14:textId="119A1D5D" w:rsidR="00D926E0" w:rsidRPr="00D926E0" w:rsidRDefault="00D926E0" w:rsidP="00D926E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55027B" w:rsidRPr="00D926E0">
              <w:rPr>
                <w:rFonts w:ascii="Arial Narrow" w:hAnsi="Arial Narrow"/>
                <w:b/>
                <w:sz w:val="18"/>
                <w:szCs w:val="18"/>
              </w:rPr>
              <w:t>he</w:t>
            </w:r>
            <w:r w:rsidRPr="00D926E0">
              <w:rPr>
                <w:rFonts w:ascii="Arial Narrow" w:hAnsi="Arial Narrow"/>
                <w:b/>
                <w:sz w:val="18"/>
                <w:szCs w:val="18"/>
              </w:rPr>
              <w:t xml:space="preserve"> Recipient -</w:t>
            </w:r>
          </w:p>
          <w:p w14:paraId="18C1855C" w14:textId="6E698A3E" w:rsidR="00D926E0" w:rsidRPr="00D926E0" w:rsidRDefault="00D926E0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26E0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CD482B">
              <w:rPr>
                <w:rFonts w:ascii="Arial Narrow" w:hAnsi="Arial Narrow"/>
                <w:b/>
                <w:sz w:val="18"/>
                <w:szCs w:val="18"/>
              </w:rPr>
              <w:t>General Inspectorate for Migration of the Ministry of Internal Affairs</w:t>
            </w:r>
          </w:p>
        </w:tc>
      </w:tr>
      <w:tr w:rsidR="0055027B" w:rsidRPr="00BC1DBE" w14:paraId="2209469E" w14:textId="77777777" w:rsidTr="00D926E0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926E0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926E0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79C3" w14:textId="77777777" w:rsidR="005A7449" w:rsidRDefault="005A7449" w:rsidP="00D007AF">
      <w:pPr>
        <w:spacing w:after="0" w:line="240" w:lineRule="auto"/>
      </w:pPr>
      <w:r>
        <w:separator/>
      </w:r>
    </w:p>
  </w:endnote>
  <w:endnote w:type="continuationSeparator" w:id="0">
    <w:p w14:paraId="14542116" w14:textId="77777777" w:rsidR="005A7449" w:rsidRDefault="005A7449" w:rsidP="00D007AF">
      <w:pPr>
        <w:spacing w:after="0" w:line="240" w:lineRule="auto"/>
      </w:pPr>
      <w:r>
        <w:continuationSeparator/>
      </w:r>
    </w:p>
  </w:endnote>
  <w:endnote w:type="continuationNotice" w:id="1">
    <w:p w14:paraId="02C8A709" w14:textId="77777777" w:rsidR="005A7449" w:rsidRDefault="005A7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403B" w14:textId="77777777" w:rsidR="005A7449" w:rsidRDefault="005A7449" w:rsidP="00D007AF">
      <w:pPr>
        <w:spacing w:after="0" w:line="240" w:lineRule="auto"/>
      </w:pPr>
      <w:r>
        <w:separator/>
      </w:r>
    </w:p>
  </w:footnote>
  <w:footnote w:type="continuationSeparator" w:id="0">
    <w:p w14:paraId="4E59A44F" w14:textId="77777777" w:rsidR="005A7449" w:rsidRDefault="005A7449" w:rsidP="00D007AF">
      <w:pPr>
        <w:spacing w:after="0" w:line="240" w:lineRule="auto"/>
      </w:pPr>
      <w:r>
        <w:continuationSeparator/>
      </w:r>
    </w:p>
  </w:footnote>
  <w:footnote w:type="continuationNotice" w:id="1">
    <w:p w14:paraId="2A536374" w14:textId="77777777" w:rsidR="005A7449" w:rsidRDefault="005A7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2C0995DD" w:rsidR="00B20401" w:rsidRPr="00CD482B" w:rsidRDefault="00E719E7" w:rsidP="00B20401">
    <w:pPr>
      <w:pStyle w:val="Header"/>
      <w:jc w:val="right"/>
      <w:rPr>
        <w:rFonts w:ascii="Arial Narrow" w:hAnsi="Arial Narrow"/>
        <w:lang w:val="en-GB"/>
      </w:rPr>
    </w:pPr>
    <w:r>
      <w:rPr>
        <w:rFonts w:ascii="Arial Narrow" w:hAnsi="Arial Narrow"/>
        <w:lang w:val="en-GB"/>
      </w:rPr>
      <w:t>Appendix I</w:t>
    </w:r>
    <w:r w:rsidR="00DC7A33">
      <w:rPr>
        <w:rFonts w:ascii="Arial Narrow" w:hAnsi="Arial Narrow"/>
        <w:lang w:val="en-GB"/>
      </w:rPr>
      <w:t>II</w:t>
    </w:r>
    <w:r>
      <w:rPr>
        <w:rFonts w:ascii="Arial Narrow" w:hAnsi="Arial Narrow"/>
        <w:lang w:val="en-GB"/>
      </w:rPr>
      <w:t xml:space="preserve"> to the Contract no. </w:t>
    </w:r>
    <w:r w:rsidR="00D926E0">
      <w:rPr>
        <w:rFonts w:ascii="Arial Narrow" w:hAnsi="Arial Narrow"/>
        <w:lang w:val="en-GB"/>
      </w:rPr>
      <w:t xml:space="preserve">BH </w:t>
    </w:r>
    <w:r w:rsidR="00CD482B" w:rsidRPr="00CD482B">
      <w:rPr>
        <w:rFonts w:ascii="Arial Narrow" w:hAnsi="Arial Narrow"/>
        <w:lang w:val="en-GB"/>
      </w:rPr>
      <w:t>9278/2025/06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11EB0"/>
    <w:rsid w:val="00077C59"/>
    <w:rsid w:val="000803BF"/>
    <w:rsid w:val="00081989"/>
    <w:rsid w:val="00093D7D"/>
    <w:rsid w:val="00133168"/>
    <w:rsid w:val="001625E9"/>
    <w:rsid w:val="001C5253"/>
    <w:rsid w:val="00243447"/>
    <w:rsid w:val="002771B7"/>
    <w:rsid w:val="003176CB"/>
    <w:rsid w:val="003233EF"/>
    <w:rsid w:val="003341CE"/>
    <w:rsid w:val="003367C1"/>
    <w:rsid w:val="003406DA"/>
    <w:rsid w:val="00357D8F"/>
    <w:rsid w:val="0039720D"/>
    <w:rsid w:val="003D31B2"/>
    <w:rsid w:val="003D7680"/>
    <w:rsid w:val="003E5D66"/>
    <w:rsid w:val="00405750"/>
    <w:rsid w:val="0044219F"/>
    <w:rsid w:val="004953AD"/>
    <w:rsid w:val="004B299A"/>
    <w:rsid w:val="004B46F0"/>
    <w:rsid w:val="0052245D"/>
    <w:rsid w:val="0055027B"/>
    <w:rsid w:val="0055491B"/>
    <w:rsid w:val="005955A1"/>
    <w:rsid w:val="005A7449"/>
    <w:rsid w:val="00640D82"/>
    <w:rsid w:val="0064241D"/>
    <w:rsid w:val="00643A49"/>
    <w:rsid w:val="006E333E"/>
    <w:rsid w:val="007176F4"/>
    <w:rsid w:val="00722986"/>
    <w:rsid w:val="0074012D"/>
    <w:rsid w:val="007A68AC"/>
    <w:rsid w:val="007C42F5"/>
    <w:rsid w:val="0087033F"/>
    <w:rsid w:val="008938CB"/>
    <w:rsid w:val="008C608D"/>
    <w:rsid w:val="008F0DFB"/>
    <w:rsid w:val="00907C8B"/>
    <w:rsid w:val="009129F2"/>
    <w:rsid w:val="00953824"/>
    <w:rsid w:val="0096034C"/>
    <w:rsid w:val="009A4734"/>
    <w:rsid w:val="009D4600"/>
    <w:rsid w:val="009D718A"/>
    <w:rsid w:val="00A008FD"/>
    <w:rsid w:val="00A101B9"/>
    <w:rsid w:val="00A268C4"/>
    <w:rsid w:val="00A64CDE"/>
    <w:rsid w:val="00B13DA3"/>
    <w:rsid w:val="00B20401"/>
    <w:rsid w:val="00B51367"/>
    <w:rsid w:val="00B60BCC"/>
    <w:rsid w:val="00B92943"/>
    <w:rsid w:val="00BC1DBE"/>
    <w:rsid w:val="00BD4EB4"/>
    <w:rsid w:val="00C052C7"/>
    <w:rsid w:val="00C22B5E"/>
    <w:rsid w:val="00C55697"/>
    <w:rsid w:val="00C701F9"/>
    <w:rsid w:val="00C70E6F"/>
    <w:rsid w:val="00C87A6E"/>
    <w:rsid w:val="00C94B64"/>
    <w:rsid w:val="00CD482B"/>
    <w:rsid w:val="00D007AF"/>
    <w:rsid w:val="00D43BBA"/>
    <w:rsid w:val="00D60C21"/>
    <w:rsid w:val="00D74D5B"/>
    <w:rsid w:val="00D772DC"/>
    <w:rsid w:val="00D926E0"/>
    <w:rsid w:val="00DA6AE4"/>
    <w:rsid w:val="00DC2F9C"/>
    <w:rsid w:val="00DC7A33"/>
    <w:rsid w:val="00DE20F7"/>
    <w:rsid w:val="00DE2727"/>
    <w:rsid w:val="00E719E7"/>
    <w:rsid w:val="00E87EA4"/>
    <w:rsid w:val="00EA4303"/>
    <w:rsid w:val="00F0335B"/>
    <w:rsid w:val="00F3604A"/>
    <w:rsid w:val="00F75F6F"/>
    <w:rsid w:val="00F82E33"/>
    <w:rsid w:val="00F86733"/>
    <w:rsid w:val="00FA6F4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 xsi:nil="true"/>
    <Type_x0020_avis_x0020_juridique xmlns="b52621d8-5315-4ff3-b460-ca3577c5f43d" xsi:nil="true"/>
    <Statut xmlns="b52621d8-5315-4ff3-b460-ca3577c5f43d" xsi:nil="true"/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 xsi:nil="true"/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3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BEDROS Tatiana</cp:lastModifiedBy>
  <cp:revision>2</cp:revision>
  <dcterms:created xsi:type="dcterms:W3CDTF">2025-04-15T18:42:00Z</dcterms:created>
  <dcterms:modified xsi:type="dcterms:W3CDTF">2025-04-15T18:42:00Z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