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4C7A" w14:textId="77777777" w:rsidR="00514C93" w:rsidRDefault="007E3CE7" w:rsidP="0042231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APPENDIX I</w:t>
      </w:r>
      <w:r w:rsidR="002C069F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 xml:space="preserve"> – </w:t>
      </w:r>
      <w:r w:rsidR="00422312" w:rsidRPr="00422312">
        <w:rPr>
          <w:rFonts w:ascii="Arial Narrow" w:hAnsi="Arial Narrow"/>
          <w:b/>
          <w:sz w:val="28"/>
          <w:szCs w:val="28"/>
        </w:rPr>
        <w:t>TENDER PROPOSAL FORM</w:t>
      </w:r>
    </w:p>
    <w:p w14:paraId="46714C7B" w14:textId="50D62D15" w:rsidR="00EB550D" w:rsidRDefault="0093038A" w:rsidP="0042231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Lot</w:t>
      </w:r>
      <w:r w:rsidR="00CB1226">
        <w:rPr>
          <w:rFonts w:ascii="Arial Narrow" w:hAnsi="Arial Narrow"/>
          <w:b/>
          <w:sz w:val="28"/>
          <w:szCs w:val="28"/>
        </w:rPr>
        <w:t xml:space="preserve"> </w:t>
      </w:r>
      <w:r w:rsidR="006057F7">
        <w:rPr>
          <w:rFonts w:ascii="Arial Narrow" w:hAnsi="Arial Narrow"/>
          <w:b/>
          <w:sz w:val="28"/>
          <w:szCs w:val="28"/>
        </w:rPr>
        <w:t>B</w:t>
      </w:r>
      <w:r w:rsidR="00514C93">
        <w:rPr>
          <w:rFonts w:ascii="Arial Narrow" w:hAnsi="Arial Narrow"/>
          <w:b/>
          <w:sz w:val="28"/>
          <w:szCs w:val="28"/>
        </w:rPr>
        <w:t xml:space="preserve"> – </w:t>
      </w:r>
      <w:r w:rsidR="008C1AE2" w:rsidRPr="008C1AE2">
        <w:rPr>
          <w:rFonts w:ascii="Arial Narrow" w:hAnsi="Arial Narrow"/>
          <w:b/>
          <w:sz w:val="28"/>
          <w:szCs w:val="28"/>
        </w:rPr>
        <w:t>Technical equipment and support for interpreting services</w:t>
      </w:r>
    </w:p>
    <w:p w14:paraId="46714C7C" w14:textId="77777777" w:rsidR="00422312" w:rsidRPr="00514C93" w:rsidRDefault="00422312" w:rsidP="00514C93">
      <w:pPr>
        <w:spacing w:before="120" w:after="120"/>
        <w:jc w:val="center"/>
        <w:rPr>
          <w:rFonts w:ascii="Arial Narrow" w:hAnsi="Arial Narrow"/>
        </w:rPr>
      </w:pPr>
      <w:r w:rsidRPr="00514C93">
        <w:rPr>
          <w:rFonts w:ascii="Arial Narrow" w:hAnsi="Arial Narrow"/>
        </w:rPr>
        <w:t xml:space="preserve">Fill in </w:t>
      </w:r>
      <w:r w:rsidR="00514C93">
        <w:rPr>
          <w:rFonts w:ascii="Arial Narrow" w:hAnsi="Arial Narrow"/>
        </w:rPr>
        <w:t xml:space="preserve">the </w:t>
      </w:r>
      <w:r w:rsidR="00514C93" w:rsidRPr="00514C93">
        <w:rPr>
          <w:rFonts w:ascii="Arial Narrow" w:hAnsi="Arial Narrow"/>
          <w:color w:val="FF0000"/>
        </w:rPr>
        <w:t xml:space="preserve">red boxes </w:t>
      </w:r>
      <w:r w:rsidR="00514C93">
        <w:rPr>
          <w:rFonts w:ascii="Arial Narrow" w:hAnsi="Arial Narrow"/>
        </w:rPr>
        <w:t>below and attach the requested documents</w:t>
      </w:r>
    </w:p>
    <w:tbl>
      <w:tblPr>
        <w:tblStyle w:val="TableGrid"/>
        <w:tblW w:w="0" w:type="auto"/>
        <w:tblInd w:w="-3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344"/>
      </w:tblGrid>
      <w:tr w:rsidR="00422312" w14:paraId="46714C7E" w14:textId="77777777" w:rsidTr="00AD5C2B">
        <w:trPr>
          <w:trHeight w:val="506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6714C7D" w14:textId="77777777" w:rsidR="00422312" w:rsidRDefault="00422312" w:rsidP="00705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General information</w:t>
            </w:r>
            <w:r w:rsidR="007053B6">
              <w:rPr>
                <w:rFonts w:ascii="Arial Narrow" w:hAnsi="Arial Narrow"/>
                <w:b/>
              </w:rPr>
              <w:t xml:space="preserve"> </w:t>
            </w:r>
            <w:r w:rsidR="007053B6"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7053B6" w14:paraId="46714C81" w14:textId="77777777" w:rsidTr="00CB1226">
        <w:trPr>
          <w:trHeight w:val="427"/>
        </w:trPr>
        <w:tc>
          <w:tcPr>
            <w:tcW w:w="3545" w:type="dxa"/>
            <w:gridSpan w:val="2"/>
            <w:tcBorders>
              <w:top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6714C7F" w14:textId="77777777" w:rsidR="007053B6" w:rsidRDefault="007053B6" w:rsidP="007053B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Tenderer’s Name </w:t>
            </w:r>
            <w:r w:rsidRPr="00422312">
              <w:rPr>
                <w:rFonts w:ascii="Times New Roman" w:hAnsi="Times New Roman" w:cs="Times New Roman"/>
                <w:b/>
                <w:color w:val="FF0000"/>
              </w:rPr>
              <w:t>►</w:t>
            </w:r>
          </w:p>
        </w:tc>
        <w:tc>
          <w:tcPr>
            <w:tcW w:w="634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46714C80" w14:textId="77777777" w:rsidR="007053B6" w:rsidRPr="00CB1226" w:rsidRDefault="007053B6" w:rsidP="007053B6">
            <w:pPr>
              <w:jc w:val="right"/>
              <w:rPr>
                <w:rFonts w:ascii="Arial Narrow" w:hAnsi="Arial Narrow"/>
              </w:rPr>
            </w:pPr>
          </w:p>
        </w:tc>
      </w:tr>
      <w:tr w:rsidR="00AC4D6B" w:rsidRPr="00AC4D6B" w14:paraId="46714C86" w14:textId="77777777" w:rsidTr="00AC4D6B">
        <w:trPr>
          <w:trHeight w:val="82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14C85" w14:textId="77777777" w:rsidR="00AC4D6B" w:rsidRPr="00AC4D6B" w:rsidRDefault="00AC4D6B" w:rsidP="007053B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422312" w14:paraId="46714C88" w14:textId="77777777" w:rsidTr="00514C93">
        <w:trPr>
          <w:trHeight w:val="477"/>
        </w:trPr>
        <w:tc>
          <w:tcPr>
            <w:tcW w:w="9889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6714C87" w14:textId="77777777" w:rsidR="00422312" w:rsidRDefault="00422312" w:rsidP="00705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Eligibility criteria</w:t>
            </w:r>
            <w:r w:rsidR="007053B6">
              <w:rPr>
                <w:rFonts w:ascii="Arial Narrow" w:hAnsi="Arial Narrow"/>
                <w:b/>
              </w:rPr>
              <w:t xml:space="preserve"> </w:t>
            </w:r>
            <w:r w:rsidR="007053B6"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514C93" w14:paraId="46714C8A" w14:textId="77777777" w:rsidTr="00514C93">
        <w:trPr>
          <w:trHeight w:val="82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14C89" w14:textId="77777777" w:rsidR="00514C93" w:rsidRPr="00514C93" w:rsidRDefault="00514C93" w:rsidP="00514C9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7053B6" w14:paraId="46714C8E" w14:textId="77777777" w:rsidTr="00F92C3E">
        <w:trPr>
          <w:trHeight w:val="1382"/>
        </w:trPr>
        <w:tc>
          <w:tcPr>
            <w:tcW w:w="2127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714C8B" w14:textId="77777777" w:rsidR="007053B6" w:rsidRDefault="007053B6" w:rsidP="007053B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Registration </w:t>
            </w:r>
            <w:r>
              <w:rPr>
                <w:rFonts w:ascii="Times New Roman" w:hAnsi="Times New Roman" w:cs="Times New Roman"/>
                <w:b/>
              </w:rPr>
              <w:t>►</w:t>
            </w:r>
          </w:p>
        </w:tc>
        <w:tc>
          <w:tcPr>
            <w:tcW w:w="7762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714C8C" w14:textId="1707FBD6" w:rsidR="007053B6" w:rsidRPr="008F38B9" w:rsidRDefault="007053B6" w:rsidP="001C118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Being registered </w:t>
            </w:r>
            <w:r w:rsidR="00CD02D8">
              <w:rPr>
                <w:rFonts w:ascii="Arial Narrow" w:hAnsi="Arial Narrow"/>
                <w:b/>
              </w:rPr>
              <w:t xml:space="preserve">in </w:t>
            </w:r>
            <w:r w:rsidR="002D3BED">
              <w:rPr>
                <w:rFonts w:ascii="Arial Narrow" w:hAnsi="Arial Narrow"/>
                <w:b/>
              </w:rPr>
              <w:t xml:space="preserve">Slovenia </w:t>
            </w:r>
            <w:r w:rsidRPr="008F38B9">
              <w:rPr>
                <w:rFonts w:ascii="Arial Narrow" w:hAnsi="Arial Narrow"/>
              </w:rPr>
              <w:t xml:space="preserve">(See Terms of Reference, Section </w:t>
            </w:r>
            <w:r w:rsidR="008E2F51">
              <w:rPr>
                <w:rFonts w:ascii="Arial Narrow" w:hAnsi="Arial Narrow"/>
              </w:rPr>
              <w:t>E</w:t>
            </w:r>
            <w:r w:rsidRPr="008F38B9">
              <w:rPr>
                <w:rFonts w:ascii="Arial Narrow" w:hAnsi="Arial Narrow"/>
              </w:rPr>
              <w:t>).</w:t>
            </w:r>
          </w:p>
          <w:p w14:paraId="46714C8D" w14:textId="77777777" w:rsidR="007053B6" w:rsidRDefault="007053B6" w:rsidP="007053B6">
            <w:pPr>
              <w:rPr>
                <w:rFonts w:ascii="Arial Narrow" w:hAnsi="Arial Narrow"/>
                <w:b/>
              </w:rPr>
            </w:pPr>
            <w:r w:rsidRPr="008F38B9">
              <w:rPr>
                <w:rFonts w:ascii="Arial Narrow" w:hAnsi="Arial Narrow"/>
              </w:rPr>
              <w:t>Make sure to attach the Tenderer’s</w:t>
            </w:r>
            <w:r>
              <w:rPr>
                <w:rFonts w:ascii="Arial Narrow" w:hAnsi="Arial Narrow"/>
                <w:b/>
              </w:rPr>
              <w:t xml:space="preserve"> Registration documents</w:t>
            </w:r>
            <w:r w:rsidR="001C1189">
              <w:rPr>
                <w:rFonts w:ascii="Arial Narrow" w:hAnsi="Arial Narrow"/>
              </w:rPr>
              <w:t xml:space="preserve">, otherwise you </w:t>
            </w:r>
            <w:r w:rsidRPr="008F38B9">
              <w:rPr>
                <w:rFonts w:ascii="Arial Narrow" w:hAnsi="Arial Narrow"/>
              </w:rPr>
              <w:t xml:space="preserve">will be declared </w:t>
            </w:r>
            <w:r>
              <w:rPr>
                <w:rFonts w:ascii="Arial Narrow" w:hAnsi="Arial Narrow"/>
                <w:b/>
              </w:rPr>
              <w:t>ineligible.</w:t>
            </w:r>
          </w:p>
        </w:tc>
      </w:tr>
      <w:tr w:rsidR="00FB6474" w14:paraId="46714C94" w14:textId="77777777" w:rsidTr="00F92C3E">
        <w:trPr>
          <w:trHeight w:val="1415"/>
        </w:trPr>
        <w:tc>
          <w:tcPr>
            <w:tcW w:w="212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714C91" w14:textId="77777777" w:rsidR="00FB6474" w:rsidRDefault="002C069F" w:rsidP="007053B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Compliance</w:t>
            </w:r>
            <w:r w:rsidRPr="002C069F">
              <w:rPr>
                <w:rFonts w:ascii="Arial Narrow" w:hAnsi="Arial Narrow"/>
                <w:b/>
              </w:rPr>
              <w:t xml:space="preserve"> </w:t>
            </w:r>
            <w:r w:rsidRPr="008F38B9">
              <w:rPr>
                <w:rFonts w:ascii="Arial Narrow" w:hAnsi="Arial Narrow"/>
                <w:b/>
              </w:rPr>
              <w:t>with ISO 4043 norms</w:t>
            </w:r>
            <w:r w:rsidR="00FB6474" w:rsidRPr="008F38B9">
              <w:rPr>
                <w:rFonts w:ascii="Arial Narrow" w:hAnsi="Arial Narrow"/>
                <w:b/>
              </w:rPr>
              <w:t xml:space="preserve"> </w:t>
            </w:r>
            <w:r w:rsidR="00FB6474" w:rsidRPr="008F38B9">
              <w:rPr>
                <w:rFonts w:ascii="Times New Roman" w:hAnsi="Times New Roman" w:cs="Times New Roman"/>
                <w:b/>
              </w:rPr>
              <w:t>►</w:t>
            </w:r>
          </w:p>
        </w:tc>
        <w:tc>
          <w:tcPr>
            <w:tcW w:w="77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714C92" w14:textId="610119E5" w:rsidR="008F38B9" w:rsidRPr="006057F7" w:rsidRDefault="001C1189" w:rsidP="001C118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Possessing interpreting booths</w:t>
            </w:r>
            <w:r w:rsidR="008F38B9">
              <w:rPr>
                <w:rFonts w:ascii="Arial Narrow" w:hAnsi="Arial Narrow"/>
                <w:b/>
              </w:rPr>
              <w:t xml:space="preserve"> compliant with ISO 4043 norms </w:t>
            </w:r>
            <w:r w:rsidR="008F38B9" w:rsidRPr="008F38B9">
              <w:rPr>
                <w:rFonts w:ascii="Arial Narrow" w:hAnsi="Arial Narrow"/>
              </w:rPr>
              <w:t xml:space="preserve">constitutes an eligibility criterion (See Terms of Reference, Section </w:t>
            </w:r>
            <w:r w:rsidR="008E2F51">
              <w:rPr>
                <w:rFonts w:ascii="Arial Narrow" w:hAnsi="Arial Narrow"/>
              </w:rPr>
              <w:t>E</w:t>
            </w:r>
            <w:r w:rsidR="008F38B9" w:rsidRPr="008F38B9">
              <w:rPr>
                <w:rFonts w:ascii="Arial Narrow" w:hAnsi="Arial Narrow"/>
              </w:rPr>
              <w:t>).</w:t>
            </w:r>
          </w:p>
          <w:p w14:paraId="46714C93" w14:textId="77777777" w:rsidR="00FB6474" w:rsidRPr="007E3CE7" w:rsidRDefault="008F38B9" w:rsidP="001C1189">
            <w:pPr>
              <w:tabs>
                <w:tab w:val="left" w:pos="1915"/>
              </w:tabs>
              <w:rPr>
                <w:rFonts w:ascii="Arial Narrow" w:hAnsi="Arial Narrow"/>
              </w:rPr>
            </w:pPr>
            <w:r w:rsidRPr="008F38B9">
              <w:rPr>
                <w:rFonts w:ascii="Arial Narrow" w:hAnsi="Arial Narrow"/>
              </w:rPr>
              <w:t>Make sure to attach</w:t>
            </w:r>
            <w:r>
              <w:rPr>
                <w:rFonts w:ascii="Arial Narrow" w:hAnsi="Arial Narrow"/>
                <w:b/>
              </w:rPr>
              <w:t xml:space="preserve"> any document proving the </w:t>
            </w:r>
            <w:r w:rsidR="001C1189">
              <w:rPr>
                <w:rFonts w:ascii="Arial Narrow" w:hAnsi="Arial Narrow"/>
                <w:b/>
              </w:rPr>
              <w:t xml:space="preserve">booths’ </w:t>
            </w:r>
            <w:r>
              <w:rPr>
                <w:rFonts w:ascii="Arial Narrow" w:hAnsi="Arial Narrow"/>
                <w:b/>
              </w:rPr>
              <w:t>compliance with ISO 4043 norms</w:t>
            </w:r>
            <w:r w:rsidR="001C1189">
              <w:rPr>
                <w:rFonts w:ascii="Arial Narrow" w:hAnsi="Arial Narrow"/>
              </w:rPr>
              <w:t>, otherwise you</w:t>
            </w:r>
            <w:r w:rsidRPr="008F38B9">
              <w:rPr>
                <w:rFonts w:ascii="Arial Narrow" w:hAnsi="Arial Narrow"/>
              </w:rPr>
              <w:t xml:space="preserve"> will be declared</w:t>
            </w:r>
            <w:r>
              <w:rPr>
                <w:rFonts w:ascii="Arial Narrow" w:hAnsi="Arial Narrow"/>
                <w:b/>
              </w:rPr>
              <w:t xml:space="preserve"> ineligible.</w:t>
            </w:r>
          </w:p>
        </w:tc>
      </w:tr>
      <w:tr w:rsidR="00AB5C15" w14:paraId="0DE6BB41" w14:textId="77777777" w:rsidTr="00F92C3E">
        <w:trPr>
          <w:trHeight w:val="1415"/>
        </w:trPr>
        <w:tc>
          <w:tcPr>
            <w:tcW w:w="212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975C56" w14:textId="4F49675D" w:rsidR="00AB5C15" w:rsidRDefault="00AB5C15" w:rsidP="00AB5C15">
            <w:pPr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8F38B9">
              <w:rPr>
                <w:rFonts w:ascii="Arial Narrow" w:eastAsiaTheme="minorHAnsi" w:hAnsi="Arial Narrow"/>
                <w:b/>
                <w:color w:val="000000"/>
              </w:rPr>
              <w:t xml:space="preserve">Capacity to comply with the defined </w:t>
            </w:r>
            <w:proofErr w:type="gramStart"/>
            <w:r w:rsidRPr="008F38B9">
              <w:rPr>
                <w:rFonts w:ascii="Arial Narrow" w:eastAsiaTheme="minorHAnsi" w:hAnsi="Arial Narrow"/>
                <w:b/>
                <w:color w:val="000000"/>
              </w:rPr>
              <w:t>brands</w:t>
            </w:r>
            <w:r>
              <w:rPr>
                <w:rFonts w:ascii="Arial Narrow" w:eastAsiaTheme="minorHAnsi" w:hAnsi="Arial Narrow"/>
                <w:b/>
                <w:color w:val="000000"/>
              </w:rPr>
              <w:t>(</w:t>
            </w:r>
            <w:proofErr w:type="gramEnd"/>
            <w:r>
              <w:rPr>
                <w:rFonts w:ascii="Arial Narrow" w:eastAsiaTheme="minorHAnsi" w:hAnsi="Arial Narrow"/>
                <w:b/>
                <w:color w:val="000000"/>
              </w:rPr>
              <w:t xml:space="preserve">see Part </w:t>
            </w:r>
            <w:r w:rsidRPr="003033EC">
              <w:rPr>
                <w:rFonts w:ascii="Arial Narrow" w:eastAsiaTheme="minorHAnsi" w:hAnsi="Arial Narrow"/>
                <w:b/>
                <w:color w:val="000000"/>
              </w:rPr>
              <w:t>I.B.2.1)</w:t>
            </w:r>
            <w:r w:rsidRPr="00F00741">
              <w:rPr>
                <w:rFonts w:ascii="Arial Narrow" w:eastAsiaTheme="minorHAnsi" w:hAnsi="Arial Narrow"/>
                <w:b/>
                <w:color w:val="000000"/>
              </w:rPr>
              <w:t xml:space="preserve">, </w:t>
            </w:r>
            <w:r w:rsidRPr="00AB5C15">
              <w:rPr>
                <w:rFonts w:ascii="Arial Narrow" w:hAnsi="Arial Narrow"/>
                <w:b/>
              </w:rPr>
              <w:t>based</w:t>
            </w:r>
            <w:r w:rsidRPr="00F00741">
              <w:rPr>
                <w:rFonts w:ascii="Arial Narrow" w:eastAsiaTheme="minorHAnsi" w:hAnsi="Arial Narrow"/>
                <w:b/>
                <w:color w:val="000000"/>
              </w:rPr>
              <w:t xml:space="preserve"> in particular on the number of </w:t>
            </w:r>
            <w:r>
              <w:rPr>
                <w:rFonts w:ascii="Arial Narrow" w:eastAsiaTheme="minorHAnsi" w:hAnsi="Arial Narrow"/>
                <w:b/>
                <w:color w:val="000000"/>
              </w:rPr>
              <w:t>available booths with ISO norms</w:t>
            </w:r>
            <w:r>
              <w:rPr>
                <w:rFonts w:ascii="Arial Narrow" w:eastAsiaTheme="minorHAnsi" w:hAnsi="Arial Narrow"/>
                <w:color w:val="000000"/>
              </w:rPr>
              <w:t xml:space="preserve"> </w:t>
            </w:r>
            <w:r w:rsidRPr="008F38B9">
              <w:rPr>
                <w:rFonts w:ascii="Times New Roman" w:hAnsi="Times New Roman" w:cs="Times New Roman"/>
                <w:b/>
              </w:rPr>
              <w:t>►</w:t>
            </w:r>
          </w:p>
          <w:p w14:paraId="69A6260A" w14:textId="77777777" w:rsidR="00AB5C15" w:rsidRDefault="00AB5C15" w:rsidP="00AB5C15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7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21A313" w14:textId="0172B2F2" w:rsidR="00AB5C15" w:rsidRDefault="00AB5C15" w:rsidP="00AB5C15">
            <w:pPr>
              <w:tabs>
                <w:tab w:val="left" w:pos="3969"/>
              </w:tabs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</w:pPr>
            <w:r w:rsidRPr="006057F7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>Indicate any relevant certification as well as any quality control process in place in order to satisfy the requir</w:t>
            </w:r>
            <w:r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>ements of this call for tenders.</w:t>
            </w:r>
          </w:p>
          <w:p w14:paraId="260E4E83" w14:textId="7479D5BC" w:rsidR="00AB5C15" w:rsidRDefault="00AB5C15" w:rsidP="00AB5C15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Make sure to </w:t>
            </w:r>
            <w:r w:rsidRPr="001C1189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attach </w:t>
            </w:r>
            <w:r w:rsidRPr="001C1189">
              <w:rPr>
                <w:rFonts w:ascii="Arial Narrow" w:hAnsi="Arial Narrow"/>
                <w:b/>
                <w:color w:val="222222"/>
                <w:sz w:val="20"/>
                <w:szCs w:val="20"/>
                <w:lang w:val="en"/>
              </w:rPr>
              <w:t>Certificates of Conformity of the Conference and Interpretation System Manufacturers</w:t>
            </w:r>
          </w:p>
        </w:tc>
      </w:tr>
      <w:tr w:rsidR="00AB5C15" w14:paraId="46714C96" w14:textId="77777777" w:rsidTr="00AC4D6B">
        <w:trPr>
          <w:trHeight w:val="111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14C95" w14:textId="77777777" w:rsidR="00AB5C15" w:rsidRPr="00AC4D6B" w:rsidRDefault="00AB5C15" w:rsidP="00AB5C1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AB5C15" w14:paraId="46714C98" w14:textId="77777777" w:rsidTr="00AC4D6B">
        <w:trPr>
          <w:trHeight w:val="555"/>
        </w:trPr>
        <w:tc>
          <w:tcPr>
            <w:tcW w:w="9889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6714C97" w14:textId="77777777" w:rsidR="00AB5C15" w:rsidRDefault="00AB5C15" w:rsidP="00AB5C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Award criteria </w:t>
            </w:r>
            <w:r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AB5C15" w:rsidRPr="00AC4D6B" w14:paraId="46714C9A" w14:textId="77777777" w:rsidTr="00AC4D6B">
        <w:trPr>
          <w:trHeight w:val="82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14C99" w14:textId="77777777" w:rsidR="00AB5C15" w:rsidRPr="00AC4D6B" w:rsidRDefault="00AB5C15" w:rsidP="00AB5C1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AB5C15" w14:paraId="46714CA5" w14:textId="77777777" w:rsidTr="00CB1226">
        <w:trPr>
          <w:trHeight w:val="1123"/>
        </w:trPr>
        <w:tc>
          <w:tcPr>
            <w:tcW w:w="9889" w:type="dxa"/>
            <w:gridSpan w:val="3"/>
            <w:tcBorders>
              <w:top w:val="single" w:sz="2" w:space="0" w:color="808080" w:themeColor="background1" w:themeShade="80"/>
              <w:bottom w:val="single" w:sz="2" w:space="0" w:color="FF000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714CA3" w14:textId="14E1F452" w:rsidR="00AB5C15" w:rsidRDefault="00AB5C15" w:rsidP="00AB5C15">
            <w:pPr>
              <w:rPr>
                <w:rFonts w:ascii="Arial Narrow" w:hAnsi="Arial Narrow"/>
                <w:sz w:val="20"/>
                <w:szCs w:val="20"/>
              </w:rPr>
            </w:pPr>
            <w:r w:rsidRPr="00482BB4">
              <w:rPr>
                <w:rFonts w:ascii="Arial Narrow" w:eastAsiaTheme="minorHAnsi" w:hAnsi="Arial Narrow"/>
                <w:b/>
              </w:rPr>
              <w:t xml:space="preserve">Qualifications and experience of the qualified technicians, demonstrating their capacity to comply with the requirements described in the Terms </w:t>
            </w:r>
            <w:r>
              <w:rPr>
                <w:rFonts w:ascii="Arial Narrow" w:eastAsiaTheme="minorHAnsi" w:hAnsi="Arial Narrow"/>
                <w:b/>
              </w:rPr>
              <w:t xml:space="preserve">of Reference (Part II.B.2.7) </w:t>
            </w:r>
            <w:r w:rsidRPr="008F38B9">
              <w:rPr>
                <w:rFonts w:ascii="Times New Roman" w:eastAsiaTheme="minorHAnsi" w:hAnsi="Times New Roman" w:cs="Times New Roman"/>
                <w:color w:val="FF0000"/>
              </w:rPr>
              <w:t>▼</w:t>
            </w:r>
          </w:p>
          <w:p w14:paraId="46714CA4" w14:textId="77777777" w:rsidR="00AB5C15" w:rsidRPr="00EA5625" w:rsidRDefault="00AB5C15" w:rsidP="00AB5C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CB1226">
              <w:rPr>
                <w:rFonts w:ascii="Arial Narrow" w:hAnsi="Arial Narrow"/>
                <w:sz w:val="20"/>
                <w:szCs w:val="20"/>
              </w:rPr>
              <w:t>ndicate below the list of qualified technicians per profile (see profiles in the Act of Engagement, Section A. Table of fees)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1189">
              <w:rPr>
                <w:rFonts w:ascii="Arial Narrow" w:hAnsi="Arial Narrow"/>
                <w:sz w:val="20"/>
                <w:szCs w:val="20"/>
              </w:rPr>
              <w:t>Make sure to attach</w:t>
            </w:r>
            <w:r w:rsidRPr="001C1189">
              <w:rPr>
                <w:rFonts w:ascii="Arial Narrow" w:hAnsi="Arial Narrow"/>
                <w:b/>
                <w:sz w:val="20"/>
                <w:szCs w:val="20"/>
              </w:rPr>
              <w:t xml:space="preserve"> detailed CVs of all qualified technicians</w:t>
            </w:r>
          </w:p>
        </w:tc>
      </w:tr>
      <w:tr w:rsidR="00AB5C15" w:rsidRPr="00CB1226" w14:paraId="46714CA7" w14:textId="77777777" w:rsidTr="00CB1226">
        <w:trPr>
          <w:trHeight w:val="583"/>
        </w:trPr>
        <w:tc>
          <w:tcPr>
            <w:tcW w:w="9889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46714CA6" w14:textId="77777777" w:rsidR="00AB5C15" w:rsidRPr="00CB1226" w:rsidRDefault="00AB5C15" w:rsidP="00AB5C15">
            <w:pPr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AB5C15" w:rsidRPr="00EA5625" w14:paraId="46714CA9" w14:textId="77777777" w:rsidTr="00CB1226">
        <w:trPr>
          <w:trHeight w:val="82"/>
        </w:trPr>
        <w:tc>
          <w:tcPr>
            <w:tcW w:w="9889" w:type="dxa"/>
            <w:gridSpan w:val="3"/>
            <w:tcBorders>
              <w:top w:val="single" w:sz="2" w:space="0" w:color="FF000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6714CA8" w14:textId="77777777" w:rsidR="00AB5C15" w:rsidRPr="00EA5625" w:rsidRDefault="00AB5C15" w:rsidP="00AB5C15">
            <w:pPr>
              <w:rPr>
                <w:rFonts w:ascii="Arial Narrow" w:eastAsiaTheme="minorHAnsi" w:hAnsi="Arial Narrow"/>
                <w:b/>
                <w:sz w:val="10"/>
                <w:szCs w:val="10"/>
              </w:rPr>
            </w:pPr>
          </w:p>
        </w:tc>
      </w:tr>
      <w:tr w:rsidR="00AB5C15" w14:paraId="46714CAD" w14:textId="77777777" w:rsidTr="00AD5C2B">
        <w:trPr>
          <w:trHeight w:val="1172"/>
        </w:trPr>
        <w:tc>
          <w:tcPr>
            <w:tcW w:w="9889" w:type="dxa"/>
            <w:gridSpan w:val="3"/>
            <w:tcBorders>
              <w:top w:val="single" w:sz="2" w:space="0" w:color="808080" w:themeColor="background1" w:themeShade="80"/>
              <w:bottom w:val="single" w:sz="2" w:space="0" w:color="FF000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714CAA" w14:textId="77777777" w:rsidR="00AB5C15" w:rsidRPr="00EA5625" w:rsidRDefault="00AB5C15" w:rsidP="00AB5C15">
            <w:pPr>
              <w:jc w:val="both"/>
              <w:rPr>
                <w:rFonts w:ascii="Times New Roman" w:eastAsiaTheme="minorHAnsi" w:hAnsi="Times New Roman" w:cs="Times New Roman"/>
                <w:color w:val="FF0000"/>
              </w:rPr>
            </w:pPr>
            <w:r w:rsidRPr="00EA5625">
              <w:rPr>
                <w:rFonts w:ascii="Arial Narrow" w:eastAsiaTheme="minorHAnsi" w:hAnsi="Arial Narrow"/>
                <w:b/>
              </w:rPr>
              <w:t xml:space="preserve">Experience of the </w:t>
            </w:r>
            <w:r w:rsidRPr="00EA5625">
              <w:rPr>
                <w:rFonts w:ascii="Arial Narrow" w:eastAsiaTheme="minorHAnsi" w:hAnsi="Arial Narrow"/>
                <w:b/>
                <w:u w:val="single"/>
              </w:rPr>
              <w:t>tenderer</w:t>
            </w:r>
            <w:r w:rsidRPr="00EA5625">
              <w:rPr>
                <w:rFonts w:ascii="Arial Narrow" w:eastAsiaTheme="minorHAnsi" w:hAnsi="Arial Narrow"/>
                <w:b/>
              </w:rPr>
              <w:t xml:space="preserve"> (not its staff), in particular in providing similar equipment to an international organisation, an institution or a public service </w:t>
            </w:r>
            <w:r w:rsidRPr="00EA5625">
              <w:rPr>
                <w:rFonts w:ascii="Times New Roman" w:eastAsiaTheme="minorHAnsi" w:hAnsi="Times New Roman" w:cs="Times New Roman"/>
                <w:color w:val="FF0000"/>
              </w:rPr>
              <w:t>▼</w:t>
            </w:r>
          </w:p>
          <w:p w14:paraId="46714CAB" w14:textId="77777777" w:rsidR="00AB5C15" w:rsidRDefault="00AB5C15" w:rsidP="00AB5C15">
            <w:pPr>
              <w:jc w:val="both"/>
              <w:rPr>
                <w:rFonts w:ascii="Arial Narrow" w:eastAsiaTheme="minorHAnsi" w:hAnsi="Arial Narrow" w:cs="Times New Roman"/>
                <w:sz w:val="20"/>
                <w:szCs w:val="20"/>
              </w:rPr>
            </w:pPr>
            <w:r w:rsidRPr="00EA5625">
              <w:rPr>
                <w:rFonts w:ascii="Arial Narrow" w:eastAsiaTheme="minorHAnsi" w:hAnsi="Arial Narrow" w:cs="Times New Roman"/>
                <w:sz w:val="20"/>
                <w:szCs w:val="20"/>
              </w:rPr>
              <w:t>Indicate below any relevant experience, preferably w</w:t>
            </w:r>
            <w:r>
              <w:rPr>
                <w:rFonts w:ascii="Arial Narrow" w:eastAsiaTheme="minorHAnsi" w:hAnsi="Arial Narrow" w:cs="Times New Roman"/>
                <w:sz w:val="20"/>
                <w:szCs w:val="20"/>
              </w:rPr>
              <w:t>ithin the last 3 (three) years.</w:t>
            </w:r>
          </w:p>
          <w:p w14:paraId="46714CAC" w14:textId="77777777" w:rsidR="00AB5C15" w:rsidRPr="001C1189" w:rsidRDefault="00AB5C15" w:rsidP="00AB5C15">
            <w:pPr>
              <w:jc w:val="both"/>
              <w:rPr>
                <w:rFonts w:ascii="Arial Narrow" w:eastAsiaTheme="minorHAnsi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="Times New Roman"/>
                <w:sz w:val="20"/>
                <w:szCs w:val="20"/>
              </w:rPr>
              <w:t>Make sure to a</w:t>
            </w:r>
            <w:r w:rsidRPr="00EA5625">
              <w:rPr>
                <w:rFonts w:ascii="Arial Narrow" w:eastAsiaTheme="minorHAnsi" w:hAnsi="Arial Narrow" w:cs="Times New Roman"/>
                <w:sz w:val="20"/>
                <w:szCs w:val="20"/>
              </w:rPr>
              <w:t>ttach reference letters demonstrating this experience.</w:t>
            </w:r>
          </w:p>
        </w:tc>
      </w:tr>
      <w:tr w:rsidR="00AB5C15" w:rsidRPr="00CB1226" w14:paraId="46714CAF" w14:textId="77777777" w:rsidTr="00CB1226">
        <w:trPr>
          <w:trHeight w:val="734"/>
        </w:trPr>
        <w:tc>
          <w:tcPr>
            <w:tcW w:w="9889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6714CAE" w14:textId="77777777" w:rsidR="00AB5C15" w:rsidRPr="00CB1226" w:rsidRDefault="00AB5C15" w:rsidP="00AB5C15">
            <w:pPr>
              <w:rPr>
                <w:rFonts w:ascii="Arial Narrow" w:eastAsiaTheme="minorHAnsi" w:hAnsi="Arial Narrow"/>
              </w:rPr>
            </w:pPr>
          </w:p>
        </w:tc>
      </w:tr>
      <w:tr w:rsidR="00AB5C15" w14:paraId="46714CB1" w14:textId="77777777" w:rsidTr="00AD5C2B">
        <w:trPr>
          <w:trHeight w:val="82"/>
        </w:trPr>
        <w:tc>
          <w:tcPr>
            <w:tcW w:w="9889" w:type="dxa"/>
            <w:gridSpan w:val="3"/>
            <w:tcBorders>
              <w:top w:val="single" w:sz="2" w:space="0" w:color="FF000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46714CB0" w14:textId="77777777" w:rsidR="00AB5C15" w:rsidRPr="00EA5625" w:rsidRDefault="00AB5C15" w:rsidP="00AB5C15">
            <w:pPr>
              <w:rPr>
                <w:rFonts w:ascii="Arial Narrow" w:eastAsiaTheme="minorHAnsi" w:hAnsi="Arial Narrow"/>
                <w:b/>
                <w:sz w:val="10"/>
                <w:szCs w:val="10"/>
              </w:rPr>
            </w:pPr>
          </w:p>
        </w:tc>
      </w:tr>
      <w:tr w:rsidR="00AB5C15" w14:paraId="46714CB4" w14:textId="77777777" w:rsidTr="00EA5625">
        <w:trPr>
          <w:trHeight w:val="955"/>
        </w:trPr>
        <w:tc>
          <w:tcPr>
            <w:tcW w:w="9889" w:type="dxa"/>
            <w:gridSpan w:val="3"/>
            <w:tcBorders>
              <w:top w:val="single" w:sz="2" w:space="0" w:color="808080" w:themeColor="background1" w:themeShade="80"/>
              <w:bottom w:val="single" w:sz="2" w:space="0" w:color="FF000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714CB2" w14:textId="77777777" w:rsidR="00AB5C15" w:rsidRDefault="00AB5C15" w:rsidP="00AB5C15">
            <w:pPr>
              <w:rPr>
                <w:rFonts w:ascii="Times New Roman" w:eastAsiaTheme="minorHAnsi" w:hAnsi="Times New Roman" w:cs="Times New Roman"/>
              </w:rPr>
            </w:pPr>
            <w:r w:rsidRPr="008F38B9">
              <w:rPr>
                <w:rFonts w:ascii="Arial Narrow" w:eastAsiaTheme="minorHAnsi" w:hAnsi="Arial Narrow"/>
                <w:b/>
              </w:rPr>
              <w:t>Capacity to cover several meetings at the same time</w:t>
            </w:r>
            <w:r>
              <w:rPr>
                <w:rFonts w:ascii="Arial Narrow" w:eastAsiaTheme="minorHAnsi" w:hAnsi="Arial Narrow"/>
                <w:b/>
              </w:rPr>
              <w:t xml:space="preserve">, </w:t>
            </w:r>
            <w:r w:rsidRPr="00482BB4">
              <w:rPr>
                <w:rFonts w:ascii="Arial Narrow" w:eastAsiaTheme="minorHAnsi" w:hAnsi="Arial Narrow"/>
                <w:b/>
              </w:rPr>
              <w:t>based in particular on the number of available booths with ISO norms</w:t>
            </w:r>
            <w:r>
              <w:rPr>
                <w:rFonts w:ascii="Arial Narrow" w:eastAsiaTheme="minorHAnsi" w:hAnsi="Arial Narrow"/>
              </w:rPr>
              <w:t xml:space="preserve"> </w:t>
            </w:r>
            <w:r w:rsidRPr="006057F7">
              <w:rPr>
                <w:rFonts w:ascii="Times New Roman" w:eastAsiaTheme="minorHAnsi" w:hAnsi="Times New Roman" w:cs="Times New Roman"/>
                <w:color w:val="FF0000"/>
              </w:rPr>
              <w:t>▼</w:t>
            </w:r>
          </w:p>
          <w:p w14:paraId="46714CB3" w14:textId="77777777" w:rsidR="00AB5C15" w:rsidRPr="006057F7" w:rsidRDefault="00AB5C15" w:rsidP="00AB5C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57F7">
              <w:rPr>
                <w:rFonts w:ascii="Arial Narrow" w:eastAsiaTheme="minorHAnsi" w:hAnsi="Arial Narrow" w:cs="Times New Roman"/>
                <w:sz w:val="20"/>
                <w:szCs w:val="20"/>
              </w:rPr>
              <w:t xml:space="preserve">Indicate below the list </w:t>
            </w:r>
            <w:r>
              <w:rPr>
                <w:rFonts w:ascii="Arial Narrow" w:eastAsiaTheme="minorHAnsi" w:hAnsi="Arial Narrow" w:cs="Times New Roman"/>
                <w:sz w:val="20"/>
                <w:szCs w:val="20"/>
              </w:rPr>
              <w:t xml:space="preserve">and </w:t>
            </w:r>
            <w:r w:rsidRPr="006057F7">
              <w:rPr>
                <w:rFonts w:ascii="Arial Narrow" w:eastAsiaTheme="minorHAnsi" w:hAnsi="Arial Narrow" w:cs="Times New Roman"/>
                <w:sz w:val="20"/>
                <w:szCs w:val="20"/>
              </w:rPr>
              <w:t xml:space="preserve">quantity </w:t>
            </w:r>
            <w:r w:rsidRPr="001C1189">
              <w:rPr>
                <w:rFonts w:ascii="Arial Narrow" w:eastAsiaTheme="minorHAnsi" w:hAnsi="Arial Narrow" w:cs="Times New Roman"/>
                <w:sz w:val="20"/>
                <w:szCs w:val="20"/>
              </w:rPr>
              <w:t>of each item listed</w:t>
            </w:r>
            <w:r>
              <w:rPr>
                <w:rFonts w:ascii="Arial Narrow" w:eastAsiaTheme="minorHAnsi" w:hAnsi="Arial Narrow" w:cs="Times New Roman"/>
                <w:sz w:val="20"/>
                <w:szCs w:val="20"/>
              </w:rPr>
              <w:t xml:space="preserve"> in the Table of Fees that you possess.</w:t>
            </w:r>
          </w:p>
        </w:tc>
      </w:tr>
      <w:tr w:rsidR="00AB5C15" w:rsidRPr="00CB1226" w14:paraId="46714CB6" w14:textId="77777777" w:rsidTr="00CB1226">
        <w:trPr>
          <w:trHeight w:val="678"/>
        </w:trPr>
        <w:tc>
          <w:tcPr>
            <w:tcW w:w="9889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6714CB5" w14:textId="77777777" w:rsidR="00AB5C15" w:rsidRPr="00CB1226" w:rsidRDefault="00AB5C15" w:rsidP="00AB5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714CB7" w14:textId="77777777" w:rsidR="00422312" w:rsidRDefault="00422312" w:rsidP="006057F7">
      <w:pPr>
        <w:rPr>
          <w:rFonts w:ascii="Arial Narrow" w:hAnsi="Arial Narrow"/>
          <w:b/>
        </w:rPr>
      </w:pPr>
    </w:p>
    <w:p w14:paraId="46714CB8" w14:textId="079496F8" w:rsidR="006057F7" w:rsidRPr="00422312" w:rsidRDefault="006057F7" w:rsidP="006057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Financial offers must be indicated in the Act of Engagement (See Section A</w:t>
      </w:r>
      <w:r w:rsidR="001C1189">
        <w:rPr>
          <w:rFonts w:ascii="Arial Narrow" w:hAnsi="Arial Narrow"/>
          <w:b/>
        </w:rPr>
        <w:t>. Table of fees</w:t>
      </w:r>
      <w:r>
        <w:rPr>
          <w:rFonts w:ascii="Arial Narrow" w:hAnsi="Arial Narrow"/>
          <w:b/>
        </w:rPr>
        <w:t xml:space="preserve">). </w:t>
      </w:r>
      <w:r w:rsidR="00AB5C15">
        <w:rPr>
          <w:rFonts w:ascii="Arial Narrow" w:hAnsi="Arial Narrow"/>
          <w:b/>
        </w:rPr>
        <w:t>One copy</w:t>
      </w:r>
      <w:r>
        <w:rPr>
          <w:rFonts w:ascii="Arial Narrow" w:hAnsi="Arial Narrow"/>
          <w:b/>
        </w:rPr>
        <w:t xml:space="preserve"> of the Act of Engagement must be completed and signed by the Tenderer and attach to its tender.</w:t>
      </w:r>
    </w:p>
    <w:sectPr w:rsidR="006057F7" w:rsidRPr="00422312" w:rsidSect="001C1189">
      <w:pgSz w:w="11907" w:h="16840" w:code="9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2609F"/>
    <w:multiLevelType w:val="multilevel"/>
    <w:tmpl w:val="0409001D"/>
    <w:styleLink w:val="Templat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B408AA"/>
    <w:multiLevelType w:val="hybridMultilevel"/>
    <w:tmpl w:val="17349EB4"/>
    <w:lvl w:ilvl="0" w:tplc="BEE2955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D0EECF8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312"/>
    <w:rsid w:val="00011C09"/>
    <w:rsid w:val="000125E5"/>
    <w:rsid w:val="00024F90"/>
    <w:rsid w:val="00072FB8"/>
    <w:rsid w:val="000852FE"/>
    <w:rsid w:val="000E59DC"/>
    <w:rsid w:val="000F18A2"/>
    <w:rsid w:val="0011556A"/>
    <w:rsid w:val="00127AB4"/>
    <w:rsid w:val="00183E4D"/>
    <w:rsid w:val="001B0127"/>
    <w:rsid w:val="001C1189"/>
    <w:rsid w:val="001C67D3"/>
    <w:rsid w:val="001C6878"/>
    <w:rsid w:val="001D40AD"/>
    <w:rsid w:val="00206932"/>
    <w:rsid w:val="00213906"/>
    <w:rsid w:val="00225014"/>
    <w:rsid w:val="00230C78"/>
    <w:rsid w:val="002B4786"/>
    <w:rsid w:val="002C069F"/>
    <w:rsid w:val="002D3BED"/>
    <w:rsid w:val="003033EC"/>
    <w:rsid w:val="00320711"/>
    <w:rsid w:val="00332AF4"/>
    <w:rsid w:val="003712F2"/>
    <w:rsid w:val="003B2E7E"/>
    <w:rsid w:val="003F09FC"/>
    <w:rsid w:val="003F7D5B"/>
    <w:rsid w:val="00420E9A"/>
    <w:rsid w:val="0042183F"/>
    <w:rsid w:val="00422312"/>
    <w:rsid w:val="00430C5F"/>
    <w:rsid w:val="00482BB4"/>
    <w:rsid w:val="00485FA2"/>
    <w:rsid w:val="00490018"/>
    <w:rsid w:val="004B0F2D"/>
    <w:rsid w:val="004C5365"/>
    <w:rsid w:val="004E796F"/>
    <w:rsid w:val="004E7A45"/>
    <w:rsid w:val="004F71A4"/>
    <w:rsid w:val="005036F7"/>
    <w:rsid w:val="00514C93"/>
    <w:rsid w:val="005410CC"/>
    <w:rsid w:val="00567F3E"/>
    <w:rsid w:val="00577366"/>
    <w:rsid w:val="005845C2"/>
    <w:rsid w:val="006057F7"/>
    <w:rsid w:val="0063210A"/>
    <w:rsid w:val="00647C28"/>
    <w:rsid w:val="006558F9"/>
    <w:rsid w:val="00680325"/>
    <w:rsid w:val="006A1FD4"/>
    <w:rsid w:val="007053B6"/>
    <w:rsid w:val="00746521"/>
    <w:rsid w:val="007510A8"/>
    <w:rsid w:val="0078664E"/>
    <w:rsid w:val="007867C0"/>
    <w:rsid w:val="00791E04"/>
    <w:rsid w:val="00792BEB"/>
    <w:rsid w:val="007C127F"/>
    <w:rsid w:val="007E3CE7"/>
    <w:rsid w:val="00840C1E"/>
    <w:rsid w:val="00883C2D"/>
    <w:rsid w:val="00886F79"/>
    <w:rsid w:val="008B6FDD"/>
    <w:rsid w:val="008C1AE2"/>
    <w:rsid w:val="008C2995"/>
    <w:rsid w:val="008C52A2"/>
    <w:rsid w:val="008C59D4"/>
    <w:rsid w:val="008D3220"/>
    <w:rsid w:val="008E2F51"/>
    <w:rsid w:val="008F38B9"/>
    <w:rsid w:val="009051F6"/>
    <w:rsid w:val="0093038A"/>
    <w:rsid w:val="00952D18"/>
    <w:rsid w:val="0095483F"/>
    <w:rsid w:val="00954E00"/>
    <w:rsid w:val="00972539"/>
    <w:rsid w:val="00990987"/>
    <w:rsid w:val="009E4346"/>
    <w:rsid w:val="00A1676A"/>
    <w:rsid w:val="00A30564"/>
    <w:rsid w:val="00A5576E"/>
    <w:rsid w:val="00A616BB"/>
    <w:rsid w:val="00A675CC"/>
    <w:rsid w:val="00A8461F"/>
    <w:rsid w:val="00A85379"/>
    <w:rsid w:val="00AB5C15"/>
    <w:rsid w:val="00AC2407"/>
    <w:rsid w:val="00AC4D6B"/>
    <w:rsid w:val="00AD423A"/>
    <w:rsid w:val="00AD5C2B"/>
    <w:rsid w:val="00B01656"/>
    <w:rsid w:val="00B14D5F"/>
    <w:rsid w:val="00B50BC6"/>
    <w:rsid w:val="00BA535D"/>
    <w:rsid w:val="00BC5848"/>
    <w:rsid w:val="00BD7517"/>
    <w:rsid w:val="00BE33D8"/>
    <w:rsid w:val="00C04B54"/>
    <w:rsid w:val="00C14691"/>
    <w:rsid w:val="00C376C7"/>
    <w:rsid w:val="00C43D5A"/>
    <w:rsid w:val="00CA4416"/>
    <w:rsid w:val="00CB1226"/>
    <w:rsid w:val="00CD02D8"/>
    <w:rsid w:val="00D16C4F"/>
    <w:rsid w:val="00D22443"/>
    <w:rsid w:val="00D322CA"/>
    <w:rsid w:val="00D34C9B"/>
    <w:rsid w:val="00D417C2"/>
    <w:rsid w:val="00D47F70"/>
    <w:rsid w:val="00D5513E"/>
    <w:rsid w:val="00D97176"/>
    <w:rsid w:val="00DD2483"/>
    <w:rsid w:val="00DE0239"/>
    <w:rsid w:val="00DF10F4"/>
    <w:rsid w:val="00E00310"/>
    <w:rsid w:val="00E04779"/>
    <w:rsid w:val="00E160F4"/>
    <w:rsid w:val="00E609C3"/>
    <w:rsid w:val="00E9372F"/>
    <w:rsid w:val="00EA5625"/>
    <w:rsid w:val="00EB550D"/>
    <w:rsid w:val="00ED0FF7"/>
    <w:rsid w:val="00EE7240"/>
    <w:rsid w:val="00F00741"/>
    <w:rsid w:val="00F130D7"/>
    <w:rsid w:val="00F21315"/>
    <w:rsid w:val="00F2477E"/>
    <w:rsid w:val="00F56682"/>
    <w:rsid w:val="00F92C3E"/>
    <w:rsid w:val="00FA7021"/>
    <w:rsid w:val="00FB6474"/>
    <w:rsid w:val="00FB6CAE"/>
    <w:rsid w:val="00FD2CE4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4C7A"/>
  <w15:docId w15:val="{6B161BB1-C39E-4624-B226-7E50CD4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F9"/>
    <w:rPr>
      <w:rFonts w:ascii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</w:style>
  <w:style w:type="character" w:customStyle="1" w:styleId="Style12">
    <w:name w:val="Style12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ED0FF7"/>
    <w:rPr>
      <w:rFonts w:ascii="Arial Narrow" w:hAnsi="Arial Narrow"/>
      <w:i w:val="0"/>
      <w:color w:val="000000" w:themeColor="text1"/>
      <w:sz w:val="22"/>
    </w:rPr>
  </w:style>
  <w:style w:type="character" w:customStyle="1" w:styleId="Style7">
    <w:name w:val="Style7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22">
    <w:name w:val="Style22"/>
    <w:basedOn w:val="DefaultParagraphFont"/>
    <w:uiPriority w:val="1"/>
    <w:rsid w:val="004E796F"/>
    <w:rPr>
      <w:rFonts w:ascii="Times New Roman" w:hAnsi="Times New Roman"/>
      <w:color w:val="000000" w:themeColor="text1"/>
      <w:sz w:val="22"/>
    </w:rPr>
  </w:style>
  <w:style w:type="character" w:customStyle="1" w:styleId="Style23">
    <w:name w:val="Style23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24">
    <w:name w:val="Style24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25">
    <w:name w:val="Style25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6">
    <w:name w:val="Style26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7">
    <w:name w:val="Style27"/>
    <w:basedOn w:val="DefaultParagraphFont"/>
    <w:uiPriority w:val="1"/>
    <w:rsid w:val="005410CC"/>
    <w:rPr>
      <w:rFonts w:ascii="Times New Roman" w:hAnsi="Times New Roman"/>
      <w:color w:val="000000" w:themeColor="text1"/>
      <w:sz w:val="18"/>
    </w:rPr>
  </w:style>
  <w:style w:type="character" w:customStyle="1" w:styleId="Style28">
    <w:name w:val="Style28"/>
    <w:basedOn w:val="DefaultParagraphFont"/>
    <w:uiPriority w:val="1"/>
    <w:rsid w:val="00024F90"/>
    <w:rPr>
      <w:rFonts w:ascii="Times New Roman" w:hAnsi="Times New Roman"/>
      <w:b/>
      <w:color w:val="000000" w:themeColor="text1"/>
      <w:sz w:val="22"/>
    </w:rPr>
  </w:style>
  <w:style w:type="character" w:customStyle="1" w:styleId="Style29">
    <w:name w:val="Style29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0">
    <w:name w:val="Style30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1">
    <w:name w:val="Style31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3">
    <w:name w:val="Style33"/>
    <w:basedOn w:val="DefaultParagraphFont"/>
    <w:uiPriority w:val="1"/>
    <w:rsid w:val="00DD2483"/>
    <w:rPr>
      <w:rFonts w:ascii="Arial Narrow" w:hAnsi="Arial Narrow"/>
      <w:color w:val="0D0D0D" w:themeColor="text1" w:themeTint="F2"/>
      <w:sz w:val="20"/>
    </w:rPr>
  </w:style>
  <w:style w:type="character" w:customStyle="1" w:styleId="Style35">
    <w:name w:val="Style35"/>
    <w:basedOn w:val="DefaultParagraphFont"/>
    <w:uiPriority w:val="1"/>
    <w:rsid w:val="00DD2483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37">
    <w:name w:val="Style37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38">
    <w:name w:val="Style38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1">
    <w:name w:val="Style1"/>
    <w:basedOn w:val="DefaultParagraphFont"/>
    <w:rsid w:val="008C59D4"/>
    <w:rPr>
      <w:rFonts w:ascii="Garamond" w:hAnsi="Garamond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ED0FF7"/>
    <w:rPr>
      <w:rFonts w:ascii="Arial Narrow" w:hAnsi="Arial Narrow"/>
      <w:sz w:val="22"/>
    </w:rPr>
  </w:style>
  <w:style w:type="character" w:customStyle="1" w:styleId="Style2">
    <w:name w:val="Style2"/>
    <w:basedOn w:val="DefaultParagraphFont"/>
    <w:uiPriority w:val="1"/>
    <w:rsid w:val="007510A8"/>
    <w:rPr>
      <w:rFonts w:ascii="Arial Narrow" w:hAnsi="Arial Narrow"/>
      <w:sz w:val="22"/>
    </w:rPr>
  </w:style>
  <w:style w:type="character" w:customStyle="1" w:styleId="Style3">
    <w:name w:val="Style3"/>
    <w:basedOn w:val="DefaultParagraphFont"/>
    <w:uiPriority w:val="1"/>
    <w:rsid w:val="007510A8"/>
    <w:rPr>
      <w:rFonts w:ascii="Arial Narrow" w:hAnsi="Arial Narrow"/>
      <w:sz w:val="22"/>
    </w:rPr>
  </w:style>
  <w:style w:type="character" w:customStyle="1" w:styleId="Style6">
    <w:name w:val="Style6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18">
    <w:name w:val="Style18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9">
    <w:name w:val="Style19"/>
    <w:basedOn w:val="DefaultParagraphFont"/>
    <w:uiPriority w:val="1"/>
    <w:rsid w:val="00A30564"/>
    <w:rPr>
      <w:rFonts w:ascii="Arial Narrow" w:hAnsi="Arial Narrow"/>
      <w:b/>
      <w:color w:val="000000" w:themeColor="text1"/>
      <w:sz w:val="20"/>
    </w:rPr>
  </w:style>
  <w:style w:type="character" w:customStyle="1" w:styleId="Style8">
    <w:name w:val="Style8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9">
    <w:name w:val="Style9"/>
    <w:basedOn w:val="DefaultParagraphFont"/>
    <w:uiPriority w:val="1"/>
    <w:rsid w:val="00206932"/>
    <w:rPr>
      <w:rFonts w:ascii="Arial Narrow" w:hAnsi="Arial Narrow"/>
      <w:sz w:val="28"/>
    </w:rPr>
  </w:style>
  <w:style w:type="character" w:customStyle="1" w:styleId="Style10">
    <w:name w:val="Style10"/>
    <w:basedOn w:val="DefaultParagraphFont"/>
    <w:uiPriority w:val="1"/>
    <w:rsid w:val="00225014"/>
    <w:rPr>
      <w:rFonts w:ascii="Garamond" w:hAnsi="Garamond"/>
      <w:color w:val="000000" w:themeColor="text1"/>
      <w:sz w:val="18"/>
    </w:rPr>
  </w:style>
  <w:style w:type="character" w:customStyle="1" w:styleId="Style11">
    <w:name w:val="Style11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20">
    <w:name w:val="Style20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1">
    <w:name w:val="Style21"/>
    <w:basedOn w:val="DefaultParagraphFont"/>
    <w:uiPriority w:val="1"/>
    <w:rsid w:val="005410CC"/>
    <w:rPr>
      <w:rFonts w:ascii="Times New Roman Bold" w:hAnsi="Times New Roman Bold"/>
      <w:b/>
      <w:caps/>
      <w:smallCaps w:val="0"/>
      <w:color w:val="000000" w:themeColor="text1"/>
      <w:sz w:val="22"/>
    </w:rPr>
  </w:style>
  <w:style w:type="character" w:customStyle="1" w:styleId="Style53">
    <w:name w:val="Style53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54">
    <w:name w:val="Style54"/>
    <w:basedOn w:val="DefaultParagraphFont"/>
    <w:uiPriority w:val="1"/>
    <w:rsid w:val="005410CC"/>
    <w:rPr>
      <w:rFonts w:ascii="Times New Roman" w:hAnsi="Times New Roman"/>
      <w:caps/>
      <w:smallCaps w:val="0"/>
      <w:color w:val="000000" w:themeColor="text1"/>
      <w:sz w:val="22"/>
    </w:rPr>
  </w:style>
  <w:style w:type="character" w:customStyle="1" w:styleId="Style13">
    <w:name w:val="Style13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55">
    <w:name w:val="Style55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6">
    <w:name w:val="Style56"/>
    <w:basedOn w:val="DefaultParagraphFont"/>
    <w:uiPriority w:val="1"/>
    <w:rsid w:val="00A616BB"/>
    <w:rPr>
      <w:rFonts w:ascii="Times New Roman" w:hAnsi="Times New Roman"/>
      <w:color w:val="000000" w:themeColor="text1"/>
      <w:sz w:val="22"/>
    </w:rPr>
  </w:style>
  <w:style w:type="character" w:customStyle="1" w:styleId="Style57">
    <w:name w:val="Style57"/>
    <w:basedOn w:val="DefaultParagraphFont"/>
    <w:uiPriority w:val="1"/>
    <w:rsid w:val="000852FE"/>
    <w:rPr>
      <w:rFonts w:ascii="Times New Roman" w:hAnsi="Times New Roman"/>
      <w:color w:val="808080" w:themeColor="background1" w:themeShade="80"/>
      <w:sz w:val="18"/>
    </w:rPr>
  </w:style>
  <w:style w:type="character" w:customStyle="1" w:styleId="Style15">
    <w:name w:val="Style15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4">
    <w:name w:val="Style14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6">
    <w:name w:val="Style16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7">
    <w:name w:val="Style17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34">
    <w:name w:val="Style34"/>
    <w:uiPriority w:val="1"/>
    <w:rsid w:val="00DD2483"/>
    <w:rPr>
      <w:rFonts w:ascii="Arial Narrow" w:hAnsi="Arial Narrow"/>
      <w:b w:val="0"/>
      <w:color w:val="0D0D0D" w:themeColor="text1" w:themeTint="F2"/>
      <w:sz w:val="20"/>
    </w:rPr>
  </w:style>
  <w:style w:type="character" w:customStyle="1" w:styleId="Style39">
    <w:name w:val="Style39"/>
    <w:basedOn w:val="DefaultParagraphFont"/>
    <w:uiPriority w:val="1"/>
    <w:rsid w:val="00D22443"/>
    <w:rPr>
      <w:rFonts w:ascii="Arial Narrow" w:hAnsi="Arial Narrow"/>
      <w:color w:val="000000" w:themeColor="text1"/>
      <w:sz w:val="20"/>
    </w:rPr>
  </w:style>
  <w:style w:type="character" w:customStyle="1" w:styleId="Style40">
    <w:name w:val="Style40"/>
    <w:basedOn w:val="DefaultParagraphFont"/>
    <w:uiPriority w:val="1"/>
    <w:rsid w:val="00792BEB"/>
    <w:rPr>
      <w:rFonts w:ascii="Arial Narrow" w:hAnsi="Arial Narrow"/>
      <w:color w:val="000000" w:themeColor="text1"/>
      <w:sz w:val="20"/>
    </w:rPr>
  </w:style>
  <w:style w:type="character" w:customStyle="1" w:styleId="Style41">
    <w:name w:val="Style41"/>
    <w:basedOn w:val="DefaultParagraphFont"/>
    <w:uiPriority w:val="1"/>
    <w:rsid w:val="00332AF4"/>
    <w:rPr>
      <w:rFonts w:ascii="Times New Roman" w:hAnsi="Times New Roman"/>
      <w:color w:val="000000" w:themeColor="text1"/>
      <w:sz w:val="22"/>
    </w:rPr>
  </w:style>
  <w:style w:type="character" w:customStyle="1" w:styleId="Style42">
    <w:name w:val="Style42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3">
    <w:name w:val="Style43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4">
    <w:name w:val="Style44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5">
    <w:name w:val="Style45"/>
    <w:basedOn w:val="DefaultParagraphFont"/>
    <w:uiPriority w:val="1"/>
    <w:rsid w:val="005410CC"/>
    <w:rPr>
      <w:rFonts w:ascii="Times New Roman" w:hAnsi="Times New Roman"/>
      <w:b/>
      <w:color w:val="000000" w:themeColor="text1"/>
      <w:sz w:val="20"/>
    </w:rPr>
  </w:style>
  <w:style w:type="character" w:customStyle="1" w:styleId="Style46">
    <w:name w:val="Style46"/>
    <w:basedOn w:val="DefaultParagraphFont"/>
    <w:uiPriority w:val="1"/>
    <w:rsid w:val="005410CC"/>
    <w:rPr>
      <w:rFonts w:ascii="Times New Roman" w:hAnsi="Times New Roman"/>
      <w:color w:val="auto"/>
      <w:sz w:val="20"/>
    </w:rPr>
  </w:style>
  <w:style w:type="character" w:customStyle="1" w:styleId="Style47">
    <w:name w:val="Style47"/>
    <w:basedOn w:val="DefaultParagraphFont"/>
    <w:uiPriority w:val="1"/>
    <w:rsid w:val="005410CC"/>
    <w:rPr>
      <w:rFonts w:ascii="Times New Roman" w:hAnsi="Times New Roman"/>
      <w:color w:val="auto"/>
      <w:sz w:val="20"/>
    </w:rPr>
  </w:style>
  <w:style w:type="character" w:customStyle="1" w:styleId="Style48">
    <w:name w:val="Style48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49">
    <w:name w:val="Style49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0">
    <w:name w:val="Style50"/>
    <w:basedOn w:val="DefaultParagraphFont"/>
    <w:uiPriority w:val="1"/>
    <w:rsid w:val="005410CC"/>
    <w:rPr>
      <w:rFonts w:ascii="Times New Roman" w:hAnsi="Times New Roman"/>
      <w:sz w:val="22"/>
    </w:rPr>
  </w:style>
  <w:style w:type="character" w:customStyle="1" w:styleId="Style51">
    <w:name w:val="Style51"/>
    <w:basedOn w:val="DefaultParagraphFont"/>
    <w:uiPriority w:val="1"/>
    <w:rsid w:val="005410CC"/>
    <w:rPr>
      <w:rFonts w:ascii="Times New Roman" w:hAnsi="Times New Roman"/>
      <w:b/>
      <w:color w:val="000000" w:themeColor="text1"/>
      <w:sz w:val="22"/>
    </w:rPr>
  </w:style>
  <w:style w:type="character" w:customStyle="1" w:styleId="Style52">
    <w:name w:val="Style52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8">
    <w:name w:val="Style58"/>
    <w:basedOn w:val="DefaultParagraphFont"/>
    <w:uiPriority w:val="1"/>
    <w:rsid w:val="0095483F"/>
    <w:rPr>
      <w:rFonts w:ascii="Arial Narrow" w:hAnsi="Arial Narrow"/>
      <w:b/>
      <w:color w:val="000000" w:themeColor="text1"/>
      <w:sz w:val="18"/>
    </w:rPr>
  </w:style>
  <w:style w:type="character" w:customStyle="1" w:styleId="Style59">
    <w:name w:val="Style59"/>
    <w:basedOn w:val="DefaultParagraphFont"/>
    <w:uiPriority w:val="1"/>
    <w:rsid w:val="0095483F"/>
    <w:rPr>
      <w:rFonts w:ascii="Arial Narrow" w:hAnsi="Arial Narrow"/>
      <w:color w:val="000000" w:themeColor="text1"/>
      <w:sz w:val="18"/>
    </w:rPr>
  </w:style>
  <w:style w:type="character" w:customStyle="1" w:styleId="Style60">
    <w:name w:val="Style60"/>
    <w:basedOn w:val="DefaultParagraphFont"/>
    <w:uiPriority w:val="1"/>
    <w:rsid w:val="0095483F"/>
    <w:rPr>
      <w:rFonts w:ascii="Arial Narrow" w:hAnsi="Arial Narrow"/>
      <w:b/>
      <w:color w:val="000000" w:themeColor="text1"/>
      <w:sz w:val="20"/>
    </w:rPr>
  </w:style>
  <w:style w:type="character" w:customStyle="1" w:styleId="Style61">
    <w:name w:val="Style61"/>
    <w:basedOn w:val="DefaultParagraphFont"/>
    <w:uiPriority w:val="1"/>
    <w:rsid w:val="004C5365"/>
    <w:rPr>
      <w:rFonts w:ascii="Arial Narrow" w:hAnsi="Arial Narrow"/>
      <w:b/>
      <w:color w:val="000000" w:themeColor="text1"/>
      <w:sz w:val="20"/>
    </w:rPr>
  </w:style>
  <w:style w:type="character" w:customStyle="1" w:styleId="Style62">
    <w:name w:val="Style62"/>
    <w:basedOn w:val="DefaultParagraphFont"/>
    <w:uiPriority w:val="1"/>
    <w:rsid w:val="004C5365"/>
    <w:rPr>
      <w:rFonts w:ascii="Arial Narrow" w:hAnsi="Arial Narrow"/>
      <w:color w:val="auto"/>
      <w:sz w:val="20"/>
    </w:rPr>
  </w:style>
  <w:style w:type="character" w:customStyle="1" w:styleId="Style63">
    <w:name w:val="Style63"/>
    <w:basedOn w:val="DefaultParagraphFont"/>
    <w:uiPriority w:val="1"/>
    <w:rsid w:val="00FD2CE4"/>
    <w:rPr>
      <w:rFonts w:ascii="Arial Narrow" w:hAnsi="Arial Narrow"/>
      <w:b/>
      <w:color w:val="000000" w:themeColor="text1"/>
      <w:sz w:val="22"/>
    </w:rPr>
  </w:style>
  <w:style w:type="paragraph" w:customStyle="1" w:styleId="TemplateHeading">
    <w:name w:val="Template Heading"/>
    <w:basedOn w:val="Normal"/>
    <w:qFormat/>
    <w:rsid w:val="00FB6CAE"/>
    <w:rPr>
      <w:rFonts w:ascii="Arial Narrow" w:hAnsi="Arial Narrow"/>
      <w:b/>
      <w:sz w:val="18"/>
    </w:rPr>
  </w:style>
  <w:style w:type="paragraph" w:customStyle="1" w:styleId="TemplateText">
    <w:name w:val="Template Text"/>
    <w:basedOn w:val="TemplateHeading"/>
    <w:qFormat/>
    <w:rsid w:val="00FB6CAE"/>
    <w:rPr>
      <w:b w:val="0"/>
    </w:rPr>
  </w:style>
  <w:style w:type="numbering" w:customStyle="1" w:styleId="TemplateList">
    <w:name w:val="Template List"/>
    <w:basedOn w:val="NoList"/>
    <w:uiPriority w:val="99"/>
    <w:rsid w:val="00FB6CAE"/>
    <w:pPr>
      <w:numPr>
        <w:numId w:val="1"/>
      </w:numPr>
    </w:pPr>
  </w:style>
  <w:style w:type="character" w:customStyle="1" w:styleId="Style64">
    <w:name w:val="Style64"/>
    <w:basedOn w:val="DefaultParagraphFont"/>
    <w:uiPriority w:val="1"/>
    <w:rsid w:val="00FB6CAE"/>
    <w:rPr>
      <w:rFonts w:ascii="Arial Narrow" w:hAnsi="Arial Narrow"/>
      <w:color w:val="auto"/>
      <w:sz w:val="18"/>
    </w:rPr>
  </w:style>
  <w:style w:type="character" w:customStyle="1" w:styleId="Style65">
    <w:name w:val="Style65"/>
    <w:basedOn w:val="DefaultParagraphFont"/>
    <w:uiPriority w:val="1"/>
    <w:rsid w:val="00FB6CAE"/>
    <w:rPr>
      <w:rFonts w:ascii="Arial Narrow" w:hAnsi="Arial Narrow"/>
      <w:color w:val="000000" w:themeColor="text1"/>
      <w:sz w:val="20"/>
    </w:rPr>
  </w:style>
  <w:style w:type="character" w:customStyle="1" w:styleId="Style66">
    <w:name w:val="Style66"/>
    <w:basedOn w:val="DefaultParagraphFont"/>
    <w:uiPriority w:val="1"/>
    <w:rsid w:val="00FB6CAE"/>
    <w:rPr>
      <w:rFonts w:ascii="Arial Narrow" w:hAnsi="Arial Narrow"/>
      <w:color w:val="000000" w:themeColor="text1"/>
      <w:sz w:val="18"/>
      <w14:ligatures w14:val="none"/>
      <w14:numForm w14:val="default"/>
      <w14:numSpacing w14:val="default"/>
      <w14:stylisticSets/>
      <w14:cntxtAlts w14:val="0"/>
    </w:rPr>
  </w:style>
  <w:style w:type="character" w:customStyle="1" w:styleId="TemplateTextAN10">
    <w:name w:val="Template Text AN10"/>
    <w:basedOn w:val="DefaultParagraphFont"/>
    <w:uiPriority w:val="1"/>
    <w:rsid w:val="00FB6CAE"/>
    <w:rPr>
      <w:rFonts w:ascii="Arial Narrow" w:hAnsi="Arial Narrow"/>
      <w:color w:val="000000" w:themeColor="text1"/>
      <w:sz w:val="20"/>
    </w:rPr>
  </w:style>
  <w:style w:type="character" w:customStyle="1" w:styleId="Style67">
    <w:name w:val="Style67"/>
    <w:basedOn w:val="DefaultParagraphFont"/>
    <w:uiPriority w:val="1"/>
    <w:rsid w:val="00FB6CAE"/>
    <w:rPr>
      <w:rFonts w:ascii="Arial Narrow" w:hAnsi="Arial Narrow"/>
      <w:color w:val="auto"/>
      <w:sz w:val="18"/>
    </w:rPr>
  </w:style>
  <w:style w:type="character" w:customStyle="1" w:styleId="Style68">
    <w:name w:val="Style68"/>
    <w:basedOn w:val="DefaultParagraphFont"/>
    <w:uiPriority w:val="1"/>
    <w:rsid w:val="00FB6CAE"/>
    <w:rPr>
      <w:rFonts w:ascii="Arial Narrow" w:hAnsi="Arial Narrow"/>
      <w:color w:val="000000" w:themeColor="text1"/>
      <w:sz w:val="18"/>
    </w:rPr>
  </w:style>
  <w:style w:type="character" w:customStyle="1" w:styleId="Style69">
    <w:name w:val="Style69"/>
    <w:basedOn w:val="DefaultParagraphFont"/>
    <w:uiPriority w:val="1"/>
    <w:rsid w:val="00FB6CAE"/>
    <w:rPr>
      <w:rFonts w:ascii="Arial Narrow" w:hAnsi="Arial Narrow"/>
      <w:color w:val="auto"/>
      <w:sz w:val="20"/>
    </w:rPr>
  </w:style>
  <w:style w:type="character" w:customStyle="1" w:styleId="Style70">
    <w:name w:val="Style70"/>
    <w:basedOn w:val="DefaultParagraphFont"/>
    <w:uiPriority w:val="1"/>
    <w:rsid w:val="00FB6CAE"/>
    <w:rPr>
      <w:rFonts w:ascii="Arial Narrow" w:hAnsi="Arial Narrow"/>
      <w:color w:val="000000" w:themeColor="text1"/>
      <w:sz w:val="18"/>
    </w:rPr>
  </w:style>
  <w:style w:type="character" w:customStyle="1" w:styleId="Style75">
    <w:name w:val="Style75"/>
    <w:basedOn w:val="DefaultParagraphFont"/>
    <w:uiPriority w:val="1"/>
    <w:rsid w:val="00B01656"/>
    <w:rPr>
      <w:rFonts w:ascii="Arial Narrow" w:hAnsi="Arial Narrow"/>
      <w:color w:val="0070C0"/>
      <w:sz w:val="15"/>
    </w:rPr>
  </w:style>
  <w:style w:type="character" w:customStyle="1" w:styleId="Style76">
    <w:name w:val="Style76"/>
    <w:basedOn w:val="DefaultParagraphFont"/>
    <w:uiPriority w:val="1"/>
    <w:rsid w:val="00B01656"/>
    <w:rPr>
      <w:rFonts w:ascii="Arial Narrow" w:hAnsi="Arial Narrow"/>
      <w:color w:val="0070C0"/>
      <w:sz w:val="1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1656"/>
    <w:pPr>
      <w:spacing w:after="100"/>
    </w:pPr>
    <w:rPr>
      <w:rFonts w:ascii="Arial Narrow" w:hAnsi="Arial Narrow"/>
    </w:rPr>
  </w:style>
  <w:style w:type="character" w:customStyle="1" w:styleId="Style71">
    <w:name w:val="Style71"/>
    <w:basedOn w:val="DefaultParagraphFont"/>
    <w:uiPriority w:val="1"/>
    <w:rsid w:val="00011C09"/>
    <w:rPr>
      <w:rFonts w:ascii="Arial Narrow" w:hAnsi="Arial Narrow"/>
      <w:sz w:val="20"/>
    </w:rPr>
  </w:style>
  <w:style w:type="character" w:customStyle="1" w:styleId="Style72">
    <w:name w:val="Style72"/>
    <w:basedOn w:val="DefaultParagraphFont"/>
    <w:uiPriority w:val="1"/>
    <w:rsid w:val="0078664E"/>
    <w:rPr>
      <w:rFonts w:ascii="Arial Narrow" w:hAnsi="Arial Narrow"/>
      <w:color w:val="000000" w:themeColor="text1"/>
      <w:sz w:val="18"/>
    </w:rPr>
  </w:style>
  <w:style w:type="character" w:customStyle="1" w:styleId="Style73">
    <w:name w:val="Style73"/>
    <w:basedOn w:val="DefaultParagraphFont"/>
    <w:uiPriority w:val="1"/>
    <w:rsid w:val="00FE7236"/>
    <w:rPr>
      <w:rFonts w:ascii="Arial Narrow" w:hAnsi="Arial Narrow"/>
      <w:color w:val="000000" w:themeColor="text1"/>
      <w:sz w:val="16"/>
    </w:rPr>
  </w:style>
  <w:style w:type="character" w:customStyle="1" w:styleId="Style74">
    <w:name w:val="Style74"/>
    <w:basedOn w:val="DefaultParagraphFont"/>
    <w:uiPriority w:val="1"/>
    <w:rsid w:val="00FE7236"/>
    <w:rPr>
      <w:rFonts w:ascii="Arial Narrow" w:hAnsi="Arial Narrow"/>
      <w:color w:val="000000" w:themeColor="text1"/>
      <w:sz w:val="16"/>
    </w:rPr>
  </w:style>
  <w:style w:type="character" w:customStyle="1" w:styleId="Style77">
    <w:name w:val="Style77"/>
    <w:basedOn w:val="DefaultParagraphFont"/>
    <w:uiPriority w:val="1"/>
    <w:rsid w:val="00E609C3"/>
    <w:rPr>
      <w:rFonts w:ascii="Arial Narrow" w:hAnsi="Arial Narrow"/>
      <w:color w:val="000000" w:themeColor="text1"/>
      <w:sz w:val="18"/>
    </w:rPr>
  </w:style>
  <w:style w:type="character" w:customStyle="1" w:styleId="Style78">
    <w:name w:val="Style78"/>
    <w:basedOn w:val="DefaultParagraphFont"/>
    <w:uiPriority w:val="1"/>
    <w:rsid w:val="00E609C3"/>
    <w:rPr>
      <w:rFonts w:ascii="Arial Narrow" w:hAnsi="Arial Narrow"/>
      <w:color w:val="auto"/>
      <w:sz w:val="20"/>
    </w:rPr>
  </w:style>
  <w:style w:type="table" w:styleId="TableGrid">
    <w:name w:val="Table Grid"/>
    <w:basedOn w:val="TableNormal"/>
    <w:uiPriority w:val="59"/>
    <w:rsid w:val="0042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cripteur xmlns="56a1ffd1-f959-4629-bb15-2981c362a630">BAILEY-RAVET</Prescripteur>
    <Acheteur xmlns="56a1ffd1-f959-4629-bb15-2981c362a630" xsi:nil="true"/>
    <Service xmlns="56a1ffd1-f959-4629-bb15-2981c362a6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1917D13226B4181F2B48B3406FA3D" ma:contentTypeVersion="3" ma:contentTypeDescription="Create a new document." ma:contentTypeScope="" ma:versionID="63b6496bdee825fec571e039081b6207">
  <xsd:schema xmlns:xsd="http://www.w3.org/2001/XMLSchema" xmlns:xs="http://www.w3.org/2001/XMLSchema" xmlns:p="http://schemas.microsoft.com/office/2006/metadata/properties" xmlns:ns1="56a1ffd1-f959-4629-bb15-2981c362a630" targetNamespace="http://schemas.microsoft.com/office/2006/metadata/properties" ma:root="true" ma:fieldsID="e6da3f2e5b5af6769561041296165585" ns1:_="">
    <xsd:import namespace="56a1ffd1-f959-4629-bb15-2981c362a630"/>
    <xsd:element name="properties">
      <xsd:complexType>
        <xsd:sequence>
          <xsd:element name="documentManagement">
            <xsd:complexType>
              <xsd:all>
                <xsd:element ref="ns1:Service" minOccurs="0"/>
                <xsd:element ref="ns1:Prescripteur" minOccurs="0"/>
                <xsd:element ref="ns1:Achet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1ffd1-f959-4629-bb15-2981c362a630" elementFormDefault="qualified">
    <xsd:import namespace="http://schemas.microsoft.com/office/2006/documentManagement/types"/>
    <xsd:import namespace="http://schemas.microsoft.com/office/infopath/2007/PartnerControls"/>
    <xsd:element name="Service" ma:index="0" nillable="true" ma:displayName="Service" ma:internalName="Service">
      <xsd:simpleType>
        <xsd:restriction base="dms:Text">
          <xsd:maxLength value="255"/>
        </xsd:restriction>
      </xsd:simpleType>
    </xsd:element>
    <xsd:element name="Prescripteur" ma:index="1" nillable="true" ma:displayName="Prescripteur" ma:internalName="Prescripteur">
      <xsd:simpleType>
        <xsd:restriction base="dms:Text">
          <xsd:maxLength value="255"/>
        </xsd:restriction>
      </xsd:simpleType>
    </xsd:element>
    <xsd:element name="Acheteur" ma:index="4" nillable="true" ma:displayName="Acheteur" ma:internalName="Acheteu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5E9C6-C46C-4BF8-B38D-F1D888DBDE77}">
  <ds:schemaRefs>
    <ds:schemaRef ds:uri="http://schemas.microsoft.com/office/2006/metadata/properties"/>
    <ds:schemaRef ds:uri="http://schemas.microsoft.com/office/infopath/2007/PartnerControls"/>
    <ds:schemaRef ds:uri="56a1ffd1-f959-4629-bb15-2981c362a630"/>
  </ds:schemaRefs>
</ds:datastoreItem>
</file>

<file path=customXml/itemProps2.xml><?xml version="1.0" encoding="utf-8"?>
<ds:datastoreItem xmlns:ds="http://schemas.openxmlformats.org/officeDocument/2006/customXml" ds:itemID="{EEB51B34-B05B-4C45-A0A8-8B8743D17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1ffd1-f959-4629-bb15-2981c362a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778AD-4031-45C1-A8FB-388F0B183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APPENDIX II TENDER PROPOSAL FORM INTERPRETING SERVICES AND EQUIPMENT</vt:lpstr>
      <vt:lpstr/>
    </vt:vector>
  </TitlesOfParts>
  <Company>Council of Europe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 TENDER PROPOSAL FORM INTERPRETING SERVICES AND EQUIPMENT</dc:title>
  <dc:creator>DLAPIL</dc:creator>
  <cp:lastModifiedBy>KALAMARAS Ilias</cp:lastModifiedBy>
  <cp:revision>5</cp:revision>
  <cp:lastPrinted>2019-07-23T10:53:00Z</cp:lastPrinted>
  <dcterms:created xsi:type="dcterms:W3CDTF">2019-08-30T11:57:00Z</dcterms:created>
  <dcterms:modified xsi:type="dcterms:W3CDTF">2021-10-12T04:52:00Z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0x010100EE01917D13226B4181F2B48B3406FA3D</vt:lpwstr>
  </property>
  <property fmtid="{D5CDD505-2E9C-101B-9397-08002B2CF9AE}" pid="3" name="TaxCatchAll">
    <vt:lpwstr>81;#Internal|6e84e9be-f6bc-4243-9c22-c1ff20989e24</vt:lpwstr>
  </property>
  <property fmtid="{D5CDD505-2E9C-101B-9397-08002B2CF9AE}" pid="4" name="bc08140a316241cdb48e2f700880873d">
    <vt:lpwstr>Internal|6e84e9be-f6bc-4243-9c22-c1ff20989e24</vt:lpwstr>
  </property>
  <property fmtid="{D5CDD505-2E9C-101B-9397-08002B2CF9AE}" pid="5" name="dmaccessclassificationlevel">
    <vt:lpwstr>81;#Internal|6e84e9be-f6bc-4243-9c22-c1ff20989e24</vt:lpwstr>
  </property>
  <property fmtid="{D5CDD505-2E9C-101B-9397-08002B2CF9AE}" pid="6" name="_docset_NoMedatataSyncRequired">
    <vt:lpwstr>False</vt:lpwstr>
  </property>
</Properties>
</file>