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GoBack"/>
            <w:bookmarkEnd w:id="0"/>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DEEABF9"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CEF5C02" w:rsidR="00D70688" w:rsidRPr="00D0286A" w:rsidRDefault="008E4BB1" w:rsidP="00D70688">
            <w:pPr>
              <w:rPr>
                <w:rFonts w:ascii="Tahoma" w:hAnsi="Tahoma" w:cs="Tahoma"/>
                <w:caps/>
                <w:color w:val="000000" w:themeColor="text1"/>
                <w:sz w:val="18"/>
                <w:szCs w:val="18"/>
                <w:highlight w:val="cyan"/>
              </w:rPr>
            </w:pPr>
            <w:r w:rsidRPr="00CB006E">
              <w:rPr>
                <w:rFonts w:ascii="Tahoma" w:hAnsi="Tahoma" w:cs="Tahoma"/>
                <w:caps/>
                <w:color w:val="000000"/>
                <w:sz w:val="18"/>
                <w:szCs w:val="18"/>
              </w:rPr>
              <w:t>Project ID 1257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AEBE95B" w:rsidR="00D70688" w:rsidRPr="00D0286A" w:rsidRDefault="008E4BB1" w:rsidP="00D70688">
            <w:pPr>
              <w:rPr>
                <w:rFonts w:ascii="Tahoma" w:hAnsi="Tahoma" w:cs="Tahoma"/>
                <w:b/>
                <w:caps/>
                <w:color w:val="000000" w:themeColor="text1"/>
                <w:sz w:val="18"/>
                <w:szCs w:val="18"/>
                <w:highlight w:val="cyan"/>
              </w:rPr>
            </w:pPr>
            <w:r>
              <w:rPr>
                <w:rFonts w:ascii="Tahoma" w:hAnsi="Tahoma" w:cs="Tahoma"/>
                <w:color w:val="000000"/>
                <w:sz w:val="18"/>
                <w:szCs w:val="18"/>
                <w:lang w:val="it-IT"/>
              </w:rPr>
              <w:t>Özlem Demirel Cook</w:t>
            </w:r>
            <w:r w:rsidRPr="00CB006E">
              <w:rPr>
                <w:rFonts w:ascii="Tahoma" w:hAnsi="Tahoma" w:cs="Tahoma"/>
                <w:color w:val="000000"/>
                <w:sz w:val="18"/>
                <w:szCs w:val="18"/>
                <w:lang w:val="it-IT"/>
              </w:rPr>
              <w:t xml:space="preserve">, </w:t>
            </w:r>
            <w:hyperlink r:id="rId11" w:history="1">
              <w:r w:rsidRPr="002E014A">
                <w:rPr>
                  <w:rStyle w:val="Hyperlink"/>
                  <w:rFonts w:ascii="Tahoma" w:hAnsi="Tahoma" w:cs="Tahoma"/>
                  <w:sz w:val="18"/>
                  <w:szCs w:val="18"/>
                  <w:lang w:val="it-IT"/>
                </w:rPr>
                <w:t>ozlem.demirel@coe.int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DC0F669" w:rsidR="003840F5" w:rsidRDefault="00BD6B89" w:rsidP="008E4BB1">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E4BB1" w:rsidRPr="00B81DEB">
        <w:rPr>
          <w:rFonts w:ascii="Tahoma" w:hAnsi="Tahoma" w:cs="Tahoma"/>
          <w:b/>
        </w:rPr>
        <w:t xml:space="preserve">consultancy services under </w:t>
      </w:r>
      <w:r w:rsidR="008E4BB1">
        <w:rPr>
          <w:rFonts w:ascii="Tahoma" w:hAnsi="Tahoma" w:cs="Tahoma"/>
          <w:b/>
        </w:rPr>
        <w:t>various activities</w:t>
      </w:r>
      <w:r w:rsidR="008E4BB1" w:rsidRPr="00B81DEB">
        <w:rPr>
          <w:rFonts w:ascii="Tahoma" w:hAnsi="Tahoma" w:cs="Tahoma"/>
          <w:b/>
        </w:rPr>
        <w:t xml:space="preserve"> of the project</w:t>
      </w:r>
      <w:r w:rsidR="008E4BB1">
        <w:rPr>
          <w:rFonts w:ascii="Tahoma" w:hAnsi="Tahoma" w:cs="Tahoma"/>
          <w:b/>
        </w:rPr>
        <w:t>.</w:t>
      </w:r>
    </w:p>
    <w:p w14:paraId="4EB9FC60" w14:textId="77777777" w:rsidR="008E4BB1" w:rsidRPr="00D0286A" w:rsidRDefault="008E4BB1" w:rsidP="008E4BB1">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b/>
        </w:rPr>
      </w:pP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8EC1D86" w:rsidR="00B133A9" w:rsidRPr="00D0286A" w:rsidRDefault="008E4BB1" w:rsidP="00B133A9">
      <w:pPr>
        <w:spacing w:line="276" w:lineRule="auto"/>
        <w:jc w:val="both"/>
        <w:rPr>
          <w:rFonts w:ascii="Tahoma" w:hAnsi="Tahoma" w:cs="Tahoma"/>
          <w:sz w:val="20"/>
          <w:szCs w:val="20"/>
        </w:rPr>
      </w:pPr>
      <w:r w:rsidRPr="000D371D">
        <w:rPr>
          <w:rFonts w:ascii="Tahoma" w:hAnsi="Tahoma" w:cs="Tahoma"/>
          <w:sz w:val="20"/>
          <w:szCs w:val="20"/>
        </w:rPr>
        <w:t xml:space="preserve">The Council of Europe is currently implementing a </w:t>
      </w:r>
      <w:r>
        <w:rPr>
          <w:rFonts w:ascii="Tahoma" w:hAnsi="Tahoma" w:cs="Tahoma"/>
          <w:sz w:val="20"/>
          <w:szCs w:val="20"/>
        </w:rPr>
        <w:t>p</w:t>
      </w:r>
      <w:r w:rsidRPr="000D371D">
        <w:rPr>
          <w:rFonts w:ascii="Tahoma" w:hAnsi="Tahoma" w:cs="Tahoma"/>
          <w:sz w:val="20"/>
          <w:szCs w:val="20"/>
        </w:rPr>
        <w:t xml:space="preserve">roject on </w:t>
      </w:r>
      <w:r>
        <w:rPr>
          <w:rFonts w:ascii="Tahoma" w:hAnsi="Tahoma" w:cs="Tahoma"/>
          <w:sz w:val="20"/>
          <w:szCs w:val="20"/>
        </w:rPr>
        <w:t>Improving the Effectiveness of the Administrative Judiciary and Strengthening the Institutional Capacity of the Council of State</w:t>
      </w:r>
      <w:r w:rsidR="00B133A9" w:rsidRPr="00D0286A">
        <w:rPr>
          <w:rFonts w:ascii="Tahoma" w:hAnsi="Tahoma" w:cs="Tahoma"/>
          <w:sz w:val="20"/>
          <w:szCs w:val="20"/>
        </w:rPr>
        <w:t>.</w:t>
      </w:r>
      <w:r w:rsidR="006E5D43">
        <w:rPr>
          <w:rFonts w:ascii="Tahoma" w:hAnsi="Tahoma" w:cs="Tahoma"/>
          <w:sz w:val="20"/>
          <w:szCs w:val="20"/>
        </w:rPr>
        <w:t xml:space="preserve"> </w:t>
      </w:r>
      <w:r w:rsidR="00B133A9" w:rsidRPr="00D0286A">
        <w:rPr>
          <w:rFonts w:ascii="Tahoma" w:hAnsi="Tahoma" w:cs="Tahoma"/>
          <w:sz w:val="20"/>
          <w:szCs w:val="20"/>
        </w:rPr>
        <w:t xml:space="preserve">In that context, it is looking for Provider(s) (see below) for the provision of </w:t>
      </w:r>
      <w:r>
        <w:rPr>
          <w:rFonts w:ascii="Tahoma" w:hAnsi="Tahoma" w:cs="Tahoma"/>
          <w:sz w:val="20"/>
          <w:szCs w:val="20"/>
        </w:rPr>
        <w:t xml:space="preserve">consultancy services under </w:t>
      </w:r>
      <w:r w:rsidR="00D9377B">
        <w:rPr>
          <w:rFonts w:ascii="Tahoma" w:hAnsi="Tahoma" w:cs="Tahoma"/>
          <w:sz w:val="20"/>
          <w:szCs w:val="20"/>
        </w:rPr>
        <w:t>four</w:t>
      </w:r>
      <w:r w:rsidR="00F2124D">
        <w:rPr>
          <w:rFonts w:ascii="Tahoma" w:hAnsi="Tahoma" w:cs="Tahoma"/>
          <w:sz w:val="20"/>
          <w:szCs w:val="20"/>
        </w:rPr>
        <w:t xml:space="preserve"> (</w:t>
      </w:r>
      <w:r w:rsidR="00D9377B">
        <w:rPr>
          <w:rFonts w:ascii="Tahoma" w:hAnsi="Tahoma" w:cs="Tahoma"/>
          <w:sz w:val="20"/>
          <w:szCs w:val="20"/>
        </w:rPr>
        <w:t>4</w:t>
      </w:r>
      <w:r w:rsidR="00F2124D">
        <w:rPr>
          <w:rFonts w:ascii="Tahoma" w:hAnsi="Tahoma" w:cs="Tahoma"/>
          <w:sz w:val="20"/>
          <w:szCs w:val="20"/>
        </w:rPr>
        <w:t>)</w:t>
      </w:r>
      <w:r>
        <w:rPr>
          <w:rFonts w:ascii="Tahoma" w:hAnsi="Tahoma" w:cs="Tahoma"/>
          <w:sz w:val="20"/>
          <w:szCs w:val="20"/>
        </w:rPr>
        <w:t xml:space="preserve"> LOTs,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55C6DF5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8E4BB1">
        <w:rPr>
          <w:rFonts w:ascii="Tahoma" w:hAnsi="Tahoma" w:cs="Tahoma"/>
          <w:sz w:val="20"/>
          <w:szCs w:val="20"/>
        </w:rPr>
        <w:t>3</w:t>
      </w:r>
      <w:r w:rsidRPr="00D0286A">
        <w:rPr>
          <w:rFonts w:ascii="Tahoma" w:hAnsi="Tahoma" w:cs="Tahoma"/>
          <w:sz w:val="20"/>
          <w:szCs w:val="20"/>
        </w:rPr>
        <w:t xml:space="preserve"> (t</w:t>
      </w:r>
      <w:r w:rsidR="008E4BB1">
        <w:rPr>
          <w:rFonts w:ascii="Tahoma" w:hAnsi="Tahoma" w:cs="Tahoma"/>
          <w:sz w:val="20"/>
          <w:szCs w:val="20"/>
        </w:rPr>
        <w:t>hree</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E4BB1" w:rsidRDefault="00B133A9" w:rsidP="00B133A9">
      <w:pPr>
        <w:spacing w:line="276" w:lineRule="auto"/>
        <w:jc w:val="both"/>
        <w:rPr>
          <w:rFonts w:ascii="Tahoma" w:hAnsi="Tahoma" w:cs="Tahoma"/>
          <w:b/>
          <w:sz w:val="20"/>
          <w:szCs w:val="20"/>
        </w:rPr>
      </w:pPr>
      <w:r w:rsidRPr="008E4BB1">
        <w:rPr>
          <w:rFonts w:ascii="Tahoma" w:hAnsi="Tahoma" w:cs="Tahoma"/>
          <w:b/>
          <w:sz w:val="20"/>
          <w:szCs w:val="20"/>
        </w:rPr>
        <w:t>Pooling</w:t>
      </w:r>
    </w:p>
    <w:p w14:paraId="01A9D193" w14:textId="77777777" w:rsidR="00B133A9" w:rsidRPr="008E4BB1" w:rsidRDefault="00B133A9" w:rsidP="00B133A9">
      <w:pPr>
        <w:spacing w:line="276" w:lineRule="auto"/>
        <w:jc w:val="both"/>
        <w:rPr>
          <w:rFonts w:ascii="Tahoma" w:hAnsi="Tahoma" w:cs="Tahoma"/>
          <w:sz w:val="20"/>
          <w:szCs w:val="20"/>
        </w:rPr>
      </w:pPr>
      <w:r w:rsidRPr="008E4BB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availability (including, without limitation, capacity to meet required deadlines and, where relevant, geographical location); and</w:t>
      </w:r>
    </w:p>
    <w:p w14:paraId="75D10624"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price.</w:t>
      </w:r>
    </w:p>
    <w:p w14:paraId="6EE577A1" w14:textId="1A0F8CFB" w:rsidR="00B133A9" w:rsidRPr="008E4BB1" w:rsidRDefault="00B133A9" w:rsidP="00B133A9">
      <w:pPr>
        <w:spacing w:line="276" w:lineRule="auto"/>
        <w:jc w:val="both"/>
        <w:rPr>
          <w:rFonts w:ascii="Tahoma" w:hAnsi="Tahoma" w:cs="Tahoma"/>
          <w:sz w:val="20"/>
          <w:szCs w:val="20"/>
        </w:rPr>
      </w:pPr>
      <w:r w:rsidRPr="008E4BB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8E4BB1">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F61A56" w:rsidRDefault="00B133A9" w:rsidP="00F01E6F">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4394"/>
        <w:jc w:val="both"/>
        <w:rPr>
          <w:rFonts w:ascii="Tahoma" w:hAnsi="Tahoma" w:cs="Tahoma"/>
          <w:b/>
          <w:bCs/>
          <w:color w:val="FF0000"/>
        </w:rPr>
      </w:pPr>
      <w:r w:rsidRPr="00F61A56">
        <w:rPr>
          <w:rFonts w:ascii="Tahoma" w:hAnsi="Tahoma" w:cs="Tahoma"/>
          <w:b/>
          <w:bCs/>
          <w:color w:val="FF0000"/>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tr-TR" w:eastAsia="tr-TR"/>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2B67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560"/>
        <w:gridCol w:w="3660"/>
        <w:gridCol w:w="8"/>
        <w:gridCol w:w="3863"/>
      </w:tblGrid>
      <w:tr w:rsidR="00B133A9" w:rsidRPr="00D0286A" w14:paraId="5C5B7FFB" w14:textId="77777777" w:rsidTr="00D9377B">
        <w:trPr>
          <w:trHeight w:val="517"/>
          <w:jc w:val="center"/>
        </w:trPr>
        <w:tc>
          <w:tcPr>
            <w:tcW w:w="156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F2124D">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F2124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9BF493A" w:rsidR="00B133A9" w:rsidRPr="00D0286A" w:rsidRDefault="008E4BB1" w:rsidP="00F2124D">
            <w:pPr>
              <w:spacing w:before="60" w:after="60"/>
              <w:ind w:left="-142" w:right="-391"/>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9377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EF28D36" w:rsidR="00B133A9" w:rsidRPr="00337535" w:rsidRDefault="00D9377B" w:rsidP="00D9377B">
            <w:pPr>
              <w:spacing w:before="60" w:after="60"/>
              <w:ind w:left="587" w:right="44" w:hanging="70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9377B">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1</w:t>
            </w:r>
            <w:r w:rsidRPr="00D9377B">
              <w:rPr>
                <w:rFonts w:ascii="Tahoma" w:eastAsia="Calibri" w:hAnsi="Tahoma" w:cs="Tahoma"/>
                <w:b/>
                <w:bCs/>
                <w:sz w:val="18"/>
                <w:szCs w:val="18"/>
                <w:lang w:val="en-US" w:eastAsia="en-US"/>
              </w:rPr>
              <w:t xml:space="preserve"> – Consultancy for subject experts for the capacity building of </w:t>
            </w:r>
            <w:r w:rsidRPr="00D9377B">
              <w:rPr>
                <w:rFonts w:ascii="Tahoma" w:eastAsia="Calibri" w:hAnsi="Tahoma" w:cs="Tahoma"/>
                <w:b/>
                <w:bCs/>
                <w:sz w:val="18"/>
                <w:szCs w:val="18"/>
                <w:u w:val="single"/>
                <w:lang w:val="en-US" w:eastAsia="en-US"/>
              </w:rPr>
              <w:t>administrative judges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C2C5089" w:rsidR="00B133A9" w:rsidRPr="00D0286A" w:rsidRDefault="00F02B18" w:rsidP="00F2124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717297">
              <w:rPr>
                <w:rFonts w:ascii="Tahoma" w:eastAsia="Calibri" w:hAnsi="Tahoma" w:cs="Tahoma"/>
                <w:b/>
                <w:bCs/>
                <w:sz w:val="18"/>
                <w:szCs w:val="18"/>
                <w:lang w:val="en-US" w:eastAsia="en-US"/>
              </w:rPr>
              <w:t>0</w:t>
            </w:r>
          </w:p>
        </w:tc>
      </w:tr>
      <w:tr w:rsidR="00B133A9" w:rsidRPr="00D0286A" w14:paraId="0F91EE37" w14:textId="77777777" w:rsidTr="00D9377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840E11C" w:rsidR="00B133A9" w:rsidRPr="00D0286A" w:rsidRDefault="008E4BB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E0B4927" w:rsidR="00B133A9" w:rsidRPr="007F7F0F" w:rsidRDefault="00904568" w:rsidP="00D9377B">
            <w:pPr>
              <w:spacing w:before="60" w:after="60"/>
              <w:ind w:left="587" w:hanging="70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8E4BB1">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D9377B" w:rsidRPr="00D9377B">
              <w:rPr>
                <w:rFonts w:ascii="Tahoma" w:eastAsia="Calibri" w:hAnsi="Tahoma" w:cs="Tahoma"/>
                <w:b/>
                <w:bCs/>
                <w:sz w:val="18"/>
                <w:szCs w:val="18"/>
                <w:lang w:val="en-US" w:eastAsia="en-US"/>
              </w:rPr>
              <w:t xml:space="preserve">Consultancy for subject experts for the capacity building of </w:t>
            </w:r>
            <w:r w:rsidR="00D9377B" w:rsidRPr="00D9377B">
              <w:rPr>
                <w:rFonts w:ascii="Tahoma" w:eastAsia="Calibri" w:hAnsi="Tahoma" w:cs="Tahoma"/>
                <w:b/>
                <w:bCs/>
                <w:sz w:val="18"/>
                <w:szCs w:val="18"/>
                <w:u w:val="single"/>
                <w:lang w:val="en-US" w:eastAsia="en-US"/>
              </w:rPr>
              <w:t>administrative courts’ staff</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3E64D91" w:rsidR="00B133A9" w:rsidRPr="00D0286A" w:rsidRDefault="00E449D8" w:rsidP="00F2124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8E4BB1" w:rsidRPr="00D0286A" w14:paraId="2AF76D62" w14:textId="77777777" w:rsidTr="00D9377B">
        <w:trPr>
          <w:trHeight w:val="420"/>
          <w:jc w:val="center"/>
        </w:trPr>
        <w:sdt>
          <w:sdtPr>
            <w:rPr>
              <w:rFonts w:ascii="Tahoma" w:eastAsia="Calibri" w:hAnsi="Tahoma" w:cs="Tahoma"/>
              <w:bCs/>
              <w:sz w:val="36"/>
              <w:szCs w:val="36"/>
              <w:lang w:val="en-US" w:eastAsia="en-US"/>
            </w:rPr>
            <w:id w:val="934788494"/>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95F54A" w14:textId="2431D80D" w:rsidR="008E4BB1" w:rsidRDefault="008E4BB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EFD6D3" w14:textId="696C31E4" w:rsidR="008E4BB1" w:rsidRPr="00337535" w:rsidRDefault="00D9377B" w:rsidP="00D9377B">
            <w:pPr>
              <w:spacing w:before="60" w:after="60"/>
              <w:ind w:left="587" w:right="44" w:hanging="709"/>
              <w:rPr>
                <w:rFonts w:ascii="Tahoma" w:eastAsia="Calibri" w:hAnsi="Tahoma" w:cs="Tahoma"/>
                <w:b/>
                <w:sz w:val="18"/>
                <w:szCs w:val="18"/>
                <w:lang w:val="en-US" w:eastAsia="en-US"/>
              </w:rPr>
            </w:pPr>
            <w:r>
              <w:rPr>
                <w:rFonts w:ascii="Tahoma" w:eastAsia="Calibri" w:hAnsi="Tahoma" w:cs="Tahoma"/>
                <w:b/>
                <w:bCs/>
                <w:sz w:val="18"/>
                <w:szCs w:val="18"/>
                <w:lang w:val="en-US" w:eastAsia="en-US"/>
              </w:rPr>
              <w:t xml:space="preserve"> </w:t>
            </w:r>
            <w:r w:rsidRPr="00D9377B">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9377B">
              <w:rPr>
                <w:rFonts w:ascii="Tahoma" w:eastAsia="Calibri" w:hAnsi="Tahoma" w:cs="Tahoma"/>
                <w:b/>
                <w:bCs/>
                <w:sz w:val="18"/>
                <w:szCs w:val="18"/>
                <w:lang w:val="en-US" w:eastAsia="en-US"/>
              </w:rPr>
              <w:t xml:space="preserve"> – Consultancy </w:t>
            </w:r>
            <w:r>
              <w:rPr>
                <w:rFonts w:ascii="Tahoma" w:eastAsia="Calibri" w:hAnsi="Tahoma" w:cs="Tahoma"/>
                <w:b/>
                <w:bCs/>
                <w:sz w:val="18"/>
                <w:szCs w:val="18"/>
                <w:lang w:val="en-US" w:eastAsia="en-US"/>
              </w:rPr>
              <w:t>services for education experts</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11264F" w14:textId="0B083936" w:rsidR="008E4BB1" w:rsidRPr="00D0286A" w:rsidRDefault="00E449D8" w:rsidP="00F2124D">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15</w:t>
            </w:r>
          </w:p>
        </w:tc>
      </w:tr>
      <w:tr w:rsidR="00D9377B" w:rsidRPr="00D0286A" w14:paraId="52E1EC5C" w14:textId="77777777" w:rsidTr="00D9377B">
        <w:trPr>
          <w:trHeight w:val="420"/>
          <w:jc w:val="center"/>
        </w:trPr>
        <w:sdt>
          <w:sdtPr>
            <w:rPr>
              <w:rFonts w:ascii="Tahoma" w:eastAsia="Calibri" w:hAnsi="Tahoma" w:cs="Tahoma"/>
              <w:bCs/>
              <w:sz w:val="36"/>
              <w:szCs w:val="36"/>
              <w:lang w:val="en-US" w:eastAsia="en-US"/>
            </w:rPr>
            <w:id w:val="-106733185"/>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D982DB" w14:textId="6C8D711A" w:rsidR="00D9377B" w:rsidRDefault="00D9377B" w:rsidP="00D9377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7DDA29" w14:textId="3EA4F9B9" w:rsidR="00D9377B" w:rsidRDefault="00D9377B" w:rsidP="00D9377B">
            <w:pPr>
              <w:spacing w:before="60" w:after="60"/>
              <w:ind w:left="587" w:right="44" w:hanging="70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w:t>
            </w:r>
            <w:r>
              <w:rPr>
                <w:rFonts w:ascii="Tahoma" w:eastAsia="Calibri" w:hAnsi="Tahoma" w:cs="Tahoma"/>
                <w:b/>
                <w:bCs/>
                <w:sz w:val="18"/>
                <w:szCs w:val="18"/>
                <w:lang w:val="en-US" w:eastAsia="en-US"/>
              </w:rPr>
              <w:t xml:space="preserve"> 4</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w:t>
            </w:r>
            <w:r w:rsidRPr="00D9377B">
              <w:rPr>
                <w:rFonts w:ascii="Tahoma" w:eastAsia="Calibri" w:hAnsi="Tahoma" w:cs="Tahoma"/>
                <w:b/>
                <w:sz w:val="18"/>
                <w:szCs w:val="18"/>
                <w:lang w:val="en-US" w:eastAsia="en-US"/>
              </w:rPr>
              <w:t>Consultancy Services for Subject Experts for Peer to peer trainings /round table meetings on ECtHR / TCC / CJEU and Preparing a Compendium on their Case-Law</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71F21" w14:textId="3E996F18" w:rsidR="00D9377B" w:rsidRDefault="00E449D8" w:rsidP="00D9377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078C6D4"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8E4BB1">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597377">
        <w:rPr>
          <w:rFonts w:ascii="Tahoma" w:hAnsi="Tahoma" w:cs="Tahoma"/>
          <w:b/>
          <w:color w:val="000000"/>
          <w:sz w:val="20"/>
          <w:szCs w:val="20"/>
          <w:u w:val="single"/>
          <w:lang w:eastAsia="en-US"/>
        </w:rPr>
        <w:t>Tenders proposing a fee above the exclusion level will be entirely and automatically excluded from the tender procedure.</w:t>
      </w:r>
    </w:p>
    <w:p w14:paraId="3470660B" w14:textId="77777777" w:rsidR="00F14B32" w:rsidRPr="00D0286A" w:rsidRDefault="00F14B32"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F61A56" w:rsidRDefault="00B133A9" w:rsidP="00F01E6F">
      <w:pPr>
        <w:pBdr>
          <w:top w:val="single" w:sz="2" w:space="1" w:color="FF0000"/>
          <w:left w:val="single" w:sz="2" w:space="0" w:color="FF0000"/>
          <w:bottom w:val="single" w:sz="2" w:space="1" w:color="FF0000"/>
          <w:right w:val="single" w:sz="2" w:space="4" w:color="FF0000"/>
        </w:pBdr>
        <w:spacing w:line="276" w:lineRule="auto"/>
        <w:ind w:left="4678"/>
        <w:jc w:val="right"/>
        <w:rPr>
          <w:rFonts w:ascii="Tahoma" w:hAnsi="Tahoma" w:cs="Tahoma"/>
          <w:b/>
          <w:bCs/>
          <w:color w:val="FF0000"/>
          <w:sz w:val="24"/>
          <w:szCs w:val="24"/>
          <w:highlight w:val="yellow"/>
          <w:lang w:eastAsia="en-US"/>
        </w:rPr>
      </w:pPr>
      <w:r w:rsidRPr="00F61A56">
        <w:rPr>
          <w:rFonts w:ascii="Tahoma" w:hAnsi="Tahoma" w:cs="Tahoma"/>
          <w:b/>
          <w:bCs/>
          <w:color w:val="FF0000"/>
          <w:sz w:val="24"/>
          <w:szCs w:val="24"/>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694CC"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CC6D82" w:rsidRPr="00D0286A" w14:paraId="6BD6D58A" w14:textId="77777777" w:rsidTr="00F2124D">
        <w:trPr>
          <w:trHeight w:val="688"/>
          <w:jc w:val="center"/>
        </w:trPr>
        <w:tc>
          <w:tcPr>
            <w:tcW w:w="7052" w:type="dxa"/>
            <w:shd w:val="clear" w:color="auto" w:fill="DBE5F1" w:themeFill="accent1" w:themeFillTint="33"/>
            <w:vAlign w:val="center"/>
          </w:tcPr>
          <w:p w14:paraId="2C2B5127" w14:textId="441624AA" w:rsidR="00B133A9" w:rsidRPr="00D0286A" w:rsidRDefault="00B133A9" w:rsidP="00F2124D">
            <w:pPr>
              <w:tabs>
                <w:tab w:val="left" w:pos="0"/>
              </w:tabs>
              <w:spacing w:line="276" w:lineRule="auto"/>
              <w:ind w:left="-142"/>
              <w:jc w:val="center"/>
              <w:rPr>
                <w:rFonts w:ascii="Tahoma" w:hAnsi="Tahoma" w:cs="Tahoma"/>
                <w:b/>
                <w:sz w:val="18"/>
                <w:szCs w:val="18"/>
                <w:lang w:eastAsia="en-US"/>
              </w:rPr>
            </w:pPr>
            <w:bookmarkStart w:id="1" w:name="_Hlk42603373"/>
            <w:r w:rsidRPr="00F61A56">
              <w:rPr>
                <w:rFonts w:ascii="Tahoma" w:hAnsi="Tahoma" w:cs="Tahoma"/>
                <w:b/>
                <w:lang w:eastAsia="en-US"/>
              </w:rPr>
              <w:t xml:space="preserve">LOT 1 – Type of Units </w:t>
            </w:r>
            <w:r w:rsidRPr="00F61A56">
              <w:rPr>
                <w:b/>
                <w:lang w:eastAsia="en-US"/>
              </w:rPr>
              <w:t>▼</w:t>
            </w:r>
          </w:p>
        </w:tc>
        <w:tc>
          <w:tcPr>
            <w:tcW w:w="1533" w:type="dxa"/>
            <w:tcBorders>
              <w:bottom w:val="single" w:sz="2" w:space="0" w:color="FF0000"/>
            </w:tcBorders>
            <w:shd w:val="clear" w:color="auto" w:fill="DBE5F1" w:themeFill="accent1" w:themeFillTint="33"/>
            <w:vAlign w:val="center"/>
          </w:tcPr>
          <w:p w14:paraId="14D50370" w14:textId="032F931C" w:rsidR="00B133A9" w:rsidRPr="00D0286A" w:rsidRDefault="00F14B32" w:rsidP="00F2124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F14B32" w:rsidRDefault="00B133A9"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27831C06" w14:textId="77777777" w:rsidR="00B133A9" w:rsidRPr="00D0286A" w:rsidRDefault="00B133A9"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CC6D82" w:rsidRPr="00D0286A" w14:paraId="5A649F14" w14:textId="77777777" w:rsidTr="00F2124D">
        <w:trPr>
          <w:trHeight w:val="780"/>
          <w:jc w:val="center"/>
        </w:trPr>
        <w:tc>
          <w:tcPr>
            <w:tcW w:w="7052" w:type="dxa"/>
            <w:tcBorders>
              <w:right w:val="single" w:sz="2" w:space="0" w:color="FF0000"/>
            </w:tcBorders>
            <w:shd w:val="clear" w:color="auto" w:fill="F2F2F2" w:themeFill="background1" w:themeFillShade="F2"/>
            <w:vAlign w:val="center"/>
          </w:tcPr>
          <w:p w14:paraId="1379CF93" w14:textId="50223999" w:rsidR="00F61A56" w:rsidRPr="00D9377B" w:rsidRDefault="00D9377B" w:rsidP="00BD4695">
            <w:pPr>
              <w:spacing w:before="60" w:after="60"/>
              <w:ind w:right="-249"/>
              <w:jc w:val="both"/>
              <w:rPr>
                <w:rFonts w:ascii="Tahoma" w:eastAsia="Calibri" w:hAnsi="Tahoma" w:cs="Tahoma"/>
                <w:b/>
                <w:bCs/>
                <w:sz w:val="16"/>
                <w:szCs w:val="16"/>
                <w:lang w:val="en-US" w:eastAsia="en-US"/>
              </w:rPr>
            </w:pPr>
            <w:bookmarkStart w:id="2" w:name="_Hlk45101111"/>
            <w:r w:rsidRPr="0049043B">
              <w:rPr>
                <w:rFonts w:ascii="Tahoma" w:hAnsi="Tahoma" w:cs="Tahoma"/>
                <w:b/>
                <w:bCs/>
                <w:noProof/>
                <w:sz w:val="28"/>
                <w:szCs w:val="28"/>
                <w:u w:val="single"/>
                <w:lang w:eastAsia="fr-FR"/>
              </w:rPr>
              <w:t>Consultancy Services for Subject Experts for Capacity Building of administrative judges</w:t>
            </w:r>
            <w:bookmarkEnd w:id="2"/>
            <w:r w:rsidRPr="00D9377B">
              <w:rPr>
                <w:rFonts w:ascii="Tahoma" w:eastAsia="Calibri" w:hAnsi="Tahoma" w:cs="Tahoma"/>
                <w:b/>
                <w:bCs/>
                <w:sz w:val="16"/>
                <w:szCs w:val="16"/>
                <w:lang w:val="en-US" w:eastAsia="en-US"/>
              </w:rPr>
              <w:t xml:space="preserve"> </w:t>
            </w:r>
          </w:p>
          <w:p w14:paraId="6CEC6CA9" w14:textId="77777777" w:rsidR="004E0CBF" w:rsidRDefault="004E0CBF" w:rsidP="00BD4695">
            <w:pPr>
              <w:spacing w:line="276" w:lineRule="auto"/>
              <w:jc w:val="both"/>
              <w:rPr>
                <w:rFonts w:ascii="Tahoma" w:hAnsi="Tahoma" w:cs="Tahoma"/>
                <w:bCs/>
                <w:sz w:val="18"/>
                <w:szCs w:val="18"/>
                <w:lang w:eastAsia="en-US"/>
              </w:rPr>
            </w:pPr>
          </w:p>
          <w:p w14:paraId="4E719ABE" w14:textId="77777777" w:rsidR="00D9377B" w:rsidRPr="0049043B" w:rsidRDefault="00D9377B" w:rsidP="00BD4695">
            <w:pPr>
              <w:spacing w:before="60" w:after="60"/>
              <w:ind w:right="-249"/>
              <w:jc w:val="both"/>
              <w:rPr>
                <w:rFonts w:ascii="Tahoma" w:eastAsia="Calibri" w:hAnsi="Tahoma" w:cs="Tahoma"/>
                <w:b/>
                <w:bCs/>
                <w:lang w:val="en-US" w:eastAsia="en-US"/>
              </w:rPr>
            </w:pPr>
            <w:r w:rsidRPr="0049043B">
              <w:rPr>
                <w:rFonts w:ascii="Tahoma" w:eastAsia="Calibri" w:hAnsi="Tahoma" w:cs="Tahoma"/>
                <w:b/>
                <w:bCs/>
                <w:lang w:val="en-US" w:eastAsia="en-US"/>
              </w:rPr>
              <w:t xml:space="preserve">Curricula and Training Materials Development, Delivery of Training of Trainers and Pilot Cascade Trainings for </w:t>
            </w:r>
            <w:r w:rsidRPr="0049043B">
              <w:rPr>
                <w:rFonts w:ascii="Tahoma" w:eastAsia="Calibri" w:hAnsi="Tahoma" w:cs="Tahoma"/>
                <w:b/>
                <w:bCs/>
                <w:u w:val="single"/>
                <w:lang w:val="en-US" w:eastAsia="en-US"/>
              </w:rPr>
              <w:t>Administrative Judges</w:t>
            </w:r>
          </w:p>
          <w:p w14:paraId="774A3EA4" w14:textId="77777777" w:rsidR="00D9377B" w:rsidRPr="0049043B" w:rsidRDefault="00D9377B" w:rsidP="00BD4695">
            <w:pPr>
              <w:spacing w:line="276" w:lineRule="auto"/>
              <w:jc w:val="both"/>
              <w:rPr>
                <w:rFonts w:ascii="Tahoma" w:hAnsi="Tahoma" w:cs="Tahoma"/>
                <w:b/>
                <w:bCs/>
                <w:sz w:val="18"/>
                <w:szCs w:val="18"/>
                <w:lang w:eastAsia="en-US"/>
              </w:rPr>
            </w:pPr>
          </w:p>
          <w:p w14:paraId="76520EB0" w14:textId="77777777" w:rsidR="00D9377B" w:rsidRPr="0049043B" w:rsidRDefault="00D9377B" w:rsidP="00BD4695">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450A728B" w14:textId="0AC09BB4"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1</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Legal Reasoning and Legal Drafting (LRLD) </w:t>
            </w:r>
          </w:p>
          <w:p w14:paraId="3CD91B08" w14:textId="3E8FDD32"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2</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ECtHR and Turkish Constitutional Court Rulings in the Case</w:t>
            </w:r>
            <w:r w:rsidR="000A2F00">
              <w:rPr>
                <w:rFonts w:ascii="Tahoma" w:eastAsia="Calibri" w:hAnsi="Tahoma" w:cs="Tahoma"/>
                <w:sz w:val="18"/>
                <w:szCs w:val="18"/>
                <w:lang w:val="en-US" w:eastAsia="en-US"/>
              </w:rPr>
              <w:t xml:space="preserve"> </w:t>
            </w:r>
            <w:r w:rsidR="00D9377B" w:rsidRPr="0049043B">
              <w:rPr>
                <w:rFonts w:ascii="Tahoma" w:eastAsia="Calibri" w:hAnsi="Tahoma" w:cs="Tahoma"/>
                <w:sz w:val="18"/>
                <w:szCs w:val="18"/>
                <w:lang w:val="en-US" w:eastAsia="en-US"/>
              </w:rPr>
              <w:t>Law of Administrative justice.</w:t>
            </w:r>
          </w:p>
          <w:p w14:paraId="6FEEE841" w14:textId="59482E65"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3</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Fair Trial – Reasonable Time (FTRT)  </w:t>
            </w:r>
          </w:p>
          <w:p w14:paraId="3B510A76" w14:textId="77777777" w:rsidR="00D9377B" w:rsidRPr="0049043B" w:rsidRDefault="00D9377B" w:rsidP="00BD4695">
            <w:pPr>
              <w:spacing w:line="276" w:lineRule="auto"/>
              <w:jc w:val="both"/>
              <w:rPr>
                <w:rFonts w:ascii="Tahoma" w:hAnsi="Tahoma" w:cs="Tahoma"/>
                <w:b/>
                <w:bCs/>
                <w:sz w:val="18"/>
                <w:szCs w:val="18"/>
                <w:lang w:eastAsia="en-US"/>
              </w:rPr>
            </w:pPr>
          </w:p>
          <w:p w14:paraId="2F0B2CA8" w14:textId="77777777" w:rsidR="00D9377B" w:rsidRPr="0049043B" w:rsidRDefault="00D9377B" w:rsidP="00BD4695">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5EE54D43" w14:textId="683C0779" w:rsid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Preparation of training programme, training modules and training materials for training of trainers (ToT), pilot cascade trainings and regular cascade trainings for judges through desk-top studies and face to face meetings and workshops.</w:t>
            </w:r>
          </w:p>
          <w:p w14:paraId="61F7A870" w14:textId="77777777" w:rsidR="00E449D8" w:rsidRPr="00E449D8" w:rsidRDefault="00E449D8" w:rsidP="00E449D8">
            <w:pPr>
              <w:spacing w:line="276" w:lineRule="auto"/>
              <w:ind w:left="720"/>
              <w:jc w:val="both"/>
              <w:rPr>
                <w:rFonts w:ascii="Tahoma" w:hAnsi="Tahoma" w:cs="Tahoma"/>
                <w:sz w:val="18"/>
                <w:szCs w:val="18"/>
                <w:lang w:eastAsia="en-US"/>
              </w:rPr>
            </w:pPr>
          </w:p>
          <w:p w14:paraId="1DD1E772" w14:textId="14BDF410"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The training materials will include toolkits mainly for trainer book and relevant materials for TOTs, participant book and other relevant materials for cascade trainings which will be conducted for developing curricula and training materials including incorporation of legislation, jurisprudence, case studies and other information into the identified parts of module instructions and training materials based on TNA recommendations and results, adapted to training of administrative law judges.</w:t>
            </w:r>
          </w:p>
          <w:p w14:paraId="18A8CDAB" w14:textId="77777777" w:rsidR="00E449D8" w:rsidRPr="00E449D8" w:rsidRDefault="00E449D8" w:rsidP="00E449D8">
            <w:pPr>
              <w:spacing w:line="276" w:lineRule="auto"/>
              <w:ind w:left="360"/>
              <w:jc w:val="both"/>
              <w:rPr>
                <w:rFonts w:ascii="Tahoma" w:hAnsi="Tahoma" w:cs="Tahoma"/>
                <w:sz w:val="18"/>
                <w:szCs w:val="18"/>
                <w:lang w:eastAsia="en-US"/>
              </w:rPr>
            </w:pPr>
          </w:p>
          <w:p w14:paraId="1EE6D704" w14:textId="280E04EF"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Adaptation of the selected training and materials to an on</w:t>
            </w:r>
            <w:r w:rsidR="000A2F00">
              <w:rPr>
                <w:rFonts w:ascii="Tahoma" w:hAnsi="Tahoma" w:cs="Tahoma"/>
                <w:sz w:val="18"/>
                <w:szCs w:val="18"/>
                <w:lang w:eastAsia="en-US"/>
              </w:rPr>
              <w:t>l</w:t>
            </w:r>
            <w:r w:rsidRPr="00E449D8">
              <w:rPr>
                <w:rFonts w:ascii="Tahoma" w:hAnsi="Tahoma" w:cs="Tahoma"/>
                <w:sz w:val="18"/>
                <w:szCs w:val="18"/>
                <w:lang w:eastAsia="en-US"/>
              </w:rPr>
              <w:t>ine or remote course that can be used for continuing inhouse learning for the judges and other relevant staff in the administrative justice system, as needed.</w:t>
            </w:r>
          </w:p>
          <w:p w14:paraId="18D36948" w14:textId="77777777" w:rsidR="00E449D8" w:rsidRPr="00E449D8" w:rsidRDefault="00E449D8" w:rsidP="00E449D8">
            <w:pPr>
              <w:spacing w:line="276" w:lineRule="auto"/>
              <w:ind w:left="360"/>
              <w:jc w:val="both"/>
              <w:rPr>
                <w:rFonts w:ascii="Tahoma" w:hAnsi="Tahoma" w:cs="Tahoma"/>
                <w:sz w:val="18"/>
                <w:szCs w:val="18"/>
                <w:lang w:eastAsia="en-US"/>
              </w:rPr>
            </w:pPr>
          </w:p>
          <w:p w14:paraId="017AA4CF"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Delivery of three ToTs as a lead trainer through facilitation of trainings and applying training methodology in the training agenda together with the thematic topics that will be implemented in two and a half days as specialized ToT trainings, for each training course/topic mentioned above.</w:t>
            </w:r>
          </w:p>
          <w:p w14:paraId="59114EC6" w14:textId="77777777" w:rsidR="00E449D8" w:rsidRPr="00E449D8" w:rsidRDefault="00E449D8" w:rsidP="00E449D8">
            <w:pPr>
              <w:spacing w:line="276" w:lineRule="auto"/>
              <w:ind w:left="360"/>
              <w:jc w:val="both"/>
              <w:rPr>
                <w:rFonts w:ascii="Tahoma" w:hAnsi="Tahoma" w:cs="Tahoma"/>
                <w:sz w:val="18"/>
                <w:szCs w:val="18"/>
                <w:lang w:eastAsia="en-US"/>
              </w:rPr>
            </w:pPr>
          </w:p>
          <w:p w14:paraId="0807D6E7"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Supporting for preparation of an assessment report on the results and outcome of ToTs.</w:t>
            </w:r>
          </w:p>
          <w:p w14:paraId="2FCC1A1C" w14:textId="77777777" w:rsidR="00E449D8" w:rsidRPr="00E449D8" w:rsidRDefault="00E449D8" w:rsidP="00E449D8">
            <w:pPr>
              <w:spacing w:line="276" w:lineRule="auto"/>
              <w:ind w:left="360"/>
              <w:jc w:val="both"/>
              <w:rPr>
                <w:rFonts w:ascii="Tahoma" w:hAnsi="Tahoma" w:cs="Tahoma"/>
                <w:sz w:val="18"/>
                <w:szCs w:val="18"/>
                <w:lang w:eastAsia="en-US"/>
              </w:rPr>
            </w:pPr>
          </w:p>
          <w:p w14:paraId="441274DF"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of pilot trainings and revision of the training curriculum and materials after the training for wider dissemination of cascade trainings.</w:t>
            </w:r>
          </w:p>
          <w:p w14:paraId="131A5A8B" w14:textId="77777777" w:rsidR="00E449D8" w:rsidRPr="00E449D8" w:rsidRDefault="00E449D8" w:rsidP="00E449D8">
            <w:pPr>
              <w:spacing w:line="276" w:lineRule="auto"/>
              <w:ind w:left="360"/>
              <w:jc w:val="both"/>
              <w:rPr>
                <w:rFonts w:ascii="Tahoma" w:hAnsi="Tahoma" w:cs="Tahoma"/>
                <w:sz w:val="18"/>
                <w:szCs w:val="18"/>
                <w:lang w:eastAsia="en-US"/>
              </w:rPr>
            </w:pPr>
          </w:p>
          <w:p w14:paraId="75103D91"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and supporting the cascade trainings through facilitation of trainings including individual and online support to the trainers.</w:t>
            </w:r>
          </w:p>
          <w:p w14:paraId="0B16D0ED" w14:textId="77777777" w:rsidR="00E449D8" w:rsidRPr="00E449D8" w:rsidRDefault="00E449D8" w:rsidP="00E449D8">
            <w:pPr>
              <w:spacing w:line="276" w:lineRule="auto"/>
              <w:ind w:left="360"/>
              <w:jc w:val="both"/>
              <w:rPr>
                <w:rFonts w:ascii="Tahoma" w:hAnsi="Tahoma" w:cs="Tahoma"/>
                <w:sz w:val="18"/>
                <w:szCs w:val="18"/>
                <w:lang w:eastAsia="en-US"/>
              </w:rPr>
            </w:pPr>
          </w:p>
          <w:p w14:paraId="63D30C06" w14:textId="6D130AE1" w:rsidR="00D9377B"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 xml:space="preserve">Preparation of the assessment reports on the results and outcome of the cascade trainings and revise the training materials after completion of the cascade training sessions, for future training and dissemination among other administrative justice courts. </w:t>
            </w:r>
          </w:p>
          <w:p w14:paraId="2BCAF44A" w14:textId="57064347" w:rsidR="00D9377B" w:rsidRPr="00D9377B" w:rsidRDefault="00D9377B" w:rsidP="00D9377B">
            <w:pPr>
              <w:tabs>
                <w:tab w:val="left" w:pos="284"/>
              </w:tabs>
              <w:jc w:val="both"/>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1CB4084" w:rsidR="00B133A9" w:rsidRPr="00597377" w:rsidRDefault="00597377" w:rsidP="00F2124D">
            <w:pPr>
              <w:spacing w:line="276" w:lineRule="auto"/>
              <w:ind w:left="-142" w:right="-91"/>
              <w:jc w:val="center"/>
              <w:rPr>
                <w:rFonts w:ascii="Tahoma" w:hAnsi="Tahoma" w:cs="Tahoma"/>
                <w:b/>
                <w:bCs/>
                <w:sz w:val="18"/>
                <w:szCs w:val="18"/>
                <w:highlight w:val="yellow"/>
                <w:lang w:eastAsia="en-US"/>
              </w:rPr>
            </w:pPr>
            <w:r w:rsidRPr="00597377">
              <w:rPr>
                <w:rFonts w:ascii="Tahoma" w:hAnsi="Tahoma" w:cs="Tahoma"/>
                <w:b/>
                <w:bCs/>
                <w:sz w:val="18"/>
                <w:szCs w:val="18"/>
                <w:lang w:eastAsia="en-US"/>
              </w:rPr>
              <w:t>200</w:t>
            </w:r>
          </w:p>
        </w:tc>
      </w:tr>
      <w:bookmarkEnd w:id="1"/>
    </w:tbl>
    <w:p w14:paraId="790ED650" w14:textId="77777777" w:rsidR="00F2124D" w:rsidRPr="00D0286A" w:rsidRDefault="00F2124D" w:rsidP="00B9327D">
      <w:pPr>
        <w:spacing w:before="60" w:after="120"/>
        <w:rPr>
          <w:rFonts w:ascii="Tahoma" w:hAnsi="Tahoma" w:cs="Tahoma"/>
          <w:sz w:val="20"/>
          <w:szCs w:val="20"/>
        </w:rPr>
      </w:pPr>
    </w:p>
    <w:p w14:paraId="6022B3E4" w14:textId="77777777" w:rsidR="00B133A9" w:rsidRPr="00F61A56"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bookmarkStart w:id="3" w:name="_Hlk44584720"/>
      <w:r w:rsidRPr="00F61A56">
        <w:rPr>
          <w:rFonts w:ascii="Tahoma" w:hAnsi="Tahoma" w:cs="Tahoma"/>
          <w:b/>
          <w:bCs/>
          <w:color w:val="FF0000"/>
          <w:sz w:val="24"/>
          <w:szCs w:val="24"/>
        </w:rPr>
        <w:lastRenderedPageBreak/>
        <w:t>The Provider shall indicate its proposed fee(s) in the box(es) below.</w:t>
      </w:r>
    </w:p>
    <w:bookmarkEnd w:id="3"/>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64E6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477D284D" w14:textId="77777777" w:rsidTr="003272B1">
        <w:trPr>
          <w:trHeight w:val="688"/>
          <w:jc w:val="center"/>
        </w:trPr>
        <w:tc>
          <w:tcPr>
            <w:tcW w:w="6963" w:type="dxa"/>
            <w:shd w:val="clear" w:color="auto" w:fill="DBE5F1" w:themeFill="accent1" w:themeFillTint="33"/>
            <w:vAlign w:val="center"/>
          </w:tcPr>
          <w:p w14:paraId="1F744B8D" w14:textId="17BE1F5D" w:rsidR="00B133A9" w:rsidRPr="00D0286A" w:rsidRDefault="00B133A9" w:rsidP="00F2124D">
            <w:pPr>
              <w:tabs>
                <w:tab w:val="left" w:pos="0"/>
              </w:tabs>
              <w:spacing w:line="276" w:lineRule="auto"/>
              <w:ind w:left="-142"/>
              <w:jc w:val="center"/>
              <w:rPr>
                <w:rFonts w:ascii="Tahoma" w:hAnsi="Tahoma" w:cs="Tahoma"/>
                <w:b/>
                <w:sz w:val="18"/>
                <w:szCs w:val="18"/>
                <w:lang w:eastAsia="en-US"/>
              </w:rPr>
            </w:pPr>
            <w:bookmarkStart w:id="4" w:name="_Hlk45101891"/>
            <w:r w:rsidRPr="00F61A56">
              <w:rPr>
                <w:rFonts w:ascii="Tahoma" w:hAnsi="Tahoma" w:cs="Tahoma"/>
                <w:b/>
                <w:lang w:eastAsia="en-US"/>
              </w:rPr>
              <w:t xml:space="preserve">LOT 2 – Type of Units </w:t>
            </w:r>
            <w:r w:rsidRPr="00F61A56">
              <w:rPr>
                <w:b/>
                <w:lang w:eastAsia="en-US"/>
              </w:rPr>
              <w:t>▼</w:t>
            </w:r>
          </w:p>
        </w:tc>
        <w:tc>
          <w:tcPr>
            <w:tcW w:w="1517" w:type="dxa"/>
            <w:tcBorders>
              <w:bottom w:val="single" w:sz="2" w:space="0" w:color="FF0000"/>
            </w:tcBorders>
            <w:shd w:val="clear" w:color="auto" w:fill="DBE5F1" w:themeFill="accent1" w:themeFillTint="33"/>
            <w:vAlign w:val="center"/>
          </w:tcPr>
          <w:p w14:paraId="4B8315A5" w14:textId="6B6E5CB0" w:rsidR="00B133A9" w:rsidRPr="00D0286A" w:rsidRDefault="00F14B32" w:rsidP="00F2124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7EE24855" w14:textId="77777777" w:rsidR="00B133A9" w:rsidRPr="00D0286A" w:rsidRDefault="00B133A9"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F14B32" w:rsidRDefault="00B133A9"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2D699B72" w14:textId="77777777" w:rsidR="00B133A9" w:rsidRPr="00D0286A" w:rsidRDefault="00B133A9"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B133A9" w:rsidRPr="00D0286A" w14:paraId="4C29C9B9" w14:textId="77777777" w:rsidTr="00164952">
        <w:trPr>
          <w:trHeight w:val="12546"/>
          <w:jc w:val="center"/>
        </w:trPr>
        <w:tc>
          <w:tcPr>
            <w:tcW w:w="6963" w:type="dxa"/>
            <w:tcBorders>
              <w:right w:val="single" w:sz="2" w:space="0" w:color="FF0000"/>
            </w:tcBorders>
            <w:shd w:val="clear" w:color="auto" w:fill="F2F2F2" w:themeFill="background1" w:themeFillShade="F2"/>
            <w:vAlign w:val="center"/>
          </w:tcPr>
          <w:p w14:paraId="68B4C0E5" w14:textId="7EC7DE0E" w:rsidR="00F61A56" w:rsidRPr="00D9377B" w:rsidRDefault="00D9377B" w:rsidP="00BD4695">
            <w:pPr>
              <w:spacing w:before="60" w:after="60"/>
              <w:ind w:right="51"/>
              <w:jc w:val="both"/>
              <w:rPr>
                <w:rFonts w:ascii="Tahoma" w:eastAsia="Calibri" w:hAnsi="Tahoma" w:cs="Tahoma"/>
                <w:b/>
                <w:bCs/>
                <w:sz w:val="16"/>
                <w:szCs w:val="16"/>
                <w:lang w:val="en-US" w:eastAsia="en-US"/>
              </w:rPr>
            </w:pPr>
            <w:r w:rsidRPr="0049043B">
              <w:rPr>
                <w:rFonts w:ascii="Tahoma" w:hAnsi="Tahoma" w:cs="Tahoma"/>
                <w:b/>
                <w:bCs/>
                <w:noProof/>
                <w:sz w:val="28"/>
                <w:szCs w:val="28"/>
                <w:u w:val="single"/>
                <w:lang w:eastAsia="fr-FR"/>
              </w:rPr>
              <w:t>Consultancy Services for Subject Experts for Capacity Building of administrative courts’ staff</w:t>
            </w:r>
            <w:r w:rsidRPr="00D9377B">
              <w:rPr>
                <w:rFonts w:ascii="Tahoma" w:eastAsia="Calibri" w:hAnsi="Tahoma" w:cs="Tahoma"/>
                <w:b/>
                <w:bCs/>
                <w:sz w:val="16"/>
                <w:szCs w:val="16"/>
                <w:lang w:val="en-US" w:eastAsia="en-US"/>
              </w:rPr>
              <w:t xml:space="preserve"> </w:t>
            </w:r>
          </w:p>
          <w:p w14:paraId="549EA896" w14:textId="77777777" w:rsidR="00D9377B" w:rsidRDefault="00D9377B" w:rsidP="00BD4695">
            <w:pPr>
              <w:spacing w:before="60" w:after="60"/>
              <w:ind w:right="51"/>
              <w:jc w:val="both"/>
              <w:rPr>
                <w:rFonts w:ascii="Tahoma" w:eastAsia="Calibri" w:hAnsi="Tahoma" w:cs="Tahoma"/>
                <w:b/>
                <w:bCs/>
                <w:sz w:val="18"/>
                <w:szCs w:val="18"/>
                <w:lang w:val="en-US" w:eastAsia="en-US"/>
              </w:rPr>
            </w:pPr>
          </w:p>
          <w:p w14:paraId="6FD623D9" w14:textId="77777777" w:rsidR="00D9377B" w:rsidRPr="0049043B" w:rsidRDefault="00D9377B" w:rsidP="00BD4695">
            <w:pPr>
              <w:spacing w:before="60" w:after="60"/>
              <w:ind w:right="-249"/>
              <w:jc w:val="both"/>
              <w:rPr>
                <w:rFonts w:ascii="Tahoma" w:eastAsia="Calibri" w:hAnsi="Tahoma" w:cs="Tahoma"/>
                <w:b/>
                <w:bCs/>
                <w:u w:val="single"/>
                <w:lang w:val="en-US" w:eastAsia="en-US"/>
              </w:rPr>
            </w:pPr>
            <w:r w:rsidRPr="0049043B">
              <w:rPr>
                <w:rFonts w:ascii="Tahoma" w:eastAsia="Calibri" w:hAnsi="Tahoma" w:cs="Tahoma"/>
                <w:b/>
                <w:bCs/>
                <w:lang w:val="en-US" w:eastAsia="en-US"/>
              </w:rPr>
              <w:t xml:space="preserve">Curricula and Training Materials Development, Delivery of Training of Trainers and Pilot and Cascade Trainings for </w:t>
            </w:r>
            <w:r w:rsidRPr="0049043B">
              <w:rPr>
                <w:rFonts w:ascii="Tahoma" w:eastAsia="Calibri" w:hAnsi="Tahoma" w:cs="Tahoma"/>
                <w:b/>
                <w:bCs/>
                <w:u w:val="single"/>
                <w:lang w:val="en-US" w:eastAsia="en-US"/>
              </w:rPr>
              <w:t>Administrative Court Staff</w:t>
            </w:r>
          </w:p>
          <w:p w14:paraId="052A2BA1" w14:textId="77777777" w:rsidR="00D9377B" w:rsidRPr="0049043B" w:rsidRDefault="00D9377B" w:rsidP="00BD4695">
            <w:pPr>
              <w:spacing w:before="60" w:after="60"/>
              <w:ind w:right="51"/>
              <w:jc w:val="both"/>
              <w:rPr>
                <w:rFonts w:ascii="Tahoma" w:eastAsia="Calibri" w:hAnsi="Tahoma" w:cs="Tahoma"/>
                <w:b/>
                <w:bCs/>
                <w:sz w:val="18"/>
                <w:szCs w:val="18"/>
                <w:lang w:val="en-US" w:eastAsia="en-US"/>
              </w:rPr>
            </w:pPr>
          </w:p>
          <w:p w14:paraId="3DD87344" w14:textId="77777777" w:rsidR="00D9377B" w:rsidRPr="0049043B" w:rsidRDefault="00D9377B" w:rsidP="00BD4695">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 to be prepared:</w:t>
            </w:r>
          </w:p>
          <w:p w14:paraId="33CABEE3" w14:textId="77777777" w:rsidR="00D9377B" w:rsidRPr="0049043B" w:rsidRDefault="00D9377B" w:rsidP="00BD4695">
            <w:pPr>
              <w:spacing w:before="60" w:after="60"/>
              <w:ind w:right="51"/>
              <w:jc w:val="both"/>
              <w:rPr>
                <w:rFonts w:ascii="Tahoma" w:eastAsia="Calibri" w:hAnsi="Tahoma" w:cs="Tahoma"/>
                <w:b/>
                <w:bCs/>
                <w:sz w:val="18"/>
                <w:szCs w:val="18"/>
                <w:lang w:val="en-US" w:eastAsia="en-US"/>
              </w:rPr>
            </w:pPr>
            <w:r w:rsidRPr="0049043B">
              <w:rPr>
                <w:rFonts w:ascii="Tahoma" w:eastAsia="Calibri" w:hAnsi="Tahoma" w:cs="Tahoma"/>
                <w:b/>
                <w:bCs/>
                <w:sz w:val="18"/>
                <w:szCs w:val="18"/>
                <w:lang w:val="en-US" w:eastAsia="en-US"/>
              </w:rPr>
              <w:t xml:space="preserve">Module 1: </w:t>
            </w:r>
            <w:r w:rsidRPr="0049043B">
              <w:rPr>
                <w:rFonts w:ascii="Tahoma" w:eastAsia="Calibri" w:hAnsi="Tahoma" w:cs="Tahoma"/>
                <w:sz w:val="18"/>
                <w:szCs w:val="18"/>
                <w:lang w:val="en-US" w:eastAsia="en-US"/>
              </w:rPr>
              <w:t>Case &amp;Time Management (CTM) for administrative court staff</w:t>
            </w:r>
          </w:p>
          <w:p w14:paraId="0409D360" w14:textId="77777777" w:rsidR="00D9377B" w:rsidRPr="0049043B" w:rsidRDefault="00D9377B" w:rsidP="00BD4695">
            <w:pPr>
              <w:jc w:val="both"/>
              <w:rPr>
                <w:rFonts w:ascii="Tahoma" w:hAnsi="Tahoma" w:cs="Tahoma"/>
                <w:sz w:val="18"/>
                <w:szCs w:val="18"/>
                <w:lang w:val="en-US" w:eastAsia="en-US"/>
              </w:rPr>
            </w:pPr>
          </w:p>
          <w:p w14:paraId="07FEB33D" w14:textId="77777777" w:rsidR="00D9377B" w:rsidRPr="0049043B" w:rsidRDefault="00D9377B" w:rsidP="00BD4695">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4E596E8B" w14:textId="3CE01692"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 xml:space="preserve">Preparation of training programme, training module and training materials for training of trainers (ToT), pilot cascade trainings and regular cascade trainings for court staff through desktop studies and face to face meetings and workshops. </w:t>
            </w:r>
          </w:p>
          <w:p w14:paraId="764B0541" w14:textId="77777777" w:rsidR="00E449D8" w:rsidRPr="00E449D8" w:rsidRDefault="00E449D8" w:rsidP="00E449D8">
            <w:pPr>
              <w:spacing w:line="276" w:lineRule="auto"/>
              <w:ind w:left="720"/>
              <w:jc w:val="both"/>
              <w:rPr>
                <w:rFonts w:ascii="Tahoma" w:hAnsi="Tahoma" w:cs="Tahoma"/>
                <w:sz w:val="18"/>
                <w:szCs w:val="18"/>
                <w:lang w:eastAsia="en-US"/>
              </w:rPr>
            </w:pPr>
          </w:p>
          <w:p w14:paraId="57F2A84E" w14:textId="112CCE15"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The training materials will include in-service toolkits mainly for trainer book  and relevant materials for TOTs, participant book and other relevant materials for cascade trainings which will be conducted for developing curricula and training materials including incorporation of legislation, court</w:t>
            </w:r>
            <w:r w:rsidR="000A2F00">
              <w:rPr>
                <w:rFonts w:ascii="Tahoma" w:hAnsi="Tahoma" w:cs="Tahoma"/>
                <w:sz w:val="18"/>
                <w:szCs w:val="18"/>
                <w:lang w:eastAsia="en-US"/>
              </w:rPr>
              <w:t xml:space="preserve"> </w:t>
            </w:r>
            <w:r w:rsidRPr="00E449D8">
              <w:rPr>
                <w:rFonts w:ascii="Tahoma" w:hAnsi="Tahoma" w:cs="Tahoma"/>
                <w:sz w:val="18"/>
                <w:szCs w:val="18"/>
                <w:lang w:eastAsia="en-US"/>
              </w:rPr>
              <w:t>staff /registry regulation on case management, time management including existing IT/UYAP applications, analytical skills</w:t>
            </w:r>
            <w:r w:rsidR="000A2F00">
              <w:rPr>
                <w:rFonts w:ascii="Tahoma" w:hAnsi="Tahoma" w:cs="Tahoma"/>
                <w:sz w:val="18"/>
                <w:szCs w:val="18"/>
                <w:lang w:eastAsia="en-US"/>
              </w:rPr>
              <w:t xml:space="preserve">, </w:t>
            </w:r>
            <w:r w:rsidRPr="00E449D8">
              <w:rPr>
                <w:rFonts w:ascii="Tahoma" w:hAnsi="Tahoma" w:cs="Tahoma"/>
                <w:sz w:val="18"/>
                <w:szCs w:val="18"/>
                <w:lang w:eastAsia="en-US"/>
              </w:rPr>
              <w:t>jurisprudence, case studies and other information into the identified parts of module instructions and training materials based on TNA recommendations and results, adapted to training of administrative court staff.</w:t>
            </w:r>
          </w:p>
          <w:p w14:paraId="132FA210" w14:textId="77777777" w:rsidR="00E449D8" w:rsidRPr="00E449D8" w:rsidRDefault="00E449D8" w:rsidP="00E449D8">
            <w:pPr>
              <w:spacing w:line="276" w:lineRule="auto"/>
              <w:ind w:left="360"/>
              <w:jc w:val="both"/>
              <w:rPr>
                <w:rFonts w:ascii="Tahoma" w:hAnsi="Tahoma" w:cs="Tahoma"/>
                <w:sz w:val="18"/>
                <w:szCs w:val="18"/>
                <w:lang w:eastAsia="en-US"/>
              </w:rPr>
            </w:pPr>
          </w:p>
          <w:p w14:paraId="2568FE9B" w14:textId="0E015CD4"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Adaptation of the selected training and materials to an online or remote course that can be used for continuing inhouse learning for administrative court staff and other relevant staff in the administrative justice system, as needed.</w:t>
            </w:r>
          </w:p>
          <w:p w14:paraId="47FC3C07" w14:textId="77777777" w:rsidR="00E449D8" w:rsidRPr="00E449D8" w:rsidRDefault="00E449D8" w:rsidP="00E449D8">
            <w:pPr>
              <w:spacing w:line="276" w:lineRule="auto"/>
              <w:ind w:left="360"/>
              <w:jc w:val="both"/>
              <w:rPr>
                <w:rFonts w:ascii="Tahoma" w:hAnsi="Tahoma" w:cs="Tahoma"/>
                <w:sz w:val="18"/>
                <w:szCs w:val="18"/>
                <w:lang w:eastAsia="en-US"/>
              </w:rPr>
            </w:pPr>
          </w:p>
          <w:p w14:paraId="3297A977"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Delivery of one ToT as a lead trainer through facilitation of trainings and applying training methodology in the training agenda together with the thematic topics that will be implemented in two and a half days as specialized ToT training, for the training course/topic mentioned above.</w:t>
            </w:r>
          </w:p>
          <w:p w14:paraId="7F4D1AA9" w14:textId="77777777" w:rsidR="00E449D8" w:rsidRPr="00E449D8" w:rsidRDefault="00E449D8" w:rsidP="00E449D8">
            <w:pPr>
              <w:spacing w:line="276" w:lineRule="auto"/>
              <w:ind w:left="360"/>
              <w:jc w:val="both"/>
              <w:rPr>
                <w:rFonts w:ascii="Tahoma" w:hAnsi="Tahoma" w:cs="Tahoma"/>
                <w:sz w:val="18"/>
                <w:szCs w:val="18"/>
                <w:lang w:eastAsia="en-US"/>
              </w:rPr>
            </w:pPr>
          </w:p>
          <w:p w14:paraId="4C04BCD4" w14:textId="6ADBB748"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Support</w:t>
            </w:r>
            <w:r w:rsidR="000A2F00">
              <w:rPr>
                <w:rFonts w:ascii="Tahoma" w:hAnsi="Tahoma" w:cs="Tahoma"/>
                <w:sz w:val="18"/>
                <w:szCs w:val="18"/>
                <w:lang w:eastAsia="en-US"/>
              </w:rPr>
              <w:t xml:space="preserve"> the</w:t>
            </w:r>
            <w:r w:rsidRPr="00E449D8">
              <w:rPr>
                <w:rFonts w:ascii="Tahoma" w:hAnsi="Tahoma" w:cs="Tahoma"/>
                <w:sz w:val="18"/>
                <w:szCs w:val="18"/>
                <w:lang w:eastAsia="en-US"/>
              </w:rPr>
              <w:t xml:space="preserve"> preparation of an assessment report on the results and outcome of ToT.</w:t>
            </w:r>
          </w:p>
          <w:p w14:paraId="6CCCFF88" w14:textId="77777777" w:rsidR="00E449D8" w:rsidRPr="00E449D8" w:rsidRDefault="00E449D8" w:rsidP="00E449D8">
            <w:pPr>
              <w:spacing w:line="276" w:lineRule="auto"/>
              <w:ind w:left="360"/>
              <w:jc w:val="both"/>
              <w:rPr>
                <w:rFonts w:ascii="Tahoma" w:hAnsi="Tahoma" w:cs="Tahoma"/>
                <w:sz w:val="18"/>
                <w:szCs w:val="18"/>
                <w:lang w:eastAsia="en-US"/>
              </w:rPr>
            </w:pPr>
          </w:p>
          <w:p w14:paraId="0F74018A"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of pilot trainings and revision of the training curriculum and materials after the training for wider dissemination of cascade trainings.</w:t>
            </w:r>
          </w:p>
          <w:p w14:paraId="706BCBCB" w14:textId="77777777" w:rsidR="00E449D8" w:rsidRPr="00E449D8" w:rsidRDefault="00E449D8" w:rsidP="00E449D8">
            <w:pPr>
              <w:spacing w:line="276" w:lineRule="auto"/>
              <w:ind w:left="360"/>
              <w:jc w:val="both"/>
              <w:rPr>
                <w:rFonts w:ascii="Tahoma" w:hAnsi="Tahoma" w:cs="Tahoma"/>
                <w:sz w:val="18"/>
                <w:szCs w:val="18"/>
                <w:lang w:eastAsia="en-US"/>
              </w:rPr>
            </w:pPr>
          </w:p>
          <w:p w14:paraId="72762194"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and supporting the cascade trainings through facilitation of trainings including individual and online support to the trainers.</w:t>
            </w:r>
          </w:p>
          <w:p w14:paraId="38F32E44" w14:textId="77777777" w:rsidR="00E449D8" w:rsidRPr="00E449D8" w:rsidRDefault="00E449D8" w:rsidP="00E449D8">
            <w:pPr>
              <w:spacing w:line="276" w:lineRule="auto"/>
              <w:ind w:left="360"/>
              <w:jc w:val="both"/>
              <w:rPr>
                <w:rFonts w:ascii="Tahoma" w:hAnsi="Tahoma" w:cs="Tahoma"/>
                <w:sz w:val="18"/>
                <w:szCs w:val="18"/>
                <w:lang w:eastAsia="en-US"/>
              </w:rPr>
            </w:pPr>
          </w:p>
          <w:p w14:paraId="252F2527" w14:textId="6442B826" w:rsidR="00D9377B" w:rsidRPr="00E449D8" w:rsidRDefault="00E449D8" w:rsidP="00E449D8">
            <w:pPr>
              <w:numPr>
                <w:ilvl w:val="0"/>
                <w:numId w:val="36"/>
              </w:numPr>
              <w:jc w:val="both"/>
              <w:rPr>
                <w:rFonts w:ascii="Tahoma" w:hAnsi="Tahoma" w:cs="Tahoma"/>
                <w:sz w:val="18"/>
                <w:szCs w:val="18"/>
                <w:lang w:eastAsia="en-US"/>
              </w:rPr>
            </w:pPr>
            <w:r w:rsidRPr="00E449D8">
              <w:rPr>
                <w:rFonts w:ascii="Tahoma" w:hAnsi="Tahoma" w:cs="Tahoma"/>
                <w:sz w:val="18"/>
                <w:szCs w:val="18"/>
                <w:lang w:eastAsia="en-US"/>
              </w:rPr>
              <w:t xml:space="preserve">Preparation of the assessment reports on the results and outcome of the cascade trainings and revise the training materials after completion of the cascade training sessions, for future training and dissemination among other administrative justice courts/registries and offices. </w:t>
            </w:r>
          </w:p>
          <w:p w14:paraId="277FDB2E" w14:textId="5B43F36D" w:rsidR="003C5C6F" w:rsidRPr="00D9377B" w:rsidRDefault="003C5C6F" w:rsidP="00D9377B">
            <w:pPr>
              <w:spacing w:line="276" w:lineRule="auto"/>
              <w:jc w:val="both"/>
              <w:rPr>
                <w:rFonts w:ascii="Tahoma" w:eastAsia="Calibri" w:hAnsi="Tahoma" w:cs="Tahoma"/>
                <w:sz w:val="18"/>
                <w:szCs w:val="18"/>
                <w:lang w:eastAsia="en-US"/>
              </w:rPr>
            </w:pP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3CDD809F" w:rsidR="00B133A9" w:rsidRPr="00F14B32" w:rsidRDefault="00F14B32" w:rsidP="00F2124D">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bookmarkEnd w:id="4"/>
    </w:tbl>
    <w:p w14:paraId="3CAC538A" w14:textId="4128BC32" w:rsidR="00F61A56" w:rsidRDefault="00F61A56" w:rsidP="00F01E6F">
      <w:pPr>
        <w:spacing w:before="60" w:after="120"/>
        <w:rPr>
          <w:rFonts w:ascii="Tahoma" w:hAnsi="Tahoma" w:cs="Tahoma"/>
          <w:sz w:val="20"/>
          <w:szCs w:val="20"/>
        </w:rPr>
      </w:pPr>
    </w:p>
    <w:p w14:paraId="52C8AC65" w14:textId="77777777" w:rsidR="00F416AD" w:rsidRDefault="00F416AD" w:rsidP="00F01E6F">
      <w:pPr>
        <w:spacing w:before="60" w:after="120"/>
        <w:rPr>
          <w:rFonts w:ascii="Tahoma" w:hAnsi="Tahoma" w:cs="Tahoma"/>
          <w:sz w:val="20"/>
          <w:szCs w:val="20"/>
        </w:rPr>
      </w:pPr>
    </w:p>
    <w:p w14:paraId="2194B829" w14:textId="25C2E107" w:rsidR="00F61A56" w:rsidRPr="00F61A56" w:rsidRDefault="00F61A56" w:rsidP="00F61A5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bookmarkStart w:id="5" w:name="_Hlk45101916"/>
      <w:r w:rsidRPr="00F61A56">
        <w:rPr>
          <w:rFonts w:ascii="Tahoma" w:hAnsi="Tahoma" w:cs="Tahoma"/>
          <w:b/>
          <w:bCs/>
          <w:color w:val="FF0000"/>
          <w:sz w:val="24"/>
          <w:szCs w:val="24"/>
        </w:rPr>
        <w:lastRenderedPageBreak/>
        <w:t>The Provider shall indicate its proposed fee(s) in the box(es) below.</w:t>
      </w:r>
    </w:p>
    <w:bookmarkEnd w:id="5"/>
    <w:p w14:paraId="07052DAF" w14:textId="49134878" w:rsidR="00597377" w:rsidRDefault="00597377" w:rsidP="00F61A56">
      <w:pPr>
        <w:spacing w:before="60" w:after="120"/>
        <w:rPr>
          <w:rFonts w:ascii="Tahoma" w:hAnsi="Tahoma" w:cs="Tahoma"/>
          <w:sz w:val="20"/>
          <w:szCs w:val="20"/>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513"/>
        <w:gridCol w:w="1575"/>
      </w:tblGrid>
      <w:tr w:rsidR="00597377" w:rsidRPr="00D0286A" w14:paraId="2334277F" w14:textId="77777777" w:rsidTr="00F2124D">
        <w:trPr>
          <w:trHeight w:val="688"/>
          <w:jc w:val="center"/>
        </w:trPr>
        <w:tc>
          <w:tcPr>
            <w:tcW w:w="7052" w:type="dxa"/>
            <w:shd w:val="clear" w:color="auto" w:fill="DBE5F1" w:themeFill="accent1" w:themeFillTint="33"/>
            <w:vAlign w:val="center"/>
          </w:tcPr>
          <w:p w14:paraId="6F3D9CBA" w14:textId="5DBD8AB9" w:rsidR="00597377" w:rsidRPr="00D0286A" w:rsidRDefault="00597377" w:rsidP="00F2124D">
            <w:pPr>
              <w:tabs>
                <w:tab w:val="left" w:pos="0"/>
              </w:tabs>
              <w:spacing w:line="276" w:lineRule="auto"/>
              <w:ind w:left="-142"/>
              <w:jc w:val="center"/>
              <w:rPr>
                <w:rFonts w:ascii="Tahoma" w:hAnsi="Tahoma" w:cs="Tahoma"/>
                <w:b/>
                <w:sz w:val="18"/>
                <w:szCs w:val="18"/>
                <w:lang w:eastAsia="en-US"/>
              </w:rPr>
            </w:pPr>
            <w:r w:rsidRPr="00F61A56">
              <w:rPr>
                <w:rFonts w:ascii="Tahoma" w:hAnsi="Tahoma" w:cs="Tahoma"/>
                <w:b/>
                <w:lang w:eastAsia="en-US"/>
              </w:rPr>
              <w:t xml:space="preserve">LOT 3 – Type of Units </w:t>
            </w:r>
            <w:r w:rsidRPr="00F61A56">
              <w:rPr>
                <w:b/>
                <w:lang w:eastAsia="en-US"/>
              </w:rPr>
              <w:t>▼</w:t>
            </w:r>
          </w:p>
        </w:tc>
        <w:tc>
          <w:tcPr>
            <w:tcW w:w="1533" w:type="dxa"/>
            <w:tcBorders>
              <w:bottom w:val="single" w:sz="2" w:space="0" w:color="FF0000"/>
            </w:tcBorders>
            <w:shd w:val="clear" w:color="auto" w:fill="DBE5F1" w:themeFill="accent1" w:themeFillTint="33"/>
            <w:vAlign w:val="center"/>
          </w:tcPr>
          <w:p w14:paraId="189C3A6B" w14:textId="14B1BFDF" w:rsidR="00F14B32" w:rsidRPr="00D0286A" w:rsidRDefault="00F61A56" w:rsidP="00F14B32">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4384" behindDoc="0" locked="1" layoutInCell="1" allowOverlap="1" wp14:anchorId="021A97D2" wp14:editId="23E57C23">
                      <wp:simplePos x="0" y="0"/>
                      <wp:positionH relativeFrom="column">
                        <wp:posOffset>1270</wp:posOffset>
                      </wp:positionH>
                      <wp:positionV relativeFrom="paragraph">
                        <wp:posOffset>-363855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52D1" id="Up Arrow 1" o:spid="_x0000_s1026" type="#_x0000_t68" style="position:absolute;margin-left:.1pt;margin-top:-28.6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OxcuXnbAAAABgEAAA8AAABkcnMvZG93bnJldi54bWxMjktPwzAQhO9I/Adr&#10;kbi1TgPhEeJUFKmIW6HtgeM2XuKI+KF4m4Z/j3uC02g0o5mvWk62FyMNsfNOwWKegSDXeN25VsF+&#10;t549gIiMTmPvHSn4oQjL+vKiwlL7k/ugccutSCMulqjAMIdSytgYshjnPpBL2ZcfLHKyQyv1gKc0&#10;bnuZZ9mdtNi59GAw0Iuh5nt7tApW/CnpLRRjxgv0YbM2/P66Uur6anp+AsE08V8ZzvgJHerEdPBH&#10;p6PoFeSpp2BW3N+ASHFePII4nPUWZF3J//j1LwAAAP//AwBQSwECLQAUAAYACAAAACEAtoM4kv4A&#10;AADhAQAAEwAAAAAAAAAAAAAAAAAAAAAAW0NvbnRlbnRfVHlwZXNdLnhtbFBLAQItABQABgAIAAAA&#10;IQA4/SH/1gAAAJQBAAALAAAAAAAAAAAAAAAAAC8BAABfcmVscy8ucmVsc1BLAQItABQABgAIAAAA&#10;IQAWxZmTUgIAALIEAAAOAAAAAAAAAAAAAAAAAC4CAABkcnMvZTJvRG9jLnhtbFBLAQItABQABgAI&#10;AAAAIQDsXLl52wAAAAYBAAAPAAAAAAAAAAAAAAAAAKwEAABkcnMvZG93bnJldi54bWxQSwUGAAAA&#10;AAQABADzAAAAtAUAAAAA&#10;" adj="3973" strokecolor="red">
                      <o:lock v:ext="edit" aspectratio="t"/>
                      <v:textbox style="layout-flow:vertical-ideographic"/>
                      <w10:anchorlock/>
                    </v:shape>
                  </w:pict>
                </mc:Fallback>
              </mc:AlternateContent>
            </w:r>
            <w:r w:rsidR="00F14B32">
              <w:rPr>
                <w:rFonts w:ascii="Tahoma" w:hAnsi="Tahoma" w:cs="Tahoma"/>
                <w:b/>
                <w:sz w:val="18"/>
                <w:szCs w:val="18"/>
                <w:lang w:eastAsia="en-US"/>
              </w:rPr>
              <w:t>Daily</w:t>
            </w:r>
            <w:r w:rsidR="00F14B32" w:rsidRPr="00D0286A">
              <w:rPr>
                <w:rFonts w:ascii="Tahoma" w:hAnsi="Tahoma" w:cs="Tahoma"/>
                <w:b/>
                <w:sz w:val="18"/>
                <w:szCs w:val="18"/>
                <w:lang w:eastAsia="en-US"/>
              </w:rPr>
              <w:t xml:space="preserve"> fee</w:t>
            </w:r>
          </w:p>
          <w:p w14:paraId="3E7E6126" w14:textId="77777777" w:rsidR="00597377" w:rsidRPr="00D0286A" w:rsidRDefault="00597377"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61B40B" w14:textId="77777777" w:rsidR="00597377" w:rsidRPr="00F14B32" w:rsidRDefault="00597377"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6C44B72D" w14:textId="77777777" w:rsidR="00597377" w:rsidRPr="00D0286A" w:rsidRDefault="00597377"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597377" w:rsidRPr="00D0286A" w14:paraId="5A6CE64A" w14:textId="77777777" w:rsidTr="00F2124D">
        <w:trPr>
          <w:trHeight w:val="780"/>
          <w:jc w:val="center"/>
        </w:trPr>
        <w:tc>
          <w:tcPr>
            <w:tcW w:w="7052" w:type="dxa"/>
            <w:tcBorders>
              <w:right w:val="single" w:sz="2" w:space="0" w:color="FF0000"/>
            </w:tcBorders>
            <w:shd w:val="clear" w:color="auto" w:fill="F2F2F2" w:themeFill="background1" w:themeFillShade="F2"/>
            <w:vAlign w:val="center"/>
          </w:tcPr>
          <w:p w14:paraId="646B385F" w14:textId="77777777" w:rsidR="00F416AD" w:rsidRPr="00F416AD" w:rsidRDefault="00F416AD" w:rsidP="00F416AD">
            <w:pPr>
              <w:spacing w:line="276" w:lineRule="auto"/>
              <w:rPr>
                <w:rFonts w:ascii="Tahoma" w:hAnsi="Tahoma" w:cs="Tahoma"/>
                <w:b/>
                <w:bCs/>
                <w:sz w:val="28"/>
                <w:szCs w:val="28"/>
                <w:u w:val="single"/>
                <w:lang w:eastAsia="en-US"/>
              </w:rPr>
            </w:pPr>
            <w:bookmarkStart w:id="6" w:name="_Hlk45101181"/>
            <w:r w:rsidRPr="00F416AD">
              <w:rPr>
                <w:rFonts w:ascii="Tahoma" w:hAnsi="Tahoma" w:cs="Tahoma"/>
                <w:b/>
                <w:bCs/>
                <w:sz w:val="28"/>
                <w:szCs w:val="28"/>
                <w:u w:val="single"/>
                <w:lang w:eastAsia="en-US"/>
              </w:rPr>
              <w:t>Consultancy Services for Education Experts</w:t>
            </w:r>
            <w:bookmarkEnd w:id="6"/>
          </w:p>
          <w:p w14:paraId="1A81B54A" w14:textId="77777777" w:rsidR="00F61A56" w:rsidRPr="00A67D8E" w:rsidRDefault="00F61A56" w:rsidP="00F61A56">
            <w:pPr>
              <w:spacing w:line="276" w:lineRule="auto"/>
              <w:rPr>
                <w:rFonts w:ascii="Tahoma" w:hAnsi="Tahoma" w:cs="Tahoma"/>
                <w:b/>
                <w:bCs/>
                <w:sz w:val="18"/>
                <w:szCs w:val="18"/>
                <w:lang w:eastAsia="en-US"/>
              </w:rPr>
            </w:pPr>
          </w:p>
          <w:p w14:paraId="235BF9FE" w14:textId="77777777" w:rsidR="00F416AD" w:rsidRPr="0049043B" w:rsidRDefault="00F416AD" w:rsidP="00F416AD">
            <w:pPr>
              <w:spacing w:before="60" w:after="60"/>
              <w:ind w:right="-249"/>
              <w:rPr>
                <w:rFonts w:ascii="Tahoma" w:eastAsia="Calibri" w:hAnsi="Tahoma" w:cs="Tahoma"/>
                <w:b/>
                <w:bCs/>
                <w:lang w:val="en-US" w:eastAsia="en-US"/>
              </w:rPr>
            </w:pPr>
            <w:r w:rsidRPr="0049043B">
              <w:rPr>
                <w:rFonts w:ascii="Tahoma" w:eastAsia="Calibri" w:hAnsi="Tahoma" w:cs="Tahoma"/>
                <w:b/>
                <w:bCs/>
                <w:lang w:val="en-US" w:eastAsia="en-US"/>
              </w:rPr>
              <w:t>Curricula and Training Materials Development, Training of Trainers and Pilot and Cascade Trainings for Administrative Judges and Administrative Court Staff</w:t>
            </w:r>
          </w:p>
          <w:p w14:paraId="1A924BC9" w14:textId="77777777" w:rsidR="00F416AD" w:rsidRPr="0049043B" w:rsidRDefault="00F416AD" w:rsidP="00F416AD">
            <w:pPr>
              <w:spacing w:before="60" w:after="60"/>
              <w:ind w:right="-249"/>
              <w:rPr>
                <w:rFonts w:ascii="Tahoma" w:eastAsia="Calibri" w:hAnsi="Tahoma" w:cs="Tahoma"/>
                <w:b/>
                <w:bCs/>
                <w:sz w:val="18"/>
                <w:szCs w:val="18"/>
                <w:u w:val="single"/>
                <w:lang w:val="en-US" w:eastAsia="en-US"/>
              </w:rPr>
            </w:pPr>
          </w:p>
          <w:p w14:paraId="79720E92" w14:textId="77777777" w:rsidR="00F416AD" w:rsidRPr="0049043B" w:rsidRDefault="00F416AD" w:rsidP="00F416AD">
            <w:pPr>
              <w:spacing w:before="60" w:after="60"/>
              <w:ind w:right="-249"/>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27A5EBDB" w14:textId="77777777"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1. </w:t>
            </w:r>
            <w:r w:rsidRPr="0049043B">
              <w:rPr>
                <w:rFonts w:ascii="Tahoma" w:eastAsia="Calibri" w:hAnsi="Tahoma" w:cs="Tahoma"/>
                <w:sz w:val="18"/>
                <w:szCs w:val="18"/>
                <w:lang w:val="en-US" w:eastAsia="en-US"/>
              </w:rPr>
              <w:t>Legal Reasoning and Legal Drafting (LRLD)</w:t>
            </w:r>
            <w:r w:rsidRPr="0049043B">
              <w:rPr>
                <w:rFonts w:ascii="Tahoma" w:eastAsia="Calibri" w:hAnsi="Tahoma" w:cs="Tahoma"/>
                <w:b/>
                <w:bCs/>
                <w:sz w:val="18"/>
                <w:szCs w:val="18"/>
                <w:lang w:val="en-US" w:eastAsia="en-US"/>
              </w:rPr>
              <w:t xml:space="preserve"> </w:t>
            </w:r>
            <w:r w:rsidRPr="0049043B">
              <w:rPr>
                <w:rFonts w:ascii="Tahoma" w:eastAsia="Calibri" w:hAnsi="Tahoma" w:cs="Tahoma"/>
                <w:sz w:val="18"/>
                <w:szCs w:val="18"/>
                <w:lang w:val="en-US" w:eastAsia="en-US"/>
              </w:rPr>
              <w:t xml:space="preserve">for administrative judges </w:t>
            </w:r>
          </w:p>
          <w:p w14:paraId="2355EAEE" w14:textId="77777777"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2. </w:t>
            </w:r>
            <w:r w:rsidRPr="0049043B">
              <w:rPr>
                <w:rFonts w:ascii="Tahoma" w:eastAsia="Calibri" w:hAnsi="Tahoma" w:cs="Tahoma"/>
                <w:sz w:val="18"/>
                <w:szCs w:val="18"/>
                <w:lang w:val="en-US" w:eastAsia="en-US"/>
              </w:rPr>
              <w:t xml:space="preserve">ECtHR and Turkish Constitutional Court Rulings in the Case-Law of Administrative justice for administrative judges </w:t>
            </w:r>
          </w:p>
          <w:p w14:paraId="3222730B" w14:textId="03C66F43"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3. </w:t>
            </w:r>
            <w:r w:rsidRPr="0049043B">
              <w:rPr>
                <w:rFonts w:ascii="Tahoma" w:eastAsia="Calibri" w:hAnsi="Tahoma" w:cs="Tahoma"/>
                <w:sz w:val="18"/>
                <w:szCs w:val="18"/>
                <w:lang w:val="en-US" w:eastAsia="en-US"/>
              </w:rPr>
              <w:t xml:space="preserve">Fair Trial – Reasonable Time (FTRT) for administrative judges </w:t>
            </w:r>
          </w:p>
          <w:p w14:paraId="6EA44AE1" w14:textId="77777777" w:rsidR="00F416AD" w:rsidRPr="0049043B" w:rsidRDefault="00F416AD" w:rsidP="00F416AD">
            <w:pPr>
              <w:spacing w:before="60" w:after="60"/>
              <w:ind w:right="51"/>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4. </w:t>
            </w:r>
            <w:r w:rsidRPr="0049043B">
              <w:rPr>
                <w:rFonts w:ascii="Tahoma" w:eastAsia="Calibri" w:hAnsi="Tahoma" w:cs="Tahoma"/>
                <w:sz w:val="18"/>
                <w:szCs w:val="18"/>
                <w:lang w:val="en-US" w:eastAsia="en-US"/>
              </w:rPr>
              <w:t>Case &amp;Time Management (CTM) for administrative court staff</w:t>
            </w:r>
          </w:p>
          <w:p w14:paraId="2FD98A6F" w14:textId="77777777" w:rsidR="00F416AD" w:rsidRPr="0049043B" w:rsidRDefault="00F416AD" w:rsidP="00F416AD">
            <w:pPr>
              <w:tabs>
                <w:tab w:val="left" w:pos="284"/>
              </w:tabs>
              <w:jc w:val="both"/>
              <w:rPr>
                <w:rFonts w:ascii="Tahoma" w:hAnsi="Tahoma" w:cs="Tahoma"/>
                <w:b/>
                <w:bCs/>
                <w:sz w:val="18"/>
                <w:szCs w:val="18"/>
                <w:u w:val="single"/>
                <w:lang w:eastAsia="en-US"/>
              </w:rPr>
            </w:pPr>
          </w:p>
          <w:p w14:paraId="47A07EFE" w14:textId="77777777" w:rsidR="00F416AD" w:rsidRPr="0049043B" w:rsidRDefault="00F416AD" w:rsidP="00F416AD">
            <w:pPr>
              <w:tabs>
                <w:tab w:val="left" w:pos="284"/>
              </w:tabs>
              <w:jc w:val="both"/>
              <w:rPr>
                <w:rFonts w:ascii="Tahoma" w:hAnsi="Tahoma" w:cs="Tahoma"/>
                <w:b/>
                <w:bCs/>
                <w:sz w:val="18"/>
                <w:szCs w:val="18"/>
                <w:u w:val="single"/>
                <w:lang w:eastAsia="en-US"/>
              </w:rPr>
            </w:pPr>
            <w:r w:rsidRPr="0049043B">
              <w:rPr>
                <w:rFonts w:ascii="Tahoma" w:hAnsi="Tahoma" w:cs="Tahoma"/>
                <w:b/>
                <w:bCs/>
                <w:sz w:val="18"/>
                <w:szCs w:val="18"/>
                <w:u w:val="single"/>
                <w:lang w:eastAsia="en-US"/>
              </w:rPr>
              <w:t xml:space="preserve">Tasks and Deliverables for Education Experts </w:t>
            </w:r>
          </w:p>
          <w:p w14:paraId="7334B8BA" w14:textId="77777777" w:rsidR="00F416AD" w:rsidRPr="0049043B" w:rsidRDefault="00F416AD" w:rsidP="00F416AD">
            <w:pPr>
              <w:tabs>
                <w:tab w:val="left" w:pos="284"/>
              </w:tabs>
              <w:jc w:val="both"/>
              <w:rPr>
                <w:rFonts w:ascii="Tahoma" w:hAnsi="Tahoma" w:cs="Tahoma"/>
                <w:sz w:val="18"/>
                <w:szCs w:val="18"/>
                <w:lang w:eastAsia="en-US"/>
              </w:rPr>
            </w:pPr>
          </w:p>
          <w:p w14:paraId="53E9B0D0" w14:textId="1F6B83BA"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 xml:space="preserve">Education experts work with the subject matter experts in preparation of in-service training toolkits / training materials including trainer book with adapted methodology book, </w:t>
            </w:r>
            <w:r w:rsidR="000A2F00">
              <w:rPr>
                <w:rFonts w:ascii="Tahoma" w:hAnsi="Tahoma" w:cs="Tahoma"/>
                <w:sz w:val="18"/>
                <w:szCs w:val="18"/>
                <w:lang w:eastAsia="en-US"/>
              </w:rPr>
              <w:t>trainees’</w:t>
            </w:r>
            <w:r w:rsidRPr="00E449D8">
              <w:rPr>
                <w:rFonts w:ascii="Tahoma" w:hAnsi="Tahoma" w:cs="Tahoma"/>
                <w:sz w:val="18"/>
                <w:szCs w:val="18"/>
                <w:lang w:eastAsia="en-US"/>
              </w:rPr>
              <w:t xml:space="preserve"> book and testing and evaluation materials to assist in refining content, scope, duration, and sequencing of components of the curriculum by utilizing the principles of adult learning and instructional design of the modules. Supervise and assist in directing the work of subject matter experts and resource trainers (working group members) and ensure compliance with curriculum standards and best practices.</w:t>
            </w:r>
          </w:p>
          <w:p w14:paraId="47310270" w14:textId="77777777" w:rsidR="00E449D8" w:rsidRPr="00E449D8" w:rsidRDefault="00E449D8" w:rsidP="00E449D8">
            <w:pPr>
              <w:tabs>
                <w:tab w:val="left" w:pos="284"/>
              </w:tabs>
              <w:jc w:val="both"/>
              <w:rPr>
                <w:rFonts w:ascii="Tahoma" w:hAnsi="Tahoma" w:cs="Tahoma"/>
                <w:sz w:val="18"/>
                <w:szCs w:val="18"/>
                <w:lang w:eastAsia="en-US"/>
              </w:rPr>
            </w:pPr>
          </w:p>
          <w:p w14:paraId="3E376B96"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Coordinate and monitor the initial testing (piloting) of the training modules for ToTs and cascade training programmes.</w:t>
            </w:r>
          </w:p>
          <w:p w14:paraId="6F273EB8" w14:textId="77777777" w:rsidR="00E449D8" w:rsidRPr="00E449D8" w:rsidRDefault="00E449D8" w:rsidP="00E449D8">
            <w:pPr>
              <w:tabs>
                <w:tab w:val="left" w:pos="284"/>
              </w:tabs>
              <w:jc w:val="both"/>
              <w:rPr>
                <w:rFonts w:ascii="Tahoma" w:hAnsi="Tahoma" w:cs="Tahoma"/>
                <w:sz w:val="18"/>
                <w:szCs w:val="18"/>
                <w:lang w:eastAsia="en-US"/>
              </w:rPr>
            </w:pPr>
          </w:p>
          <w:p w14:paraId="4F9E01E5"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Assist in revision of the training curriculum and materials for ToTs and cascade trainings.</w:t>
            </w:r>
          </w:p>
          <w:p w14:paraId="7BBB7B24" w14:textId="77777777" w:rsidR="00E449D8" w:rsidRPr="00E449D8" w:rsidRDefault="00E449D8" w:rsidP="00E449D8">
            <w:pPr>
              <w:tabs>
                <w:tab w:val="left" w:pos="284"/>
              </w:tabs>
              <w:jc w:val="both"/>
              <w:rPr>
                <w:rFonts w:ascii="Tahoma" w:hAnsi="Tahoma" w:cs="Tahoma"/>
                <w:sz w:val="18"/>
                <w:szCs w:val="18"/>
                <w:lang w:eastAsia="en-US"/>
              </w:rPr>
            </w:pPr>
          </w:p>
          <w:p w14:paraId="627002D2" w14:textId="7AA948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 xml:space="preserve">Assist in adaptation of the selected modules into online modules. </w:t>
            </w:r>
          </w:p>
          <w:p w14:paraId="7E291E1B" w14:textId="77777777" w:rsidR="00E449D8" w:rsidRPr="00E449D8" w:rsidRDefault="00E449D8" w:rsidP="00E449D8">
            <w:pPr>
              <w:tabs>
                <w:tab w:val="left" w:pos="284"/>
              </w:tabs>
              <w:jc w:val="both"/>
              <w:rPr>
                <w:rFonts w:ascii="Tahoma" w:hAnsi="Tahoma" w:cs="Tahoma"/>
                <w:sz w:val="18"/>
                <w:szCs w:val="18"/>
                <w:lang w:eastAsia="en-US"/>
              </w:rPr>
            </w:pPr>
          </w:p>
          <w:p w14:paraId="0A7500A0"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Establish a methodology/framework for measuring the effectiveness of the overall training, including methods for skills assessment and on-line training as well as any recommendations for longitudinal tracking. At the end of the training programmes, prepare a final training assessment report.</w:t>
            </w:r>
          </w:p>
          <w:p w14:paraId="22DBE737" w14:textId="2A2F7B19" w:rsidR="008E68B8" w:rsidRPr="00F416AD" w:rsidRDefault="008E68B8" w:rsidP="00F416AD">
            <w:pPr>
              <w:spacing w:line="276" w:lineRule="auto"/>
              <w:jc w:val="both"/>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41E5AC" w14:textId="77777777" w:rsidR="00597377" w:rsidRPr="00F14B32" w:rsidRDefault="00597377" w:rsidP="00F2124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8F85C23" w14:textId="77777777" w:rsidR="00BF4B03" w:rsidRDefault="00BF4B03" w:rsidP="00F2124D">
            <w:pPr>
              <w:spacing w:line="276" w:lineRule="auto"/>
              <w:ind w:left="-142" w:right="-91"/>
              <w:jc w:val="center"/>
              <w:rPr>
                <w:rFonts w:ascii="Tahoma" w:hAnsi="Tahoma" w:cs="Tahoma"/>
                <w:b/>
                <w:bCs/>
                <w:sz w:val="18"/>
                <w:szCs w:val="18"/>
                <w:lang w:eastAsia="en-US"/>
              </w:rPr>
            </w:pPr>
          </w:p>
          <w:p w14:paraId="1F4D1E00" w14:textId="77777777" w:rsidR="00BF4B03" w:rsidRDefault="00BF4B03" w:rsidP="00F2124D">
            <w:pPr>
              <w:spacing w:line="276" w:lineRule="auto"/>
              <w:ind w:left="-142" w:right="-91"/>
              <w:jc w:val="center"/>
              <w:rPr>
                <w:rFonts w:ascii="Tahoma" w:hAnsi="Tahoma" w:cs="Tahoma"/>
                <w:b/>
                <w:bCs/>
                <w:sz w:val="18"/>
                <w:szCs w:val="18"/>
                <w:lang w:eastAsia="en-US"/>
              </w:rPr>
            </w:pPr>
          </w:p>
          <w:p w14:paraId="3AEBB659" w14:textId="77777777" w:rsidR="00BF4B03" w:rsidRDefault="00BF4B03" w:rsidP="00F2124D">
            <w:pPr>
              <w:spacing w:line="276" w:lineRule="auto"/>
              <w:ind w:left="-142" w:right="-91"/>
              <w:jc w:val="center"/>
              <w:rPr>
                <w:rFonts w:ascii="Tahoma" w:hAnsi="Tahoma" w:cs="Tahoma"/>
                <w:b/>
                <w:bCs/>
                <w:sz w:val="18"/>
                <w:szCs w:val="18"/>
                <w:lang w:eastAsia="en-US"/>
              </w:rPr>
            </w:pPr>
          </w:p>
          <w:p w14:paraId="68CAC3CB" w14:textId="77777777" w:rsidR="00BF4B03" w:rsidRDefault="00BF4B03" w:rsidP="00F2124D">
            <w:pPr>
              <w:spacing w:line="276" w:lineRule="auto"/>
              <w:ind w:left="-142" w:right="-91"/>
              <w:jc w:val="center"/>
              <w:rPr>
                <w:rFonts w:ascii="Tahoma" w:hAnsi="Tahoma" w:cs="Tahoma"/>
                <w:b/>
                <w:bCs/>
                <w:sz w:val="18"/>
                <w:szCs w:val="18"/>
                <w:lang w:eastAsia="en-US"/>
              </w:rPr>
            </w:pPr>
          </w:p>
          <w:p w14:paraId="5EBBDBB6" w14:textId="77777777" w:rsidR="00BF4B03" w:rsidRDefault="00BF4B03" w:rsidP="00F2124D">
            <w:pPr>
              <w:spacing w:line="276" w:lineRule="auto"/>
              <w:ind w:left="-142" w:right="-91"/>
              <w:jc w:val="center"/>
              <w:rPr>
                <w:rFonts w:ascii="Tahoma" w:hAnsi="Tahoma" w:cs="Tahoma"/>
                <w:b/>
                <w:bCs/>
                <w:sz w:val="18"/>
                <w:szCs w:val="18"/>
                <w:lang w:eastAsia="en-US"/>
              </w:rPr>
            </w:pPr>
          </w:p>
          <w:p w14:paraId="2014D645" w14:textId="45C62D12" w:rsidR="00597377" w:rsidRPr="00F14B32" w:rsidRDefault="00F14B32" w:rsidP="00F2124D">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tbl>
    <w:p w14:paraId="7608518B" w14:textId="4F4FBD2C" w:rsidR="00D9377B" w:rsidRDefault="00D9377B" w:rsidP="00413AC3">
      <w:pPr>
        <w:spacing w:before="60" w:after="120"/>
        <w:rPr>
          <w:rFonts w:ascii="Tahoma" w:hAnsi="Tahoma" w:cs="Tahoma"/>
          <w:sz w:val="20"/>
          <w:szCs w:val="20"/>
        </w:rPr>
      </w:pPr>
    </w:p>
    <w:p w14:paraId="41191FD8" w14:textId="7BE779A8" w:rsidR="00F416AD" w:rsidRDefault="00F416AD" w:rsidP="00413AC3">
      <w:pPr>
        <w:spacing w:before="60" w:after="120"/>
        <w:rPr>
          <w:rFonts w:ascii="Tahoma" w:hAnsi="Tahoma" w:cs="Tahoma"/>
          <w:sz w:val="20"/>
          <w:szCs w:val="20"/>
        </w:rPr>
      </w:pPr>
    </w:p>
    <w:p w14:paraId="7A331A37" w14:textId="1581974F" w:rsidR="00F416AD" w:rsidRDefault="00F416AD" w:rsidP="00413AC3">
      <w:pPr>
        <w:spacing w:before="60" w:after="120"/>
        <w:rPr>
          <w:rFonts w:ascii="Tahoma" w:hAnsi="Tahoma" w:cs="Tahoma"/>
          <w:sz w:val="20"/>
          <w:szCs w:val="20"/>
        </w:rPr>
      </w:pPr>
    </w:p>
    <w:p w14:paraId="279677C2" w14:textId="527D20F2" w:rsidR="00F416AD" w:rsidRDefault="00F416AD" w:rsidP="00413AC3">
      <w:pPr>
        <w:spacing w:before="60" w:after="120"/>
        <w:rPr>
          <w:rFonts w:ascii="Tahoma" w:hAnsi="Tahoma" w:cs="Tahoma"/>
          <w:sz w:val="20"/>
          <w:szCs w:val="20"/>
        </w:rPr>
      </w:pPr>
    </w:p>
    <w:p w14:paraId="2565CB18" w14:textId="45A5B5B1" w:rsidR="00F416AD" w:rsidRDefault="00F416AD" w:rsidP="00413AC3">
      <w:pPr>
        <w:spacing w:before="60" w:after="120"/>
        <w:rPr>
          <w:rFonts w:ascii="Tahoma" w:hAnsi="Tahoma" w:cs="Tahoma"/>
          <w:sz w:val="20"/>
          <w:szCs w:val="20"/>
        </w:rPr>
      </w:pPr>
    </w:p>
    <w:p w14:paraId="013830A7" w14:textId="63AF38FA" w:rsidR="00E449D8" w:rsidRDefault="00E449D8" w:rsidP="00413AC3">
      <w:pPr>
        <w:spacing w:before="60" w:after="120"/>
        <w:rPr>
          <w:rFonts w:ascii="Tahoma" w:hAnsi="Tahoma" w:cs="Tahoma"/>
          <w:sz w:val="20"/>
          <w:szCs w:val="20"/>
        </w:rPr>
      </w:pPr>
    </w:p>
    <w:p w14:paraId="5429C582" w14:textId="77777777" w:rsidR="00E449D8" w:rsidRDefault="00E449D8" w:rsidP="00413AC3">
      <w:pPr>
        <w:spacing w:before="60" w:after="120"/>
        <w:rPr>
          <w:rFonts w:ascii="Tahoma" w:hAnsi="Tahoma" w:cs="Tahoma"/>
          <w:sz w:val="20"/>
          <w:szCs w:val="20"/>
        </w:rPr>
      </w:pPr>
    </w:p>
    <w:p w14:paraId="54C2A6F2" w14:textId="4A8B7C76" w:rsidR="00F416AD" w:rsidRDefault="00F416AD" w:rsidP="00413AC3">
      <w:pPr>
        <w:spacing w:before="60" w:after="120"/>
        <w:rPr>
          <w:rFonts w:ascii="Tahoma" w:hAnsi="Tahoma" w:cs="Tahoma"/>
          <w:sz w:val="20"/>
          <w:szCs w:val="20"/>
        </w:rPr>
      </w:pPr>
    </w:p>
    <w:p w14:paraId="64329FF2" w14:textId="052EE208" w:rsidR="00F416AD" w:rsidRDefault="00F416AD" w:rsidP="00413AC3">
      <w:pPr>
        <w:spacing w:before="60" w:after="120"/>
        <w:rPr>
          <w:rFonts w:ascii="Tahoma" w:hAnsi="Tahoma" w:cs="Tahoma"/>
          <w:sz w:val="20"/>
          <w:szCs w:val="20"/>
        </w:rPr>
      </w:pPr>
    </w:p>
    <w:p w14:paraId="72A1FB95" w14:textId="77777777" w:rsidR="00F416AD" w:rsidRDefault="00F416AD" w:rsidP="00413AC3">
      <w:pPr>
        <w:spacing w:before="60" w:after="120"/>
        <w:rPr>
          <w:rFonts w:ascii="Tahoma" w:hAnsi="Tahoma" w:cs="Tahoma"/>
          <w:sz w:val="20"/>
          <w:szCs w:val="20"/>
        </w:rPr>
      </w:pPr>
    </w:p>
    <w:p w14:paraId="3C1E77B0" w14:textId="77E26CC2" w:rsidR="00D9377B" w:rsidRDefault="00D9377B" w:rsidP="00413AC3">
      <w:pPr>
        <w:spacing w:before="60" w:after="120"/>
        <w:rPr>
          <w:rFonts w:ascii="Tahoma" w:hAnsi="Tahoma" w:cs="Tahoma"/>
          <w:sz w:val="20"/>
          <w:szCs w:val="20"/>
        </w:rPr>
      </w:pPr>
    </w:p>
    <w:p w14:paraId="7BE23203" w14:textId="16922200" w:rsidR="00D9377B" w:rsidRPr="00F416AD" w:rsidRDefault="00D9377B" w:rsidP="00F416A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r w:rsidRPr="00F61A56">
        <w:rPr>
          <w:rFonts w:ascii="Tahoma" w:hAnsi="Tahoma" w:cs="Tahoma"/>
          <w:b/>
          <w:bCs/>
          <w:color w:val="FF0000"/>
          <w:sz w:val="24"/>
          <w:szCs w:val="24"/>
        </w:rPr>
        <w:lastRenderedPageBreak/>
        <w:t>The Provider shall indicate its proposed fee(s) in the box(es) below.</w: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D9377B" w:rsidRPr="00D0286A" w14:paraId="67B9D28F" w14:textId="77777777" w:rsidTr="00D9377B">
        <w:trPr>
          <w:trHeight w:val="688"/>
          <w:jc w:val="center"/>
        </w:trPr>
        <w:tc>
          <w:tcPr>
            <w:tcW w:w="6963" w:type="dxa"/>
            <w:shd w:val="clear" w:color="auto" w:fill="DBE5F1" w:themeFill="accent1" w:themeFillTint="33"/>
            <w:vAlign w:val="center"/>
          </w:tcPr>
          <w:p w14:paraId="060D7928" w14:textId="385E875D" w:rsidR="00D9377B" w:rsidRPr="00D0286A" w:rsidRDefault="00D9377B" w:rsidP="00D9377B">
            <w:pPr>
              <w:tabs>
                <w:tab w:val="left" w:pos="0"/>
              </w:tabs>
              <w:spacing w:line="276" w:lineRule="auto"/>
              <w:ind w:left="-142"/>
              <w:jc w:val="center"/>
              <w:rPr>
                <w:rFonts w:ascii="Tahoma" w:hAnsi="Tahoma" w:cs="Tahoma"/>
                <w:b/>
                <w:sz w:val="18"/>
                <w:szCs w:val="18"/>
                <w:lang w:eastAsia="en-US"/>
              </w:rPr>
            </w:pPr>
            <w:r w:rsidRPr="00F61A56">
              <w:rPr>
                <w:rFonts w:ascii="Tahoma" w:hAnsi="Tahoma" w:cs="Tahoma"/>
                <w:b/>
                <w:lang w:eastAsia="en-US"/>
              </w:rPr>
              <w:t xml:space="preserve">LOT </w:t>
            </w:r>
            <w:r>
              <w:rPr>
                <w:rFonts w:ascii="Tahoma" w:hAnsi="Tahoma" w:cs="Tahoma"/>
                <w:b/>
                <w:lang w:eastAsia="en-US"/>
              </w:rPr>
              <w:t>4</w:t>
            </w:r>
            <w:r w:rsidRPr="00F61A56">
              <w:rPr>
                <w:rFonts w:ascii="Tahoma" w:hAnsi="Tahoma" w:cs="Tahoma"/>
                <w:b/>
                <w:lang w:eastAsia="en-US"/>
              </w:rPr>
              <w:t xml:space="preserve"> – Type of Units </w:t>
            </w:r>
            <w:r w:rsidRPr="00F61A56">
              <w:rPr>
                <w:b/>
                <w:lang w:eastAsia="en-US"/>
              </w:rPr>
              <w:t>▼</w:t>
            </w:r>
          </w:p>
        </w:tc>
        <w:tc>
          <w:tcPr>
            <w:tcW w:w="1517" w:type="dxa"/>
            <w:tcBorders>
              <w:bottom w:val="single" w:sz="2" w:space="0" w:color="FF0000"/>
            </w:tcBorders>
            <w:shd w:val="clear" w:color="auto" w:fill="DBE5F1" w:themeFill="accent1" w:themeFillTint="33"/>
            <w:vAlign w:val="center"/>
          </w:tcPr>
          <w:p w14:paraId="4DEDA296" w14:textId="15D2E31D" w:rsidR="00D9377B" w:rsidRPr="00D0286A" w:rsidRDefault="00D9377B" w:rsidP="00D9377B">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6432" behindDoc="0" locked="1" layoutInCell="1" allowOverlap="1" wp14:anchorId="565F9285" wp14:editId="4924D4D2">
                      <wp:simplePos x="0" y="0"/>
                      <wp:positionH relativeFrom="column">
                        <wp:posOffset>-5715</wp:posOffset>
                      </wp:positionH>
                      <wp:positionV relativeFrom="paragraph">
                        <wp:posOffset>-63500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76CE" id="Up Arrow 1" o:spid="_x0000_s1026" type="#_x0000_t68" style="position:absolute;margin-left:-.45pt;margin-top:-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GrL1bLbAAAABwEAAA8AAABkcnMvZG93bnJldi54bWxMj81OwzAQhO9IvIO1&#10;SNxaOxFQCHEqilTEjVI4cNzGSxwR/yh20/D2LCc4rUYzmv2mXs9uEBONqQ9eQ7FUIMi3wfS+0/D+&#10;tl3cgkgZvcEheNLwTQnWzflZjZUJJ/9K0z53gkt8qlCDzTlWUqbWksO0DJE8e59hdJhZjp00I564&#10;3A2yVOpGOuw9f7AY6dFS+7U/Og2b/CHpOV5PKhcY4svW5t3TRuvLi/nhHkSmOf+F4Ref0aFhpkM4&#10;epPEoGFxx0E+heJJ7JdXvOSgYVWuQDa1/M/f/AAAAP//AwBQSwECLQAUAAYACAAAACEAtoM4kv4A&#10;AADhAQAAEwAAAAAAAAAAAAAAAAAAAAAAW0NvbnRlbnRfVHlwZXNdLnhtbFBLAQItABQABgAIAAAA&#10;IQA4/SH/1gAAAJQBAAALAAAAAAAAAAAAAAAAAC8BAABfcmVscy8ucmVsc1BLAQItABQABgAIAAAA&#10;IQDxezAhUgIAALIEAAAOAAAAAAAAAAAAAAAAAC4CAABkcnMvZTJvRG9jLnhtbFBLAQItABQABgAI&#10;AAAAIQBqy9Wy2wAAAAcBAAAPAAAAAAAAAAAAAAAAAKwEAABkcnMvZG93bnJldi54bWxQSwUGAAAA&#10;AAQABADzAAAAtAUAAAAA&#10;" adj="3973" strokecolor="red">
                      <o:lock v:ext="edit" aspectratio="t"/>
                      <v:textbox style="layout-flow:vertical-ideographic"/>
                      <w10:anchorlock/>
                    </v:shape>
                  </w:pict>
                </mc:Fallback>
              </mc:AlternateContent>
            </w: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30833108" w14:textId="77777777" w:rsidR="00D9377B" w:rsidRPr="00D0286A" w:rsidRDefault="00D9377B" w:rsidP="00D9377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33FCBFE5" w14:textId="77777777" w:rsidR="00D9377B" w:rsidRPr="00F14B32" w:rsidRDefault="00D9377B" w:rsidP="00D9377B">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025A92AE" w14:textId="77777777" w:rsidR="00D9377B" w:rsidRPr="00D0286A" w:rsidRDefault="00D9377B" w:rsidP="00D9377B">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D9377B" w:rsidRPr="00D0286A" w14:paraId="30B850C3" w14:textId="77777777" w:rsidTr="00D9377B">
        <w:trPr>
          <w:trHeight w:val="780"/>
          <w:jc w:val="center"/>
        </w:trPr>
        <w:tc>
          <w:tcPr>
            <w:tcW w:w="6963" w:type="dxa"/>
            <w:tcBorders>
              <w:right w:val="single" w:sz="2" w:space="0" w:color="FF0000"/>
            </w:tcBorders>
            <w:shd w:val="clear" w:color="auto" w:fill="F2F2F2" w:themeFill="background1" w:themeFillShade="F2"/>
            <w:vAlign w:val="center"/>
          </w:tcPr>
          <w:p w14:paraId="26A21518" w14:textId="48A4797C" w:rsidR="00D9377B" w:rsidRDefault="00F416AD" w:rsidP="00F416AD">
            <w:pPr>
              <w:spacing w:line="276" w:lineRule="auto"/>
              <w:jc w:val="both"/>
              <w:rPr>
                <w:rFonts w:ascii="Tahoma" w:hAnsi="Tahoma" w:cs="Tahoma"/>
                <w:b/>
                <w:bCs/>
                <w:noProof/>
                <w:sz w:val="28"/>
                <w:szCs w:val="28"/>
                <w:u w:val="single"/>
                <w:lang w:eastAsia="fr-FR"/>
              </w:rPr>
            </w:pPr>
            <w:bookmarkStart w:id="7" w:name="_Hlk45101217"/>
            <w:r w:rsidRPr="0049043B">
              <w:rPr>
                <w:rFonts w:ascii="Tahoma" w:hAnsi="Tahoma" w:cs="Tahoma"/>
                <w:b/>
                <w:bCs/>
                <w:noProof/>
                <w:sz w:val="28"/>
                <w:szCs w:val="28"/>
                <w:u w:val="single"/>
                <w:lang w:eastAsia="fr-FR"/>
              </w:rPr>
              <w:t>Consultancy Services for Subject Experts for Peer to peer training /round table meetings</w:t>
            </w:r>
            <w:bookmarkEnd w:id="7"/>
          </w:p>
          <w:p w14:paraId="68D57232" w14:textId="77777777" w:rsidR="00F416AD" w:rsidRDefault="00F416AD" w:rsidP="00F416AD">
            <w:pPr>
              <w:spacing w:line="276" w:lineRule="auto"/>
              <w:jc w:val="both"/>
              <w:rPr>
                <w:rFonts w:ascii="Tahoma" w:hAnsi="Tahoma" w:cs="Tahoma"/>
                <w:b/>
                <w:bCs/>
                <w:noProof/>
                <w:sz w:val="28"/>
                <w:szCs w:val="28"/>
                <w:u w:val="single"/>
                <w:lang w:eastAsia="fr-FR"/>
              </w:rPr>
            </w:pPr>
          </w:p>
          <w:p w14:paraId="11A1351B" w14:textId="77777777" w:rsidR="00E449D8" w:rsidRPr="0049043B" w:rsidRDefault="00E449D8" w:rsidP="00E449D8">
            <w:pPr>
              <w:spacing w:line="276" w:lineRule="auto"/>
              <w:jc w:val="both"/>
              <w:rPr>
                <w:rFonts w:ascii="Tahoma" w:hAnsi="Tahoma" w:cs="Tahoma"/>
                <w:b/>
                <w:bCs/>
                <w:sz w:val="18"/>
                <w:szCs w:val="18"/>
                <w:lang w:eastAsia="en-US"/>
              </w:rPr>
            </w:pPr>
            <w:r w:rsidRPr="0049043B">
              <w:rPr>
                <w:rFonts w:ascii="Tahoma" w:hAnsi="Tahoma" w:cs="Tahoma"/>
                <w:b/>
                <w:bCs/>
                <w:lang w:eastAsia="en-US"/>
              </w:rPr>
              <w:t>4.1 Consultancy on the European Court of Human Rights (ECHtR), Turkish Constitutional Court and CJEU’s (Court of Justice of the European Union)</w:t>
            </w:r>
            <w:r w:rsidRPr="0049043B">
              <w:rPr>
                <w:rFonts w:ascii="Tahoma" w:hAnsi="Tahoma" w:cs="Tahoma"/>
                <w:sz w:val="18"/>
                <w:szCs w:val="18"/>
                <w:lang w:eastAsia="en-US"/>
              </w:rPr>
              <w:t xml:space="preserve"> </w:t>
            </w:r>
            <w:r w:rsidRPr="0049043B">
              <w:rPr>
                <w:rFonts w:ascii="Tahoma" w:hAnsi="Tahoma" w:cs="Tahoma"/>
                <w:b/>
                <w:bCs/>
                <w:lang w:eastAsia="en-US"/>
              </w:rPr>
              <w:t>Case Law</w:t>
            </w:r>
          </w:p>
          <w:p w14:paraId="707EFC4F" w14:textId="77777777" w:rsidR="00E449D8" w:rsidRPr="0049043B" w:rsidRDefault="00E449D8" w:rsidP="00E449D8">
            <w:pPr>
              <w:spacing w:line="276" w:lineRule="auto"/>
              <w:rPr>
                <w:rFonts w:ascii="Tahoma" w:hAnsi="Tahoma" w:cs="Tahoma"/>
                <w:b/>
                <w:bCs/>
                <w:sz w:val="18"/>
                <w:szCs w:val="18"/>
                <w:lang w:eastAsia="en-US"/>
              </w:rPr>
            </w:pPr>
          </w:p>
          <w:p w14:paraId="52A2690B" w14:textId="77777777" w:rsidR="00E449D8" w:rsidRPr="0049043B" w:rsidRDefault="00E449D8" w:rsidP="00E449D8">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3BA4BF10" w14:textId="573FA028"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Participation, delivery of presentations and facilitation of the abovementioned round table meetings on ECtHR / Turkish Constitutional Court Case Law on administrative justice.</w:t>
            </w:r>
          </w:p>
          <w:p w14:paraId="3A428A27"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Preparation and co-moderation of the roundtable meetings on the agreed dates.</w:t>
            </w:r>
          </w:p>
          <w:p w14:paraId="25BABCA2"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Contributing to the round table meetings on the basis of own expertise, facilitating groups’ discussions and acting as rapporteur, as needed.</w:t>
            </w:r>
          </w:p>
          <w:p w14:paraId="07E34AC0"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Delivery of presentation and moderating of the group sessions.</w:t>
            </w:r>
          </w:p>
          <w:p w14:paraId="35B76E8F"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Drafting a brief report with recommendations in line with the conclusions of the roundtable meeting. Inputs to the relevant reports and meeting reports. Evaluation and assessment of the activity’s impact.</w:t>
            </w:r>
          </w:p>
          <w:p w14:paraId="59193060" w14:textId="192ECE22"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Co-develop with the international consultant a proposed approach/mechanism with clear indication of objectives, timeline and responsible actors/institutions, “a pilot networking group” as well as a set of recommendations to be reviewed by the networking group to function as a self-sustainable network of legal practitioners, mostly judges, to ensure continued peer-to-peer exchanges and updating on relevant  ECHtR, Turkish Constitutional Court and CJEU case law.</w:t>
            </w:r>
          </w:p>
          <w:p w14:paraId="3661B734" w14:textId="77777777" w:rsidR="00E449D8" w:rsidRPr="0049043B" w:rsidRDefault="00E449D8" w:rsidP="00E449D8">
            <w:pPr>
              <w:spacing w:line="276" w:lineRule="auto"/>
              <w:rPr>
                <w:rFonts w:ascii="Tahoma" w:hAnsi="Tahoma" w:cs="Tahoma"/>
                <w:sz w:val="18"/>
                <w:szCs w:val="18"/>
                <w:lang w:eastAsia="en-US"/>
              </w:rPr>
            </w:pPr>
          </w:p>
          <w:p w14:paraId="5DBE280C" w14:textId="461D275F" w:rsidR="00E449D8" w:rsidRPr="0049043B" w:rsidRDefault="00E449D8" w:rsidP="00E449D8">
            <w:pPr>
              <w:spacing w:line="276" w:lineRule="auto"/>
              <w:jc w:val="both"/>
              <w:rPr>
                <w:rFonts w:ascii="Tahoma" w:eastAsia="Calibri" w:hAnsi="Tahoma" w:cs="Tahoma"/>
                <w:b/>
                <w:lang w:val="en-US" w:eastAsia="en-US"/>
              </w:rPr>
            </w:pPr>
            <w:r w:rsidRPr="0049043B">
              <w:rPr>
                <w:rFonts w:ascii="Tahoma" w:eastAsia="Calibri" w:hAnsi="Tahoma" w:cs="Tahoma"/>
                <w:b/>
                <w:lang w:val="en-US" w:eastAsia="en-US"/>
              </w:rPr>
              <w:t>4.2 Preparation of a Compen</w:t>
            </w:r>
            <w:r>
              <w:rPr>
                <w:rFonts w:ascii="Tahoma" w:eastAsia="Calibri" w:hAnsi="Tahoma" w:cs="Tahoma"/>
                <w:b/>
                <w:lang w:val="en-US" w:eastAsia="en-US"/>
              </w:rPr>
              <w:t>d</w:t>
            </w:r>
            <w:r w:rsidRPr="0049043B">
              <w:rPr>
                <w:rFonts w:ascii="Tahoma" w:eastAsia="Calibri" w:hAnsi="Tahoma" w:cs="Tahoma"/>
                <w:b/>
                <w:lang w:val="en-US" w:eastAsia="en-US"/>
              </w:rPr>
              <w:t>ium in National Context for the “Casebook on European Fair Trial Standards” which is translated into Turkish</w:t>
            </w:r>
          </w:p>
          <w:p w14:paraId="63132C40" w14:textId="77777777" w:rsidR="00E449D8" w:rsidRPr="0049043B" w:rsidRDefault="00E449D8" w:rsidP="00E449D8">
            <w:pPr>
              <w:spacing w:line="276" w:lineRule="auto"/>
              <w:rPr>
                <w:rFonts w:ascii="Tahoma" w:eastAsia="Calibri" w:hAnsi="Tahoma" w:cs="Tahoma"/>
                <w:b/>
                <w:sz w:val="18"/>
                <w:szCs w:val="18"/>
                <w:lang w:val="en-US" w:eastAsia="en-US"/>
              </w:rPr>
            </w:pPr>
          </w:p>
          <w:p w14:paraId="71956F8F" w14:textId="77777777" w:rsidR="00E449D8" w:rsidRPr="0049043B" w:rsidRDefault="00E449D8" w:rsidP="00E449D8">
            <w:pPr>
              <w:spacing w:line="276" w:lineRule="auto"/>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0CE5B8C3"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 xml:space="preserve">Preparing, drafting and editing an addendum for the translated </w:t>
            </w:r>
            <w:r w:rsidRPr="0049043B">
              <w:rPr>
                <w:rFonts w:ascii="Tahoma" w:eastAsia="Calibri" w:hAnsi="Tahoma" w:cs="Tahoma"/>
                <w:sz w:val="18"/>
                <w:szCs w:val="18"/>
                <w:lang w:val="en-US" w:eastAsia="en-US"/>
              </w:rPr>
              <w:t>“Casebook on European Fair Trial Standards in Administrative Justice” (can be found on: https://www.coe.int/en/web/cdcj/publications) (herein after called the Casebook) developed by the Council of Europe</w:t>
            </w:r>
            <w:r w:rsidRPr="0049043B">
              <w:rPr>
                <w:rFonts w:ascii="Tahoma" w:eastAsia="Calibri" w:hAnsi="Tahoma" w:cs="Tahoma"/>
                <w:sz w:val="18"/>
                <w:szCs w:val="18"/>
                <w:lang w:eastAsia="en-US"/>
              </w:rPr>
              <w:t>.</w:t>
            </w:r>
          </w:p>
          <w:p w14:paraId="63EDD566" w14:textId="33A6A221"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eastAsia="Calibri" w:hAnsi="Tahoma" w:cs="Tahoma"/>
                <w:sz w:val="18"/>
                <w:szCs w:val="18"/>
                <w:lang w:eastAsia="en-US"/>
              </w:rPr>
              <w:t>The Addendum will be a complementary an</w:t>
            </w:r>
            <w:r w:rsidR="000A2F00">
              <w:rPr>
                <w:rFonts w:ascii="Tahoma" w:eastAsia="Calibri" w:hAnsi="Tahoma" w:cs="Tahoma"/>
                <w:sz w:val="18"/>
                <w:szCs w:val="18"/>
                <w:lang w:eastAsia="en-US"/>
              </w:rPr>
              <w:t>d</w:t>
            </w:r>
            <w:r w:rsidRPr="0049043B">
              <w:rPr>
                <w:rFonts w:ascii="Tahoma" w:eastAsia="Calibri" w:hAnsi="Tahoma" w:cs="Tahoma"/>
                <w:sz w:val="18"/>
                <w:szCs w:val="18"/>
                <w:lang w:eastAsia="en-US"/>
              </w:rPr>
              <w:t xml:space="preserve"> up-dated resource book to the Casebook to include case-law and decisions </w:t>
            </w:r>
            <w:r w:rsidRPr="0049043B">
              <w:rPr>
                <w:rFonts w:ascii="Tahoma" w:hAnsi="Tahoma" w:cs="Tahoma"/>
                <w:sz w:val="18"/>
                <w:szCs w:val="18"/>
                <w:lang w:eastAsia="en-US"/>
              </w:rPr>
              <w:t>of the European Court of Human Rights (ECtHR), Turkish Constitutional Court and the Council of State as well as and the CJEU (Court of Justice of the European Union) pertaining to Turkish Administrative Justice.</w:t>
            </w:r>
          </w:p>
          <w:p w14:paraId="36208B9D"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Conducting a comprehensive research and case study on the jurisprudence of the ECtHR, Turkish Constitutional Court and the Council of State as well as CJEU pertaining to Turkish Administrative Justice.</w:t>
            </w:r>
          </w:p>
          <w:p w14:paraId="1998CC8C"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Attending meetings / workshops / roundtables which will be conducted for the compendium development.</w:t>
            </w:r>
          </w:p>
          <w:p w14:paraId="1BB64749" w14:textId="3A7B47F6" w:rsidR="00F416AD" w:rsidRPr="00F416AD" w:rsidRDefault="00F416AD" w:rsidP="00F416AD">
            <w:pPr>
              <w:spacing w:line="276" w:lineRule="auto"/>
              <w:jc w:val="both"/>
              <w:rPr>
                <w:rFonts w:ascii="Tahoma" w:hAnsi="Tahoma" w:cs="Tahoma"/>
                <w:sz w:val="18"/>
                <w:szCs w:val="18"/>
                <w:lang w:eastAsia="en-US"/>
              </w:rPr>
            </w:pP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D98B52" w14:textId="77777777" w:rsidR="00D9377B" w:rsidRPr="00D0286A" w:rsidRDefault="00D9377B" w:rsidP="00D9377B">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C28D6C" w14:textId="77777777" w:rsidR="00D9377B" w:rsidRPr="00F14B32" w:rsidRDefault="00D9377B" w:rsidP="00D9377B">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tbl>
    <w:p w14:paraId="37FCE296" w14:textId="77777777" w:rsidR="00597377" w:rsidRPr="00D0286A" w:rsidRDefault="00597377" w:rsidP="00F416AD">
      <w:pPr>
        <w:spacing w:before="60" w:after="120"/>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16"/>
        <w:gridCol w:w="1449"/>
      </w:tblGrid>
      <w:tr w:rsidR="00597377" w:rsidRPr="00D0286A" w14:paraId="5FF4E0C4" w14:textId="77777777" w:rsidTr="00164952">
        <w:tc>
          <w:tcPr>
            <w:tcW w:w="8616" w:type="dxa"/>
            <w:shd w:val="clear" w:color="auto" w:fill="DBE5F1" w:themeFill="accent1" w:themeFillTint="33"/>
            <w:vAlign w:val="center"/>
          </w:tcPr>
          <w:p w14:paraId="7B8D77EB" w14:textId="361DBE96" w:rsidR="00597377" w:rsidRPr="00D0286A" w:rsidRDefault="00597377" w:rsidP="00F2124D">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w:t>
            </w:r>
            <w:r w:rsidR="00F01E6F">
              <w:rPr>
                <w:rFonts w:ascii="Tahoma" w:eastAsia="Calibri" w:hAnsi="Tahoma" w:cs="Tahoma"/>
                <w:sz w:val="20"/>
                <w:szCs w:val="20"/>
                <w:lang w:val="en-US" w:eastAsia="en-US"/>
              </w:rPr>
              <w:t>all</w:t>
            </w:r>
            <w:r w:rsidRPr="00D0286A">
              <w:rPr>
                <w:rFonts w:ascii="Tahoma" w:eastAsia="Calibri" w:hAnsi="Tahoma" w:cs="Tahoma"/>
                <w:sz w:val="20"/>
                <w:szCs w:val="20"/>
                <w:lang w:val="en-US" w:eastAsia="en-US"/>
              </w:rPr>
              <w:t xml:space="preserve"> lot</w:t>
            </w:r>
            <w:r w:rsidR="00F01E6F">
              <w:rPr>
                <w:rFonts w:ascii="Tahoma" w:eastAsia="Calibri" w:hAnsi="Tahoma" w:cs="Tahoma"/>
                <w:sz w:val="20"/>
                <w:szCs w:val="20"/>
                <w:lang w:val="en-US" w:eastAsia="en-US"/>
              </w:rPr>
              <w:t>s</w:t>
            </w:r>
            <w:r w:rsidRPr="00D0286A">
              <w:rPr>
                <w:rFonts w:ascii="Tahoma" w:eastAsia="Calibri" w:hAnsi="Tahoma" w:cs="Tahoma"/>
                <w:sz w:val="20"/>
                <w:szCs w:val="20"/>
                <w:lang w:val="en-US" w:eastAsia="en-US"/>
              </w:rPr>
              <w:t xml:space="preserve"> takes effect as from the date of its signature by both parties</w:t>
            </w:r>
            <w:r w:rsidRPr="00D0286A">
              <w:rPr>
                <w:rFonts w:ascii="Tahoma" w:hAnsi="Tahoma" w:cs="Tahoma"/>
                <w:sz w:val="20"/>
                <w:szCs w:val="20"/>
              </w:rPr>
              <w:t xml:space="preserve"> is concluded until</w:t>
            </w:r>
          </w:p>
        </w:tc>
        <w:tc>
          <w:tcPr>
            <w:tcW w:w="1449" w:type="dxa"/>
            <w:shd w:val="clear" w:color="auto" w:fill="F2F2F2" w:themeFill="background1" w:themeFillShade="F2"/>
            <w:vAlign w:val="center"/>
          </w:tcPr>
          <w:sdt>
            <w:sdtPr>
              <w:rPr>
                <w:rStyle w:val="Style71"/>
                <w:rFonts w:ascii="Tahoma" w:hAnsi="Tahoma" w:cs="Tahoma"/>
                <w:szCs w:val="20"/>
              </w:rPr>
              <w:id w:val="-1761674625"/>
              <w:date w:fullDate="2021-12-19T00:00:00Z">
                <w:dateFormat w:val="dd/MM/yyyy"/>
                <w:lid w:val="fr-FR"/>
                <w:storeMappedDataAs w:val="dateTime"/>
                <w:calendar w:val="gregorian"/>
              </w:date>
            </w:sdtPr>
            <w:sdtEndPr>
              <w:rPr>
                <w:rStyle w:val="Style71"/>
              </w:rPr>
            </w:sdtEndPr>
            <w:sdtContent>
              <w:p w14:paraId="7D3E73FE" w14:textId="5D4F4220" w:rsidR="00597377" w:rsidRPr="00D0286A" w:rsidRDefault="005739A6" w:rsidP="00F2124D">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5739A6" w:rsidRPr="00D0286A" w14:paraId="57180404" w14:textId="77777777" w:rsidTr="00164952">
        <w:tc>
          <w:tcPr>
            <w:tcW w:w="10065" w:type="dxa"/>
            <w:gridSpan w:val="2"/>
            <w:shd w:val="clear" w:color="auto" w:fill="DBE5F1" w:themeFill="accent1" w:themeFillTint="33"/>
            <w:vAlign w:val="center"/>
          </w:tcPr>
          <w:p w14:paraId="004AF7FB" w14:textId="5F099F5E" w:rsidR="005739A6" w:rsidRPr="00D0286A" w:rsidRDefault="005739A6" w:rsidP="00F2124D">
            <w:pPr>
              <w:spacing w:before="120" w:after="120"/>
              <w:rPr>
                <w:rStyle w:val="Style71"/>
                <w:rFonts w:ascii="Tahoma" w:hAnsi="Tahoma" w:cs="Tahoma"/>
                <w:szCs w:val="20"/>
              </w:rPr>
            </w:pPr>
            <w:r w:rsidRPr="00D0286A">
              <w:rPr>
                <w:rFonts w:ascii="Tahoma" w:hAnsi="Tahoma" w:cs="Tahoma"/>
                <w:sz w:val="20"/>
                <w:szCs w:val="20"/>
              </w:rPr>
              <w:t xml:space="preserve">The Framework Contract may be renewed </w:t>
            </w:r>
            <w:r w:rsidRPr="005739A6">
              <w:rPr>
                <w:rFonts w:ascii="Tahoma" w:hAnsi="Tahoma" w:cs="Tahoma"/>
                <w:sz w:val="20"/>
                <w:szCs w:val="20"/>
              </w:rPr>
              <w:t>annually</w:t>
            </w:r>
            <w:r>
              <w:rPr>
                <w:rFonts w:ascii="Tahoma" w:hAnsi="Tahoma" w:cs="Tahoma"/>
                <w:sz w:val="20"/>
                <w:szCs w:val="20"/>
              </w:rPr>
              <w:t xml:space="preserve"> in the event that the project is extended</w:t>
            </w:r>
            <w:r w:rsidRPr="00D0286A">
              <w:rPr>
                <w:rFonts w:ascii="Tahoma" w:hAnsi="Tahoma" w:cs="Tahoma"/>
                <w:sz w:val="20"/>
                <w:szCs w:val="20"/>
              </w:rPr>
              <w:t xml:space="preserve">. </w:t>
            </w:r>
            <w:r>
              <w:rPr>
                <w:rFonts w:ascii="Tahoma" w:hAnsi="Tahoma" w:cs="Tahoma"/>
                <w:sz w:val="20"/>
                <w:szCs w:val="20"/>
              </w:rPr>
              <w:t>In no case shall the total duration of the contract exceed five years.</w:t>
            </w:r>
          </w:p>
        </w:tc>
      </w:tr>
    </w:tbl>
    <w:p w14:paraId="3D68B47E" w14:textId="20B304A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36D4A386" w14:textId="77777777" w:rsidR="00F416AD" w:rsidRPr="00D0286A" w:rsidRDefault="00F416AD" w:rsidP="003A0F5F">
      <w:pPr>
        <w:tabs>
          <w:tab w:val="left" w:pos="142"/>
          <w:tab w:val="left" w:pos="426"/>
        </w:tabs>
        <w:ind w:left="-426"/>
        <w:jc w:val="both"/>
        <w:rPr>
          <w:rFonts w:ascii="Tahoma" w:hAnsi="Tahoma" w:cs="Tahoma"/>
          <w:sz w:val="20"/>
          <w:szCs w:val="20"/>
        </w:rPr>
      </w:pPr>
    </w:p>
    <w:p w14:paraId="6F580C9C" w14:textId="731A354F"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w:t>
      </w:r>
      <w:r w:rsidRPr="009A54FA">
        <w:rPr>
          <w:rFonts w:ascii="Tahoma" w:hAnsi="Tahoma" w:cs="Tahoma"/>
          <w:b/>
          <w:color w:val="FF0000"/>
          <w:sz w:val="18"/>
          <w:szCs w:val="18"/>
        </w:rPr>
        <w:t xml:space="preserve">the </w:t>
      </w:r>
      <w:r w:rsidR="009A54FA" w:rsidRPr="009A54FA">
        <w:rPr>
          <w:rFonts w:ascii="Tahoma" w:hAnsi="Tahoma" w:cs="Tahoma"/>
          <w:b/>
          <w:color w:val="FF0000"/>
          <w:sz w:val="18"/>
          <w:szCs w:val="18"/>
        </w:rPr>
        <w:t xml:space="preserve">Call for </w:t>
      </w:r>
      <w:r w:rsidRPr="009A54FA">
        <w:rPr>
          <w:rFonts w:ascii="Tahoma" w:hAnsi="Tahoma" w:cs="Tahoma"/>
          <w:b/>
          <w:color w:val="FF0000"/>
          <w:sz w:val="18"/>
          <w:szCs w:val="18"/>
        </w:rPr>
        <w:t>Tender</w:t>
      </w:r>
      <w:r w:rsidR="009A54FA" w:rsidRPr="009A54FA">
        <w:rPr>
          <w:rFonts w:ascii="Tahoma" w:hAnsi="Tahoma" w:cs="Tahoma"/>
          <w:b/>
          <w:color w:val="FF0000"/>
          <w:sz w:val="18"/>
          <w:szCs w:val="18"/>
        </w:rPr>
        <w:t>s</w:t>
      </w:r>
      <w:r w:rsidRPr="009A54FA">
        <w:rPr>
          <w:rFonts w:ascii="Tahoma" w:hAnsi="Tahoma" w:cs="Tahoma"/>
          <w:b/>
          <w:color w:val="FF0000"/>
          <w:sz w:val="18"/>
          <w:szCs w:val="18"/>
        </w:rPr>
        <w:t xml:space="preserve"> </w:t>
      </w:r>
      <w:r w:rsidR="00BF2D7C">
        <w:rPr>
          <w:rFonts w:ascii="Tahoma" w:hAnsi="Tahoma" w:cs="Tahoma"/>
          <w:b/>
          <w:color w:val="FF0000"/>
          <w:sz w:val="18"/>
          <w:szCs w:val="18"/>
        </w:rPr>
        <w:t>File (ankara.office@coe.int)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tr-TR" w:eastAsia="tr-TR"/>
        </w:rPr>
        <mc:AlternateContent>
          <mc:Choice Requires="wps">
            <w:drawing>
              <wp:anchor distT="0" distB="0" distL="114300" distR="114300" simplePos="0" relativeHeight="251658240" behindDoc="0" locked="1" layoutInCell="1" allowOverlap="1" wp14:anchorId="7CFB81C7" wp14:editId="503C1121">
                <wp:simplePos x="0" y="0"/>
                <wp:positionH relativeFrom="column">
                  <wp:posOffset>2802890</wp:posOffset>
                </wp:positionH>
                <wp:positionV relativeFrom="paragraph">
                  <wp:posOffset>-137795</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9523" id="AutoShape 2" o:spid="_x0000_s1026" type="#_x0000_t68" style="position:absolute;margin-left:220.7pt;margin-top:-10.85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pxx1beAAAAAKAQAADwAAAGRycy9kb3ducmV2LnhtbEyPQU7DMBBF90jcwRok&#10;dq2Tym1pyKQqIIrEAonAAaaxE0eJ7Sh2m3B73BUsR//p/zf5fjY9u6jRt84ipMsEmLKVk61tEL6/&#10;XhcPwHwgK6l3ViH8KA/74vYmp0y6yX6qSxkaFkuszwhBhzBknPtKK0N+6QZlY1a70VCI59hwOdIU&#10;y03PV0my4YZaGxc0DepZq6orzwbh5em96/qp1Ye34MqSqvr4sasR7+/mwyOwoObwB8NVP6pDEZ1O&#10;7mylZz2CEKmIKMJilW6BRUJstmtgJ4SdWAMvcv7/heIXAAD//wMAUEsBAi0AFAAGAAgAAAAhALaD&#10;OJL+AAAA4QEAABMAAAAAAAAAAAAAAAAAAAAAAFtDb250ZW50X1R5cGVzXS54bWxQSwECLQAUAAYA&#10;CAAAACEAOP0h/9YAAACUAQAACwAAAAAAAAAAAAAAAAAvAQAAX3JlbHMvLnJlbHNQSwECLQAUAAYA&#10;CAAAACEAXg1FSlECAACzBAAADgAAAAAAAAAAAAAAAAAuAgAAZHJzL2Uyb0RvYy54bWxQSwECLQAU&#10;AAYACAAAACEApxx1b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D"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F416AD" w:rsidRPr="00D0286A" w:rsidRDefault="00F416AD"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F416AD" w:rsidRPr="00D0286A" w:rsidRDefault="00F416AD"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F416AD" w:rsidRPr="00D0286A" w:rsidRDefault="00F416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D" w:rsidRPr="00D0286A" w:rsidRDefault="00F416AD"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060CD9C" w14:textId="536F5B91" w:rsidR="00F416AD" w:rsidRDefault="00F416AD" w:rsidP="003A0F5F">
            <w:pPr>
              <w:ind w:left="-38"/>
              <w:rPr>
                <w:rFonts w:ascii="Tahoma" w:hAnsi="Tahoma" w:cs="Tahoma"/>
                <w:sz w:val="18"/>
                <w:szCs w:val="18"/>
              </w:rPr>
            </w:pPr>
            <w:r w:rsidRPr="00D0286A">
              <w:rPr>
                <w:rFonts w:ascii="Tahoma" w:hAnsi="Tahoma" w:cs="Tahoma"/>
                <w:sz w:val="18"/>
                <w:szCs w:val="18"/>
              </w:rPr>
              <w:t>Selection and Ranking (if applicable)</w:t>
            </w:r>
          </w:p>
          <w:p w14:paraId="7218B74B" w14:textId="77777777" w:rsidR="00F416AD" w:rsidRPr="00D0286A" w:rsidRDefault="00F416AD" w:rsidP="003A0F5F">
            <w:pPr>
              <w:ind w:left="-38"/>
              <w:rPr>
                <w:rFonts w:ascii="Tahoma" w:hAnsi="Tahoma" w:cs="Tahoma"/>
                <w:sz w:val="18"/>
                <w:szCs w:val="18"/>
              </w:rPr>
            </w:pPr>
          </w:p>
          <w:p w14:paraId="07C70D34" w14:textId="3CBC9B89" w:rsidR="00F416AD" w:rsidRPr="00F416AD" w:rsidRDefault="00F416AD" w:rsidP="00F416AD">
            <w:pPr>
              <w:ind w:left="-38"/>
              <w:rPr>
                <w:rFonts w:ascii="Tahoma" w:hAnsi="Tahoma" w:cs="Tahoma"/>
                <w:i/>
                <w:iCs/>
                <w:sz w:val="18"/>
                <w:szCs w:val="18"/>
              </w:rPr>
            </w:pPr>
            <w:r w:rsidRPr="00F416AD">
              <w:rPr>
                <w:rFonts w:ascii="Tahoma" w:hAnsi="Tahoma" w:cs="Tahoma"/>
                <w:i/>
                <w:iCs/>
                <w:sz w:val="18"/>
                <w:szCs w:val="18"/>
              </w:rPr>
              <w:t>To be filled by Council of Europe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F416AD" w:rsidRPr="00D0286A" w:rsidRDefault="00F416AD"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F416AD" w:rsidRPr="00D0286A" w:rsidRDefault="00F416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D" w:rsidRPr="00D0286A" w:rsidRDefault="00F416AD"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F416AD" w:rsidRPr="00D0286A" w14:paraId="74E7DA64" w14:textId="77777777" w:rsidTr="00D85E5D">
        <w:trPr>
          <w:trHeight w:val="308"/>
          <w:jc w:val="center"/>
        </w:trPr>
        <w:tc>
          <w:tcPr>
            <w:tcW w:w="438" w:type="dxa"/>
            <w:tcBorders>
              <w:top w:val="nil"/>
              <w:left w:val="nil"/>
              <w:bottom w:val="nil"/>
              <w:right w:val="nil"/>
            </w:tcBorders>
            <w:shd w:val="clear" w:color="auto" w:fill="FFFFFF" w:themeFill="background1"/>
          </w:tcPr>
          <w:p w14:paraId="593950AC" w14:textId="77777777" w:rsidR="00F416AD" w:rsidRPr="00D0286A" w:rsidRDefault="00F416AD"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F416AD" w:rsidRPr="00D0286A" w:rsidRDefault="00F416AD"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F416AD" w:rsidRPr="00D0286A" w:rsidRDefault="00F416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F416AD" w:rsidRPr="00D0286A" w:rsidRDefault="00F416AD"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008E5B2"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F416AD" w:rsidRPr="00D0286A" w:rsidRDefault="00F416AD"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F416AD" w:rsidRPr="00D0286A" w:rsidRDefault="00F416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F416AD" w:rsidRPr="00D0286A" w:rsidRDefault="00F416AD"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416AD" w:rsidRPr="00D0286A" w14:paraId="7B5A976D" w14:textId="77777777" w:rsidTr="00F416AD">
        <w:trPr>
          <w:trHeight w:val="308"/>
          <w:jc w:val="center"/>
        </w:trPr>
        <w:tc>
          <w:tcPr>
            <w:tcW w:w="438" w:type="dxa"/>
            <w:tcBorders>
              <w:top w:val="nil"/>
              <w:left w:val="nil"/>
              <w:bottom w:val="nil"/>
              <w:right w:val="nil"/>
            </w:tcBorders>
            <w:shd w:val="clear" w:color="auto" w:fill="FFFFFF" w:themeFill="background1"/>
          </w:tcPr>
          <w:p w14:paraId="7F05D736" w14:textId="77777777" w:rsidR="00F416AD" w:rsidRPr="00D0286A" w:rsidRDefault="00F416AD" w:rsidP="00D85E5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E1E390A" w14:textId="77777777" w:rsidR="00F416AD" w:rsidRPr="00D0286A" w:rsidRDefault="00F416AD" w:rsidP="00D85E5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87F0961" w14:textId="77777777" w:rsidR="00F416AD" w:rsidRPr="00D0286A" w:rsidRDefault="00F416AD" w:rsidP="00D85E5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C97926D" w14:textId="77777777" w:rsidR="00F416AD" w:rsidRPr="00D0286A" w:rsidRDefault="00F416AD" w:rsidP="00D85E5D">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DD91E50" w14:textId="771DC0FD"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D6CBE2C" w14:textId="2E56AA02" w:rsidR="00F416AD" w:rsidRPr="00D0286A" w:rsidRDefault="00F416AD" w:rsidP="00D85E5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137009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FC89964" w14:textId="323F9804" w:rsidR="00F416AD" w:rsidRDefault="00F416AD" w:rsidP="00D85E5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B17176" w14:textId="4CB7987C" w:rsidR="00F416AD" w:rsidRPr="00D0286A" w:rsidRDefault="00F416AD" w:rsidP="00D85E5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416AD" w:rsidRPr="00D0286A" w14:paraId="24903C90" w14:textId="77777777" w:rsidTr="00D0286A">
        <w:trPr>
          <w:trHeight w:val="308"/>
          <w:jc w:val="center"/>
        </w:trPr>
        <w:tc>
          <w:tcPr>
            <w:tcW w:w="438" w:type="dxa"/>
            <w:tcBorders>
              <w:top w:val="nil"/>
              <w:left w:val="nil"/>
              <w:bottom w:val="nil"/>
              <w:right w:val="nil"/>
            </w:tcBorders>
            <w:shd w:val="clear" w:color="auto" w:fill="FFFFFF" w:themeFill="background1"/>
          </w:tcPr>
          <w:p w14:paraId="1AD22CB9" w14:textId="77777777" w:rsidR="00F416AD" w:rsidRPr="00D0286A" w:rsidRDefault="00F416AD" w:rsidP="00F416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C0A8682" w14:textId="77777777" w:rsidR="00F416AD" w:rsidRPr="00D0286A" w:rsidRDefault="00F416AD" w:rsidP="00F416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AD6DFC7" w14:textId="77777777" w:rsidR="00F416AD" w:rsidRPr="00D0286A" w:rsidRDefault="00F416AD" w:rsidP="00F416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5391C2" w14:textId="77777777" w:rsidR="00F416AD" w:rsidRPr="00D0286A" w:rsidRDefault="00F416AD" w:rsidP="00F416AD">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10BAFB8" w14:textId="4B357693"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8610394" w14:textId="0EC5D0AD" w:rsidR="00F416AD" w:rsidRPr="00D0286A" w:rsidRDefault="00F416AD" w:rsidP="00F416A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66080712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CD32785" w14:textId="4F830AFF" w:rsidR="00F416AD" w:rsidRDefault="00F416AD" w:rsidP="00F416A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BA00297" w14:textId="7149A656" w:rsidR="00F416AD" w:rsidRPr="00D0286A" w:rsidRDefault="00F416AD" w:rsidP="00F416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07D5D0EC" w14:textId="77777777" w:rsidR="00F416AD" w:rsidRDefault="00F416AD" w:rsidP="00F416AD">
      <w:pPr>
        <w:pBdr>
          <w:bottom w:val="single" w:sz="2" w:space="0" w:color="808080"/>
        </w:pBdr>
        <w:ind w:right="-284"/>
        <w:rPr>
          <w:rFonts w:ascii="Tahoma" w:hAnsi="Tahoma" w:cs="Tahoma"/>
          <w:b/>
        </w:rPr>
      </w:pPr>
    </w:p>
    <w:p w14:paraId="50DD36A4" w14:textId="77777777" w:rsidR="00F416AD" w:rsidRDefault="00F416AD" w:rsidP="00F416AD">
      <w:pPr>
        <w:pBdr>
          <w:bottom w:val="single" w:sz="2" w:space="0" w:color="808080"/>
        </w:pBdr>
        <w:ind w:right="-284"/>
        <w:rPr>
          <w:rFonts w:ascii="Tahoma" w:hAnsi="Tahoma" w:cs="Tahoma"/>
          <w:b/>
        </w:rPr>
      </w:pPr>
    </w:p>
    <w:p w14:paraId="1E627A31" w14:textId="77777777" w:rsidR="00F416AD" w:rsidRDefault="00F416AD" w:rsidP="00F416AD">
      <w:pPr>
        <w:pBdr>
          <w:bottom w:val="single" w:sz="2" w:space="0" w:color="808080"/>
        </w:pBdr>
        <w:ind w:right="-284"/>
        <w:rPr>
          <w:rFonts w:ascii="Tahoma" w:hAnsi="Tahoma" w:cs="Tahoma"/>
          <w:b/>
        </w:rPr>
      </w:pPr>
    </w:p>
    <w:p w14:paraId="71BD589B" w14:textId="51860B0B" w:rsidR="00D50F13" w:rsidRPr="00D0286A" w:rsidRDefault="0072200B" w:rsidP="00F416AD">
      <w:pPr>
        <w:pBdr>
          <w:bottom w:val="single" w:sz="2" w:space="0" w:color="808080"/>
        </w:pBdr>
        <w:ind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0"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1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lastRenderedPageBreak/>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13"/>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C6C6" w14:textId="77777777" w:rsidR="009F73F0" w:rsidRDefault="009F73F0" w:rsidP="00D50F13">
      <w:r>
        <w:separator/>
      </w:r>
    </w:p>
  </w:endnote>
  <w:endnote w:type="continuationSeparator" w:id="0">
    <w:p w14:paraId="672EE77A" w14:textId="77777777" w:rsidR="009F73F0" w:rsidRDefault="009F73F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9377B"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D9377B" w:rsidRPr="00AE2D2B" w:rsidRDefault="00D9377B" w:rsidP="00F2124D">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D9377B" w:rsidRPr="00AE2D2B" w:rsidRDefault="00D9377B" w:rsidP="00F2124D">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D9377B" w:rsidRDefault="00D9377B"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D9377B" w:rsidRPr="00FC72C5" w:rsidRDefault="00D9377B">
    <w:pPr>
      <w:pStyle w:val="Footer"/>
      <w:jc w:val="right"/>
      <w:rPr>
        <w:sz w:val="20"/>
        <w:szCs w:val="20"/>
      </w:rPr>
    </w:pPr>
  </w:p>
  <w:p w14:paraId="2439934E" w14:textId="77777777" w:rsidR="00D9377B" w:rsidRDefault="00D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70B6" w14:textId="77777777" w:rsidR="009F73F0" w:rsidRDefault="009F73F0" w:rsidP="00D50F13">
      <w:r>
        <w:separator/>
      </w:r>
    </w:p>
  </w:footnote>
  <w:footnote w:type="continuationSeparator" w:id="0">
    <w:p w14:paraId="6A945820" w14:textId="77777777" w:rsidR="009F73F0" w:rsidRDefault="009F73F0" w:rsidP="00D50F13">
      <w:r>
        <w:continuationSeparator/>
      </w:r>
    </w:p>
  </w:footnote>
  <w:footnote w:id="1">
    <w:p w14:paraId="10143120" w14:textId="544988F2" w:rsidR="00D9377B" w:rsidRPr="00810AE5" w:rsidRDefault="00D9377B"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D9377B" w:rsidRPr="00BC7984" w:rsidRDefault="00D9377B"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9377B" w:rsidRPr="00D70688" w:rsidRDefault="00D9377B">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BF2D7C">
          <w:rPr>
            <w:rFonts w:ascii="Arial Narrow" w:hAnsi="Arial Narrow"/>
            <w:bCs/>
            <w:noProof/>
          </w:rPr>
          <w:t>7</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BF2D7C">
          <w:rPr>
            <w:rFonts w:ascii="Arial Narrow" w:hAnsi="Arial Narrow"/>
            <w:bCs/>
            <w:noProof/>
          </w:rPr>
          <w:t>12</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9377B" w:rsidRDefault="00D9377B">
    <w:pPr>
      <w:pStyle w:val="Header"/>
    </w:pPr>
    <w:r>
      <w:rPr>
        <w:noProof/>
        <w:lang w:val="tr-TR" w:eastAsia="tr-TR"/>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C14"/>
    <w:multiLevelType w:val="hybridMultilevel"/>
    <w:tmpl w:val="92180F50"/>
    <w:lvl w:ilvl="0" w:tplc="F7586B6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C440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1F3070C"/>
    <w:multiLevelType w:val="hybridMultilevel"/>
    <w:tmpl w:val="CEC4EA1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3CB22F6"/>
    <w:multiLevelType w:val="hybridMultilevel"/>
    <w:tmpl w:val="C246A1FA"/>
    <w:lvl w:ilvl="0" w:tplc="A32089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1E7823"/>
    <w:multiLevelType w:val="multilevel"/>
    <w:tmpl w:val="73CCD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3E60FC8"/>
    <w:multiLevelType w:val="hybridMultilevel"/>
    <w:tmpl w:val="AAF85D36"/>
    <w:lvl w:ilvl="0" w:tplc="5420BA7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27BC1"/>
    <w:multiLevelType w:val="hybridMultilevel"/>
    <w:tmpl w:val="78BE9066"/>
    <w:lvl w:ilvl="0" w:tplc="FEF49704">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687870"/>
    <w:multiLevelType w:val="hybridMultilevel"/>
    <w:tmpl w:val="04D48A08"/>
    <w:lvl w:ilvl="0" w:tplc="367E0AB4">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7DCA"/>
    <w:multiLevelType w:val="hybridMultilevel"/>
    <w:tmpl w:val="D4AC5E68"/>
    <w:lvl w:ilvl="0" w:tplc="4D982BCA">
      <w:start w:val="1"/>
      <w:numFmt w:val="decimal"/>
      <w:lvlText w:val="%1."/>
      <w:lvlJc w:val="left"/>
      <w:pPr>
        <w:ind w:left="720" w:hanging="360"/>
      </w:pPr>
      <w:rPr>
        <w:rFonts w:eastAsia="Calibri"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753B16F6"/>
    <w:multiLevelType w:val="hybridMultilevel"/>
    <w:tmpl w:val="F1F0210A"/>
    <w:lvl w:ilvl="0" w:tplc="CCDCC58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2"/>
  </w:num>
  <w:num w:numId="2">
    <w:abstractNumId w:val="34"/>
  </w:num>
  <w:num w:numId="3">
    <w:abstractNumId w:val="3"/>
  </w:num>
  <w:num w:numId="4">
    <w:abstractNumId w:val="2"/>
  </w:num>
  <w:num w:numId="5">
    <w:abstractNumId w:val="16"/>
  </w:num>
  <w:num w:numId="6">
    <w:abstractNumId w:val="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12"/>
  </w:num>
  <w:num w:numId="11">
    <w:abstractNumId w:val="6"/>
  </w:num>
  <w:num w:numId="12">
    <w:abstractNumId w:val="28"/>
  </w:num>
  <w:num w:numId="13">
    <w:abstractNumId w:val="1"/>
  </w:num>
  <w:num w:numId="14">
    <w:abstractNumId w:val="14"/>
  </w:num>
  <w:num w:numId="15">
    <w:abstractNumId w:val="24"/>
  </w:num>
  <w:num w:numId="16">
    <w:abstractNumId w:val="31"/>
  </w:num>
  <w:num w:numId="17">
    <w:abstractNumId w:val="9"/>
  </w:num>
  <w:num w:numId="18">
    <w:abstractNumId w:val="30"/>
  </w:num>
  <w:num w:numId="19">
    <w:abstractNumId w:val="26"/>
  </w:num>
  <w:num w:numId="20">
    <w:abstractNumId w:val="21"/>
  </w:num>
  <w:num w:numId="21">
    <w:abstractNumId w:val="15"/>
  </w:num>
  <w:num w:numId="22">
    <w:abstractNumId w:val="5"/>
  </w:num>
  <w:num w:numId="23">
    <w:abstractNumId w:val="13"/>
  </w:num>
  <w:num w:numId="24">
    <w:abstractNumId w:val="10"/>
  </w:num>
  <w:num w:numId="25">
    <w:abstractNumId w:val="7"/>
  </w:num>
  <w:num w:numId="26">
    <w:abstractNumId w:val="29"/>
  </w:num>
  <w:num w:numId="27">
    <w:abstractNumId w:val="20"/>
  </w:num>
  <w:num w:numId="28">
    <w:abstractNumId w:val="36"/>
  </w:num>
  <w:num w:numId="29">
    <w:abstractNumId w:val="33"/>
  </w:num>
  <w:num w:numId="30">
    <w:abstractNumId w:val="18"/>
  </w:num>
  <w:num w:numId="31">
    <w:abstractNumId w:val="23"/>
  </w:num>
  <w:num w:numId="32">
    <w:abstractNumId w:val="25"/>
  </w:num>
  <w:num w:numId="33">
    <w:abstractNumId w:val="0"/>
  </w:num>
  <w:num w:numId="34">
    <w:abstractNumId w:val="35"/>
  </w:num>
  <w:num w:numId="35">
    <w:abstractNumId w:val="11"/>
  </w:num>
  <w:num w:numId="36">
    <w:abstractNumId w:val="8"/>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29C2"/>
    <w:rsid w:val="00004387"/>
    <w:rsid w:val="00007AEB"/>
    <w:rsid w:val="0001078E"/>
    <w:rsid w:val="000128DD"/>
    <w:rsid w:val="0001537A"/>
    <w:rsid w:val="00015DB4"/>
    <w:rsid w:val="00037A7D"/>
    <w:rsid w:val="0004179C"/>
    <w:rsid w:val="000478B8"/>
    <w:rsid w:val="00066DAC"/>
    <w:rsid w:val="0007287F"/>
    <w:rsid w:val="00072FB8"/>
    <w:rsid w:val="00075E56"/>
    <w:rsid w:val="0008106F"/>
    <w:rsid w:val="000837E6"/>
    <w:rsid w:val="000841B9"/>
    <w:rsid w:val="00084509"/>
    <w:rsid w:val="000852FE"/>
    <w:rsid w:val="00093155"/>
    <w:rsid w:val="000966F4"/>
    <w:rsid w:val="000A0D8A"/>
    <w:rsid w:val="000A19C2"/>
    <w:rsid w:val="000A2F00"/>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16211"/>
    <w:rsid w:val="00116B4E"/>
    <w:rsid w:val="00126183"/>
    <w:rsid w:val="0012667B"/>
    <w:rsid w:val="00127842"/>
    <w:rsid w:val="00127AB4"/>
    <w:rsid w:val="00135199"/>
    <w:rsid w:val="001359BE"/>
    <w:rsid w:val="0014098C"/>
    <w:rsid w:val="00150C0F"/>
    <w:rsid w:val="00160002"/>
    <w:rsid w:val="0016172B"/>
    <w:rsid w:val="00162598"/>
    <w:rsid w:val="00164952"/>
    <w:rsid w:val="001656F9"/>
    <w:rsid w:val="00183E4D"/>
    <w:rsid w:val="0019283C"/>
    <w:rsid w:val="001A207E"/>
    <w:rsid w:val="001A28AE"/>
    <w:rsid w:val="001A5371"/>
    <w:rsid w:val="001B0127"/>
    <w:rsid w:val="001B138A"/>
    <w:rsid w:val="001B532B"/>
    <w:rsid w:val="001C4BA2"/>
    <w:rsid w:val="001C5846"/>
    <w:rsid w:val="001C6878"/>
    <w:rsid w:val="001D40AD"/>
    <w:rsid w:val="001D5926"/>
    <w:rsid w:val="001D5CF8"/>
    <w:rsid w:val="001E5424"/>
    <w:rsid w:val="001F4EEF"/>
    <w:rsid w:val="001F5A87"/>
    <w:rsid w:val="002019A5"/>
    <w:rsid w:val="002111B3"/>
    <w:rsid w:val="002133FA"/>
    <w:rsid w:val="00213A16"/>
    <w:rsid w:val="00225B0D"/>
    <w:rsid w:val="002266CC"/>
    <w:rsid w:val="002336A0"/>
    <w:rsid w:val="0023651F"/>
    <w:rsid w:val="002461F8"/>
    <w:rsid w:val="00251355"/>
    <w:rsid w:val="00252393"/>
    <w:rsid w:val="00280A0C"/>
    <w:rsid w:val="002818A7"/>
    <w:rsid w:val="00290EAC"/>
    <w:rsid w:val="00293CBB"/>
    <w:rsid w:val="00294937"/>
    <w:rsid w:val="002A2C42"/>
    <w:rsid w:val="002A56A1"/>
    <w:rsid w:val="002B4786"/>
    <w:rsid w:val="002C6F98"/>
    <w:rsid w:val="002D5425"/>
    <w:rsid w:val="002D5DC0"/>
    <w:rsid w:val="002E5606"/>
    <w:rsid w:val="00300098"/>
    <w:rsid w:val="00304E2A"/>
    <w:rsid w:val="00311C90"/>
    <w:rsid w:val="00315353"/>
    <w:rsid w:val="00320711"/>
    <w:rsid w:val="003215FC"/>
    <w:rsid w:val="003272B1"/>
    <w:rsid w:val="00332AF4"/>
    <w:rsid w:val="003347E8"/>
    <w:rsid w:val="00337535"/>
    <w:rsid w:val="00345FBF"/>
    <w:rsid w:val="0034681E"/>
    <w:rsid w:val="00350F4E"/>
    <w:rsid w:val="0035108E"/>
    <w:rsid w:val="00361219"/>
    <w:rsid w:val="003705A6"/>
    <w:rsid w:val="00370D4A"/>
    <w:rsid w:val="003712F2"/>
    <w:rsid w:val="00371509"/>
    <w:rsid w:val="00371F0B"/>
    <w:rsid w:val="003840F5"/>
    <w:rsid w:val="00386026"/>
    <w:rsid w:val="0039258A"/>
    <w:rsid w:val="00393451"/>
    <w:rsid w:val="00394B2C"/>
    <w:rsid w:val="00395336"/>
    <w:rsid w:val="003A0F5F"/>
    <w:rsid w:val="003B1C2E"/>
    <w:rsid w:val="003B2E7E"/>
    <w:rsid w:val="003C1D13"/>
    <w:rsid w:val="003C5C6F"/>
    <w:rsid w:val="003E2D84"/>
    <w:rsid w:val="003E693C"/>
    <w:rsid w:val="003E6D30"/>
    <w:rsid w:val="003F2595"/>
    <w:rsid w:val="003F5956"/>
    <w:rsid w:val="003F7D5B"/>
    <w:rsid w:val="00402529"/>
    <w:rsid w:val="004121E2"/>
    <w:rsid w:val="00413AC3"/>
    <w:rsid w:val="00415503"/>
    <w:rsid w:val="00420E9A"/>
    <w:rsid w:val="0042786D"/>
    <w:rsid w:val="00432F42"/>
    <w:rsid w:val="00437926"/>
    <w:rsid w:val="00441D52"/>
    <w:rsid w:val="004470B4"/>
    <w:rsid w:val="00456407"/>
    <w:rsid w:val="0046282E"/>
    <w:rsid w:val="0046469D"/>
    <w:rsid w:val="00467C7F"/>
    <w:rsid w:val="004730F7"/>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18BC"/>
    <w:rsid w:val="004E0CBF"/>
    <w:rsid w:val="004E1F03"/>
    <w:rsid w:val="004E67E1"/>
    <w:rsid w:val="004E796F"/>
    <w:rsid w:val="004E7A45"/>
    <w:rsid w:val="004E7D01"/>
    <w:rsid w:val="004F01D8"/>
    <w:rsid w:val="004F2CFB"/>
    <w:rsid w:val="004F613A"/>
    <w:rsid w:val="004F71A4"/>
    <w:rsid w:val="005030A7"/>
    <w:rsid w:val="005106E2"/>
    <w:rsid w:val="0051263F"/>
    <w:rsid w:val="00523268"/>
    <w:rsid w:val="00527592"/>
    <w:rsid w:val="0053377B"/>
    <w:rsid w:val="00542FEE"/>
    <w:rsid w:val="00546CD6"/>
    <w:rsid w:val="00550849"/>
    <w:rsid w:val="00566A81"/>
    <w:rsid w:val="00567F3E"/>
    <w:rsid w:val="005739A6"/>
    <w:rsid w:val="005845C2"/>
    <w:rsid w:val="00597377"/>
    <w:rsid w:val="005A6974"/>
    <w:rsid w:val="005B0752"/>
    <w:rsid w:val="005C5D6E"/>
    <w:rsid w:val="005E2710"/>
    <w:rsid w:val="005E5511"/>
    <w:rsid w:val="005F65E7"/>
    <w:rsid w:val="005F7249"/>
    <w:rsid w:val="00602C82"/>
    <w:rsid w:val="00607963"/>
    <w:rsid w:val="00611175"/>
    <w:rsid w:val="00613313"/>
    <w:rsid w:val="006232B4"/>
    <w:rsid w:val="00630B61"/>
    <w:rsid w:val="006426F7"/>
    <w:rsid w:val="00642825"/>
    <w:rsid w:val="00647C28"/>
    <w:rsid w:val="00653BB6"/>
    <w:rsid w:val="006558F9"/>
    <w:rsid w:val="00656DC3"/>
    <w:rsid w:val="00660256"/>
    <w:rsid w:val="00662182"/>
    <w:rsid w:val="00662FF0"/>
    <w:rsid w:val="006717A7"/>
    <w:rsid w:val="0067529C"/>
    <w:rsid w:val="006771B6"/>
    <w:rsid w:val="00680325"/>
    <w:rsid w:val="00687D63"/>
    <w:rsid w:val="006912CB"/>
    <w:rsid w:val="0069188C"/>
    <w:rsid w:val="006A51F8"/>
    <w:rsid w:val="006A750B"/>
    <w:rsid w:val="006A7F07"/>
    <w:rsid w:val="006B1CBA"/>
    <w:rsid w:val="006B2D7D"/>
    <w:rsid w:val="006B5CAE"/>
    <w:rsid w:val="006B71A1"/>
    <w:rsid w:val="006C4C7E"/>
    <w:rsid w:val="006C7D58"/>
    <w:rsid w:val="006D00AF"/>
    <w:rsid w:val="006D34F0"/>
    <w:rsid w:val="006D3613"/>
    <w:rsid w:val="006D78F7"/>
    <w:rsid w:val="006E09FC"/>
    <w:rsid w:val="006E5D43"/>
    <w:rsid w:val="006F040B"/>
    <w:rsid w:val="00702C7E"/>
    <w:rsid w:val="00711683"/>
    <w:rsid w:val="00712D43"/>
    <w:rsid w:val="00714D53"/>
    <w:rsid w:val="00717259"/>
    <w:rsid w:val="00717297"/>
    <w:rsid w:val="0072200B"/>
    <w:rsid w:val="00725BA6"/>
    <w:rsid w:val="007332D8"/>
    <w:rsid w:val="00742F4A"/>
    <w:rsid w:val="00743F00"/>
    <w:rsid w:val="00747ADB"/>
    <w:rsid w:val="00751959"/>
    <w:rsid w:val="00754088"/>
    <w:rsid w:val="007556CC"/>
    <w:rsid w:val="00756E52"/>
    <w:rsid w:val="007573B9"/>
    <w:rsid w:val="00762290"/>
    <w:rsid w:val="00762726"/>
    <w:rsid w:val="00764810"/>
    <w:rsid w:val="00766341"/>
    <w:rsid w:val="00766990"/>
    <w:rsid w:val="00766CF1"/>
    <w:rsid w:val="007860E1"/>
    <w:rsid w:val="007867C0"/>
    <w:rsid w:val="00786B45"/>
    <w:rsid w:val="0079040A"/>
    <w:rsid w:val="007918E6"/>
    <w:rsid w:val="00791E04"/>
    <w:rsid w:val="00792B49"/>
    <w:rsid w:val="007935F8"/>
    <w:rsid w:val="007960C5"/>
    <w:rsid w:val="007A1FC9"/>
    <w:rsid w:val="007B0925"/>
    <w:rsid w:val="007C267B"/>
    <w:rsid w:val="007C4BED"/>
    <w:rsid w:val="007D46B2"/>
    <w:rsid w:val="007E335A"/>
    <w:rsid w:val="007F79F8"/>
    <w:rsid w:val="007F7F0F"/>
    <w:rsid w:val="00801181"/>
    <w:rsid w:val="00805B3B"/>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95EB0"/>
    <w:rsid w:val="008971E6"/>
    <w:rsid w:val="008A486B"/>
    <w:rsid w:val="008B170D"/>
    <w:rsid w:val="008B3EEE"/>
    <w:rsid w:val="008B6FDD"/>
    <w:rsid w:val="008C0AFB"/>
    <w:rsid w:val="008C754F"/>
    <w:rsid w:val="008D0D34"/>
    <w:rsid w:val="008D113B"/>
    <w:rsid w:val="008D3220"/>
    <w:rsid w:val="008E4BB1"/>
    <w:rsid w:val="008E68B8"/>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4FA"/>
    <w:rsid w:val="009A5B27"/>
    <w:rsid w:val="009A7F64"/>
    <w:rsid w:val="009B475C"/>
    <w:rsid w:val="009B76BE"/>
    <w:rsid w:val="009C258F"/>
    <w:rsid w:val="009D290D"/>
    <w:rsid w:val="009D3BD3"/>
    <w:rsid w:val="009E0C9B"/>
    <w:rsid w:val="009E4346"/>
    <w:rsid w:val="009E55DF"/>
    <w:rsid w:val="009F32D6"/>
    <w:rsid w:val="009F49A6"/>
    <w:rsid w:val="009F6493"/>
    <w:rsid w:val="009F73F0"/>
    <w:rsid w:val="00A00374"/>
    <w:rsid w:val="00A0101F"/>
    <w:rsid w:val="00A01BC9"/>
    <w:rsid w:val="00A034C3"/>
    <w:rsid w:val="00A06007"/>
    <w:rsid w:val="00A0651D"/>
    <w:rsid w:val="00A12241"/>
    <w:rsid w:val="00A15C42"/>
    <w:rsid w:val="00A30FC9"/>
    <w:rsid w:val="00A34538"/>
    <w:rsid w:val="00A40899"/>
    <w:rsid w:val="00A45B35"/>
    <w:rsid w:val="00A51EDA"/>
    <w:rsid w:val="00A53368"/>
    <w:rsid w:val="00A535BA"/>
    <w:rsid w:val="00A53BF2"/>
    <w:rsid w:val="00A64499"/>
    <w:rsid w:val="00A65785"/>
    <w:rsid w:val="00A675CC"/>
    <w:rsid w:val="00A77DE0"/>
    <w:rsid w:val="00A8461F"/>
    <w:rsid w:val="00A85379"/>
    <w:rsid w:val="00A8672C"/>
    <w:rsid w:val="00A96A37"/>
    <w:rsid w:val="00AA1957"/>
    <w:rsid w:val="00AA5E48"/>
    <w:rsid w:val="00AA7B01"/>
    <w:rsid w:val="00AB03AB"/>
    <w:rsid w:val="00AB13EF"/>
    <w:rsid w:val="00AB1B8D"/>
    <w:rsid w:val="00AD33C7"/>
    <w:rsid w:val="00AD423A"/>
    <w:rsid w:val="00AD5E4A"/>
    <w:rsid w:val="00AE2A99"/>
    <w:rsid w:val="00AE5507"/>
    <w:rsid w:val="00AF0AF1"/>
    <w:rsid w:val="00AF7DCB"/>
    <w:rsid w:val="00B018FC"/>
    <w:rsid w:val="00B036FF"/>
    <w:rsid w:val="00B045D4"/>
    <w:rsid w:val="00B04C5F"/>
    <w:rsid w:val="00B11F35"/>
    <w:rsid w:val="00B1320D"/>
    <w:rsid w:val="00B133A9"/>
    <w:rsid w:val="00B13723"/>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327D"/>
    <w:rsid w:val="00BA355F"/>
    <w:rsid w:val="00BA535D"/>
    <w:rsid w:val="00BB11AE"/>
    <w:rsid w:val="00BB66CF"/>
    <w:rsid w:val="00BC4242"/>
    <w:rsid w:val="00BD4695"/>
    <w:rsid w:val="00BD671C"/>
    <w:rsid w:val="00BD6B89"/>
    <w:rsid w:val="00BE13D6"/>
    <w:rsid w:val="00BE33D8"/>
    <w:rsid w:val="00BF0EF7"/>
    <w:rsid w:val="00BF2D7C"/>
    <w:rsid w:val="00BF4B03"/>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277"/>
    <w:rsid w:val="00C8260C"/>
    <w:rsid w:val="00C93476"/>
    <w:rsid w:val="00CA4416"/>
    <w:rsid w:val="00CA6E6F"/>
    <w:rsid w:val="00CB597F"/>
    <w:rsid w:val="00CC6D82"/>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85E5D"/>
    <w:rsid w:val="00D90F8E"/>
    <w:rsid w:val="00D9377B"/>
    <w:rsid w:val="00DA482E"/>
    <w:rsid w:val="00DC3F97"/>
    <w:rsid w:val="00DC4F90"/>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49D8"/>
    <w:rsid w:val="00E56FDA"/>
    <w:rsid w:val="00E57189"/>
    <w:rsid w:val="00E70EDD"/>
    <w:rsid w:val="00E76343"/>
    <w:rsid w:val="00E81D73"/>
    <w:rsid w:val="00E84740"/>
    <w:rsid w:val="00E9063A"/>
    <w:rsid w:val="00E90DC4"/>
    <w:rsid w:val="00E9309D"/>
    <w:rsid w:val="00E932F5"/>
    <w:rsid w:val="00E94437"/>
    <w:rsid w:val="00EA472D"/>
    <w:rsid w:val="00EA6D7F"/>
    <w:rsid w:val="00EB550D"/>
    <w:rsid w:val="00EB6C90"/>
    <w:rsid w:val="00EC08A1"/>
    <w:rsid w:val="00EE1D09"/>
    <w:rsid w:val="00EE7240"/>
    <w:rsid w:val="00EF0665"/>
    <w:rsid w:val="00EF66B8"/>
    <w:rsid w:val="00F01E6F"/>
    <w:rsid w:val="00F02B18"/>
    <w:rsid w:val="00F069C5"/>
    <w:rsid w:val="00F130D7"/>
    <w:rsid w:val="00F14B32"/>
    <w:rsid w:val="00F17C76"/>
    <w:rsid w:val="00F2124D"/>
    <w:rsid w:val="00F21315"/>
    <w:rsid w:val="00F226D5"/>
    <w:rsid w:val="00F25459"/>
    <w:rsid w:val="00F26952"/>
    <w:rsid w:val="00F270C4"/>
    <w:rsid w:val="00F30E47"/>
    <w:rsid w:val="00F416AD"/>
    <w:rsid w:val="00F56296"/>
    <w:rsid w:val="00F56682"/>
    <w:rsid w:val="00F57BB6"/>
    <w:rsid w:val="00F57EC4"/>
    <w:rsid w:val="00F61A56"/>
    <w:rsid w:val="00F6665F"/>
    <w:rsid w:val="00F77E7D"/>
    <w:rsid w:val="00F84B26"/>
    <w:rsid w:val="00FA7021"/>
    <w:rsid w:val="00FA70E6"/>
    <w:rsid w:val="00FB168A"/>
    <w:rsid w:val="00FC453F"/>
    <w:rsid w:val="00FC72C5"/>
    <w:rsid w:val="00FC7A03"/>
    <w:rsid w:val="00FC7E0E"/>
    <w:rsid w:val="00FD4486"/>
    <w:rsid w:val="00FD6864"/>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506B65C2-64D8-4612-94EF-C4A06707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61A5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lem.demirel@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2F0EA-E6BF-4909-B784-2508C216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6595</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2020-08-17T11:09:00Z</dcterms:created>
  <dcterms:modified xsi:type="dcterms:W3CDTF">2020-08-17T11:09:00Z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