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EAEDA09" w:rsidR="00BE43B2" w:rsidRPr="006818D6" w:rsidRDefault="00EA668E">
            <w:pPr>
              <w:rPr>
                <w:rFonts w:ascii="Tahoma" w:hAnsi="Tahoma" w:cs="Tahoma"/>
                <w:caps/>
                <w:color w:val="000000" w:themeColor="text1"/>
                <w:sz w:val="18"/>
                <w:szCs w:val="18"/>
                <w:highlight w:val="cyan"/>
                <w:lang w:val="uk-UA"/>
              </w:rPr>
            </w:pPr>
            <w:r w:rsidRPr="00EA668E">
              <w:rPr>
                <w:rFonts w:ascii="Tahoma" w:hAnsi="Tahoma" w:cs="Tahoma"/>
                <w:caps/>
                <w:color w:val="000000" w:themeColor="text1"/>
                <w:sz w:val="18"/>
                <w:szCs w:val="18"/>
              </w:rPr>
              <w:t>8573/2021/</w:t>
            </w:r>
            <w:r w:rsidR="00F04DDA">
              <w:rPr>
                <w:rFonts w:ascii="Tahoma" w:hAnsi="Tahoma" w:cs="Tahoma"/>
                <w:caps/>
                <w:color w:val="000000" w:themeColor="text1"/>
                <w:sz w:val="18"/>
                <w:szCs w:val="18"/>
              </w:rPr>
              <w:t>80</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8379934" w:rsidR="00BE43B2" w:rsidRPr="00EA2362" w:rsidRDefault="00C86013">
            <w:pPr>
              <w:rPr>
                <w:rFonts w:ascii="Tahoma" w:hAnsi="Tahoma" w:cs="Tahoma"/>
                <w:caps/>
                <w:color w:val="000000" w:themeColor="text1"/>
                <w:sz w:val="18"/>
                <w:szCs w:val="18"/>
                <w:highlight w:val="cyan"/>
              </w:rPr>
            </w:pPr>
            <w:r>
              <w:rPr>
                <w:rFonts w:ascii="Tahoma" w:hAnsi="Tahoma" w:cs="Tahoma"/>
                <w:caps/>
                <w:color w:val="000000"/>
                <w:sz w:val="18"/>
                <w:szCs w:val="18"/>
              </w:rPr>
              <w:t>VC</w:t>
            </w:r>
            <w:r w:rsidRPr="005B3AB7">
              <w:rPr>
                <w:rFonts w:ascii="Tahoma" w:hAnsi="Tahoma" w:cs="Tahoma"/>
                <w:caps/>
                <w:color w:val="000000"/>
                <w:sz w:val="18"/>
                <w:szCs w:val="18"/>
              </w:rPr>
              <w:t xml:space="preserve"> 1336 / BH 8573 - </w:t>
            </w:r>
            <w:r w:rsidRPr="005B3AB7">
              <w:rPr>
                <w:rFonts w:ascii="Tahoma" w:hAnsi="Tahoma" w:cs="Tahoma"/>
                <w:color w:val="000000"/>
                <w:sz w:val="18"/>
                <w:szCs w:val="18"/>
              </w:rPr>
              <w:t>Strengthening democracy and building trust at local level in Ukraine</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090E2FB" w:rsidR="00BE43B2" w:rsidRPr="00EA2362" w:rsidRDefault="00C86013">
            <w:pPr>
              <w:rPr>
                <w:rFonts w:ascii="Tahoma" w:hAnsi="Tahoma" w:cs="Tahoma"/>
                <w:b/>
                <w:caps/>
                <w:color w:val="000000" w:themeColor="text1"/>
                <w:sz w:val="18"/>
                <w:szCs w:val="18"/>
                <w:highlight w:val="cyan"/>
              </w:rPr>
            </w:pPr>
            <w:r w:rsidRPr="00C86013">
              <w:rPr>
                <w:rFonts w:ascii="Tahoma" w:hAnsi="Tahoma" w:cs="Tahoma"/>
                <w:color w:val="000000" w:themeColor="text1"/>
                <w:sz w:val="18"/>
                <w:szCs w:val="18"/>
              </w:rPr>
              <w:t>Svitlana Gryshchenko, Project Manager, svitlana.gryshchenko@coe.int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F85672" w:rsidRDefault="009365EB" w:rsidP="005D5924">
      <w:pPr>
        <w:rPr>
          <w:rFonts w:ascii="Tahoma" w:hAnsi="Tahoma" w:cs="Tahoma"/>
          <w:b/>
          <w:sz w:val="12"/>
          <w:szCs w:val="12"/>
        </w:rPr>
      </w:pPr>
    </w:p>
    <w:p w14:paraId="11FE7464" w14:textId="42DF07FF"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w:t>
      </w:r>
      <w:bookmarkStart w:id="0" w:name="_Hlk65661231"/>
      <w:r w:rsidRPr="00EA2362">
        <w:rPr>
          <w:rFonts w:ascii="Tahoma" w:hAnsi="Tahoma" w:cs="Tahoma"/>
          <w:b/>
        </w:rPr>
        <w:t>the provision of</w:t>
      </w:r>
      <w:r w:rsidR="00C86013">
        <w:rPr>
          <w:rFonts w:ascii="Tahoma" w:hAnsi="Tahoma" w:cs="Tahoma"/>
          <w:b/>
        </w:rPr>
        <w:t xml:space="preserve"> consultancy services on open government and public ethics in the framework of the project “</w:t>
      </w:r>
      <w:r w:rsidR="00C86013" w:rsidRPr="00F969E0">
        <w:rPr>
          <w:rFonts w:ascii="Tahoma" w:hAnsi="Tahoma" w:cs="Tahoma"/>
          <w:b/>
        </w:rPr>
        <w:t>Strengthening democracy and building trust at local level in Ukraine</w:t>
      </w:r>
      <w:bookmarkEnd w:id="0"/>
      <w:r w:rsidR="00C86013">
        <w:rPr>
          <w:rFonts w:ascii="Tahoma" w:hAnsi="Tahoma" w:cs="Tahoma"/>
          <w:b/>
        </w:rPr>
        <w:t>”.</w:t>
      </w:r>
      <w:r w:rsidRPr="00EA2362">
        <w:rPr>
          <w:rFonts w:ascii="Tahoma" w:hAnsi="Tahoma" w:cs="Tahoma"/>
          <w:b/>
        </w:rPr>
        <w:t xml:space="preserve"> </w:t>
      </w:r>
    </w:p>
    <w:p w14:paraId="69C3D274" w14:textId="77777777" w:rsidR="00261462" w:rsidRPr="00F85672" w:rsidRDefault="00261462" w:rsidP="00261462">
      <w:pPr>
        <w:rPr>
          <w:rFonts w:ascii="Tahoma" w:hAnsi="Tahoma" w:cs="Tahoma"/>
          <w:b/>
          <w:sz w:val="12"/>
          <w:szCs w:val="12"/>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F85672" w:rsidRDefault="00261462" w:rsidP="00261462">
      <w:pPr>
        <w:rPr>
          <w:rFonts w:ascii="Tahoma" w:hAnsi="Tahoma" w:cs="Tahoma"/>
          <w:b/>
          <w:sz w:val="12"/>
          <w:szCs w:val="12"/>
        </w:rPr>
      </w:pPr>
    </w:p>
    <w:p w14:paraId="1342F6B1" w14:textId="77777777" w:rsidR="00261462" w:rsidRPr="00F85672" w:rsidRDefault="00261462" w:rsidP="00261462">
      <w:pPr>
        <w:spacing w:before="120"/>
        <w:ind w:left="567" w:hanging="283"/>
        <w:rPr>
          <w:rFonts w:ascii="Tahoma" w:hAnsi="Tahoma" w:cs="Tahoma"/>
          <w:b/>
          <w:sz w:val="12"/>
          <w:szCs w:val="12"/>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056"/>
        <w:gridCol w:w="611"/>
        <w:gridCol w:w="3292"/>
      </w:tblGrid>
      <w:tr w:rsidR="0057438F" w:rsidRPr="00EA2362" w14:paraId="0CDD5CD9" w14:textId="01548DCB" w:rsidTr="00C86013">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57438F" w:rsidRPr="00EA2362" w:rsidRDefault="0057438F"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57438F" w:rsidRPr="00EA2362" w:rsidRDefault="0057438F"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389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353FD5F8" w14:textId="1B2F67C1" w:rsidR="0057438F" w:rsidRPr="00194EDC" w:rsidRDefault="008B6881"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57438F" w:rsidRPr="00194EDC">
                  <w:rPr>
                    <w:rFonts w:ascii="Segoe UI Symbol" w:hAnsi="Segoe UI Symbol" w:cs="Segoe UI Symbol"/>
                    <w:color w:val="000000"/>
                    <w:sz w:val="18"/>
                    <w:szCs w:val="18"/>
                    <w:lang w:val="es-ES_tradnl"/>
                  </w:rPr>
                  <w:t>☐</w:t>
                </w:r>
              </w:sdtContent>
            </w:sdt>
            <w:r w:rsidR="0057438F" w:rsidRPr="00194EDC">
              <w:rPr>
                <w:rFonts w:ascii="Tahoma" w:hAnsi="Tahoma" w:cs="Tahoma"/>
                <w:color w:val="000000"/>
                <w:sz w:val="18"/>
                <w:szCs w:val="18"/>
                <w:lang w:val="es-ES_tradnl"/>
              </w:rPr>
              <w:t xml:space="preserve"> Legal person</w:t>
            </w:r>
            <w:r w:rsidR="00C86013">
              <w:rPr>
                <w:rFonts w:ascii="Tahoma" w:hAnsi="Tahoma" w:cs="Tahoma"/>
                <w:color w:val="000000"/>
                <w:sz w:val="18"/>
                <w:szCs w:val="18"/>
                <w:lang w:val="es-ES_tradnl"/>
              </w:rPr>
              <w:t xml:space="preserve"> </w:t>
            </w:r>
          </w:p>
        </w:tc>
        <w:tc>
          <w:tcPr>
            <w:tcW w:w="390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57438F" w:rsidRPr="00194EDC" w:rsidRDefault="008B6881"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57438F" w:rsidRPr="00194EDC">
                  <w:rPr>
                    <w:rFonts w:ascii="Segoe UI Symbol" w:hAnsi="Segoe UI Symbol" w:cs="Segoe UI Symbol"/>
                    <w:color w:val="000000"/>
                    <w:sz w:val="18"/>
                    <w:szCs w:val="18"/>
                    <w:lang w:val="es-ES_tradnl"/>
                  </w:rPr>
                  <w:t>☐</w:t>
                </w:r>
              </w:sdtContent>
            </w:sdt>
            <w:r w:rsidR="0057438F" w:rsidRPr="00194EDC">
              <w:rPr>
                <w:rFonts w:ascii="Tahoma" w:hAnsi="Tahoma" w:cs="Tahoma"/>
                <w:color w:val="000000"/>
                <w:sz w:val="18"/>
                <w:szCs w:val="18"/>
                <w:lang w:val="es-ES_tradnl"/>
              </w:rPr>
              <w:t xml:space="preserve"> Consortium</w:t>
            </w:r>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4"/>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gridSpan w:val="2"/>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251BDF78" w14:textId="23D3C593" w:rsidR="00F85672"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r w:rsidR="00F85672" w:rsidRPr="000D371D">
        <w:rPr>
          <w:rFonts w:ascii="Tahoma" w:hAnsi="Tahoma" w:cs="Tahoma"/>
          <w:sz w:val="20"/>
          <w:szCs w:val="20"/>
        </w:rPr>
        <w:t>is currently implementing</w:t>
      </w:r>
      <w:r w:rsidR="00F85672">
        <w:rPr>
          <w:rFonts w:ascii="Tahoma" w:hAnsi="Tahoma" w:cs="Tahoma"/>
          <w:sz w:val="20"/>
          <w:szCs w:val="20"/>
        </w:rPr>
        <w:t xml:space="preserve"> the project “</w:t>
      </w:r>
      <w:r w:rsidR="00F85672" w:rsidRPr="00F969E0">
        <w:rPr>
          <w:rFonts w:ascii="Tahoma" w:hAnsi="Tahoma" w:cs="Tahoma"/>
          <w:sz w:val="20"/>
          <w:szCs w:val="20"/>
        </w:rPr>
        <w:t>Strengthening democracy and building trust at local level in Ukraine</w:t>
      </w:r>
      <w:r w:rsidR="00F85672">
        <w:rPr>
          <w:rFonts w:ascii="Tahoma" w:hAnsi="Tahoma" w:cs="Tahoma"/>
          <w:sz w:val="20"/>
          <w:szCs w:val="20"/>
        </w:rPr>
        <w:t>”</w:t>
      </w:r>
      <w:r w:rsidR="00F04DDA">
        <w:rPr>
          <w:rFonts w:ascii="Tahoma" w:hAnsi="Tahoma" w:cs="Tahoma"/>
          <w:sz w:val="20"/>
          <w:szCs w:val="20"/>
        </w:rPr>
        <w:t xml:space="preserve"> within the Council of Europe Action Plan for Ukraine for 2018-2022</w:t>
      </w:r>
      <w:r w:rsidR="00F85672">
        <w:rPr>
          <w:rFonts w:ascii="Tahoma" w:hAnsi="Tahoma" w:cs="Tahoma"/>
          <w:sz w:val="20"/>
          <w:szCs w:val="20"/>
        </w:rPr>
        <w:t xml:space="preserve">, which </w:t>
      </w:r>
      <w:r w:rsidR="00F85672" w:rsidRPr="00B6234F">
        <w:rPr>
          <w:rFonts w:ascii="Tahoma" w:hAnsi="Tahoma" w:cs="Tahoma"/>
          <w:sz w:val="20"/>
          <w:szCs w:val="20"/>
        </w:rPr>
        <w:t xml:space="preserve">aims to improve the quality of local democracy in Ukraine by strengthening institutional frameworks and by supporting </w:t>
      </w:r>
      <w:r w:rsidR="00F85672" w:rsidRPr="00B6234F">
        <w:rPr>
          <w:rFonts w:ascii="Tahoma" w:hAnsi="Tahoma" w:cs="Tahoma"/>
          <w:sz w:val="20"/>
          <w:szCs w:val="20"/>
        </w:rPr>
        <w:lastRenderedPageBreak/>
        <w:t>local authorities and their national associations in their efforts to promote ethical decision-making and more citizen-oriented, inclusive, responsive and transparent local governance.</w:t>
      </w:r>
    </w:p>
    <w:p w14:paraId="72B5056C" w14:textId="259DFD37" w:rsidR="006818D6" w:rsidRDefault="006818D6" w:rsidP="003E0A41">
      <w:pPr>
        <w:spacing w:line="276" w:lineRule="auto"/>
        <w:jc w:val="both"/>
        <w:rPr>
          <w:rFonts w:ascii="Tahoma" w:hAnsi="Tahoma" w:cs="Tahoma"/>
          <w:sz w:val="20"/>
          <w:szCs w:val="20"/>
        </w:rPr>
      </w:pPr>
    </w:p>
    <w:p w14:paraId="3B56B6F3" w14:textId="5764B288" w:rsidR="006818D6" w:rsidRDefault="00F04DDA" w:rsidP="003E0A41">
      <w:pPr>
        <w:spacing w:line="276" w:lineRule="auto"/>
        <w:jc w:val="both"/>
        <w:rPr>
          <w:rFonts w:ascii="Tahoma" w:hAnsi="Tahoma" w:cs="Tahoma"/>
          <w:sz w:val="20"/>
          <w:szCs w:val="20"/>
        </w:rPr>
      </w:pPr>
      <w:r>
        <w:rPr>
          <w:rFonts w:ascii="Tahoma" w:hAnsi="Tahoma" w:cs="Tahoma"/>
          <w:sz w:val="20"/>
          <w:szCs w:val="20"/>
        </w:rPr>
        <w:t>C</w:t>
      </w:r>
      <w:r w:rsidR="006818D6" w:rsidRPr="006818D6">
        <w:rPr>
          <w:rFonts w:ascii="Tahoma" w:hAnsi="Tahoma" w:cs="Tahoma"/>
          <w:sz w:val="20"/>
          <w:szCs w:val="20"/>
        </w:rPr>
        <w:t xml:space="preserve">ontinuous co-operation of the </w:t>
      </w:r>
      <w:r w:rsidR="00B54577">
        <w:rPr>
          <w:rFonts w:ascii="Tahoma" w:hAnsi="Tahoma" w:cs="Tahoma"/>
          <w:sz w:val="20"/>
          <w:szCs w:val="20"/>
        </w:rPr>
        <w:t xml:space="preserve">Council of Europe </w:t>
      </w:r>
      <w:r w:rsidR="006818D6" w:rsidRPr="006818D6">
        <w:rPr>
          <w:rFonts w:ascii="Tahoma" w:hAnsi="Tahoma" w:cs="Tahoma"/>
          <w:sz w:val="20"/>
          <w:szCs w:val="20"/>
        </w:rPr>
        <w:t>Congress</w:t>
      </w:r>
      <w:r>
        <w:rPr>
          <w:rFonts w:ascii="Tahoma" w:hAnsi="Tahoma" w:cs="Tahoma"/>
          <w:sz w:val="20"/>
          <w:szCs w:val="20"/>
        </w:rPr>
        <w:t xml:space="preserve"> of </w:t>
      </w:r>
      <w:r w:rsidR="00D648DD">
        <w:rPr>
          <w:rFonts w:ascii="Tahoma" w:hAnsi="Tahoma" w:cs="Tahoma"/>
          <w:sz w:val="20"/>
          <w:szCs w:val="20"/>
        </w:rPr>
        <w:t>L</w:t>
      </w:r>
      <w:r>
        <w:rPr>
          <w:rFonts w:ascii="Tahoma" w:hAnsi="Tahoma" w:cs="Tahoma"/>
          <w:sz w:val="20"/>
          <w:szCs w:val="20"/>
        </w:rPr>
        <w:t xml:space="preserve">ocal and </w:t>
      </w:r>
      <w:r w:rsidR="00D648DD">
        <w:rPr>
          <w:rFonts w:ascii="Tahoma" w:hAnsi="Tahoma" w:cs="Tahoma"/>
          <w:sz w:val="20"/>
          <w:szCs w:val="20"/>
        </w:rPr>
        <w:t>R</w:t>
      </w:r>
      <w:r>
        <w:rPr>
          <w:rFonts w:ascii="Tahoma" w:hAnsi="Tahoma" w:cs="Tahoma"/>
          <w:sz w:val="20"/>
          <w:szCs w:val="20"/>
        </w:rPr>
        <w:t xml:space="preserve">egional </w:t>
      </w:r>
      <w:r w:rsidR="00D648DD">
        <w:rPr>
          <w:rFonts w:ascii="Tahoma" w:hAnsi="Tahoma" w:cs="Tahoma"/>
          <w:sz w:val="20"/>
          <w:szCs w:val="20"/>
        </w:rPr>
        <w:t>A</w:t>
      </w:r>
      <w:r>
        <w:rPr>
          <w:rFonts w:ascii="Tahoma" w:hAnsi="Tahoma" w:cs="Tahoma"/>
          <w:sz w:val="20"/>
          <w:szCs w:val="20"/>
        </w:rPr>
        <w:t>uthorities (</w:t>
      </w:r>
      <w:r w:rsidR="00B54577">
        <w:rPr>
          <w:rFonts w:ascii="Tahoma" w:hAnsi="Tahoma" w:cs="Tahoma"/>
          <w:sz w:val="20"/>
          <w:szCs w:val="20"/>
        </w:rPr>
        <w:t xml:space="preserve">the </w:t>
      </w:r>
      <w:r>
        <w:rPr>
          <w:rFonts w:ascii="Tahoma" w:hAnsi="Tahoma" w:cs="Tahoma"/>
          <w:sz w:val="20"/>
          <w:szCs w:val="20"/>
        </w:rPr>
        <w:t xml:space="preserve">Congress) </w:t>
      </w:r>
      <w:r w:rsidR="006818D6" w:rsidRPr="006818D6">
        <w:rPr>
          <w:rFonts w:ascii="Tahoma" w:hAnsi="Tahoma" w:cs="Tahoma"/>
          <w:sz w:val="20"/>
          <w:szCs w:val="20"/>
        </w:rPr>
        <w:t xml:space="preserve"> with Ukrainian local authorities and the Association of Ukrainian Cities (AUC) </w:t>
      </w:r>
      <w:r w:rsidR="00B54577">
        <w:rPr>
          <w:rFonts w:ascii="Tahoma" w:hAnsi="Tahoma" w:cs="Tahoma"/>
          <w:sz w:val="20"/>
          <w:szCs w:val="20"/>
        </w:rPr>
        <w:t xml:space="preserve">in the framework of the Project </w:t>
      </w:r>
      <w:r w:rsidR="006818D6" w:rsidRPr="006818D6">
        <w:rPr>
          <w:rFonts w:ascii="Tahoma" w:hAnsi="Tahoma" w:cs="Tahoma"/>
          <w:sz w:val="20"/>
          <w:szCs w:val="20"/>
        </w:rPr>
        <w:t xml:space="preserve">has recently resulted in the admission of three Ukrainian cities (Khmelnytskyi, Ternopil and Vinnytsia) </w:t>
      </w:r>
      <w:r w:rsidR="009E6E99">
        <w:rPr>
          <w:rFonts w:ascii="Tahoma" w:hAnsi="Tahoma" w:cs="Tahoma"/>
          <w:sz w:val="20"/>
          <w:szCs w:val="20"/>
        </w:rPr>
        <w:t xml:space="preserve">to </w:t>
      </w:r>
      <w:r w:rsidR="006818D6" w:rsidRPr="006818D6">
        <w:rPr>
          <w:rFonts w:ascii="Tahoma" w:hAnsi="Tahoma" w:cs="Tahoma"/>
          <w:sz w:val="20"/>
          <w:szCs w:val="20"/>
        </w:rPr>
        <w:t xml:space="preserve">the OGP Local Programme – a selective global partnership of local governments and civil society organisations – </w:t>
      </w:r>
      <w:r>
        <w:rPr>
          <w:rFonts w:ascii="Tahoma" w:hAnsi="Tahoma" w:cs="Tahoma"/>
          <w:sz w:val="20"/>
          <w:szCs w:val="20"/>
        </w:rPr>
        <w:t xml:space="preserve">which </w:t>
      </w:r>
      <w:r w:rsidR="006818D6" w:rsidRPr="006818D6">
        <w:rPr>
          <w:rFonts w:ascii="Tahoma" w:hAnsi="Tahoma" w:cs="Tahoma"/>
          <w:sz w:val="20"/>
          <w:szCs w:val="20"/>
        </w:rPr>
        <w:t>express</w:t>
      </w:r>
      <w:r>
        <w:rPr>
          <w:rFonts w:ascii="Tahoma" w:hAnsi="Tahoma" w:cs="Tahoma"/>
          <w:sz w:val="20"/>
          <w:szCs w:val="20"/>
        </w:rPr>
        <w:t>ed</w:t>
      </w:r>
      <w:r w:rsidR="006818D6" w:rsidRPr="006818D6">
        <w:rPr>
          <w:rFonts w:ascii="Tahoma" w:hAnsi="Tahoma" w:cs="Tahoma"/>
          <w:sz w:val="20"/>
          <w:szCs w:val="20"/>
        </w:rPr>
        <w:t xml:space="preserve"> their commitment to develop accountable and transparent open government, digital governance and inclusive policies. </w:t>
      </w:r>
    </w:p>
    <w:p w14:paraId="771B9A20" w14:textId="77777777" w:rsidR="00F85672" w:rsidRDefault="00F85672" w:rsidP="003E0A41">
      <w:pPr>
        <w:spacing w:line="276" w:lineRule="auto"/>
        <w:jc w:val="both"/>
        <w:rPr>
          <w:rFonts w:ascii="Tahoma" w:hAnsi="Tahoma" w:cs="Tahoma"/>
          <w:sz w:val="20"/>
          <w:szCs w:val="20"/>
        </w:rPr>
      </w:pPr>
    </w:p>
    <w:p w14:paraId="60216AAF" w14:textId="01F1C605" w:rsidR="00E55F69" w:rsidRDefault="006B0045" w:rsidP="00582176">
      <w:pPr>
        <w:spacing w:line="276" w:lineRule="auto"/>
        <w:jc w:val="both"/>
        <w:rPr>
          <w:rFonts w:ascii="Tahoma" w:hAnsi="Tahoma" w:cs="Tahoma"/>
          <w:sz w:val="20"/>
          <w:szCs w:val="20"/>
        </w:rPr>
      </w:pPr>
      <w:r w:rsidRPr="00EA2362">
        <w:rPr>
          <w:rFonts w:ascii="Tahoma" w:hAnsi="Tahoma" w:cs="Tahoma"/>
          <w:sz w:val="20"/>
          <w:szCs w:val="20"/>
        </w:rPr>
        <w:t>In th</w:t>
      </w:r>
      <w:r w:rsidR="00B237FC">
        <w:rPr>
          <w:rFonts w:ascii="Tahoma" w:hAnsi="Tahoma" w:cs="Tahoma"/>
          <w:sz w:val="20"/>
          <w:szCs w:val="20"/>
        </w:rPr>
        <w:t>is</w:t>
      </w:r>
      <w:r w:rsidRPr="00EA2362">
        <w:rPr>
          <w:rFonts w:ascii="Tahoma" w:hAnsi="Tahoma" w:cs="Tahoma"/>
          <w:sz w:val="20"/>
          <w:szCs w:val="20"/>
        </w:rPr>
        <w:t xml:space="preserve"> context</w:t>
      </w:r>
      <w:r w:rsidR="006818D6" w:rsidRPr="006818D6">
        <w:rPr>
          <w:rFonts w:ascii="Tahoma" w:hAnsi="Tahoma" w:cs="Tahoma"/>
          <w:sz w:val="20"/>
          <w:szCs w:val="20"/>
        </w:rPr>
        <w:t xml:space="preserve">, a </w:t>
      </w:r>
      <w:r w:rsidR="00B237FC">
        <w:rPr>
          <w:rFonts w:ascii="Tahoma" w:hAnsi="Tahoma" w:cs="Tahoma"/>
          <w:sz w:val="20"/>
          <w:szCs w:val="20"/>
        </w:rPr>
        <w:t xml:space="preserve">selected </w:t>
      </w:r>
      <w:r w:rsidR="006818D6" w:rsidRPr="006818D6">
        <w:rPr>
          <w:rFonts w:ascii="Tahoma" w:hAnsi="Tahoma" w:cs="Tahoma"/>
          <w:sz w:val="20"/>
          <w:szCs w:val="20"/>
        </w:rPr>
        <w:t xml:space="preserve">Provider (legal person) </w:t>
      </w:r>
      <w:r w:rsidR="00B237FC">
        <w:rPr>
          <w:rFonts w:ascii="Tahoma" w:hAnsi="Tahoma" w:cs="Tahoma"/>
          <w:sz w:val="20"/>
          <w:szCs w:val="20"/>
        </w:rPr>
        <w:t xml:space="preserve">will </w:t>
      </w:r>
      <w:r w:rsidR="006818D6" w:rsidRPr="006818D6">
        <w:rPr>
          <w:rFonts w:ascii="Tahoma" w:hAnsi="Tahoma" w:cs="Tahoma"/>
          <w:sz w:val="20"/>
          <w:szCs w:val="20"/>
        </w:rPr>
        <w:t>conduct a baseline survey on open government at local</w:t>
      </w:r>
      <w:r w:rsidR="00F04DDA">
        <w:rPr>
          <w:rFonts w:ascii="Tahoma" w:hAnsi="Tahoma" w:cs="Tahoma"/>
          <w:sz w:val="20"/>
          <w:szCs w:val="20"/>
        </w:rPr>
        <w:t xml:space="preserve"> level</w:t>
      </w:r>
      <w:r w:rsidR="006818D6" w:rsidRPr="006818D6">
        <w:rPr>
          <w:rFonts w:ascii="Tahoma" w:hAnsi="Tahoma" w:cs="Tahoma"/>
          <w:sz w:val="20"/>
          <w:szCs w:val="20"/>
        </w:rPr>
        <w:t>, including the assessment of existing e-governance and e-democracy policies and practices.</w:t>
      </w:r>
    </w:p>
    <w:p w14:paraId="7EA94E29" w14:textId="77777777" w:rsidR="006C6830" w:rsidRDefault="006C6830" w:rsidP="00582176">
      <w:pPr>
        <w:spacing w:line="276" w:lineRule="auto"/>
        <w:jc w:val="both"/>
        <w:rPr>
          <w:rFonts w:ascii="Tahoma" w:hAnsi="Tahoma" w:cs="Tahoma"/>
          <w:sz w:val="20"/>
          <w:szCs w:val="20"/>
        </w:rPr>
      </w:pPr>
    </w:p>
    <w:p w14:paraId="00B18654" w14:textId="068E8E24" w:rsidR="006C6830" w:rsidRPr="006C6830" w:rsidRDefault="006C6830" w:rsidP="006C6830">
      <w:pPr>
        <w:spacing w:line="276" w:lineRule="auto"/>
        <w:jc w:val="both"/>
        <w:rPr>
          <w:rFonts w:ascii="Tahoma" w:hAnsi="Tahoma" w:cs="Tahoma"/>
          <w:sz w:val="20"/>
          <w:szCs w:val="20"/>
        </w:rPr>
      </w:pPr>
      <w:r w:rsidRPr="006C6830">
        <w:rPr>
          <w:rFonts w:ascii="Tahoma" w:hAnsi="Tahoma" w:cs="Tahoma"/>
          <w:sz w:val="20"/>
          <w:szCs w:val="20"/>
        </w:rPr>
        <w:t xml:space="preserve">The baseline survey should serve as a basis for further support to be provided to local authorities in developing innovative open government policies and practices </w:t>
      </w:r>
      <w:r w:rsidR="006B6CA9" w:rsidRPr="006C6830">
        <w:rPr>
          <w:rFonts w:ascii="Tahoma" w:hAnsi="Tahoma" w:cs="Tahoma"/>
          <w:sz w:val="20"/>
          <w:szCs w:val="20"/>
        </w:rPr>
        <w:t>based on</w:t>
      </w:r>
      <w:r w:rsidRPr="006C6830">
        <w:rPr>
          <w:rFonts w:ascii="Tahoma" w:hAnsi="Tahoma" w:cs="Tahoma"/>
          <w:sz w:val="20"/>
          <w:szCs w:val="20"/>
        </w:rPr>
        <w:t xml:space="preserve"> the following:</w:t>
      </w:r>
    </w:p>
    <w:p w14:paraId="357AFCCA" w14:textId="33467201" w:rsidR="006C6830" w:rsidRDefault="006C6830" w:rsidP="006C6830">
      <w:pPr>
        <w:numPr>
          <w:ilvl w:val="0"/>
          <w:numId w:val="44"/>
        </w:numPr>
        <w:spacing w:line="276" w:lineRule="auto"/>
        <w:jc w:val="both"/>
        <w:rPr>
          <w:rFonts w:ascii="Tahoma" w:hAnsi="Tahoma" w:cs="Tahoma"/>
          <w:sz w:val="20"/>
          <w:szCs w:val="20"/>
        </w:rPr>
      </w:pPr>
      <w:r w:rsidRPr="006C6830">
        <w:rPr>
          <w:rFonts w:ascii="Tahoma" w:hAnsi="Tahoma" w:cs="Tahoma"/>
          <w:sz w:val="20"/>
          <w:szCs w:val="20"/>
        </w:rPr>
        <w:t xml:space="preserve">Assessment of the current policies and practices </w:t>
      </w:r>
      <w:r w:rsidR="00B42C56">
        <w:rPr>
          <w:rFonts w:ascii="Tahoma" w:hAnsi="Tahoma" w:cs="Tahoma"/>
          <w:sz w:val="20"/>
          <w:szCs w:val="20"/>
        </w:rPr>
        <w:t>of</w:t>
      </w:r>
      <w:r w:rsidRPr="006C6830">
        <w:rPr>
          <w:rFonts w:ascii="Tahoma" w:hAnsi="Tahoma" w:cs="Tahoma"/>
          <w:sz w:val="20"/>
          <w:szCs w:val="20"/>
        </w:rPr>
        <w:t xml:space="preserve"> </w:t>
      </w:r>
      <w:r w:rsidR="004119DB" w:rsidRPr="006818D6">
        <w:rPr>
          <w:rFonts w:ascii="Tahoma" w:hAnsi="Tahoma" w:cs="Tahoma"/>
          <w:sz w:val="20"/>
          <w:szCs w:val="20"/>
        </w:rPr>
        <w:t>open government at local</w:t>
      </w:r>
      <w:r w:rsidR="004119DB">
        <w:rPr>
          <w:rFonts w:ascii="Tahoma" w:hAnsi="Tahoma" w:cs="Tahoma"/>
          <w:sz w:val="20"/>
          <w:szCs w:val="20"/>
        </w:rPr>
        <w:t xml:space="preserve"> level</w:t>
      </w:r>
      <w:r w:rsidR="004119DB" w:rsidRPr="006818D6">
        <w:rPr>
          <w:rFonts w:ascii="Tahoma" w:hAnsi="Tahoma" w:cs="Tahoma"/>
          <w:sz w:val="20"/>
          <w:szCs w:val="20"/>
        </w:rPr>
        <w:t>, including the assessment of existing e-governance and e-democracy policies and practices</w:t>
      </w:r>
      <w:r w:rsidRPr="006C6830">
        <w:rPr>
          <w:rFonts w:ascii="Tahoma" w:hAnsi="Tahoma" w:cs="Tahoma"/>
          <w:sz w:val="20"/>
          <w:szCs w:val="20"/>
        </w:rPr>
        <w:t>, also with reference to the National Action Plan on Government Partnership 2021- 2022</w:t>
      </w:r>
      <w:r w:rsidR="00B54577">
        <w:rPr>
          <w:rFonts w:ascii="Tahoma" w:hAnsi="Tahoma" w:cs="Tahoma"/>
          <w:sz w:val="20"/>
          <w:szCs w:val="20"/>
        </w:rPr>
        <w:t>;</w:t>
      </w:r>
    </w:p>
    <w:p w14:paraId="4FA8FA7A" w14:textId="30904F15" w:rsidR="004119DB" w:rsidRPr="006C6830" w:rsidRDefault="00B42C56" w:rsidP="004119DB">
      <w:pPr>
        <w:spacing w:line="276" w:lineRule="auto"/>
        <w:ind w:left="644"/>
        <w:jc w:val="both"/>
        <w:rPr>
          <w:rFonts w:ascii="Tahoma" w:hAnsi="Tahoma" w:cs="Tahoma"/>
          <w:sz w:val="20"/>
          <w:szCs w:val="20"/>
        </w:rPr>
      </w:pPr>
      <w:r>
        <w:rPr>
          <w:rFonts w:ascii="Tahoma" w:hAnsi="Tahoma" w:cs="Tahoma"/>
          <w:sz w:val="20"/>
          <w:szCs w:val="20"/>
        </w:rPr>
        <w:t>The b</w:t>
      </w:r>
      <w:r w:rsidR="004119DB">
        <w:rPr>
          <w:rFonts w:ascii="Tahoma" w:hAnsi="Tahoma" w:cs="Tahoma"/>
          <w:sz w:val="20"/>
          <w:szCs w:val="20"/>
        </w:rPr>
        <w:t>aseline survey should be focused on two main themes:</w:t>
      </w:r>
    </w:p>
    <w:p w14:paraId="4A4094AB" w14:textId="2B36A462" w:rsidR="006C6830" w:rsidRPr="006C6830" w:rsidRDefault="006C6830" w:rsidP="004119DB">
      <w:pPr>
        <w:spacing w:line="276" w:lineRule="auto"/>
        <w:ind w:left="644"/>
        <w:jc w:val="both"/>
        <w:rPr>
          <w:rFonts w:ascii="Tahoma" w:hAnsi="Tahoma" w:cs="Tahoma"/>
          <w:sz w:val="20"/>
          <w:szCs w:val="20"/>
        </w:rPr>
      </w:pPr>
      <w:r w:rsidRPr="004119DB">
        <w:rPr>
          <w:rFonts w:ascii="Tahoma" w:hAnsi="Tahoma" w:cs="Tahoma"/>
          <w:b/>
          <w:bCs/>
          <w:i/>
          <w:iCs/>
          <w:sz w:val="20"/>
          <w:szCs w:val="20"/>
        </w:rPr>
        <w:t>Access to public information, including open data</w:t>
      </w:r>
      <w:r w:rsidRPr="006C6830">
        <w:rPr>
          <w:rFonts w:ascii="Tahoma" w:hAnsi="Tahoma" w:cs="Tahoma"/>
          <w:sz w:val="20"/>
          <w:szCs w:val="20"/>
        </w:rPr>
        <w:t xml:space="preserve">, </w:t>
      </w:r>
      <w:r w:rsidR="00B42C56">
        <w:rPr>
          <w:rFonts w:ascii="Tahoma" w:hAnsi="Tahoma" w:cs="Tahoma"/>
          <w:sz w:val="20"/>
          <w:szCs w:val="20"/>
        </w:rPr>
        <w:t>for</w:t>
      </w:r>
      <w:r w:rsidRPr="006C6830">
        <w:rPr>
          <w:rFonts w:ascii="Tahoma" w:hAnsi="Tahoma" w:cs="Tahoma"/>
          <w:sz w:val="20"/>
          <w:szCs w:val="20"/>
        </w:rPr>
        <w:t xml:space="preserve"> citizens to participate more fully in public life, protect</w:t>
      </w:r>
      <w:r w:rsidR="00F04DDA">
        <w:rPr>
          <w:rFonts w:ascii="Tahoma" w:hAnsi="Tahoma" w:cs="Tahoma"/>
          <w:sz w:val="20"/>
          <w:szCs w:val="20"/>
        </w:rPr>
        <w:t>ion of</w:t>
      </w:r>
      <w:r w:rsidRPr="006C6830">
        <w:rPr>
          <w:rFonts w:ascii="Tahoma" w:hAnsi="Tahoma" w:cs="Tahoma"/>
          <w:sz w:val="20"/>
          <w:szCs w:val="20"/>
        </w:rPr>
        <w:t xml:space="preserve"> citizens' rights and enhance</w:t>
      </w:r>
      <w:r w:rsidR="00F04DDA">
        <w:rPr>
          <w:rFonts w:ascii="Tahoma" w:hAnsi="Tahoma" w:cs="Tahoma"/>
          <w:sz w:val="20"/>
          <w:szCs w:val="20"/>
        </w:rPr>
        <w:t>ment of</w:t>
      </w:r>
      <w:r w:rsidRPr="006C6830">
        <w:rPr>
          <w:rFonts w:ascii="Tahoma" w:hAnsi="Tahoma" w:cs="Tahoma"/>
          <w:sz w:val="20"/>
          <w:szCs w:val="20"/>
        </w:rPr>
        <w:t xml:space="preserve"> trust to local authorities. </w:t>
      </w:r>
    </w:p>
    <w:p w14:paraId="2A944DC6" w14:textId="679793C7" w:rsidR="006C6830" w:rsidRPr="006C6830" w:rsidRDefault="006C6830" w:rsidP="004119DB">
      <w:pPr>
        <w:spacing w:line="276" w:lineRule="auto"/>
        <w:ind w:left="644"/>
        <w:jc w:val="both"/>
        <w:rPr>
          <w:rFonts w:ascii="Tahoma" w:hAnsi="Tahoma" w:cs="Tahoma"/>
          <w:sz w:val="20"/>
          <w:szCs w:val="20"/>
        </w:rPr>
      </w:pPr>
      <w:r w:rsidRPr="004119DB">
        <w:rPr>
          <w:rFonts w:ascii="Tahoma" w:hAnsi="Tahoma" w:cs="Tahoma"/>
          <w:b/>
          <w:bCs/>
          <w:i/>
          <w:iCs/>
          <w:sz w:val="20"/>
          <w:szCs w:val="20"/>
        </w:rPr>
        <w:t xml:space="preserve">Innovative forms </w:t>
      </w:r>
      <w:r w:rsidR="00B42C56">
        <w:rPr>
          <w:rFonts w:ascii="Tahoma" w:hAnsi="Tahoma" w:cs="Tahoma"/>
          <w:b/>
          <w:bCs/>
          <w:i/>
          <w:iCs/>
          <w:sz w:val="20"/>
          <w:szCs w:val="20"/>
        </w:rPr>
        <w:t xml:space="preserve">of </w:t>
      </w:r>
      <w:r w:rsidRPr="004119DB">
        <w:rPr>
          <w:rFonts w:ascii="Tahoma" w:hAnsi="Tahoma" w:cs="Tahoma"/>
          <w:b/>
          <w:bCs/>
          <w:i/>
          <w:iCs/>
          <w:sz w:val="20"/>
          <w:szCs w:val="20"/>
        </w:rPr>
        <w:t>citizen engagement</w:t>
      </w:r>
      <w:r w:rsidRPr="006C6830">
        <w:rPr>
          <w:rFonts w:ascii="Tahoma" w:hAnsi="Tahoma" w:cs="Tahoma"/>
          <w:sz w:val="20"/>
          <w:szCs w:val="20"/>
        </w:rPr>
        <w:t xml:space="preserve">, including deliberative, collaborative, and participatory decision making </w:t>
      </w:r>
      <w:r w:rsidR="00B42C56">
        <w:rPr>
          <w:rFonts w:ascii="Tahoma" w:hAnsi="Tahoma" w:cs="Tahoma"/>
          <w:sz w:val="20"/>
          <w:szCs w:val="20"/>
        </w:rPr>
        <w:t xml:space="preserve">to </w:t>
      </w:r>
      <w:r w:rsidRPr="006C6830">
        <w:rPr>
          <w:rFonts w:ascii="Tahoma" w:hAnsi="Tahoma" w:cs="Tahoma"/>
          <w:sz w:val="20"/>
          <w:szCs w:val="20"/>
        </w:rPr>
        <w:t>create</w:t>
      </w:r>
      <w:r w:rsidR="00B42C56">
        <w:rPr>
          <w:rFonts w:ascii="Tahoma" w:hAnsi="Tahoma" w:cs="Tahoma"/>
          <w:sz w:val="20"/>
          <w:szCs w:val="20"/>
        </w:rPr>
        <w:t xml:space="preserve"> a</w:t>
      </w:r>
      <w:r w:rsidRPr="006C6830">
        <w:rPr>
          <w:rFonts w:ascii="Tahoma" w:hAnsi="Tahoma" w:cs="Tahoma"/>
          <w:sz w:val="20"/>
          <w:szCs w:val="20"/>
        </w:rPr>
        <w:t xml:space="preserve"> solid background for joint sourcing ideas and co-generating solutions</w:t>
      </w:r>
      <w:r w:rsidR="00B54577">
        <w:rPr>
          <w:rFonts w:ascii="Tahoma" w:hAnsi="Tahoma" w:cs="Tahoma"/>
          <w:sz w:val="20"/>
          <w:szCs w:val="20"/>
        </w:rPr>
        <w:t>.</w:t>
      </w:r>
    </w:p>
    <w:p w14:paraId="16785CC1" w14:textId="77777777" w:rsidR="006C6830" w:rsidRPr="006C6830" w:rsidRDefault="006C6830" w:rsidP="006C6830">
      <w:pPr>
        <w:numPr>
          <w:ilvl w:val="0"/>
          <w:numId w:val="44"/>
        </w:numPr>
        <w:spacing w:line="276" w:lineRule="auto"/>
        <w:jc w:val="both"/>
        <w:rPr>
          <w:rFonts w:ascii="Tahoma" w:hAnsi="Tahoma" w:cs="Tahoma"/>
          <w:sz w:val="20"/>
          <w:szCs w:val="20"/>
        </w:rPr>
      </w:pPr>
      <w:r w:rsidRPr="006C6830">
        <w:rPr>
          <w:rFonts w:ascii="Tahoma" w:hAnsi="Tahoma" w:cs="Tahoma"/>
          <w:sz w:val="20"/>
          <w:szCs w:val="20"/>
        </w:rPr>
        <w:t xml:space="preserve">Evaluation of effectiveness of open government local policies and programmes; </w:t>
      </w:r>
    </w:p>
    <w:p w14:paraId="228B17F4" w14:textId="77777777" w:rsidR="006C6830" w:rsidRPr="006C6830" w:rsidRDefault="006C6830" w:rsidP="006C6830">
      <w:pPr>
        <w:numPr>
          <w:ilvl w:val="0"/>
          <w:numId w:val="44"/>
        </w:numPr>
        <w:spacing w:line="276" w:lineRule="auto"/>
        <w:jc w:val="both"/>
        <w:rPr>
          <w:rFonts w:ascii="Tahoma" w:hAnsi="Tahoma" w:cs="Tahoma"/>
          <w:sz w:val="20"/>
          <w:szCs w:val="20"/>
        </w:rPr>
      </w:pPr>
      <w:r w:rsidRPr="006C6830">
        <w:rPr>
          <w:rFonts w:ascii="Tahoma" w:hAnsi="Tahoma" w:cs="Tahoma"/>
          <w:sz w:val="20"/>
          <w:szCs w:val="20"/>
        </w:rPr>
        <w:t>Assessment of the needs of local authorities in introducing open government policies and practices.</w:t>
      </w:r>
    </w:p>
    <w:p w14:paraId="4D22BC30" w14:textId="77777777" w:rsidR="006C6830" w:rsidRPr="006C6830" w:rsidRDefault="006C6830" w:rsidP="006C6830">
      <w:pPr>
        <w:spacing w:line="276" w:lineRule="auto"/>
        <w:jc w:val="both"/>
        <w:rPr>
          <w:rFonts w:ascii="Tahoma" w:hAnsi="Tahoma" w:cs="Tahoma"/>
          <w:sz w:val="20"/>
          <w:szCs w:val="20"/>
        </w:rPr>
      </w:pPr>
    </w:p>
    <w:p w14:paraId="489A6164" w14:textId="77777777" w:rsidR="006C6830" w:rsidRPr="006C6830" w:rsidRDefault="006C6830" w:rsidP="006C6830">
      <w:pPr>
        <w:spacing w:line="276" w:lineRule="auto"/>
        <w:jc w:val="both"/>
        <w:rPr>
          <w:rFonts w:ascii="Tahoma" w:hAnsi="Tahoma" w:cs="Tahoma"/>
          <w:sz w:val="20"/>
          <w:szCs w:val="20"/>
        </w:rPr>
      </w:pPr>
      <w:r w:rsidRPr="006C6830">
        <w:rPr>
          <w:rFonts w:ascii="Tahoma" w:hAnsi="Tahoma" w:cs="Tahoma"/>
          <w:sz w:val="20"/>
          <w:szCs w:val="20"/>
        </w:rPr>
        <w:t>The Provider will undertake the following tasks:</w:t>
      </w:r>
    </w:p>
    <w:p w14:paraId="65971F01" w14:textId="6A4D0F94" w:rsidR="006C6830" w:rsidRDefault="006C6830" w:rsidP="006C6830">
      <w:pPr>
        <w:numPr>
          <w:ilvl w:val="0"/>
          <w:numId w:val="44"/>
        </w:numPr>
        <w:spacing w:line="276" w:lineRule="auto"/>
        <w:jc w:val="both"/>
        <w:rPr>
          <w:rFonts w:ascii="Tahoma" w:hAnsi="Tahoma" w:cs="Tahoma"/>
          <w:sz w:val="20"/>
          <w:szCs w:val="20"/>
        </w:rPr>
      </w:pPr>
      <w:r w:rsidRPr="00415734">
        <w:rPr>
          <w:rFonts w:ascii="Tahoma" w:hAnsi="Tahoma" w:cs="Tahoma"/>
          <w:b/>
          <w:bCs/>
          <w:sz w:val="20"/>
          <w:szCs w:val="20"/>
        </w:rPr>
        <w:t>Conduct a desk review</w:t>
      </w:r>
      <w:r w:rsidRPr="006C6830">
        <w:rPr>
          <w:rFonts w:ascii="Tahoma" w:hAnsi="Tahoma" w:cs="Tahoma"/>
          <w:sz w:val="20"/>
          <w:szCs w:val="20"/>
        </w:rPr>
        <w:t xml:space="preserve"> of the national legislative framework relevant to open government and existing policies and practices of open government at local level in Ukraine. </w:t>
      </w:r>
    </w:p>
    <w:p w14:paraId="718D55DB" w14:textId="77777777" w:rsidR="006C6830" w:rsidRPr="006C6830" w:rsidRDefault="006C6830" w:rsidP="006C6830">
      <w:pPr>
        <w:spacing w:line="276" w:lineRule="auto"/>
        <w:ind w:firstLine="644"/>
        <w:jc w:val="both"/>
        <w:rPr>
          <w:rFonts w:ascii="Tahoma" w:hAnsi="Tahoma" w:cs="Tahoma"/>
          <w:sz w:val="20"/>
          <w:szCs w:val="20"/>
        </w:rPr>
      </w:pPr>
      <w:r w:rsidRPr="006C6830">
        <w:rPr>
          <w:rFonts w:ascii="Tahoma" w:hAnsi="Tahoma" w:cs="Tahoma"/>
          <w:sz w:val="20"/>
          <w:szCs w:val="20"/>
        </w:rPr>
        <w:t>In order to obtain quantitative data necessary for the baseline survey, the Provider is expected:</w:t>
      </w:r>
    </w:p>
    <w:p w14:paraId="5623B35C" w14:textId="478F5ED7" w:rsidR="006C6830" w:rsidRPr="006C6830" w:rsidRDefault="006C6830" w:rsidP="006C6830">
      <w:pPr>
        <w:numPr>
          <w:ilvl w:val="1"/>
          <w:numId w:val="44"/>
        </w:numPr>
        <w:spacing w:line="276" w:lineRule="auto"/>
        <w:jc w:val="both"/>
        <w:rPr>
          <w:rFonts w:ascii="Tahoma" w:hAnsi="Tahoma" w:cs="Tahoma"/>
          <w:sz w:val="20"/>
          <w:szCs w:val="20"/>
        </w:rPr>
      </w:pPr>
      <w:r w:rsidRPr="006C6830">
        <w:rPr>
          <w:rFonts w:ascii="Tahoma" w:hAnsi="Tahoma" w:cs="Tahoma"/>
          <w:sz w:val="20"/>
          <w:szCs w:val="20"/>
        </w:rPr>
        <w:t>to develop drafts and finalize questionnaire and methodology for conducting a survey on open government at local level in Ukraine, including e-governance and e-democracy policies and practices in promoting access to information and innovative citizen participation based on suggestions and comments of the Project team and the AUC;</w:t>
      </w:r>
    </w:p>
    <w:p w14:paraId="32A4B38E" w14:textId="77777777" w:rsidR="006C6830" w:rsidRPr="006C6830" w:rsidRDefault="006C6830" w:rsidP="006C6830">
      <w:pPr>
        <w:numPr>
          <w:ilvl w:val="1"/>
          <w:numId w:val="44"/>
        </w:numPr>
        <w:spacing w:line="276" w:lineRule="auto"/>
        <w:jc w:val="both"/>
        <w:rPr>
          <w:rFonts w:ascii="Tahoma" w:hAnsi="Tahoma" w:cs="Tahoma"/>
          <w:sz w:val="20"/>
          <w:szCs w:val="20"/>
        </w:rPr>
      </w:pPr>
      <w:r w:rsidRPr="006C6830">
        <w:rPr>
          <w:rFonts w:ascii="Tahoma" w:hAnsi="Tahoma" w:cs="Tahoma"/>
          <w:sz w:val="20"/>
          <w:szCs w:val="20"/>
        </w:rPr>
        <w:t xml:space="preserve">to develop a schedule for carrying out the survey with the Project further approval. </w:t>
      </w:r>
    </w:p>
    <w:p w14:paraId="47529729" w14:textId="180705A9" w:rsidR="00F14720" w:rsidRDefault="006C6830" w:rsidP="00F14720">
      <w:pPr>
        <w:numPr>
          <w:ilvl w:val="0"/>
          <w:numId w:val="44"/>
        </w:numPr>
        <w:spacing w:line="276" w:lineRule="auto"/>
        <w:jc w:val="both"/>
        <w:rPr>
          <w:rFonts w:ascii="Tahoma" w:hAnsi="Tahoma" w:cs="Tahoma"/>
          <w:sz w:val="20"/>
          <w:szCs w:val="20"/>
        </w:rPr>
      </w:pPr>
      <w:r w:rsidRPr="006C6830">
        <w:rPr>
          <w:rFonts w:ascii="Tahoma" w:hAnsi="Tahoma" w:cs="Tahoma"/>
          <w:b/>
          <w:bCs/>
          <w:sz w:val="20"/>
          <w:szCs w:val="20"/>
        </w:rPr>
        <w:t xml:space="preserve">Prepare a baseline survey report </w:t>
      </w:r>
      <w:r w:rsidRPr="00B54577">
        <w:rPr>
          <w:rFonts w:ascii="Tahoma" w:hAnsi="Tahoma" w:cs="Tahoma"/>
          <w:sz w:val="20"/>
          <w:szCs w:val="20"/>
        </w:rPr>
        <w:t xml:space="preserve">in </w:t>
      </w:r>
      <w:r w:rsidR="00F04DDA" w:rsidRPr="00B54577">
        <w:rPr>
          <w:rFonts w:ascii="Tahoma" w:hAnsi="Tahoma" w:cs="Tahoma"/>
          <w:sz w:val="20"/>
          <w:szCs w:val="20"/>
        </w:rPr>
        <w:t>English</w:t>
      </w:r>
      <w:r w:rsidR="00F04DDA" w:rsidRPr="004119DB">
        <w:rPr>
          <w:rFonts w:ascii="Tahoma" w:hAnsi="Tahoma" w:cs="Tahoma"/>
          <w:sz w:val="20"/>
          <w:szCs w:val="20"/>
        </w:rPr>
        <w:t xml:space="preserve"> and Ukrainian</w:t>
      </w:r>
      <w:r w:rsidR="00F04DDA">
        <w:rPr>
          <w:rFonts w:ascii="Tahoma" w:hAnsi="Tahoma" w:cs="Tahoma"/>
          <w:sz w:val="20"/>
          <w:szCs w:val="20"/>
        </w:rPr>
        <w:t xml:space="preserve">, </w:t>
      </w:r>
      <w:r w:rsidR="00B42C56">
        <w:rPr>
          <w:rFonts w:ascii="Tahoma" w:hAnsi="Tahoma" w:cs="Tahoma"/>
          <w:sz w:val="20"/>
          <w:szCs w:val="20"/>
        </w:rPr>
        <w:t xml:space="preserve">in </w:t>
      </w:r>
      <w:r w:rsidR="00F04DDA">
        <w:rPr>
          <w:rFonts w:ascii="Tahoma" w:hAnsi="Tahoma" w:cs="Tahoma"/>
          <w:sz w:val="20"/>
          <w:szCs w:val="20"/>
        </w:rPr>
        <w:t>the</w:t>
      </w:r>
      <w:r w:rsidRPr="006C6830">
        <w:rPr>
          <w:rFonts w:ascii="Tahoma" w:hAnsi="Tahoma" w:cs="Tahoma"/>
          <w:sz w:val="20"/>
          <w:szCs w:val="20"/>
        </w:rPr>
        <w:t xml:space="preserve"> format ready for publication – A4, font: Myriad Pro, size 1</w:t>
      </w:r>
      <w:r w:rsidR="007A6D21">
        <w:rPr>
          <w:rFonts w:ascii="Tahoma" w:hAnsi="Tahoma" w:cs="Tahoma"/>
          <w:sz w:val="20"/>
          <w:szCs w:val="20"/>
        </w:rPr>
        <w:t>1</w:t>
      </w:r>
      <w:r w:rsidRPr="006C6830">
        <w:rPr>
          <w:rFonts w:ascii="Tahoma" w:hAnsi="Tahoma" w:cs="Tahoma"/>
          <w:sz w:val="20"/>
          <w:szCs w:val="20"/>
        </w:rPr>
        <w:t xml:space="preserve">, * .doc and *.pdf - about 50 pages </w:t>
      </w:r>
      <w:r w:rsidR="00F04DDA">
        <w:rPr>
          <w:rFonts w:ascii="Tahoma" w:hAnsi="Tahoma" w:cs="Tahoma"/>
          <w:sz w:val="20"/>
          <w:szCs w:val="20"/>
        </w:rPr>
        <w:t xml:space="preserve">of </w:t>
      </w:r>
      <w:r w:rsidRPr="006C6830">
        <w:rPr>
          <w:rFonts w:ascii="Tahoma" w:hAnsi="Tahoma" w:cs="Tahoma"/>
          <w:sz w:val="20"/>
          <w:szCs w:val="20"/>
        </w:rPr>
        <w:t>text.</w:t>
      </w:r>
      <w:r w:rsidR="00014703">
        <w:rPr>
          <w:rFonts w:ascii="Tahoma" w:hAnsi="Tahoma" w:cs="Tahoma"/>
          <w:sz w:val="20"/>
          <w:szCs w:val="20"/>
        </w:rPr>
        <w:t xml:space="preserve"> The report shall </w:t>
      </w:r>
      <w:r w:rsidR="00F14720">
        <w:rPr>
          <w:rFonts w:ascii="Tahoma" w:hAnsi="Tahoma" w:cs="Tahoma"/>
          <w:sz w:val="20"/>
          <w:szCs w:val="20"/>
        </w:rPr>
        <w:t>include the following:</w:t>
      </w:r>
    </w:p>
    <w:p w14:paraId="7F6406AE" w14:textId="6070EFC5" w:rsidR="00F14720" w:rsidRPr="00F14720" w:rsidRDefault="00F14720" w:rsidP="007D2C2A">
      <w:pPr>
        <w:numPr>
          <w:ilvl w:val="1"/>
          <w:numId w:val="44"/>
        </w:numPr>
        <w:spacing w:line="276" w:lineRule="auto"/>
        <w:jc w:val="both"/>
        <w:rPr>
          <w:rFonts w:ascii="Tahoma" w:hAnsi="Tahoma" w:cs="Tahoma"/>
          <w:sz w:val="20"/>
          <w:szCs w:val="20"/>
        </w:rPr>
      </w:pPr>
      <w:r w:rsidRPr="00F14720">
        <w:rPr>
          <w:rFonts w:ascii="Tahoma" w:hAnsi="Tahoma" w:cs="Tahoma"/>
          <w:sz w:val="20"/>
          <w:szCs w:val="20"/>
        </w:rPr>
        <w:t>an executive summary of key findings, conclusions and recommendations</w:t>
      </w:r>
      <w:r>
        <w:rPr>
          <w:rFonts w:ascii="Tahoma" w:hAnsi="Tahoma" w:cs="Tahoma"/>
          <w:sz w:val="20"/>
          <w:szCs w:val="20"/>
        </w:rPr>
        <w:t>, in line with the Article 3.2.5 of this contract.</w:t>
      </w:r>
    </w:p>
    <w:p w14:paraId="3B6134D3" w14:textId="618AF18B" w:rsidR="00F14720" w:rsidRPr="00F14720" w:rsidRDefault="00F14720" w:rsidP="007D2C2A">
      <w:pPr>
        <w:numPr>
          <w:ilvl w:val="1"/>
          <w:numId w:val="44"/>
        </w:numPr>
        <w:spacing w:line="276" w:lineRule="auto"/>
        <w:jc w:val="both"/>
        <w:rPr>
          <w:rFonts w:ascii="Tahoma" w:hAnsi="Tahoma" w:cs="Tahoma"/>
          <w:sz w:val="20"/>
          <w:szCs w:val="20"/>
        </w:rPr>
      </w:pPr>
      <w:r>
        <w:rPr>
          <w:rFonts w:ascii="Tahoma" w:hAnsi="Tahoma" w:cs="Tahoma"/>
          <w:sz w:val="20"/>
          <w:szCs w:val="20"/>
        </w:rPr>
        <w:t xml:space="preserve">the </w:t>
      </w:r>
      <w:r w:rsidRPr="00F14720">
        <w:rPr>
          <w:rFonts w:ascii="Tahoma" w:hAnsi="Tahoma" w:cs="Tahoma"/>
          <w:sz w:val="20"/>
          <w:szCs w:val="20"/>
        </w:rPr>
        <w:t>methodology of the baseline survey;</w:t>
      </w:r>
    </w:p>
    <w:p w14:paraId="1B3466FC" w14:textId="72084310" w:rsidR="00F14720" w:rsidRPr="00F14720" w:rsidRDefault="00F14720" w:rsidP="007D2C2A">
      <w:pPr>
        <w:numPr>
          <w:ilvl w:val="1"/>
          <w:numId w:val="44"/>
        </w:numPr>
        <w:spacing w:line="276" w:lineRule="auto"/>
        <w:jc w:val="both"/>
        <w:rPr>
          <w:rFonts w:ascii="Tahoma" w:hAnsi="Tahoma" w:cs="Tahoma"/>
          <w:sz w:val="20"/>
          <w:szCs w:val="20"/>
        </w:rPr>
      </w:pPr>
      <w:r w:rsidRPr="00F14720">
        <w:rPr>
          <w:rFonts w:ascii="Tahoma" w:hAnsi="Tahoma" w:cs="Tahoma"/>
          <w:sz w:val="20"/>
          <w:szCs w:val="20"/>
        </w:rPr>
        <w:t>explanations of the results and dynamics on every question with processed statistical information in tables and diagrams;</w:t>
      </w:r>
    </w:p>
    <w:p w14:paraId="445F8D57" w14:textId="7A3CBA2A" w:rsidR="00F14720" w:rsidRPr="00F14720" w:rsidRDefault="00F14720" w:rsidP="007D2C2A">
      <w:pPr>
        <w:numPr>
          <w:ilvl w:val="1"/>
          <w:numId w:val="44"/>
        </w:numPr>
        <w:spacing w:line="276" w:lineRule="auto"/>
        <w:jc w:val="both"/>
        <w:rPr>
          <w:rFonts w:ascii="Tahoma" w:hAnsi="Tahoma" w:cs="Tahoma"/>
          <w:sz w:val="20"/>
          <w:szCs w:val="20"/>
        </w:rPr>
      </w:pPr>
      <w:r w:rsidRPr="00F14720">
        <w:rPr>
          <w:rFonts w:ascii="Tahoma" w:hAnsi="Tahoma" w:cs="Tahoma"/>
          <w:sz w:val="20"/>
          <w:szCs w:val="20"/>
        </w:rPr>
        <w:t>results of the baseline survey and conclusions;</w:t>
      </w:r>
    </w:p>
    <w:p w14:paraId="20BE1A80" w14:textId="61AA9BFA" w:rsidR="00F14720" w:rsidRPr="00F14720" w:rsidRDefault="00F14720" w:rsidP="007D2C2A">
      <w:pPr>
        <w:numPr>
          <w:ilvl w:val="1"/>
          <w:numId w:val="44"/>
        </w:numPr>
        <w:spacing w:line="276" w:lineRule="auto"/>
        <w:jc w:val="both"/>
        <w:rPr>
          <w:rFonts w:ascii="Tahoma" w:hAnsi="Tahoma" w:cs="Tahoma"/>
          <w:sz w:val="20"/>
          <w:szCs w:val="20"/>
        </w:rPr>
      </w:pPr>
      <w:r w:rsidRPr="00F14720">
        <w:rPr>
          <w:rFonts w:ascii="Tahoma" w:hAnsi="Tahoma" w:cs="Tahoma"/>
          <w:sz w:val="20"/>
          <w:szCs w:val="20"/>
        </w:rPr>
        <w:t xml:space="preserve">guidelines to local authorities on strengthening open government practices and policies, in promoting access to information and innovative citizen participation mechanisms;  </w:t>
      </w:r>
    </w:p>
    <w:p w14:paraId="73890DF9" w14:textId="20CD5DE7" w:rsidR="006C6830" w:rsidRPr="006C6830" w:rsidRDefault="00F14720" w:rsidP="007D2C2A">
      <w:pPr>
        <w:numPr>
          <w:ilvl w:val="1"/>
          <w:numId w:val="44"/>
        </w:numPr>
        <w:spacing w:line="276" w:lineRule="auto"/>
        <w:jc w:val="both"/>
        <w:rPr>
          <w:rFonts w:ascii="Tahoma" w:hAnsi="Tahoma" w:cs="Tahoma"/>
          <w:sz w:val="20"/>
          <w:szCs w:val="20"/>
        </w:rPr>
      </w:pPr>
      <w:r w:rsidRPr="00F14720">
        <w:rPr>
          <w:rFonts w:ascii="Tahoma" w:hAnsi="Tahoma" w:cs="Tahoma"/>
          <w:sz w:val="20"/>
          <w:szCs w:val="20"/>
        </w:rPr>
        <w:t>proposals on how the Project can contribute to the achievement of the above-mentioned recommendations</w:t>
      </w:r>
      <w:r>
        <w:rPr>
          <w:rFonts w:ascii="Tahoma" w:hAnsi="Tahoma" w:cs="Tahoma"/>
          <w:sz w:val="20"/>
          <w:szCs w:val="20"/>
        </w:rPr>
        <w:t xml:space="preserve">. </w:t>
      </w:r>
    </w:p>
    <w:p w14:paraId="6BE9FCEB" w14:textId="2B5F89BE" w:rsidR="006C6830" w:rsidRPr="006C6830" w:rsidRDefault="006C6830" w:rsidP="006C6830">
      <w:pPr>
        <w:numPr>
          <w:ilvl w:val="0"/>
          <w:numId w:val="44"/>
        </w:numPr>
        <w:spacing w:line="276" w:lineRule="auto"/>
        <w:jc w:val="both"/>
        <w:rPr>
          <w:rFonts w:ascii="Tahoma" w:hAnsi="Tahoma" w:cs="Tahoma"/>
          <w:sz w:val="20"/>
          <w:szCs w:val="20"/>
        </w:rPr>
      </w:pPr>
      <w:r w:rsidRPr="006C6830">
        <w:rPr>
          <w:rFonts w:ascii="Tahoma" w:hAnsi="Tahoma" w:cs="Tahoma"/>
          <w:b/>
          <w:bCs/>
          <w:sz w:val="20"/>
          <w:szCs w:val="20"/>
        </w:rPr>
        <w:t>Present the results of the baseline survey to the</w:t>
      </w:r>
      <w:r w:rsidRPr="006C6830">
        <w:rPr>
          <w:rFonts w:ascii="Tahoma" w:hAnsi="Tahoma" w:cs="Tahoma"/>
          <w:sz w:val="20"/>
          <w:szCs w:val="20"/>
        </w:rPr>
        <w:t xml:space="preserve"> Secretariat of the Cabinet of Ministers of Ukraine, Association of Ukrainian Cities, the Congress and other partners, and finalise the report and recommendations based on feedback received.</w:t>
      </w:r>
      <w:r w:rsidR="004F49E5">
        <w:rPr>
          <w:rFonts w:ascii="Tahoma" w:hAnsi="Tahoma" w:cs="Tahoma"/>
          <w:sz w:val="20"/>
          <w:szCs w:val="20"/>
        </w:rPr>
        <w:t xml:space="preserve"> A PowerPoint presentation of the draft report should be submitted to the Congress at least three working days before the meeting. </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4430A8E"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Prices are indicated in</w:t>
      </w:r>
      <w:r w:rsidR="00F85672">
        <w:rPr>
          <w:rFonts w:ascii="Tahoma" w:hAnsi="Tahoma" w:cs="Tahoma"/>
          <w:color w:val="000000"/>
          <w:sz w:val="20"/>
          <w:szCs w:val="20"/>
          <w:lang w:eastAsia="en-US"/>
        </w:rPr>
        <w:t xml:space="preserve"> 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8041EC" w:rsidRPr="00F85672">
        <w:rPr>
          <w:rFonts w:ascii="Tahoma" w:hAnsi="Tahoma" w:cs="Tahoma"/>
          <w:b/>
          <w:color w:val="000000"/>
          <w:sz w:val="20"/>
          <w:szCs w:val="20"/>
          <w:u w:val="single"/>
          <w:lang w:eastAsia="en-US"/>
        </w:rPr>
        <w:t>T</w:t>
      </w:r>
      <w:r w:rsidRPr="00F85672">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5240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112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67"/>
        <w:gridCol w:w="1309"/>
        <w:gridCol w:w="1370"/>
        <w:gridCol w:w="1432"/>
        <w:gridCol w:w="1432"/>
      </w:tblGrid>
      <w:tr w:rsidR="00864984" w:rsidRPr="002F71E9" w14:paraId="0166D4C8" w14:textId="77777777" w:rsidTr="00864984">
        <w:trPr>
          <w:trHeight w:val="688"/>
          <w:jc w:val="center"/>
        </w:trPr>
        <w:tc>
          <w:tcPr>
            <w:tcW w:w="5667" w:type="dxa"/>
            <w:shd w:val="clear" w:color="auto" w:fill="DBE5F1" w:themeFill="accent1" w:themeFillTint="33"/>
            <w:vAlign w:val="center"/>
          </w:tcPr>
          <w:p w14:paraId="7C25DC9A" w14:textId="77777777" w:rsidR="00864984" w:rsidRPr="002F71E9" w:rsidRDefault="00864984" w:rsidP="00261462">
            <w:pPr>
              <w:tabs>
                <w:tab w:val="left" w:pos="-139"/>
              </w:tabs>
              <w:spacing w:line="276" w:lineRule="auto"/>
              <w:ind w:right="-140"/>
              <w:jc w:val="center"/>
              <w:rPr>
                <w:rFonts w:ascii="Tahoma" w:hAnsi="Tahoma" w:cs="Tahoma"/>
                <w:b/>
                <w:sz w:val="18"/>
                <w:szCs w:val="18"/>
                <w:lang w:eastAsia="en-US"/>
              </w:rPr>
            </w:pPr>
            <w:r w:rsidRPr="002F71E9">
              <w:rPr>
                <w:rFonts w:ascii="Tahoma" w:hAnsi="Tahoma" w:cs="Tahoma"/>
                <w:b/>
                <w:sz w:val="18"/>
                <w:szCs w:val="18"/>
                <w:lang w:eastAsia="en-US"/>
              </w:rPr>
              <w:t>Deliverables</w:t>
            </w:r>
          </w:p>
          <w:p w14:paraId="54CCB511" w14:textId="5F7DE778" w:rsidR="00864984" w:rsidRPr="002F71E9" w:rsidRDefault="00864984" w:rsidP="00261462">
            <w:pPr>
              <w:tabs>
                <w:tab w:val="left" w:pos="-139"/>
              </w:tabs>
              <w:spacing w:line="276" w:lineRule="auto"/>
              <w:ind w:right="-140"/>
              <w:jc w:val="center"/>
              <w:rPr>
                <w:rFonts w:ascii="Tahoma" w:hAnsi="Tahoma" w:cs="Tahoma"/>
                <w:b/>
                <w:sz w:val="18"/>
                <w:szCs w:val="18"/>
                <w:lang w:eastAsia="en-US"/>
              </w:rPr>
            </w:pPr>
            <w:r w:rsidRPr="002F71E9">
              <w:rPr>
                <w:b/>
                <w:sz w:val="18"/>
                <w:szCs w:val="18"/>
                <w:lang w:eastAsia="en-US"/>
              </w:rPr>
              <w:t>▼</w:t>
            </w:r>
          </w:p>
        </w:tc>
        <w:tc>
          <w:tcPr>
            <w:tcW w:w="1309" w:type="dxa"/>
            <w:shd w:val="clear" w:color="auto" w:fill="DBE5F1" w:themeFill="accent1" w:themeFillTint="33"/>
            <w:vAlign w:val="center"/>
          </w:tcPr>
          <w:p w14:paraId="4C4B2597" w14:textId="77777777" w:rsidR="00864984" w:rsidRPr="002F71E9" w:rsidRDefault="00864984" w:rsidP="00261462">
            <w:pPr>
              <w:tabs>
                <w:tab w:val="left" w:pos="-139"/>
              </w:tabs>
              <w:spacing w:line="276" w:lineRule="auto"/>
              <w:ind w:right="-140"/>
              <w:jc w:val="center"/>
              <w:rPr>
                <w:rFonts w:ascii="Tahoma" w:hAnsi="Tahoma" w:cs="Tahoma"/>
                <w:b/>
                <w:sz w:val="18"/>
                <w:szCs w:val="18"/>
                <w:lang w:eastAsia="en-US"/>
              </w:rPr>
            </w:pPr>
            <w:r w:rsidRPr="002F71E9">
              <w:rPr>
                <w:rFonts w:ascii="Tahoma" w:hAnsi="Tahoma" w:cs="Tahoma"/>
                <w:b/>
                <w:sz w:val="18"/>
                <w:szCs w:val="18"/>
                <w:lang w:eastAsia="en-US"/>
              </w:rPr>
              <w:t>Deadline for</w:t>
            </w:r>
          </w:p>
          <w:p w14:paraId="79EDF894" w14:textId="77777777" w:rsidR="00864984" w:rsidRPr="002F71E9" w:rsidRDefault="00864984" w:rsidP="00261462">
            <w:pPr>
              <w:tabs>
                <w:tab w:val="left" w:pos="-139"/>
              </w:tabs>
              <w:spacing w:line="276" w:lineRule="auto"/>
              <w:ind w:right="-140"/>
              <w:jc w:val="center"/>
              <w:rPr>
                <w:rFonts w:ascii="Tahoma" w:hAnsi="Tahoma" w:cs="Tahoma"/>
                <w:b/>
                <w:sz w:val="18"/>
                <w:szCs w:val="18"/>
                <w:lang w:eastAsia="en-US"/>
              </w:rPr>
            </w:pPr>
            <w:r w:rsidRPr="002F71E9">
              <w:rPr>
                <w:rFonts w:ascii="Tahoma" w:hAnsi="Tahoma" w:cs="Tahoma"/>
                <w:b/>
                <w:sz w:val="18"/>
                <w:szCs w:val="18"/>
                <w:lang w:eastAsia="en-US"/>
              </w:rPr>
              <w:t xml:space="preserve">delivery </w:t>
            </w:r>
            <w:r w:rsidRPr="002F71E9">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864984" w:rsidRPr="002F71E9" w:rsidRDefault="00864984" w:rsidP="004845C7">
            <w:pPr>
              <w:tabs>
                <w:tab w:val="left" w:pos="-99"/>
              </w:tabs>
              <w:spacing w:line="276" w:lineRule="auto"/>
              <w:ind w:right="-140" w:hanging="99"/>
              <w:jc w:val="center"/>
              <w:rPr>
                <w:rFonts w:ascii="Tahoma" w:hAnsi="Tahoma" w:cs="Tahoma"/>
                <w:b/>
                <w:sz w:val="18"/>
                <w:szCs w:val="18"/>
                <w:lang w:eastAsia="en-US"/>
              </w:rPr>
            </w:pPr>
            <w:r w:rsidRPr="002F71E9">
              <w:rPr>
                <w:rFonts w:ascii="Tahoma" w:hAnsi="Tahoma" w:cs="Tahoma"/>
                <w:b/>
                <w:sz w:val="18"/>
                <w:szCs w:val="18"/>
                <w:lang w:eastAsia="en-US"/>
              </w:rPr>
              <w:t>Fees</w:t>
            </w:r>
          </w:p>
          <w:p w14:paraId="23C22AD4" w14:textId="77777777" w:rsidR="00864984" w:rsidRPr="002F71E9" w:rsidRDefault="00864984" w:rsidP="00261462">
            <w:pPr>
              <w:tabs>
                <w:tab w:val="left" w:pos="-139"/>
              </w:tabs>
              <w:spacing w:line="276" w:lineRule="auto"/>
              <w:ind w:right="-140"/>
              <w:jc w:val="center"/>
              <w:rPr>
                <w:rFonts w:ascii="Tahoma" w:hAnsi="Tahoma" w:cs="Tahoma"/>
                <w:b/>
                <w:sz w:val="18"/>
                <w:szCs w:val="18"/>
                <w:lang w:eastAsia="en-US"/>
              </w:rPr>
            </w:pPr>
            <w:r w:rsidRPr="002F71E9">
              <w:rPr>
                <w:b/>
                <w:sz w:val="18"/>
                <w:szCs w:val="18"/>
                <w:lang w:eastAsia="en-US"/>
              </w:rPr>
              <w:t>▼</w:t>
            </w:r>
          </w:p>
        </w:tc>
        <w:tc>
          <w:tcPr>
            <w:tcW w:w="1432" w:type="dxa"/>
            <w:shd w:val="clear" w:color="auto" w:fill="DBE5F1" w:themeFill="accent1" w:themeFillTint="33"/>
          </w:tcPr>
          <w:p w14:paraId="6D9AF6D1" w14:textId="4D30A4AC" w:rsidR="00864984" w:rsidRDefault="00864984" w:rsidP="00864984">
            <w:pPr>
              <w:tabs>
                <w:tab w:val="left" w:pos="-99"/>
              </w:tabs>
              <w:spacing w:line="276" w:lineRule="auto"/>
              <w:ind w:right="-140" w:hanging="99"/>
              <w:jc w:val="center"/>
              <w:rPr>
                <w:rFonts w:ascii="Tahoma" w:hAnsi="Tahoma" w:cs="Tahoma"/>
                <w:b/>
                <w:sz w:val="18"/>
                <w:szCs w:val="18"/>
                <w:lang w:eastAsia="en-US"/>
              </w:rPr>
            </w:pPr>
            <w:r w:rsidRPr="002F71E9">
              <w:rPr>
                <w:rFonts w:ascii="Tahoma" w:hAnsi="Tahoma" w:cs="Tahoma"/>
                <w:b/>
                <w:sz w:val="18"/>
                <w:szCs w:val="18"/>
                <w:lang w:eastAsia="en-US"/>
              </w:rPr>
              <w:t>Fees</w:t>
            </w:r>
            <w:r>
              <w:rPr>
                <w:rFonts w:ascii="Tahoma" w:hAnsi="Tahoma" w:cs="Tahoma"/>
                <w:b/>
                <w:sz w:val="18"/>
                <w:szCs w:val="18"/>
                <w:lang w:eastAsia="en-US"/>
              </w:rPr>
              <w:t xml:space="preserve"> with </w:t>
            </w:r>
          </w:p>
          <w:p w14:paraId="5E2A35E5" w14:textId="6F8CAD7A" w:rsidR="00864984" w:rsidRPr="002F71E9" w:rsidRDefault="00864984" w:rsidP="00864984">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VAT</w:t>
            </w:r>
          </w:p>
          <w:p w14:paraId="59C9532E" w14:textId="6CFB9A19" w:rsidR="00864984" w:rsidRPr="004E4E0A" w:rsidRDefault="00864984" w:rsidP="00864984">
            <w:pPr>
              <w:tabs>
                <w:tab w:val="left" w:pos="-139"/>
              </w:tabs>
              <w:spacing w:line="276" w:lineRule="auto"/>
              <w:ind w:left="-193" w:right="-140" w:firstLine="79"/>
              <w:jc w:val="center"/>
              <w:rPr>
                <w:rFonts w:ascii="Tahoma" w:hAnsi="Tahoma" w:cs="Tahoma"/>
                <w:b/>
                <w:sz w:val="18"/>
                <w:szCs w:val="18"/>
                <w:lang w:eastAsia="en-US"/>
              </w:rPr>
            </w:pPr>
            <w:r w:rsidRPr="002F71E9">
              <w:rPr>
                <w:b/>
                <w:sz w:val="18"/>
                <w:szCs w:val="18"/>
                <w:lang w:eastAsia="en-US"/>
              </w:rPr>
              <w:t>▼</w:t>
            </w:r>
          </w:p>
        </w:tc>
        <w:tc>
          <w:tcPr>
            <w:tcW w:w="1432" w:type="dxa"/>
            <w:shd w:val="clear" w:color="auto" w:fill="DBE5F1" w:themeFill="accent1" w:themeFillTint="33"/>
            <w:vAlign w:val="center"/>
          </w:tcPr>
          <w:p w14:paraId="68D941BF" w14:textId="02E81636" w:rsidR="00864984" w:rsidRDefault="00864984" w:rsidP="00375BEA">
            <w:pPr>
              <w:tabs>
                <w:tab w:val="left" w:pos="-139"/>
              </w:tabs>
              <w:spacing w:line="276" w:lineRule="auto"/>
              <w:ind w:left="-193" w:right="-140" w:firstLine="79"/>
              <w:jc w:val="center"/>
              <w:rPr>
                <w:rFonts w:ascii="Tahoma" w:hAnsi="Tahoma" w:cs="Tahoma"/>
                <w:b/>
                <w:sz w:val="18"/>
                <w:szCs w:val="18"/>
                <w:lang w:eastAsia="en-US"/>
              </w:rPr>
            </w:pPr>
            <w:r w:rsidRPr="004E4E0A">
              <w:rPr>
                <w:rFonts w:ascii="Tahoma" w:hAnsi="Tahoma" w:cs="Tahoma"/>
                <w:b/>
                <w:sz w:val="18"/>
                <w:szCs w:val="18"/>
                <w:lang w:eastAsia="en-US"/>
              </w:rPr>
              <w:t>Exclusion level</w:t>
            </w:r>
          </w:p>
          <w:p w14:paraId="1CA8D6E2" w14:textId="103C8D73" w:rsidR="00864984" w:rsidRPr="004E4E0A" w:rsidRDefault="00864984" w:rsidP="00375BEA">
            <w:pPr>
              <w:tabs>
                <w:tab w:val="left" w:pos="-139"/>
              </w:tabs>
              <w:spacing w:line="276" w:lineRule="auto"/>
              <w:ind w:left="-193" w:right="-140" w:firstLine="79"/>
              <w:jc w:val="center"/>
              <w:rPr>
                <w:rFonts w:ascii="Tahoma" w:hAnsi="Tahoma" w:cs="Tahoma"/>
                <w:b/>
                <w:sz w:val="18"/>
                <w:szCs w:val="18"/>
                <w:lang w:eastAsia="en-US"/>
              </w:rPr>
            </w:pPr>
            <w:r>
              <w:rPr>
                <w:rFonts w:ascii="Tahoma" w:hAnsi="Tahoma" w:cs="Tahoma"/>
                <w:b/>
                <w:sz w:val="18"/>
                <w:szCs w:val="18"/>
                <w:lang w:eastAsia="en-US"/>
              </w:rPr>
              <w:t>(VAT inclusive)</w:t>
            </w:r>
          </w:p>
          <w:p w14:paraId="58B70C7C" w14:textId="63C71E10" w:rsidR="00864984" w:rsidRPr="002F71E9" w:rsidRDefault="00864984" w:rsidP="00375BEA">
            <w:pPr>
              <w:tabs>
                <w:tab w:val="left" w:pos="-139"/>
              </w:tabs>
              <w:spacing w:line="276" w:lineRule="auto"/>
              <w:ind w:left="-193" w:right="-140" w:firstLine="79"/>
              <w:jc w:val="center"/>
              <w:rPr>
                <w:rFonts w:ascii="Tahoma" w:hAnsi="Tahoma" w:cs="Tahoma"/>
                <w:b/>
                <w:sz w:val="18"/>
                <w:szCs w:val="18"/>
                <w:lang w:eastAsia="en-US"/>
              </w:rPr>
            </w:pPr>
            <w:r w:rsidRPr="004E4E0A">
              <w:rPr>
                <w:b/>
                <w:sz w:val="18"/>
                <w:szCs w:val="18"/>
                <w:lang w:eastAsia="en-US"/>
              </w:rPr>
              <w:t>▼</w:t>
            </w:r>
          </w:p>
        </w:tc>
      </w:tr>
      <w:tr w:rsidR="00864984" w:rsidRPr="005B0578" w14:paraId="6CA125F2" w14:textId="77777777" w:rsidTr="00864984">
        <w:trPr>
          <w:trHeight w:val="432"/>
          <w:jc w:val="center"/>
        </w:trPr>
        <w:tc>
          <w:tcPr>
            <w:tcW w:w="5667" w:type="dxa"/>
            <w:shd w:val="clear" w:color="auto" w:fill="F2F2F2" w:themeFill="background1" w:themeFillShade="F2"/>
            <w:vAlign w:val="center"/>
          </w:tcPr>
          <w:p w14:paraId="60FDA710" w14:textId="4A46D8ED" w:rsidR="00864984" w:rsidRPr="006818D6" w:rsidRDefault="00864984" w:rsidP="00F85672">
            <w:pPr>
              <w:tabs>
                <w:tab w:val="left" w:pos="-139"/>
              </w:tabs>
              <w:spacing w:line="276" w:lineRule="auto"/>
              <w:ind w:right="31"/>
              <w:jc w:val="both"/>
              <w:rPr>
                <w:rFonts w:ascii="Tahoma" w:hAnsi="Tahoma" w:cs="Tahoma"/>
                <w:sz w:val="18"/>
                <w:szCs w:val="18"/>
                <w:lang w:val="uk-UA" w:eastAsia="en-US"/>
              </w:rPr>
            </w:pPr>
            <w:r w:rsidRPr="006818D6">
              <w:rPr>
                <w:rFonts w:ascii="Tahoma" w:hAnsi="Tahoma" w:cs="Tahoma"/>
                <w:sz w:val="18"/>
                <w:szCs w:val="18"/>
                <w:lang w:eastAsia="en-US"/>
              </w:rPr>
              <w:t>Desk review of the national legislative framework relevant to open government and existing policies and practices of open government at local level in Ukraine</w:t>
            </w:r>
          </w:p>
        </w:tc>
        <w:tc>
          <w:tcPr>
            <w:tcW w:w="1309" w:type="dxa"/>
            <w:tcBorders>
              <w:right w:val="single" w:sz="2" w:space="0" w:color="FF0000"/>
            </w:tcBorders>
            <w:shd w:val="clear" w:color="auto" w:fill="F2F2F2" w:themeFill="background1" w:themeFillShade="F2"/>
            <w:vAlign w:val="center"/>
          </w:tcPr>
          <w:p w14:paraId="7DFF09AB" w14:textId="706FE1A2" w:rsidR="00864984" w:rsidRPr="002F71E9" w:rsidRDefault="008B6881" w:rsidP="00F8567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rPr>
              <w:t>6</w:t>
            </w:r>
            <w:r w:rsidR="00864984">
              <w:rPr>
                <w:rFonts w:ascii="Tahoma" w:hAnsi="Tahoma" w:cs="Tahoma"/>
                <w:sz w:val="18"/>
                <w:szCs w:val="18"/>
              </w:rPr>
              <w:t xml:space="preserve">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864984" w:rsidRPr="002F71E9" w:rsidRDefault="00864984" w:rsidP="00F8567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right w:val="single" w:sz="2" w:space="0" w:color="FF0000"/>
            </w:tcBorders>
            <w:shd w:val="clear" w:color="auto" w:fill="F2F2F2" w:themeFill="background1" w:themeFillShade="F2"/>
          </w:tcPr>
          <w:p w14:paraId="6FA70F33" w14:textId="77777777" w:rsidR="00864984" w:rsidRPr="007D2C2A" w:rsidRDefault="00864984" w:rsidP="00F8567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23682005" w14:textId="1B88F18B" w:rsidR="00864984" w:rsidRPr="007D2C2A" w:rsidRDefault="00864984" w:rsidP="00F85672">
            <w:pPr>
              <w:tabs>
                <w:tab w:val="left" w:pos="-139"/>
              </w:tabs>
              <w:spacing w:line="276" w:lineRule="auto"/>
              <w:ind w:right="-140"/>
              <w:jc w:val="center"/>
              <w:rPr>
                <w:rFonts w:ascii="Tahoma" w:hAnsi="Tahoma" w:cs="Tahoma"/>
                <w:sz w:val="18"/>
                <w:szCs w:val="18"/>
                <w:lang w:eastAsia="en-US"/>
              </w:rPr>
            </w:pPr>
            <w:r w:rsidRPr="007D2C2A">
              <w:rPr>
                <w:rFonts w:ascii="Tahoma" w:hAnsi="Tahoma" w:cs="Tahoma"/>
                <w:sz w:val="18"/>
                <w:szCs w:val="18"/>
                <w:lang w:eastAsia="en-US"/>
              </w:rPr>
              <w:t>-</w:t>
            </w:r>
          </w:p>
        </w:tc>
      </w:tr>
      <w:tr w:rsidR="00864984" w:rsidRPr="005B0578" w14:paraId="260B41B9" w14:textId="77777777" w:rsidTr="00864984">
        <w:trPr>
          <w:trHeight w:val="432"/>
          <w:jc w:val="center"/>
        </w:trPr>
        <w:tc>
          <w:tcPr>
            <w:tcW w:w="5667" w:type="dxa"/>
            <w:shd w:val="clear" w:color="auto" w:fill="F2F2F2" w:themeFill="background1" w:themeFillShade="F2"/>
            <w:vAlign w:val="center"/>
          </w:tcPr>
          <w:p w14:paraId="2A50887C" w14:textId="7705090C" w:rsidR="00864984" w:rsidRPr="002F71E9" w:rsidRDefault="00864984" w:rsidP="00F85672">
            <w:pPr>
              <w:tabs>
                <w:tab w:val="left" w:pos="-139"/>
              </w:tabs>
              <w:spacing w:line="276" w:lineRule="auto"/>
              <w:ind w:right="31"/>
              <w:jc w:val="both"/>
              <w:rPr>
                <w:rFonts w:ascii="Tahoma" w:hAnsi="Tahoma" w:cs="Tahoma"/>
                <w:sz w:val="18"/>
                <w:szCs w:val="18"/>
                <w:lang w:eastAsia="en-US"/>
              </w:rPr>
            </w:pPr>
            <w:r w:rsidRPr="006818D6">
              <w:rPr>
                <w:rFonts w:ascii="Tahoma" w:hAnsi="Tahoma" w:cs="Tahoma"/>
                <w:sz w:val="18"/>
                <w:szCs w:val="18"/>
                <w:lang w:eastAsia="en-US"/>
              </w:rPr>
              <w:t>Final methodology of the baseline survey, which includes questionnaire and a schedule for carrying out the survey in English and Ukrainian languages</w:t>
            </w:r>
          </w:p>
        </w:tc>
        <w:tc>
          <w:tcPr>
            <w:tcW w:w="1309" w:type="dxa"/>
            <w:tcBorders>
              <w:right w:val="single" w:sz="2" w:space="0" w:color="FF0000"/>
            </w:tcBorders>
            <w:shd w:val="clear" w:color="auto" w:fill="F2F2F2" w:themeFill="background1" w:themeFillShade="F2"/>
            <w:vAlign w:val="center"/>
          </w:tcPr>
          <w:p w14:paraId="6E90D563" w14:textId="1BCF6C67" w:rsidR="00864984" w:rsidRPr="002F71E9" w:rsidDel="003B2EF4" w:rsidRDefault="008B6881" w:rsidP="00F8567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rPr>
              <w:t>11</w:t>
            </w:r>
            <w:r w:rsidR="00864984">
              <w:rPr>
                <w:rFonts w:ascii="Tahoma" w:hAnsi="Tahoma" w:cs="Tahoma"/>
                <w:sz w:val="18"/>
                <w:szCs w:val="18"/>
              </w:rPr>
              <w:t xml:space="preserve"> May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5716B9" w14:textId="77777777" w:rsidR="00864984" w:rsidRPr="002F71E9" w:rsidRDefault="00864984" w:rsidP="00F8567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right w:val="single" w:sz="2" w:space="0" w:color="FF0000"/>
            </w:tcBorders>
            <w:shd w:val="clear" w:color="auto" w:fill="F2F2F2" w:themeFill="background1" w:themeFillShade="F2"/>
          </w:tcPr>
          <w:p w14:paraId="3218FFDF" w14:textId="77777777" w:rsidR="00864984" w:rsidRPr="007D2C2A" w:rsidRDefault="00864984" w:rsidP="00F8567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390F9671" w14:textId="76FF1015" w:rsidR="00864984" w:rsidRPr="007D2C2A" w:rsidRDefault="00864984" w:rsidP="00F85672">
            <w:pPr>
              <w:tabs>
                <w:tab w:val="left" w:pos="-139"/>
              </w:tabs>
              <w:spacing w:line="276" w:lineRule="auto"/>
              <w:ind w:right="-140"/>
              <w:jc w:val="center"/>
              <w:rPr>
                <w:rFonts w:ascii="Tahoma" w:hAnsi="Tahoma" w:cs="Tahoma"/>
                <w:sz w:val="18"/>
                <w:szCs w:val="18"/>
                <w:lang w:eastAsia="en-US"/>
              </w:rPr>
            </w:pPr>
            <w:r w:rsidRPr="007D2C2A">
              <w:rPr>
                <w:rFonts w:ascii="Tahoma" w:hAnsi="Tahoma" w:cs="Tahoma"/>
                <w:sz w:val="18"/>
                <w:szCs w:val="18"/>
                <w:lang w:eastAsia="en-US"/>
              </w:rPr>
              <w:t>-</w:t>
            </w:r>
          </w:p>
        </w:tc>
      </w:tr>
      <w:tr w:rsidR="00864984" w:rsidRPr="005B0578" w14:paraId="65EA8AD9" w14:textId="77777777" w:rsidTr="00864984">
        <w:trPr>
          <w:trHeight w:val="432"/>
          <w:jc w:val="center"/>
        </w:trPr>
        <w:tc>
          <w:tcPr>
            <w:tcW w:w="5667" w:type="dxa"/>
            <w:shd w:val="clear" w:color="auto" w:fill="F2F2F2" w:themeFill="background1" w:themeFillShade="F2"/>
            <w:vAlign w:val="center"/>
          </w:tcPr>
          <w:p w14:paraId="324DE89A" w14:textId="0E082BCB" w:rsidR="00864984" w:rsidRPr="002F71E9" w:rsidRDefault="00864984" w:rsidP="007D2C2A">
            <w:pPr>
              <w:tabs>
                <w:tab w:val="left" w:pos="-139"/>
              </w:tabs>
              <w:spacing w:line="276" w:lineRule="auto"/>
              <w:ind w:right="181"/>
              <w:jc w:val="both"/>
              <w:rPr>
                <w:rFonts w:ascii="Tahoma" w:hAnsi="Tahoma" w:cs="Tahoma"/>
                <w:sz w:val="18"/>
                <w:szCs w:val="18"/>
                <w:lang w:eastAsia="en-US"/>
              </w:rPr>
            </w:pPr>
            <w:r w:rsidRPr="006818D6">
              <w:rPr>
                <w:rFonts w:ascii="Tahoma" w:hAnsi="Tahoma" w:cs="Tahoma"/>
                <w:sz w:val="18"/>
                <w:szCs w:val="18"/>
                <w:lang w:eastAsia="en-US"/>
              </w:rPr>
              <w:t xml:space="preserve">Draft baseline survey report </w:t>
            </w:r>
          </w:p>
        </w:tc>
        <w:tc>
          <w:tcPr>
            <w:tcW w:w="1309" w:type="dxa"/>
            <w:tcBorders>
              <w:right w:val="single" w:sz="2" w:space="0" w:color="FF0000"/>
            </w:tcBorders>
            <w:shd w:val="clear" w:color="auto" w:fill="F2F2F2" w:themeFill="background1" w:themeFillShade="F2"/>
            <w:vAlign w:val="center"/>
          </w:tcPr>
          <w:p w14:paraId="71E133AF" w14:textId="2FFF725D" w:rsidR="00864984" w:rsidRPr="002F71E9" w:rsidRDefault="008B6881" w:rsidP="00F8567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7</w:t>
            </w:r>
            <w:r w:rsidR="00864984" w:rsidRPr="006818D6">
              <w:rPr>
                <w:rFonts w:ascii="Tahoma" w:hAnsi="Tahoma" w:cs="Tahoma"/>
                <w:sz w:val="18"/>
                <w:szCs w:val="18"/>
                <w:lang w:eastAsia="en-US"/>
              </w:rPr>
              <w:t xml:space="preserve"> June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864984" w:rsidRPr="002F71E9" w:rsidRDefault="00864984" w:rsidP="00F8567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right w:val="single" w:sz="2" w:space="0" w:color="FF0000"/>
            </w:tcBorders>
            <w:shd w:val="clear" w:color="auto" w:fill="F2F2F2" w:themeFill="background1" w:themeFillShade="F2"/>
          </w:tcPr>
          <w:p w14:paraId="64B51F54" w14:textId="77777777" w:rsidR="00864984" w:rsidRPr="007D2C2A" w:rsidRDefault="00864984" w:rsidP="00F8567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02A097C1" w14:textId="041CECCD" w:rsidR="00864984" w:rsidRPr="007D2C2A" w:rsidRDefault="00864984" w:rsidP="00F85672">
            <w:pPr>
              <w:tabs>
                <w:tab w:val="left" w:pos="-139"/>
              </w:tabs>
              <w:spacing w:line="276" w:lineRule="auto"/>
              <w:ind w:right="-140"/>
              <w:jc w:val="center"/>
              <w:rPr>
                <w:rFonts w:ascii="Tahoma" w:hAnsi="Tahoma" w:cs="Tahoma"/>
                <w:sz w:val="18"/>
                <w:szCs w:val="18"/>
                <w:lang w:eastAsia="en-US"/>
              </w:rPr>
            </w:pPr>
            <w:r w:rsidRPr="007D2C2A">
              <w:rPr>
                <w:rFonts w:ascii="Tahoma" w:hAnsi="Tahoma" w:cs="Tahoma"/>
                <w:sz w:val="18"/>
                <w:szCs w:val="18"/>
                <w:lang w:eastAsia="en-US"/>
              </w:rPr>
              <w:t>-</w:t>
            </w:r>
          </w:p>
        </w:tc>
      </w:tr>
      <w:tr w:rsidR="00864984" w:rsidRPr="005B0578" w14:paraId="00EEC3DF" w14:textId="77777777" w:rsidTr="00864984">
        <w:trPr>
          <w:trHeight w:val="432"/>
          <w:jc w:val="center"/>
        </w:trPr>
        <w:tc>
          <w:tcPr>
            <w:tcW w:w="5667" w:type="dxa"/>
            <w:shd w:val="clear" w:color="auto" w:fill="F2F2F2" w:themeFill="background1" w:themeFillShade="F2"/>
            <w:vAlign w:val="center"/>
          </w:tcPr>
          <w:p w14:paraId="2AD425CC" w14:textId="67B98CB5" w:rsidR="00864984" w:rsidRPr="002F71E9" w:rsidRDefault="00864984" w:rsidP="006818D6">
            <w:pPr>
              <w:tabs>
                <w:tab w:val="left" w:pos="-139"/>
              </w:tabs>
              <w:spacing w:line="276" w:lineRule="auto"/>
              <w:ind w:right="181"/>
              <w:jc w:val="both"/>
              <w:rPr>
                <w:rFonts w:ascii="Tahoma" w:hAnsi="Tahoma" w:cs="Tahoma"/>
                <w:sz w:val="18"/>
                <w:szCs w:val="18"/>
                <w:lang w:eastAsia="en-US"/>
              </w:rPr>
            </w:pPr>
            <w:r w:rsidRPr="006818D6">
              <w:rPr>
                <w:rFonts w:ascii="Tahoma" w:hAnsi="Tahoma" w:cs="Tahoma"/>
                <w:sz w:val="18"/>
                <w:szCs w:val="18"/>
                <w:lang w:eastAsia="en-US"/>
              </w:rPr>
              <w:t xml:space="preserve">Presentation of the baseline survey </w:t>
            </w:r>
            <w:r>
              <w:rPr>
                <w:rFonts w:ascii="Tahoma" w:hAnsi="Tahoma" w:cs="Tahoma"/>
                <w:sz w:val="18"/>
                <w:szCs w:val="18"/>
                <w:lang w:eastAsia="en-US"/>
              </w:rPr>
              <w:t xml:space="preserve">findings </w:t>
            </w:r>
            <w:r w:rsidRPr="006818D6">
              <w:rPr>
                <w:rFonts w:ascii="Tahoma" w:hAnsi="Tahoma" w:cs="Tahoma"/>
                <w:sz w:val="18"/>
                <w:szCs w:val="18"/>
                <w:lang w:eastAsia="en-US"/>
              </w:rPr>
              <w:t>to the project partners and stakeholders (</w:t>
            </w:r>
            <w:r>
              <w:rPr>
                <w:rFonts w:ascii="Tahoma" w:hAnsi="Tahoma" w:cs="Tahoma"/>
                <w:sz w:val="18"/>
                <w:szCs w:val="18"/>
                <w:lang w:eastAsia="en-US"/>
              </w:rPr>
              <w:t xml:space="preserve">exact </w:t>
            </w:r>
            <w:r w:rsidRPr="006818D6">
              <w:rPr>
                <w:rFonts w:ascii="Tahoma" w:hAnsi="Tahoma" w:cs="Tahoma"/>
                <w:sz w:val="18"/>
                <w:szCs w:val="18"/>
                <w:lang w:eastAsia="en-US"/>
              </w:rPr>
              <w:t>date to be confirmed)</w:t>
            </w:r>
          </w:p>
        </w:tc>
        <w:tc>
          <w:tcPr>
            <w:tcW w:w="1309" w:type="dxa"/>
            <w:tcBorders>
              <w:right w:val="single" w:sz="2" w:space="0" w:color="FF0000"/>
            </w:tcBorders>
            <w:shd w:val="clear" w:color="auto" w:fill="F2F2F2" w:themeFill="background1" w:themeFillShade="F2"/>
            <w:vAlign w:val="center"/>
          </w:tcPr>
          <w:p w14:paraId="27BAC51F" w14:textId="0D373479" w:rsidR="00864984" w:rsidRPr="002F71E9" w:rsidRDefault="008B6881" w:rsidP="006818D6">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rPr>
              <w:t>10</w:t>
            </w:r>
            <w:r w:rsidR="00864984">
              <w:rPr>
                <w:rFonts w:ascii="Tahoma" w:hAnsi="Tahoma" w:cs="Tahoma"/>
                <w:sz w:val="18"/>
                <w:szCs w:val="18"/>
              </w:rPr>
              <w:t xml:space="preserve"> June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291113" w14:textId="77777777" w:rsidR="00864984" w:rsidRPr="002F71E9" w:rsidRDefault="00864984" w:rsidP="006818D6">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tcPr>
          <w:p w14:paraId="2A3AC03E" w14:textId="77777777" w:rsidR="00864984" w:rsidRPr="007D2C2A" w:rsidRDefault="00864984" w:rsidP="006818D6">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1980E570" w14:textId="137FD5D3" w:rsidR="00864984" w:rsidRPr="007D2C2A" w:rsidRDefault="00864984" w:rsidP="006818D6">
            <w:pPr>
              <w:tabs>
                <w:tab w:val="left" w:pos="-139"/>
              </w:tabs>
              <w:spacing w:line="276" w:lineRule="auto"/>
              <w:ind w:right="-140"/>
              <w:jc w:val="center"/>
              <w:rPr>
                <w:rFonts w:ascii="Tahoma" w:hAnsi="Tahoma" w:cs="Tahoma"/>
                <w:sz w:val="18"/>
                <w:szCs w:val="18"/>
                <w:lang w:eastAsia="en-US"/>
              </w:rPr>
            </w:pPr>
            <w:r w:rsidRPr="007D2C2A">
              <w:rPr>
                <w:rFonts w:ascii="Tahoma" w:hAnsi="Tahoma" w:cs="Tahoma"/>
                <w:sz w:val="18"/>
                <w:szCs w:val="18"/>
                <w:lang w:eastAsia="en-US"/>
              </w:rPr>
              <w:t>-</w:t>
            </w:r>
          </w:p>
        </w:tc>
      </w:tr>
      <w:tr w:rsidR="00864984" w:rsidRPr="005B0578" w14:paraId="79379E74" w14:textId="77777777" w:rsidTr="00864984">
        <w:trPr>
          <w:trHeight w:val="432"/>
          <w:jc w:val="center"/>
        </w:trPr>
        <w:tc>
          <w:tcPr>
            <w:tcW w:w="5667" w:type="dxa"/>
            <w:shd w:val="clear" w:color="auto" w:fill="F2F2F2" w:themeFill="background1" w:themeFillShade="F2"/>
            <w:vAlign w:val="center"/>
          </w:tcPr>
          <w:p w14:paraId="6F504D17" w14:textId="02FBCE72" w:rsidR="00864984" w:rsidRPr="006818D6" w:rsidRDefault="00864984" w:rsidP="006818D6">
            <w:pPr>
              <w:tabs>
                <w:tab w:val="left" w:pos="-139"/>
              </w:tabs>
              <w:spacing w:line="276" w:lineRule="auto"/>
              <w:ind w:right="181"/>
              <w:jc w:val="both"/>
              <w:rPr>
                <w:rFonts w:ascii="Tahoma" w:hAnsi="Tahoma" w:cs="Tahoma"/>
                <w:sz w:val="18"/>
                <w:szCs w:val="18"/>
                <w:lang w:eastAsia="en-US"/>
              </w:rPr>
            </w:pPr>
            <w:r w:rsidRPr="006818D6">
              <w:rPr>
                <w:rFonts w:ascii="Tahoma" w:hAnsi="Tahoma" w:cs="Tahoma"/>
                <w:sz w:val="18"/>
                <w:szCs w:val="18"/>
                <w:lang w:eastAsia="en-US"/>
              </w:rPr>
              <w:t>Final baseline survey report updated in line with the feedback received from participants and project team</w:t>
            </w:r>
            <w:r>
              <w:rPr>
                <w:rFonts w:ascii="Tahoma" w:hAnsi="Tahoma" w:cs="Tahoma"/>
                <w:sz w:val="18"/>
                <w:szCs w:val="18"/>
                <w:lang w:eastAsia="en-US"/>
              </w:rPr>
              <w:t xml:space="preserve"> </w:t>
            </w:r>
            <w:r w:rsidRPr="004F49E5">
              <w:rPr>
                <w:rFonts w:ascii="Tahoma" w:hAnsi="Tahoma" w:cs="Tahoma"/>
                <w:sz w:val="18"/>
                <w:szCs w:val="18"/>
                <w:lang w:eastAsia="en-US"/>
              </w:rPr>
              <w:t>during the presentation of the survey findings</w:t>
            </w:r>
            <w:r w:rsidRPr="006818D6">
              <w:rPr>
                <w:rFonts w:ascii="Tahoma" w:hAnsi="Tahoma" w:cs="Tahoma"/>
                <w:sz w:val="18"/>
                <w:szCs w:val="18"/>
                <w:lang w:eastAsia="en-US"/>
              </w:rPr>
              <w:t>. The report should be prepared in English and Ukrainian, no longer than 50 pages</w:t>
            </w:r>
            <w:r>
              <w:rPr>
                <w:rFonts w:ascii="Tahoma" w:hAnsi="Tahoma" w:cs="Tahoma"/>
                <w:sz w:val="18"/>
                <w:szCs w:val="18"/>
                <w:lang w:eastAsia="en-US"/>
              </w:rPr>
              <w:t xml:space="preserve"> (see above under A. Terms of Reference for more details on the report format).</w:t>
            </w:r>
          </w:p>
        </w:tc>
        <w:tc>
          <w:tcPr>
            <w:tcW w:w="1309" w:type="dxa"/>
            <w:tcBorders>
              <w:right w:val="single" w:sz="2" w:space="0" w:color="FF0000"/>
            </w:tcBorders>
            <w:shd w:val="clear" w:color="auto" w:fill="F2F2F2" w:themeFill="background1" w:themeFillShade="F2"/>
            <w:vAlign w:val="center"/>
          </w:tcPr>
          <w:p w14:paraId="76AA5693" w14:textId="11988A02" w:rsidR="00864984" w:rsidRDefault="008B6881" w:rsidP="006818D6">
            <w:pPr>
              <w:tabs>
                <w:tab w:val="left" w:pos="-139"/>
              </w:tabs>
              <w:spacing w:line="276" w:lineRule="auto"/>
              <w:ind w:right="-140"/>
              <w:jc w:val="center"/>
              <w:rPr>
                <w:rFonts w:ascii="Tahoma" w:hAnsi="Tahoma" w:cs="Tahoma"/>
                <w:sz w:val="18"/>
                <w:szCs w:val="18"/>
              </w:rPr>
            </w:pPr>
            <w:r>
              <w:rPr>
                <w:rFonts w:ascii="Tahoma" w:hAnsi="Tahoma" w:cs="Tahoma"/>
                <w:sz w:val="18"/>
                <w:szCs w:val="18"/>
              </w:rPr>
              <w:t>21</w:t>
            </w:r>
            <w:r w:rsidR="00864984" w:rsidRPr="006818D6">
              <w:rPr>
                <w:rFonts w:ascii="Tahoma" w:hAnsi="Tahoma" w:cs="Tahoma"/>
                <w:sz w:val="18"/>
                <w:szCs w:val="18"/>
              </w:rPr>
              <w:t xml:space="preserve"> June 2021</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C842E7" w14:textId="77777777" w:rsidR="00864984" w:rsidRPr="002F71E9" w:rsidRDefault="00864984" w:rsidP="006818D6">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bottom w:val="single" w:sz="2" w:space="0" w:color="808080"/>
              <w:right w:val="single" w:sz="2" w:space="0" w:color="FF0000"/>
            </w:tcBorders>
            <w:shd w:val="clear" w:color="auto" w:fill="F2F2F2" w:themeFill="background1" w:themeFillShade="F2"/>
          </w:tcPr>
          <w:p w14:paraId="00EBF1A7" w14:textId="77777777" w:rsidR="00864984" w:rsidRPr="007D2C2A" w:rsidRDefault="00864984" w:rsidP="006818D6">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bottom w:val="single" w:sz="2" w:space="0" w:color="808080"/>
            </w:tcBorders>
            <w:shd w:val="clear" w:color="auto" w:fill="F2F2F2" w:themeFill="background1" w:themeFillShade="F2"/>
            <w:vAlign w:val="center"/>
          </w:tcPr>
          <w:p w14:paraId="40BBA1B6" w14:textId="2AEDD408" w:rsidR="00864984" w:rsidRPr="007D2C2A" w:rsidRDefault="00864984" w:rsidP="006818D6">
            <w:pPr>
              <w:tabs>
                <w:tab w:val="left" w:pos="-139"/>
              </w:tabs>
              <w:spacing w:line="276" w:lineRule="auto"/>
              <w:ind w:right="-140"/>
              <w:jc w:val="center"/>
              <w:rPr>
                <w:rFonts w:ascii="Tahoma" w:hAnsi="Tahoma" w:cs="Tahoma"/>
                <w:sz w:val="18"/>
                <w:szCs w:val="18"/>
                <w:lang w:eastAsia="en-US"/>
              </w:rPr>
            </w:pPr>
            <w:r w:rsidRPr="007D2C2A">
              <w:rPr>
                <w:rFonts w:ascii="Tahoma" w:hAnsi="Tahoma" w:cs="Tahoma"/>
                <w:sz w:val="18"/>
                <w:szCs w:val="18"/>
                <w:lang w:eastAsia="en-US"/>
              </w:rPr>
              <w:t>-</w:t>
            </w:r>
          </w:p>
        </w:tc>
      </w:tr>
      <w:tr w:rsidR="00864984" w:rsidRPr="005B0578" w14:paraId="1564909A" w14:textId="77777777" w:rsidTr="00864984">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864984" w:rsidRPr="002F71E9" w:rsidRDefault="00864984" w:rsidP="00582176">
            <w:pPr>
              <w:tabs>
                <w:tab w:val="left" w:pos="-139"/>
              </w:tabs>
              <w:spacing w:line="276" w:lineRule="auto"/>
              <w:jc w:val="right"/>
              <w:rPr>
                <w:rFonts w:ascii="Tahoma" w:hAnsi="Tahoma" w:cs="Tahoma"/>
                <w:sz w:val="18"/>
                <w:szCs w:val="18"/>
                <w:lang w:eastAsia="en-US"/>
              </w:rPr>
            </w:pPr>
            <w:r w:rsidRPr="002F71E9">
              <w:rPr>
                <w:rFonts w:ascii="Tahoma" w:hAnsi="Tahoma" w:cs="Tahoma"/>
                <w:sz w:val="18"/>
                <w:szCs w:val="18"/>
                <w:lang w:eastAsia="en-US"/>
              </w:rPr>
              <w:t xml:space="preserve">TOTAL </w:t>
            </w:r>
            <w:r w:rsidRPr="002F71E9">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864984" w:rsidRPr="002F71E9" w:rsidRDefault="00864984" w:rsidP="00582176">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right w:val="single" w:sz="2" w:space="0" w:color="FF0000"/>
            </w:tcBorders>
            <w:shd w:val="clear" w:color="auto" w:fill="F2F2F2" w:themeFill="background1" w:themeFillShade="F2"/>
          </w:tcPr>
          <w:p w14:paraId="4CE60D37" w14:textId="77777777" w:rsidR="00864984" w:rsidRPr="009526DE" w:rsidRDefault="00864984" w:rsidP="00582176">
            <w:pPr>
              <w:tabs>
                <w:tab w:val="left" w:pos="-139"/>
              </w:tabs>
              <w:spacing w:line="276" w:lineRule="auto"/>
              <w:ind w:right="-140"/>
              <w:jc w:val="center"/>
              <w:rPr>
                <w:rFonts w:ascii="Tahoma" w:hAnsi="Tahoma" w:cs="Tahoma"/>
                <w:b/>
                <w:bCs/>
                <w:sz w:val="18"/>
                <w:szCs w:val="18"/>
                <w:lang w:eastAsia="en-US"/>
              </w:rPr>
            </w:pPr>
          </w:p>
        </w:tc>
        <w:tc>
          <w:tcPr>
            <w:tcW w:w="1432" w:type="dxa"/>
            <w:tcBorders>
              <w:left w:val="single" w:sz="2" w:space="0" w:color="FF0000"/>
            </w:tcBorders>
            <w:shd w:val="clear" w:color="auto" w:fill="F2F2F2" w:themeFill="background1" w:themeFillShade="F2"/>
            <w:vAlign w:val="center"/>
          </w:tcPr>
          <w:p w14:paraId="42B0D83E" w14:textId="76A256BA" w:rsidR="00864984" w:rsidRPr="009526DE" w:rsidRDefault="00864984" w:rsidP="00582176">
            <w:pPr>
              <w:tabs>
                <w:tab w:val="left" w:pos="-139"/>
              </w:tabs>
              <w:spacing w:line="276" w:lineRule="auto"/>
              <w:ind w:right="-140"/>
              <w:jc w:val="center"/>
              <w:rPr>
                <w:rFonts w:ascii="Tahoma" w:hAnsi="Tahoma" w:cs="Tahoma"/>
                <w:b/>
                <w:bCs/>
                <w:sz w:val="18"/>
                <w:szCs w:val="18"/>
                <w:highlight w:val="cyan"/>
                <w:lang w:val="uk-UA" w:eastAsia="en-US"/>
              </w:rPr>
            </w:pPr>
            <w:r w:rsidRPr="009526DE">
              <w:rPr>
                <w:rFonts w:ascii="Tahoma" w:hAnsi="Tahoma" w:cs="Tahoma"/>
                <w:b/>
                <w:bCs/>
                <w:sz w:val="18"/>
                <w:szCs w:val="18"/>
                <w:lang w:eastAsia="en-US"/>
              </w:rPr>
              <w:t>1</w:t>
            </w:r>
            <w:r w:rsidRPr="009526DE">
              <w:rPr>
                <w:rFonts w:ascii="Tahoma" w:hAnsi="Tahoma" w:cs="Tahoma"/>
                <w:b/>
                <w:bCs/>
                <w:sz w:val="18"/>
                <w:szCs w:val="18"/>
                <w:lang w:val="uk-UA" w:eastAsia="en-US"/>
              </w:rPr>
              <w:t>5</w:t>
            </w:r>
            <w:r w:rsidRPr="009526DE">
              <w:rPr>
                <w:rFonts w:ascii="Tahoma" w:hAnsi="Tahoma" w:cs="Tahoma"/>
                <w:b/>
                <w:bCs/>
                <w:sz w:val="18"/>
                <w:szCs w:val="18"/>
                <w:lang w:eastAsia="en-US"/>
              </w:rPr>
              <w:t> 000</w:t>
            </w:r>
            <w:r w:rsidRPr="009526DE">
              <w:rPr>
                <w:rFonts w:ascii="Tahoma" w:hAnsi="Tahoma" w:cs="Tahoma"/>
                <w:b/>
                <w:bCs/>
                <w:sz w:val="18"/>
                <w:szCs w:val="18"/>
                <w:lang w:val="uk-UA" w:eastAsia="en-US"/>
              </w:rPr>
              <w:t xml:space="preserve"> </w:t>
            </w:r>
            <w:r w:rsidRPr="009526DE">
              <w:rPr>
                <w:rFonts w:ascii="Tahoma" w:hAnsi="Tahoma" w:cs="Tahoma"/>
                <w:b/>
                <w:bCs/>
                <w:sz w:val="18"/>
                <w:szCs w:val="18"/>
              </w:rPr>
              <w:t>€</w:t>
            </w:r>
          </w:p>
        </w:tc>
      </w:tr>
    </w:tbl>
    <w:p w14:paraId="193876D5" w14:textId="30CADCBA" w:rsidR="00F14720" w:rsidRDefault="00F14720" w:rsidP="009A6460">
      <w:pPr>
        <w:pBdr>
          <w:bottom w:val="single" w:sz="2" w:space="1" w:color="808080"/>
        </w:pBdr>
        <w:tabs>
          <w:tab w:val="left" w:pos="284"/>
        </w:tabs>
        <w:spacing w:after="120"/>
        <w:ind w:left="-142"/>
        <w:rPr>
          <w:rFonts w:ascii="Tahoma" w:hAnsi="Tahoma" w:cs="Tahoma"/>
          <w:b/>
          <w:lang w:eastAsia="en-US"/>
        </w:rPr>
      </w:pPr>
    </w:p>
    <w:p w14:paraId="07D1D094" w14:textId="21356A37"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neither I or the Provider I represent is in any of the situations listed in the exclusion criteria as reproduced in </w:t>
      </w:r>
      <w:r w:rsidR="00B67FAF">
        <w:rPr>
          <w:rFonts w:ascii="Tahoma" w:hAnsi="Tahoma" w:cs="Tahoma"/>
          <w:sz w:val="20"/>
          <w:szCs w:val="20"/>
        </w:rPr>
        <w:t>the Tender File</w:t>
      </w:r>
      <w:r w:rsidRPr="00EA2362">
        <w:rPr>
          <w:rFonts w:ascii="Tahoma" w:hAnsi="Tahoma" w:cs="Tahoma"/>
          <w:sz w:val="20"/>
          <w:szCs w:val="20"/>
        </w:rPr>
        <w:t>;</w:t>
      </w:r>
    </w:p>
    <w:p w14:paraId="77869EB6" w14:textId="6D5D9E6D"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A992030" w:rsidR="009A6460" w:rsidRPr="00375BEA" w:rsidRDefault="009A6460" w:rsidP="00FC7772">
            <w:pPr>
              <w:jc w:val="center"/>
              <w:rPr>
                <w:rFonts w:ascii="Tahoma" w:hAnsi="Tahoma" w:cs="Tahoma"/>
                <w:b/>
                <w:sz w:val="20"/>
                <w:szCs w:val="20"/>
              </w:rPr>
            </w:pP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4F748C8E" w:rsidR="009A6460" w:rsidRPr="00EA2362" w:rsidRDefault="009A6460" w:rsidP="00FC7772">
            <w:pPr>
              <w:jc w:val="center"/>
              <w:rPr>
                <w:rFonts w:ascii="Tahoma" w:hAnsi="Tahoma" w:cs="Tahoma"/>
                <w:b/>
                <w:sz w:val="20"/>
                <w:szCs w:val="20"/>
              </w:rPr>
            </w:pP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lastRenderedPageBreak/>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F8121AC" w14:textId="7BD6A297" w:rsidR="00F85672" w:rsidRDefault="00F85672" w:rsidP="00FC7772">
            <w:pPr>
              <w:rPr>
                <w:rFonts w:ascii="Tahoma" w:hAnsi="Tahoma" w:cs="Tahoma"/>
                <w:sz w:val="20"/>
                <w:szCs w:val="20"/>
              </w:rPr>
            </w:pPr>
            <w:r w:rsidRPr="00F85672">
              <w:rPr>
                <w:rFonts w:ascii="Tahoma" w:hAnsi="Tahoma" w:cs="Tahoma"/>
                <w:sz w:val="20"/>
                <w:szCs w:val="20"/>
              </w:rPr>
              <w:t>Olena Lytvynenko</w:t>
            </w:r>
          </w:p>
          <w:p w14:paraId="200831FE" w14:textId="515610FD" w:rsidR="009A6460" w:rsidRPr="00EA2362" w:rsidRDefault="00F85672" w:rsidP="00F85672">
            <w:pPr>
              <w:ind w:right="225"/>
              <w:jc w:val="both"/>
              <w:rPr>
                <w:rFonts w:ascii="Tahoma" w:hAnsi="Tahoma" w:cs="Tahoma"/>
                <w:sz w:val="20"/>
                <w:szCs w:val="20"/>
              </w:rPr>
            </w:pPr>
            <w:r w:rsidRPr="00F85672">
              <w:rPr>
                <w:rFonts w:ascii="Tahoma" w:hAnsi="Tahoma" w:cs="Tahoma"/>
                <w:sz w:val="20"/>
                <w:szCs w:val="20"/>
              </w:rPr>
              <w:t>Deputy Head of the Council of Europe Office in Ukraine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16B51002" w:rsidR="009A6460" w:rsidRPr="00EA2362" w:rsidRDefault="009A6460" w:rsidP="00F85672">
            <w:pPr>
              <w:rPr>
                <w:rFonts w:ascii="Tahoma" w:hAnsi="Tahoma" w:cs="Tahoma"/>
                <w:sz w:val="20"/>
                <w:szCs w:val="20"/>
              </w:rPr>
            </w:pP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672298AB" w:rsidR="006A1C42" w:rsidRPr="00EA2362" w:rsidRDefault="00F85672" w:rsidP="006A1C42">
            <w:pPr>
              <w:rPr>
                <w:rFonts w:ascii="Tahoma" w:eastAsia="Calibri" w:hAnsi="Tahoma" w:cs="Tahoma"/>
                <w:b/>
                <w:bCs/>
                <w:sz w:val="17"/>
                <w:szCs w:val="17"/>
                <w:lang w:eastAsia="en-US"/>
              </w:rPr>
            </w:pPr>
            <w:r w:rsidRPr="00F85672">
              <w:rPr>
                <w:rFonts w:ascii="Tahoma" w:eastAsia="Calibri" w:hAnsi="Tahoma" w:cs="Tahoma"/>
                <w:b/>
                <w:bCs/>
                <w:sz w:val="17"/>
                <w:szCs w:val="17"/>
                <w:lang w:eastAsia="en-US"/>
              </w:rPr>
              <w:t>See address indicated above</w:t>
            </w:r>
            <w:r w:rsidR="00F9415C">
              <w:rPr>
                <w:rFonts w:ascii="Tahoma" w:eastAsia="Calibri" w:hAnsi="Tahoma" w:cs="Tahoma"/>
                <w:b/>
                <w:bCs/>
                <w:sz w:val="17"/>
                <w:szCs w:val="17"/>
                <w:lang w:eastAsia="en-US"/>
              </w:rPr>
              <w:t xml:space="preserve"> (top of page one)</w:t>
            </w:r>
            <w:r w:rsidRPr="00F85672">
              <w:rPr>
                <w:rFonts w:ascii="Tahoma" w:eastAsia="Calibri" w:hAnsi="Tahoma" w:cs="Tahoma"/>
                <w:b/>
                <w:bCs/>
                <w:sz w:val="17"/>
                <w:szCs w:val="17"/>
                <w:lang w:eastAsia="en-US"/>
              </w:rPr>
              <w:t>.</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415734">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xml:space="preserve">, the following shall appear on the pro-forma invoice and on the final invoice: </w:t>
            </w:r>
            <w:r w:rsidR="004B7473" w:rsidRPr="005E44E8">
              <w:rPr>
                <w:rFonts w:ascii="Tahoma" w:eastAsia="Calibri" w:hAnsi="Tahoma" w:cs="Tahoma"/>
                <w:b/>
                <w:i/>
                <w:sz w:val="17"/>
                <w:szCs w:val="17"/>
                <w:lang w:eastAsia="en-US"/>
              </w:rPr>
              <w:t>“</w:t>
            </w:r>
            <w:r w:rsidRPr="005E44E8">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EA2362" w:rsidRDefault="006A1C42" w:rsidP="007D37FA">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w:t>
            </w:r>
            <w:r w:rsidR="005B733C">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w:t>
            </w:r>
            <w:r w:rsidRPr="005E44E8">
              <w:rPr>
                <w:rFonts w:ascii="Tahoma" w:eastAsia="Calibri" w:hAnsi="Tahoma" w:cs="Tahoma"/>
                <w:sz w:val="17"/>
                <w:szCs w:val="17"/>
                <w:lang w:eastAsia="en-US"/>
              </w:rPr>
              <w:t>including all taxes’</w:t>
            </w:r>
            <w:r w:rsidRPr="00EA2362">
              <w:rPr>
                <w:rFonts w:ascii="Tahoma" w:eastAsia="Calibri" w:hAnsi="Tahoma" w:cs="Tahoma"/>
                <w:sz w:val="17"/>
                <w:szCs w:val="17"/>
                <w:lang w:eastAsia="en-US"/>
              </w:rPr>
              <w:t>.</w:t>
            </w:r>
          </w:p>
          <w:p w14:paraId="503279CB" w14:textId="1E72478C" w:rsidR="003117F0" w:rsidRPr="00EA2362" w:rsidRDefault="003117F0" w:rsidP="000E1C99">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w:t>
            </w:r>
            <w:r w:rsidR="00E72188">
              <w:rPr>
                <w:rFonts w:ascii="Tahoma" w:eastAsia="Calibri" w:hAnsi="Tahoma" w:cs="Tahoma"/>
                <w:sz w:val="17"/>
                <w:szCs w:val="17"/>
                <w:lang w:eastAsia="en-US"/>
              </w:rPr>
              <w:t>P</w:t>
            </w:r>
            <w:r w:rsidRPr="00EA2362">
              <w:rPr>
                <w:rFonts w:ascii="Tahoma" w:eastAsia="Calibri" w:hAnsi="Tahoma" w:cs="Tahoma"/>
                <w:sz w:val="17"/>
                <w:szCs w:val="17"/>
                <w:lang w:eastAsia="en-US"/>
              </w:rPr>
              <w:t xml:space="preserve">roviders who do not have a French VAT number must register with the French </w:t>
            </w:r>
            <w:r w:rsidR="000E1C99">
              <w:rPr>
                <w:rFonts w:ascii="Tahoma" w:eastAsia="Calibri" w:hAnsi="Tahoma" w:cs="Tahoma"/>
                <w:sz w:val="17"/>
                <w:szCs w:val="17"/>
                <w:lang w:eastAsia="en-US"/>
              </w:rPr>
              <w:t>Tax</w:t>
            </w:r>
            <w:r w:rsidR="000E1C99" w:rsidRPr="00EA2362">
              <w:rPr>
                <w:rFonts w:ascii="Tahoma" w:eastAsia="Calibri" w:hAnsi="Tahoma" w:cs="Tahoma"/>
                <w:sz w:val="17"/>
                <w:szCs w:val="17"/>
                <w:lang w:eastAsia="en-US"/>
              </w:rPr>
              <w:t xml:space="preserve"> </w:t>
            </w:r>
            <w:r w:rsidRPr="00EA2362">
              <w:rPr>
                <w:rFonts w:ascii="Tahoma" w:eastAsia="Calibri" w:hAnsi="Tahoma" w:cs="Tahoma"/>
                <w:sz w:val="17"/>
                <w:szCs w:val="17"/>
                <w:lang w:eastAsia="en-US"/>
              </w:rPr>
              <w:t xml:space="preserve">Authorities: Directorate for non-resident tax / </w:t>
            </w:r>
            <w:hyperlink r:id="rId13"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EA2362" w:rsidRDefault="006A1C42" w:rsidP="005B733C">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5E44E8">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w:t>
            </w:r>
            <w:r w:rsidRPr="005E44E8">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5E44E8">
              <w:rPr>
                <w:rFonts w:ascii="Tahoma" w:eastAsia="Calibri" w:hAnsi="Tahoma" w:cs="Tahoma"/>
                <w:b/>
                <w:i/>
                <w:sz w:val="17"/>
                <w:szCs w:val="17"/>
                <w:lang w:val="en-US" w:eastAsia="en-US"/>
              </w:rPr>
              <w:t>XX]</w:t>
            </w:r>
            <w:r w:rsidRPr="00EA2362">
              <w:rPr>
                <w:rFonts w:ascii="Tahoma" w:eastAsia="Calibri" w:hAnsi="Tahoma" w:cs="Tahoma"/>
                <w:sz w:val="17"/>
                <w:szCs w:val="17"/>
                <w:lang w:val="en-US" w:eastAsia="en-US"/>
              </w:rPr>
              <w:t>”.</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EA2362" w:rsidRDefault="006A1C42" w:rsidP="00375BEA">
            <w:pPr>
              <w:jc w:val="both"/>
              <w:rPr>
                <w:rFonts w:ascii="Tahoma" w:eastAsia="Calibri" w:hAnsi="Tahoma" w:cs="Tahoma"/>
                <w:sz w:val="16"/>
                <w:szCs w:val="16"/>
                <w:lang w:eastAsia="en-US"/>
              </w:rPr>
            </w:pPr>
            <w:r w:rsidRPr="00EA2362">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Pr>
                <w:rFonts w:ascii="Tahoma" w:hAnsi="Tahoma" w:cs="Tahoma"/>
                <w:sz w:val="16"/>
                <w:szCs w:val="16"/>
              </w:rPr>
              <w:t>T</w:t>
            </w:r>
            <w:r w:rsidRPr="00EA2362">
              <w:rPr>
                <w:rFonts w:ascii="Tahoma" w:hAnsi="Tahoma" w:cs="Tahoma"/>
                <w:sz w:val="16"/>
                <w:szCs w:val="16"/>
              </w:rPr>
              <w:t>able of fees (See Section A).</w:t>
            </w:r>
          </w:p>
        </w:tc>
      </w:tr>
    </w:tbl>
    <w:p w14:paraId="6BA61E32" w14:textId="651DEA8C" w:rsidR="00F14720" w:rsidRDefault="00F14720" w:rsidP="00F14720">
      <w:pPr>
        <w:pBdr>
          <w:bottom w:val="single" w:sz="2" w:space="1" w:color="808080"/>
        </w:pBdr>
        <w:tabs>
          <w:tab w:val="left" w:pos="284"/>
        </w:tabs>
        <w:spacing w:after="120"/>
        <w:ind w:right="-284"/>
        <w:rPr>
          <w:rFonts w:ascii="Tahoma" w:hAnsi="Tahoma" w:cs="Tahoma"/>
          <w:b/>
        </w:rPr>
      </w:pPr>
    </w:p>
    <w:p w14:paraId="5A51899F" w14:textId="02F77DEA" w:rsidR="00F06E93" w:rsidRPr="00EA2362" w:rsidRDefault="00CD22FC" w:rsidP="007D2C2A">
      <w:pPr>
        <w:pBdr>
          <w:bottom w:val="single" w:sz="2" w:space="1" w:color="808080"/>
        </w:pBdr>
        <w:tabs>
          <w:tab w:val="left" w:pos="284"/>
        </w:tabs>
        <w:spacing w:after="120"/>
        <w:ind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lastRenderedPageBreak/>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 xml:space="preserve">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w:t>
      </w:r>
      <w:r w:rsidRPr="00C3395C">
        <w:rPr>
          <w:rFonts w:ascii="Tahoma" w:hAnsi="Tahoma" w:cs="Tahoma"/>
          <w:sz w:val="18"/>
          <w:szCs w:val="18"/>
          <w:lang w:eastAsia="fr-FR"/>
        </w:rPr>
        <w:lastRenderedPageBreak/>
        <w:t>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03949CE"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 xml:space="preserve">Intra-Community sale/service to an exempted organisation: Articles 143 and 151 of Council Directive </w:t>
      </w:r>
      <w:r w:rsidRPr="008C0AFB">
        <w:rPr>
          <w:rFonts w:ascii="Tahoma" w:hAnsi="Tahoma" w:cs="Tahoma"/>
          <w:i/>
          <w:sz w:val="18"/>
          <w:szCs w:val="18"/>
          <w:lang w:eastAsia="fr-FR"/>
        </w:rPr>
        <w:lastRenderedPageBreak/>
        <w:t>2006/112/EC</w:t>
      </w:r>
      <w:r w:rsidRPr="008C0AFB">
        <w:rPr>
          <w:rFonts w:ascii="Tahoma" w:hAnsi="Tahoma" w:cs="Tahoma"/>
          <w:sz w:val="18"/>
          <w:szCs w:val="18"/>
          <w:lang w:eastAsia="fr-FR"/>
        </w:rPr>
        <w:t>” and should indicate the final total amount excluding VAT. In case the C</w:t>
      </w:r>
      <w:r w:rsidR="001F69FC">
        <w:rPr>
          <w:rFonts w:ascii="Tahoma" w:hAnsi="Tahoma" w:cs="Tahoma"/>
          <w:sz w:val="18"/>
          <w:szCs w:val="18"/>
          <w:lang w:eastAsia="fr-FR"/>
        </w:rPr>
        <w:t xml:space="preserve">ouncil </w:t>
      </w:r>
      <w:r w:rsidRPr="008C0AFB">
        <w:rPr>
          <w:rFonts w:ascii="Tahoma" w:hAnsi="Tahoma" w:cs="Tahoma"/>
          <w:sz w:val="18"/>
          <w:szCs w:val="18"/>
          <w:lang w:eastAsia="fr-FR"/>
        </w:rPr>
        <w:t>o</w:t>
      </w:r>
      <w:r w:rsidR="001F69FC">
        <w:rPr>
          <w:rFonts w:ascii="Tahoma" w:hAnsi="Tahoma" w:cs="Tahoma"/>
          <w:sz w:val="18"/>
          <w:szCs w:val="18"/>
          <w:lang w:eastAsia="fr-FR"/>
        </w:rPr>
        <w:t xml:space="preserve">f </w:t>
      </w:r>
      <w:r w:rsidRPr="008C0AFB">
        <w:rPr>
          <w:rFonts w:ascii="Tahoma" w:hAnsi="Tahoma" w:cs="Tahoma"/>
          <w:sz w:val="18"/>
          <w:szCs w:val="18"/>
          <w:lang w:eastAsia="fr-FR"/>
        </w:rPr>
        <w:t>E</w:t>
      </w:r>
      <w:r w:rsidR="001F69FC">
        <w:rPr>
          <w:rFonts w:ascii="Tahoma" w:hAnsi="Tahoma" w:cs="Tahoma"/>
          <w:sz w:val="18"/>
          <w:szCs w:val="18"/>
          <w:lang w:eastAsia="fr-FR"/>
        </w:rPr>
        <w:t>urope</w:t>
      </w:r>
      <w:r w:rsidRPr="008C0AFB">
        <w:rPr>
          <w:rFonts w:ascii="Tahoma" w:hAnsi="Tahoma" w:cs="Tahoma"/>
          <w:sz w:val="18"/>
          <w:szCs w:val="18"/>
          <w:lang w:eastAsia="fr-FR"/>
        </w:rPr>
        <w:t xml:space="preserve"> will not be in a position to provide the said certificate, the Council will pay the invoice with VAT included.</w:t>
      </w:r>
    </w:p>
    <w:p w14:paraId="456A3405" w14:textId="77777777" w:rsidR="005920E6"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4"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4"/>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earthquake, strikes affecting </w:t>
      </w:r>
      <w:r w:rsidRPr="008C0AFB">
        <w:rPr>
          <w:rFonts w:ascii="Tahoma" w:hAnsi="Tahoma" w:cs="Tahoma"/>
          <w:sz w:val="18"/>
          <w:szCs w:val="18"/>
          <w:lang w:eastAsia="fr-FR"/>
        </w:rPr>
        <w:lastRenderedPageBreak/>
        <w:t>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61759"/>
      <w:bookmarkStart w:id="9"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8"/>
    </w:p>
    <w:bookmarkEnd w:id="9"/>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6C7CF2AE"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7"/>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6135B" w14:textId="77777777" w:rsidR="00D97EBA" w:rsidRDefault="00D97EBA" w:rsidP="00D50F13">
      <w:r>
        <w:separator/>
      </w:r>
    </w:p>
  </w:endnote>
  <w:endnote w:type="continuationSeparator" w:id="0">
    <w:p w14:paraId="5C4D1391" w14:textId="77777777" w:rsidR="00D97EBA" w:rsidRDefault="00D97EBA" w:rsidP="00D50F13">
      <w:r>
        <w:continuationSeparator/>
      </w:r>
    </w:p>
  </w:endnote>
  <w:endnote w:type="continuationNotice" w:id="1">
    <w:p w14:paraId="28D97E99" w14:textId="77777777" w:rsidR="00D97EBA" w:rsidRDefault="00D97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7CB4B48" w:rsidR="00F96680" w:rsidRPr="006818D6" w:rsidRDefault="00EA668E" w:rsidP="00FC7772">
          <w:pPr>
            <w:rPr>
              <w:rFonts w:ascii="Arial Narrow" w:hAnsi="Arial Narrow"/>
              <w:caps/>
              <w:color w:val="000000"/>
              <w:sz w:val="18"/>
              <w:szCs w:val="18"/>
              <w:highlight w:val="cyan"/>
              <w:lang w:val="uk-UA"/>
            </w:rPr>
          </w:pPr>
          <w:r w:rsidRPr="00EA668E">
            <w:rPr>
              <w:rFonts w:ascii="Arial Narrow" w:hAnsi="Arial Narrow"/>
              <w:caps/>
              <w:color w:val="000000"/>
              <w:sz w:val="18"/>
              <w:szCs w:val="18"/>
            </w:rPr>
            <w:t>8573/2021/</w:t>
          </w:r>
          <w:r w:rsidR="00F04DDA">
            <w:rPr>
              <w:rFonts w:ascii="Arial Narrow" w:hAnsi="Arial Narrow"/>
              <w:caps/>
              <w:color w:val="000000"/>
              <w:sz w:val="18"/>
              <w:szCs w:val="18"/>
            </w:rPr>
            <w:t>80</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214E" w14:textId="77777777" w:rsidR="00D97EBA" w:rsidRDefault="00D97EBA" w:rsidP="00D50F13">
      <w:r>
        <w:separator/>
      </w:r>
    </w:p>
  </w:footnote>
  <w:footnote w:type="continuationSeparator" w:id="0">
    <w:p w14:paraId="1A8C6C8A" w14:textId="77777777" w:rsidR="00D97EBA" w:rsidRDefault="00D97EBA" w:rsidP="00D50F13">
      <w:r>
        <w:continuationSeparator/>
      </w:r>
    </w:p>
  </w:footnote>
  <w:footnote w:type="continuationNotice" w:id="1">
    <w:p w14:paraId="05843A5F" w14:textId="77777777" w:rsidR="00D97EBA" w:rsidRDefault="00D97EBA"/>
  </w:footnote>
  <w:footnote w:id="2">
    <w:p w14:paraId="4CF465B4" w14:textId="37C15939" w:rsidR="00F96680" w:rsidRPr="0057438F"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57438F">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57438F">
        <w:rPr>
          <w:rFonts w:ascii="Tahoma" w:hAnsi="Tahoma" w:cs="Tahoma"/>
          <w:sz w:val="18"/>
          <w:szCs w:val="18"/>
        </w:rPr>
        <w:t xml:space="preserve"> A</w:t>
      </w:r>
      <w:r w:rsidR="00042C08" w:rsidRPr="0057438F">
        <w:rPr>
          <w:rFonts w:ascii="Tahoma" w:hAnsi="Tahoma" w:cs="Tahoma"/>
          <w:sz w:val="18"/>
          <w:szCs w:val="18"/>
        </w:rPr>
        <w:t>venue</w:t>
      </w:r>
      <w:r w:rsidRPr="0057438F">
        <w:rPr>
          <w:rFonts w:ascii="Tahoma" w:hAnsi="Tahoma" w:cs="Tahoma"/>
          <w:sz w:val="18"/>
          <w:szCs w:val="18"/>
        </w:rPr>
        <w:t xml:space="preserve"> de l’Europe, </w:t>
      </w:r>
      <w:r w:rsidR="00E72188" w:rsidRPr="0057438F">
        <w:rPr>
          <w:rFonts w:ascii="Tahoma" w:hAnsi="Tahoma" w:cs="Tahoma"/>
          <w:sz w:val="18"/>
          <w:szCs w:val="18"/>
        </w:rPr>
        <w:t>F-</w:t>
      </w:r>
      <w:r w:rsidRPr="0057438F">
        <w:rPr>
          <w:rFonts w:ascii="Tahoma" w:hAnsi="Tahoma" w:cs="Tahoma"/>
          <w:sz w:val="18"/>
          <w:szCs w:val="18"/>
        </w:rPr>
        <w:t>67075 Strasbourg Cedex, France</w:t>
      </w:r>
    </w:p>
  </w:footnote>
  <w:footnote w:id="3">
    <w:p w14:paraId="2D6A9193" w14:textId="6337D522" w:rsidR="0057438F" w:rsidRPr="00194EDC" w:rsidRDefault="0057438F">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194EDC" w:rsidRDefault="005920E6" w:rsidP="005920E6">
      <w:pPr>
        <w:pStyle w:val="FootnoteText"/>
        <w:rPr>
          <w:rFonts w:ascii="Tahoma" w:hAnsi="Tahoma" w:cs="Tahoma"/>
          <w:sz w:val="18"/>
          <w:szCs w:val="18"/>
          <w:lang w:val="fr-FR"/>
        </w:rPr>
      </w:pPr>
      <w:r w:rsidRPr="00194EDC">
        <w:rPr>
          <w:rStyle w:val="FootnoteReference"/>
          <w:rFonts w:ascii="Tahoma" w:hAnsi="Tahoma" w:cs="Tahoma"/>
          <w:sz w:val="18"/>
          <w:szCs w:val="18"/>
        </w:rPr>
        <w:footnoteRef/>
      </w:r>
      <w:r w:rsidRPr="00194EDC">
        <w:rPr>
          <w:rFonts w:ascii="Tahoma" w:hAnsi="Tahoma" w:cs="Tahoma"/>
          <w:sz w:val="18"/>
          <w:szCs w:val="18"/>
        </w:rPr>
        <w:t xml:space="preserve"> CM/Del/Dec(2010)1089/11.3 appendix 9 </w:t>
      </w:r>
      <w:hyperlink r:id="rId1" w:history="1">
        <w:r w:rsidRPr="00194EDC">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6B781E"/>
    <w:multiLevelType w:val="hybridMultilevel"/>
    <w:tmpl w:val="D8885918"/>
    <w:lvl w:ilvl="0" w:tplc="C826F746">
      <w:start w:val="1"/>
      <w:numFmt w:val="bullet"/>
      <w:lvlText w:val="-"/>
      <w:lvlJc w:val="left"/>
      <w:pPr>
        <w:ind w:left="644" w:hanging="360"/>
      </w:pPr>
      <w:rPr>
        <w:rFonts w:ascii="Arial Narrow" w:eastAsia="Times New Roman" w:hAnsi="Arial Narrow"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86648"/>
    <w:multiLevelType w:val="hybridMultilevel"/>
    <w:tmpl w:val="4D763632"/>
    <w:lvl w:ilvl="0" w:tplc="040C0011">
      <w:start w:val="1"/>
      <w:numFmt w:val="decimal"/>
      <w:lvlText w:val="%1)"/>
      <w:lvlJc w:val="left"/>
      <w:pPr>
        <w:ind w:left="621" w:hanging="360"/>
      </w:pPr>
    </w:lvl>
    <w:lvl w:ilvl="1" w:tplc="08090019">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9" w15:restartNumberingAfterBreak="0">
    <w:nsid w:val="1CE93B47"/>
    <w:multiLevelType w:val="hybridMultilevel"/>
    <w:tmpl w:val="9C7E005E"/>
    <w:lvl w:ilvl="0" w:tplc="445CEB20">
      <w:start w:val="2"/>
      <w:numFmt w:val="bullet"/>
      <w:lvlText w:val="-"/>
      <w:lvlJc w:val="left"/>
      <w:pPr>
        <w:ind w:left="459" w:hanging="360"/>
      </w:pPr>
      <w:rPr>
        <w:rFonts w:ascii="Arial Narrow" w:eastAsia="Times New Roman" w:hAnsi="Arial Narrow" w:cs="Arial"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0"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9"/>
  </w:num>
  <w:num w:numId="2">
    <w:abstractNumId w:val="40"/>
  </w:num>
  <w:num w:numId="3">
    <w:abstractNumId w:val="2"/>
  </w:num>
  <w:num w:numId="4">
    <w:abstractNumId w:val="25"/>
  </w:num>
  <w:num w:numId="5">
    <w:abstractNumId w:val="1"/>
  </w:num>
  <w:num w:numId="6">
    <w:abstractNumId w:val="42"/>
  </w:num>
  <w:num w:numId="7">
    <w:abstractNumId w:val="14"/>
  </w:num>
  <w:num w:numId="8">
    <w:abstractNumId w:val="28"/>
  </w:num>
  <w:num w:numId="9">
    <w:abstractNumId w:val="23"/>
  </w:num>
  <w:num w:numId="10">
    <w:abstractNumId w:val="36"/>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33"/>
  </w:num>
  <w:num w:numId="16">
    <w:abstractNumId w:val="15"/>
  </w:num>
  <w:num w:numId="17">
    <w:abstractNumId w:val="34"/>
  </w:num>
  <w:num w:numId="18">
    <w:abstractNumId w:val="0"/>
  </w:num>
  <w:num w:numId="19">
    <w:abstractNumId w:val="18"/>
  </w:num>
  <w:num w:numId="20">
    <w:abstractNumId w:val="24"/>
  </w:num>
  <w:num w:numId="21">
    <w:abstractNumId w:val="38"/>
  </w:num>
  <w:num w:numId="22">
    <w:abstractNumId w:val="10"/>
  </w:num>
  <w:num w:numId="23">
    <w:abstractNumId w:val="37"/>
  </w:num>
  <w:num w:numId="24">
    <w:abstractNumId w:val="30"/>
  </w:num>
  <w:num w:numId="25">
    <w:abstractNumId w:val="22"/>
  </w:num>
  <w:num w:numId="26">
    <w:abstractNumId w:val="19"/>
  </w:num>
  <w:num w:numId="27">
    <w:abstractNumId w:val="5"/>
  </w:num>
  <w:num w:numId="28">
    <w:abstractNumId w:val="17"/>
  </w:num>
  <w:num w:numId="29">
    <w:abstractNumId w:val="11"/>
  </w:num>
  <w:num w:numId="30">
    <w:abstractNumId w:val="7"/>
  </w:num>
  <w:num w:numId="31">
    <w:abstractNumId w:val="35"/>
  </w:num>
  <w:num w:numId="32">
    <w:abstractNumId w:val="26"/>
  </w:num>
  <w:num w:numId="33">
    <w:abstractNumId w:val="12"/>
  </w:num>
  <w:num w:numId="34">
    <w:abstractNumId w:val="41"/>
  </w:num>
  <w:num w:numId="35">
    <w:abstractNumId w:val="13"/>
  </w:num>
  <w:num w:numId="36">
    <w:abstractNumId w:val="31"/>
  </w:num>
  <w:num w:numId="37">
    <w:abstractNumId w:val="4"/>
  </w:num>
  <w:num w:numId="38">
    <w:abstractNumId w:val="32"/>
  </w:num>
  <w:num w:numId="39">
    <w:abstractNumId w:val="29"/>
  </w:num>
  <w:num w:numId="40">
    <w:abstractNumId w:val="6"/>
  </w:num>
  <w:num w:numId="41">
    <w:abstractNumId w:val="27"/>
  </w:num>
  <w:num w:numId="42">
    <w:abstractNumId w:val="9"/>
  </w:num>
  <w:num w:numId="43">
    <w:abstractNumId w:val="8"/>
  </w:num>
  <w:num w:numId="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4703"/>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B61BD"/>
    <w:rsid w:val="000C17F7"/>
    <w:rsid w:val="000C3AE6"/>
    <w:rsid w:val="000C6FA6"/>
    <w:rsid w:val="000D57F0"/>
    <w:rsid w:val="000E0285"/>
    <w:rsid w:val="000E0562"/>
    <w:rsid w:val="000E1C99"/>
    <w:rsid w:val="000E2871"/>
    <w:rsid w:val="000E59DC"/>
    <w:rsid w:val="000E5DF5"/>
    <w:rsid w:val="000F08A5"/>
    <w:rsid w:val="000F1520"/>
    <w:rsid w:val="000F18A2"/>
    <w:rsid w:val="000F3067"/>
    <w:rsid w:val="000F3487"/>
    <w:rsid w:val="000F39C3"/>
    <w:rsid w:val="000F3CB2"/>
    <w:rsid w:val="00113108"/>
    <w:rsid w:val="0011556A"/>
    <w:rsid w:val="00123D90"/>
    <w:rsid w:val="00126183"/>
    <w:rsid w:val="0012667B"/>
    <w:rsid w:val="0012673D"/>
    <w:rsid w:val="00126BDD"/>
    <w:rsid w:val="0012748F"/>
    <w:rsid w:val="00127AB4"/>
    <w:rsid w:val="001359BE"/>
    <w:rsid w:val="00150C0F"/>
    <w:rsid w:val="00160002"/>
    <w:rsid w:val="0016172B"/>
    <w:rsid w:val="00163DF5"/>
    <w:rsid w:val="00164231"/>
    <w:rsid w:val="001666FE"/>
    <w:rsid w:val="00182FB2"/>
    <w:rsid w:val="00183E4D"/>
    <w:rsid w:val="0019283C"/>
    <w:rsid w:val="00194446"/>
    <w:rsid w:val="00194EDC"/>
    <w:rsid w:val="001A207E"/>
    <w:rsid w:val="001A5371"/>
    <w:rsid w:val="001A6166"/>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90EAC"/>
    <w:rsid w:val="00293BC2"/>
    <w:rsid w:val="00293CBB"/>
    <w:rsid w:val="002948F1"/>
    <w:rsid w:val="002A2C42"/>
    <w:rsid w:val="002A56A1"/>
    <w:rsid w:val="002B4786"/>
    <w:rsid w:val="002C6F98"/>
    <w:rsid w:val="002D29CE"/>
    <w:rsid w:val="002D5425"/>
    <w:rsid w:val="002D5DC0"/>
    <w:rsid w:val="002E5606"/>
    <w:rsid w:val="002E5B9C"/>
    <w:rsid w:val="002F384D"/>
    <w:rsid w:val="002F71E9"/>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2EF4"/>
    <w:rsid w:val="003B4F53"/>
    <w:rsid w:val="003C1D13"/>
    <w:rsid w:val="003E0A41"/>
    <w:rsid w:val="003E2D84"/>
    <w:rsid w:val="003E6D30"/>
    <w:rsid w:val="003E7010"/>
    <w:rsid w:val="003F2594"/>
    <w:rsid w:val="003F5956"/>
    <w:rsid w:val="003F7D5B"/>
    <w:rsid w:val="004119DB"/>
    <w:rsid w:val="00411D3E"/>
    <w:rsid w:val="004121E2"/>
    <w:rsid w:val="004122A5"/>
    <w:rsid w:val="00415734"/>
    <w:rsid w:val="0041668A"/>
    <w:rsid w:val="00420CCA"/>
    <w:rsid w:val="00420E9A"/>
    <w:rsid w:val="0043746B"/>
    <w:rsid w:val="00437926"/>
    <w:rsid w:val="00441D52"/>
    <w:rsid w:val="004470B4"/>
    <w:rsid w:val="00453769"/>
    <w:rsid w:val="00454D25"/>
    <w:rsid w:val="0046469D"/>
    <w:rsid w:val="004845C7"/>
    <w:rsid w:val="004859D2"/>
    <w:rsid w:val="00486649"/>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4E0A"/>
    <w:rsid w:val="004E67E1"/>
    <w:rsid w:val="004E796F"/>
    <w:rsid w:val="004E7A45"/>
    <w:rsid w:val="004E7D01"/>
    <w:rsid w:val="004F49E5"/>
    <w:rsid w:val="004F71A4"/>
    <w:rsid w:val="00523268"/>
    <w:rsid w:val="005253A7"/>
    <w:rsid w:val="0053337A"/>
    <w:rsid w:val="00542FEE"/>
    <w:rsid w:val="00552817"/>
    <w:rsid w:val="00563846"/>
    <w:rsid w:val="0056498A"/>
    <w:rsid w:val="00565FF1"/>
    <w:rsid w:val="00567F3E"/>
    <w:rsid w:val="0057438F"/>
    <w:rsid w:val="0058109F"/>
    <w:rsid w:val="00582176"/>
    <w:rsid w:val="005845C2"/>
    <w:rsid w:val="005920E6"/>
    <w:rsid w:val="005A1721"/>
    <w:rsid w:val="005A22F8"/>
    <w:rsid w:val="005A6974"/>
    <w:rsid w:val="005B0078"/>
    <w:rsid w:val="005B0578"/>
    <w:rsid w:val="005B0752"/>
    <w:rsid w:val="005B733C"/>
    <w:rsid w:val="005B7F25"/>
    <w:rsid w:val="005C0BFC"/>
    <w:rsid w:val="005C65E0"/>
    <w:rsid w:val="005D5924"/>
    <w:rsid w:val="005E2710"/>
    <w:rsid w:val="005E44E8"/>
    <w:rsid w:val="005E5D75"/>
    <w:rsid w:val="005F37BF"/>
    <w:rsid w:val="005F7814"/>
    <w:rsid w:val="00603878"/>
    <w:rsid w:val="00613313"/>
    <w:rsid w:val="0062072D"/>
    <w:rsid w:val="006232B4"/>
    <w:rsid w:val="00631B57"/>
    <w:rsid w:val="00632E31"/>
    <w:rsid w:val="006426F7"/>
    <w:rsid w:val="006436A1"/>
    <w:rsid w:val="00647C28"/>
    <w:rsid w:val="00647D98"/>
    <w:rsid w:val="00653BB6"/>
    <w:rsid w:val="00654D22"/>
    <w:rsid w:val="006550CA"/>
    <w:rsid w:val="006558F9"/>
    <w:rsid w:val="00657143"/>
    <w:rsid w:val="00660256"/>
    <w:rsid w:val="00660AB4"/>
    <w:rsid w:val="00662182"/>
    <w:rsid w:val="006717A7"/>
    <w:rsid w:val="00672561"/>
    <w:rsid w:val="006731FF"/>
    <w:rsid w:val="0067529C"/>
    <w:rsid w:val="00680325"/>
    <w:rsid w:val="00681751"/>
    <w:rsid w:val="006818D6"/>
    <w:rsid w:val="00682F97"/>
    <w:rsid w:val="00687D63"/>
    <w:rsid w:val="006912CB"/>
    <w:rsid w:val="006A1C42"/>
    <w:rsid w:val="006A51F8"/>
    <w:rsid w:val="006A7F07"/>
    <w:rsid w:val="006B0045"/>
    <w:rsid w:val="006B2D7D"/>
    <w:rsid w:val="006B6CA9"/>
    <w:rsid w:val="006B71A1"/>
    <w:rsid w:val="006C6830"/>
    <w:rsid w:val="006C7D58"/>
    <w:rsid w:val="006D00AF"/>
    <w:rsid w:val="006D0EFB"/>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6D21"/>
    <w:rsid w:val="007A7766"/>
    <w:rsid w:val="007B0925"/>
    <w:rsid w:val="007C19FF"/>
    <w:rsid w:val="007C267B"/>
    <w:rsid w:val="007C4BED"/>
    <w:rsid w:val="007D0BC9"/>
    <w:rsid w:val="007D2C2A"/>
    <w:rsid w:val="007D37FA"/>
    <w:rsid w:val="007D3BA6"/>
    <w:rsid w:val="007D46B2"/>
    <w:rsid w:val="007E26A2"/>
    <w:rsid w:val="007E76D9"/>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60FEB"/>
    <w:rsid w:val="008628C7"/>
    <w:rsid w:val="00864984"/>
    <w:rsid w:val="008679F0"/>
    <w:rsid w:val="00873212"/>
    <w:rsid w:val="00874FF7"/>
    <w:rsid w:val="00883C2D"/>
    <w:rsid w:val="00887B2A"/>
    <w:rsid w:val="00891CAA"/>
    <w:rsid w:val="00892D73"/>
    <w:rsid w:val="00896DA8"/>
    <w:rsid w:val="008A486B"/>
    <w:rsid w:val="008B03FE"/>
    <w:rsid w:val="008B2DB7"/>
    <w:rsid w:val="008B3EEE"/>
    <w:rsid w:val="008B4982"/>
    <w:rsid w:val="008B6881"/>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580"/>
    <w:rsid w:val="00913B81"/>
    <w:rsid w:val="00914C3E"/>
    <w:rsid w:val="0091729C"/>
    <w:rsid w:val="009214B5"/>
    <w:rsid w:val="00921F74"/>
    <w:rsid w:val="009245DB"/>
    <w:rsid w:val="00932425"/>
    <w:rsid w:val="009331F9"/>
    <w:rsid w:val="009339B8"/>
    <w:rsid w:val="009365EB"/>
    <w:rsid w:val="009461D5"/>
    <w:rsid w:val="0095095F"/>
    <w:rsid w:val="00951BB3"/>
    <w:rsid w:val="009526DE"/>
    <w:rsid w:val="00956F45"/>
    <w:rsid w:val="00960D1E"/>
    <w:rsid w:val="00963092"/>
    <w:rsid w:val="00972222"/>
    <w:rsid w:val="00973EF1"/>
    <w:rsid w:val="00974DB4"/>
    <w:rsid w:val="00990987"/>
    <w:rsid w:val="00992761"/>
    <w:rsid w:val="00995C0C"/>
    <w:rsid w:val="009A100B"/>
    <w:rsid w:val="009A5B27"/>
    <w:rsid w:val="009A6460"/>
    <w:rsid w:val="009B3986"/>
    <w:rsid w:val="009B76BE"/>
    <w:rsid w:val="009C04E7"/>
    <w:rsid w:val="009D175B"/>
    <w:rsid w:val="009D290D"/>
    <w:rsid w:val="009E2400"/>
    <w:rsid w:val="009E4346"/>
    <w:rsid w:val="009E55DF"/>
    <w:rsid w:val="009E6E99"/>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237FC"/>
    <w:rsid w:val="00B30098"/>
    <w:rsid w:val="00B40978"/>
    <w:rsid w:val="00B41058"/>
    <w:rsid w:val="00B42C56"/>
    <w:rsid w:val="00B43A63"/>
    <w:rsid w:val="00B50164"/>
    <w:rsid w:val="00B50EFC"/>
    <w:rsid w:val="00B54577"/>
    <w:rsid w:val="00B5712C"/>
    <w:rsid w:val="00B57EEC"/>
    <w:rsid w:val="00B60F30"/>
    <w:rsid w:val="00B64E3F"/>
    <w:rsid w:val="00B653B9"/>
    <w:rsid w:val="00B67FAF"/>
    <w:rsid w:val="00B72357"/>
    <w:rsid w:val="00B74B45"/>
    <w:rsid w:val="00B74DC5"/>
    <w:rsid w:val="00B94138"/>
    <w:rsid w:val="00BA0D1F"/>
    <w:rsid w:val="00BA1F2A"/>
    <w:rsid w:val="00BA355F"/>
    <w:rsid w:val="00BA535D"/>
    <w:rsid w:val="00BB11AE"/>
    <w:rsid w:val="00BB66CF"/>
    <w:rsid w:val="00BC56E5"/>
    <w:rsid w:val="00BC7984"/>
    <w:rsid w:val="00BE33D8"/>
    <w:rsid w:val="00BE43B2"/>
    <w:rsid w:val="00BE4FE4"/>
    <w:rsid w:val="00BE7C83"/>
    <w:rsid w:val="00BF2A10"/>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0D2"/>
    <w:rsid w:val="00C674A5"/>
    <w:rsid w:val="00C7643B"/>
    <w:rsid w:val="00C8260C"/>
    <w:rsid w:val="00C8439C"/>
    <w:rsid w:val="00C8528A"/>
    <w:rsid w:val="00C86013"/>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0611F"/>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288E"/>
    <w:rsid w:val="00D648DD"/>
    <w:rsid w:val="00D65C3C"/>
    <w:rsid w:val="00D73100"/>
    <w:rsid w:val="00D90F8E"/>
    <w:rsid w:val="00D949C9"/>
    <w:rsid w:val="00D97EBA"/>
    <w:rsid w:val="00DC11A1"/>
    <w:rsid w:val="00DC649C"/>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25ED2"/>
    <w:rsid w:val="00E44537"/>
    <w:rsid w:val="00E55F69"/>
    <w:rsid w:val="00E56FDA"/>
    <w:rsid w:val="00E57189"/>
    <w:rsid w:val="00E636DC"/>
    <w:rsid w:val="00E70C56"/>
    <w:rsid w:val="00E72188"/>
    <w:rsid w:val="00E77C35"/>
    <w:rsid w:val="00E90DC4"/>
    <w:rsid w:val="00E9309D"/>
    <w:rsid w:val="00EA2362"/>
    <w:rsid w:val="00EA668E"/>
    <w:rsid w:val="00EB2A19"/>
    <w:rsid w:val="00EB550D"/>
    <w:rsid w:val="00EB6C90"/>
    <w:rsid w:val="00EC3254"/>
    <w:rsid w:val="00EC5AFE"/>
    <w:rsid w:val="00ED437B"/>
    <w:rsid w:val="00ED72CA"/>
    <w:rsid w:val="00EE1A66"/>
    <w:rsid w:val="00EE1D09"/>
    <w:rsid w:val="00EE7240"/>
    <w:rsid w:val="00EF66B8"/>
    <w:rsid w:val="00F03EB4"/>
    <w:rsid w:val="00F04DDA"/>
    <w:rsid w:val="00F06E93"/>
    <w:rsid w:val="00F130D7"/>
    <w:rsid w:val="00F14720"/>
    <w:rsid w:val="00F17C76"/>
    <w:rsid w:val="00F21315"/>
    <w:rsid w:val="00F25459"/>
    <w:rsid w:val="00F26952"/>
    <w:rsid w:val="00F270C4"/>
    <w:rsid w:val="00F30E47"/>
    <w:rsid w:val="00F54EF8"/>
    <w:rsid w:val="00F56682"/>
    <w:rsid w:val="00F57BB6"/>
    <w:rsid w:val="00F62704"/>
    <w:rsid w:val="00F84B26"/>
    <w:rsid w:val="00F85672"/>
    <w:rsid w:val="00F9415C"/>
    <w:rsid w:val="00F94B2F"/>
    <w:rsid w:val="00F96680"/>
    <w:rsid w:val="00F96C47"/>
    <w:rsid w:val="00FA00EA"/>
    <w:rsid w:val="00FA3B2F"/>
    <w:rsid w:val="00FA6C39"/>
    <w:rsid w:val="00FA7021"/>
    <w:rsid w:val="00FA70E6"/>
    <w:rsid w:val="00FB03B1"/>
    <w:rsid w:val="00FB168A"/>
    <w:rsid w:val="00FC7772"/>
    <w:rsid w:val="00FC7A03"/>
    <w:rsid w:val="00FC7E0E"/>
    <w:rsid w:val="00FD2135"/>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uiPriority w:val="1"/>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6425</Words>
  <Characters>35343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AE.Oo.RC.AllServicesandGoods for BO or VC</vt:lpstr>
    </vt:vector>
  </TitlesOfParts>
  <Company>Council of Europe</Company>
  <LinksUpToDate>false</LinksUpToDate>
  <CharactersWithSpaces>41685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VT</cp:lastModifiedBy>
  <cp:revision>13</cp:revision>
  <cp:lastPrinted>2020-02-14T16:19:00Z</cp:lastPrinted>
  <dcterms:created xsi:type="dcterms:W3CDTF">2021-04-07T09:01:00Z</dcterms:created>
  <dcterms:modified xsi:type="dcterms:W3CDTF">2021-04-12T09:46:00Z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