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60D90F76" w:rsidR="00D70688" w:rsidRPr="00381B1A" w:rsidRDefault="00240120" w:rsidP="00D70688">
            <w:pPr>
              <w:rPr>
                <w:rFonts w:ascii="Tahoma" w:hAnsi="Tahoma" w:cs="Tahoma"/>
                <w:caps/>
                <w:color w:val="000000" w:themeColor="text1"/>
                <w:sz w:val="18"/>
                <w:szCs w:val="18"/>
              </w:rPr>
            </w:pPr>
            <w:r w:rsidRPr="00381B1A">
              <w:rPr>
                <w:rFonts w:ascii="Tahoma" w:hAnsi="Tahoma" w:cs="Tahoma"/>
                <w:caps/>
                <w:color w:val="000000" w:themeColor="text1"/>
                <w:sz w:val="18"/>
                <w:szCs w:val="18"/>
              </w:rPr>
              <w:t>8764/</w:t>
            </w:r>
            <w:r w:rsidR="00403770">
              <w:rPr>
                <w:rFonts w:ascii="Tahoma" w:hAnsi="Tahoma" w:cs="Tahoma"/>
                <w:caps/>
                <w:color w:val="000000" w:themeColor="text1"/>
                <w:sz w:val="18"/>
                <w:szCs w:val="18"/>
              </w:rPr>
              <w:t>29092021-01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61550EE5" w:rsidR="00D70688" w:rsidRPr="00381B1A" w:rsidRDefault="00240120" w:rsidP="00D70688">
            <w:pPr>
              <w:rPr>
                <w:rFonts w:ascii="Tahoma" w:hAnsi="Tahoma" w:cs="Tahoma"/>
                <w:caps/>
                <w:color w:val="000000" w:themeColor="text1"/>
                <w:sz w:val="18"/>
                <w:szCs w:val="18"/>
              </w:rPr>
            </w:pPr>
            <w:r w:rsidRPr="00381B1A">
              <w:rPr>
                <w:rFonts w:ascii="Tahoma" w:hAnsi="Tahoma" w:cs="Tahoma"/>
                <w:caps/>
                <w:color w:val="000000" w:themeColor="text1"/>
                <w:sz w:val="18"/>
                <w:szCs w:val="18"/>
              </w:rPr>
              <w:t>2816</w:t>
            </w:r>
            <w:r w:rsidR="00E47CC1" w:rsidRPr="00381B1A">
              <w:rPr>
                <w:rFonts w:ascii="Tahoma" w:hAnsi="Tahoma" w:cs="Tahoma"/>
                <w:caps/>
                <w:color w:val="000000" w:themeColor="text1"/>
                <w:sz w:val="18"/>
                <w:szCs w:val="18"/>
              </w:rPr>
              <w:t>/</w:t>
            </w:r>
            <w:r w:rsidRPr="00381B1A">
              <w:rPr>
                <w:rFonts w:ascii="Tahoma" w:hAnsi="Tahoma" w:cs="Tahoma"/>
                <w:caps/>
                <w:color w:val="000000" w:themeColor="text1"/>
                <w:sz w:val="18"/>
                <w:szCs w:val="18"/>
              </w:rPr>
              <w:t>Social Charter</w:t>
            </w:r>
          </w:p>
        </w:tc>
      </w:tr>
      <w:tr w:rsidR="00D70688" w:rsidRPr="00E47CC1"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E8563EF" w14:textId="2EA63DE9" w:rsidR="00D70688" w:rsidRPr="00B0003B" w:rsidRDefault="00240120" w:rsidP="00D70688">
            <w:pPr>
              <w:rPr>
                <w:rFonts w:ascii="Tahoma" w:hAnsi="Tahoma" w:cs="Tahoma"/>
                <w:sz w:val="18"/>
                <w:szCs w:val="18"/>
                <w:lang w:val="de-DE"/>
              </w:rPr>
            </w:pPr>
            <w:r w:rsidRPr="00B0003B">
              <w:rPr>
                <w:rFonts w:ascii="Tahoma" w:hAnsi="Tahoma" w:cs="Tahoma"/>
                <w:color w:val="000000" w:themeColor="text1"/>
                <w:sz w:val="18"/>
                <w:szCs w:val="18"/>
                <w:lang w:val="de-DE"/>
              </w:rPr>
              <w:t>Gvantsa</w:t>
            </w:r>
            <w:r w:rsidR="00E47CC1" w:rsidRPr="00B0003B">
              <w:rPr>
                <w:rFonts w:ascii="Tahoma" w:hAnsi="Tahoma" w:cs="Tahoma"/>
                <w:color w:val="000000" w:themeColor="text1"/>
                <w:sz w:val="18"/>
                <w:szCs w:val="18"/>
                <w:lang w:val="de-DE"/>
              </w:rPr>
              <w:t xml:space="preserve"> </w:t>
            </w:r>
            <w:r w:rsidR="00E47CC1" w:rsidRPr="00B0003B">
              <w:rPr>
                <w:rFonts w:ascii="Tahoma" w:hAnsi="Tahoma" w:cs="Tahoma"/>
                <w:sz w:val="18"/>
                <w:szCs w:val="18"/>
                <w:lang w:val="de-DE"/>
              </w:rPr>
              <w:t xml:space="preserve">Kereselidze </w:t>
            </w:r>
          </w:p>
          <w:p w14:paraId="6C1CE614" w14:textId="5E4CB6BC" w:rsidR="00E47CC1" w:rsidRPr="00B0003B" w:rsidRDefault="007B458D" w:rsidP="00D70688">
            <w:pPr>
              <w:rPr>
                <w:rFonts w:ascii="Tahoma" w:hAnsi="Tahoma" w:cs="Tahoma"/>
                <w:color w:val="000000" w:themeColor="text1"/>
                <w:sz w:val="18"/>
                <w:szCs w:val="18"/>
                <w:lang w:val="de-DE"/>
              </w:rPr>
            </w:pPr>
            <w:hyperlink r:id="rId11" w:history="1">
              <w:r w:rsidR="00E47CC1" w:rsidRPr="00B0003B">
                <w:rPr>
                  <w:rStyle w:val="Hyperlink"/>
                  <w:rFonts w:ascii="Tahoma" w:hAnsi="Tahoma" w:cs="Tahoma"/>
                  <w:sz w:val="18"/>
                  <w:szCs w:val="18"/>
                  <w:lang w:val="de-DE"/>
                </w:rPr>
                <w:t>gvantsa.kereselidze@coe.int</w:t>
              </w:r>
            </w:hyperlink>
          </w:p>
          <w:p w14:paraId="0DF51A58" w14:textId="02D21768" w:rsidR="00E47CC1" w:rsidRPr="00381B1A" w:rsidRDefault="00E47CC1" w:rsidP="00D70688">
            <w:pPr>
              <w:rPr>
                <w:rFonts w:ascii="Tahoma" w:hAnsi="Tahoma" w:cs="Tahoma"/>
                <w:b/>
                <w:caps/>
                <w:color w:val="000000" w:themeColor="text1"/>
                <w:sz w:val="18"/>
                <w:szCs w:val="18"/>
                <w:lang w:val="en-US"/>
              </w:rPr>
            </w:pPr>
            <w:r w:rsidRPr="00381B1A">
              <w:rPr>
                <w:rFonts w:ascii="Tahoma" w:hAnsi="Tahoma" w:cs="Tahoma"/>
                <w:color w:val="000000" w:themeColor="text1"/>
                <w:sz w:val="18"/>
                <w:szCs w:val="18"/>
                <w:lang w:val="en-US"/>
              </w:rPr>
              <w:t xml:space="preserve">Mob: +995 599 85 82 98  </w:t>
            </w:r>
          </w:p>
        </w:tc>
      </w:tr>
    </w:tbl>
    <w:p w14:paraId="2002E72B" w14:textId="77777777" w:rsidR="000013DF" w:rsidRPr="00E47CC1" w:rsidRDefault="000013DF" w:rsidP="00E17F6A">
      <w:pPr>
        <w:rPr>
          <w:rFonts w:ascii="Tahoma" w:hAnsi="Tahoma" w:cs="Tahoma"/>
          <w:b/>
          <w:caps/>
          <w:sz w:val="28"/>
          <w:szCs w:val="28"/>
          <w:lang w:val="en-US"/>
        </w:rPr>
      </w:pPr>
    </w:p>
    <w:p w14:paraId="5B6DEF4E" w14:textId="77777777" w:rsidR="00D70688" w:rsidRPr="00E47CC1" w:rsidRDefault="00D70688" w:rsidP="00E17F6A">
      <w:pPr>
        <w:rPr>
          <w:rFonts w:ascii="Tahoma" w:hAnsi="Tahoma" w:cs="Tahoma"/>
          <w:b/>
          <w:caps/>
          <w:sz w:val="28"/>
          <w:szCs w:val="28"/>
          <w:lang w:val="en-US"/>
        </w:rPr>
      </w:pPr>
    </w:p>
    <w:p w14:paraId="16A6AC54" w14:textId="77777777" w:rsidR="00D70688" w:rsidRPr="00E47CC1" w:rsidRDefault="00D70688" w:rsidP="00E17F6A">
      <w:pPr>
        <w:rPr>
          <w:rFonts w:ascii="Tahoma" w:hAnsi="Tahoma" w:cs="Tahoma"/>
          <w:b/>
          <w:caps/>
          <w:sz w:val="28"/>
          <w:szCs w:val="28"/>
          <w:lang w:val="en-US"/>
        </w:rPr>
      </w:pPr>
    </w:p>
    <w:p w14:paraId="62223253" w14:textId="77777777" w:rsidR="00D70688" w:rsidRPr="00E47CC1" w:rsidRDefault="00D70688" w:rsidP="00E17F6A">
      <w:pPr>
        <w:rPr>
          <w:rFonts w:ascii="Tahoma" w:hAnsi="Tahoma" w:cs="Tahoma"/>
          <w:b/>
          <w:caps/>
          <w:sz w:val="28"/>
          <w:szCs w:val="28"/>
          <w:lang w:val="en-US"/>
        </w:rPr>
      </w:pPr>
    </w:p>
    <w:p w14:paraId="0B809757" w14:textId="77777777" w:rsidR="00D70688" w:rsidRPr="00E47CC1" w:rsidRDefault="00D70688" w:rsidP="00E17F6A">
      <w:pPr>
        <w:rPr>
          <w:rFonts w:ascii="Tahoma" w:hAnsi="Tahoma" w:cs="Tahoma"/>
          <w:b/>
          <w:caps/>
          <w:sz w:val="28"/>
          <w:szCs w:val="28"/>
          <w:lang w:val="en-US"/>
        </w:rPr>
      </w:pPr>
    </w:p>
    <w:p w14:paraId="2A6B2F1E" w14:textId="77777777" w:rsidR="00C20349" w:rsidRPr="00D0286A" w:rsidRDefault="00C20349" w:rsidP="00E47CC1">
      <w:pPr>
        <w:jc w:val="both"/>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47CC1">
      <w:pPr>
        <w:jc w:val="both"/>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E47CC1">
      <w:pPr>
        <w:jc w:val="both"/>
        <w:rPr>
          <w:rFonts w:ascii="Tahoma" w:hAnsi="Tahoma" w:cs="Tahoma"/>
          <w:b/>
          <w:sz w:val="16"/>
          <w:szCs w:val="16"/>
        </w:rPr>
      </w:pPr>
    </w:p>
    <w:p w14:paraId="14DCC81D" w14:textId="0218BFC7" w:rsidR="003840F5" w:rsidRPr="00E47CC1" w:rsidRDefault="00BD6B89" w:rsidP="00E47CC1">
      <w:pPr>
        <w:spacing w:before="60" w:after="120"/>
        <w:jc w:val="both"/>
        <w:rPr>
          <w:rFonts w:ascii="Tahoma" w:hAnsi="Tahoma" w:cs="Tahoma"/>
          <w:b/>
          <w:sz w:val="20"/>
          <w:szCs w:val="20"/>
        </w:rPr>
      </w:pPr>
      <w:r w:rsidRPr="00E47CC1">
        <w:rPr>
          <w:rFonts w:ascii="Tahoma" w:hAnsi="Tahoma" w:cs="Tahoma"/>
          <w:b/>
          <w:sz w:val="20"/>
          <w:szCs w:val="20"/>
        </w:rPr>
        <w:t xml:space="preserve">This Act of Engagement lays down the terms and conditions of the </w:t>
      </w:r>
      <w:r w:rsidR="00E17F6A" w:rsidRPr="00E47CC1">
        <w:rPr>
          <w:rFonts w:ascii="Tahoma" w:hAnsi="Tahoma" w:cs="Tahoma"/>
          <w:b/>
          <w:sz w:val="20"/>
          <w:szCs w:val="20"/>
          <w:u w:val="single"/>
        </w:rPr>
        <w:t>framework contract</w:t>
      </w:r>
      <w:r w:rsidRPr="00E47CC1">
        <w:rPr>
          <w:rFonts w:ascii="Tahoma" w:hAnsi="Tahoma" w:cs="Tahoma"/>
          <w:b/>
          <w:sz w:val="20"/>
          <w:szCs w:val="20"/>
        </w:rPr>
        <w:t xml:space="preserve"> between the Provider</w:t>
      </w:r>
      <w:r w:rsidR="001A28AE" w:rsidRPr="00E47CC1">
        <w:rPr>
          <w:rFonts w:ascii="Tahoma" w:hAnsi="Tahoma" w:cs="Tahoma"/>
          <w:b/>
          <w:sz w:val="20"/>
          <w:szCs w:val="20"/>
        </w:rPr>
        <w:t xml:space="preserve"> (as described below</w:t>
      </w:r>
      <w:r w:rsidR="00540FB7">
        <w:rPr>
          <w:rFonts w:ascii="Tahoma" w:hAnsi="Tahoma" w:cs="Tahoma"/>
          <w:b/>
          <w:sz w:val="20"/>
          <w:szCs w:val="20"/>
        </w:rPr>
        <w:t>)</w:t>
      </w:r>
      <w:r w:rsidR="001A28AE" w:rsidRPr="00E47CC1">
        <w:rPr>
          <w:rFonts w:ascii="Tahoma" w:hAnsi="Tahoma" w:cs="Tahoma"/>
          <w:b/>
          <w:sz w:val="20"/>
          <w:szCs w:val="20"/>
        </w:rPr>
        <w:t>,</w:t>
      </w:r>
      <w:r w:rsidRPr="00E47CC1">
        <w:rPr>
          <w:rFonts w:ascii="Tahoma" w:hAnsi="Tahoma" w:cs="Tahoma"/>
          <w:b/>
          <w:sz w:val="20"/>
          <w:szCs w:val="20"/>
        </w:rPr>
        <w:t xml:space="preserve"> and the Council of Europe</w:t>
      </w:r>
      <w:r w:rsidR="000013DF" w:rsidRPr="00E47CC1">
        <w:rPr>
          <w:rFonts w:ascii="Tahoma" w:hAnsi="Tahoma" w:cs="Tahoma"/>
          <w:b/>
          <w:sz w:val="20"/>
          <w:szCs w:val="20"/>
          <w:vertAlign w:val="superscript"/>
        </w:rPr>
        <w:footnoteReference w:id="1"/>
      </w:r>
      <w:r w:rsidR="00764810" w:rsidRPr="00E47CC1">
        <w:rPr>
          <w:rFonts w:ascii="Tahoma" w:hAnsi="Tahoma" w:cs="Tahoma"/>
          <w:b/>
          <w:sz w:val="20"/>
          <w:szCs w:val="20"/>
        </w:rPr>
        <w:t xml:space="preserve"> for the provision of</w:t>
      </w:r>
      <w:r w:rsidRPr="00E47CC1">
        <w:rPr>
          <w:rFonts w:ascii="Tahoma" w:hAnsi="Tahoma" w:cs="Tahoma"/>
          <w:b/>
          <w:sz w:val="20"/>
          <w:szCs w:val="20"/>
        </w:rPr>
        <w:t xml:space="preserve"> </w:t>
      </w:r>
      <w:r w:rsidR="00240120" w:rsidRPr="00E47CC1">
        <w:rPr>
          <w:rFonts w:ascii="Tahoma" w:hAnsi="Tahoma" w:cs="Tahoma"/>
          <w:b/>
          <w:sz w:val="20"/>
          <w:szCs w:val="20"/>
        </w:rPr>
        <w:t>National Consultancy Services for the Project Strengthening Protection for Social and Economic Rights in Georgia</w:t>
      </w:r>
      <w:r w:rsidR="000128DD" w:rsidRPr="00E47CC1">
        <w:rPr>
          <w:rFonts w:ascii="Tahoma" w:hAnsi="Tahoma" w:cs="Tahoma"/>
          <w:b/>
          <w:sz w:val="20"/>
          <w:szCs w:val="20"/>
        </w:rPr>
        <w:t>.</w:t>
      </w:r>
    </w:p>
    <w:p w14:paraId="74F5ACBD" w14:textId="2DCECD37" w:rsidR="00371509" w:rsidRPr="00E47CC1" w:rsidRDefault="00371509" w:rsidP="00E47CC1">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47CC1">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47CC1">
        <w:rPr>
          <w:rFonts w:ascii="Tahoma" w:hAnsi="Tahoma" w:cs="Tahoma"/>
          <w:b/>
          <w:sz w:val="20"/>
          <w:szCs w:val="20"/>
        </w:rPr>
        <w:t>upon signature by a Council of Europe authorised staff member</w:t>
      </w:r>
      <w:r w:rsidR="00AF7DCB" w:rsidRPr="00E47CC1">
        <w:rPr>
          <w:rFonts w:ascii="Tahoma" w:hAnsi="Tahoma" w:cs="Tahoma"/>
          <w:sz w:val="20"/>
          <w:szCs w:val="20"/>
        </w:rPr>
        <w:t xml:space="preserve"> (see Section B</w:t>
      </w:r>
      <w:r w:rsidRPr="00E47CC1">
        <w:rPr>
          <w:rFonts w:ascii="Tahoma" w:hAnsi="Tahoma" w:cs="Tahoma"/>
          <w:sz w:val="20"/>
          <w:szCs w:val="20"/>
        </w:rPr>
        <w:t>).</w:t>
      </w:r>
    </w:p>
    <w:p w14:paraId="0FF0D54F" w14:textId="77777777" w:rsidR="00371509" w:rsidRPr="00E47CC1"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7B458D"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82B5C" w:rsidRDefault="007B458D"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82B5C">
                  <w:rPr>
                    <w:rFonts w:ascii="Segoe UI Symbol" w:hAnsi="Segoe UI Symbol" w:cs="Segoe UI Symbol"/>
                    <w:color w:val="000000"/>
                    <w:sz w:val="18"/>
                    <w:szCs w:val="18"/>
                    <w:lang w:val="es-ES_tradnl"/>
                  </w:rPr>
                  <w:t>☐</w:t>
                </w:r>
              </w:sdtContent>
            </w:sdt>
            <w:r w:rsidR="00100965" w:rsidRPr="00F82B5C">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82B5C" w:rsidRDefault="007B458D"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82B5C">
                  <w:rPr>
                    <w:rFonts w:ascii="Segoe UI Symbol" w:hAnsi="Segoe UI Symbol" w:cs="Segoe UI Symbol"/>
                    <w:color w:val="000000"/>
                    <w:sz w:val="18"/>
                    <w:szCs w:val="18"/>
                    <w:lang w:val="es-ES_tradnl"/>
                  </w:rPr>
                  <w:t>☐</w:t>
                </w:r>
              </w:sdtContent>
            </w:sdt>
            <w:r w:rsidR="00100965" w:rsidRPr="00F82B5C">
              <w:rPr>
                <w:rFonts w:ascii="Tahoma" w:hAnsi="Tahoma" w:cs="Tahoma"/>
                <w:color w:val="000000"/>
                <w:sz w:val="18"/>
                <w:szCs w:val="18"/>
                <w:lang w:val="es-ES_tradnl"/>
              </w:rPr>
              <w:t xml:space="preserve"> Consortium</w:t>
            </w:r>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7906146F" w:rsidR="00B133A9" w:rsidRPr="00D0286A" w:rsidRDefault="00B133A9" w:rsidP="00E47CC1">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a Project on </w:t>
      </w:r>
      <w:r w:rsidR="00240120" w:rsidRPr="00E47CC1">
        <w:rPr>
          <w:rFonts w:ascii="Tahoma" w:hAnsi="Tahoma" w:cs="Tahoma"/>
          <w:i/>
          <w:sz w:val="20"/>
          <w:szCs w:val="20"/>
        </w:rPr>
        <w:t>Strengthening Protection for Social and Economic Rights in Georgia</w:t>
      </w:r>
      <w:r w:rsidRPr="00E47CC1">
        <w:rPr>
          <w:rFonts w:ascii="Tahoma" w:hAnsi="Tahoma" w:cs="Tahoma"/>
          <w:sz w:val="20"/>
          <w:szCs w:val="20"/>
        </w:rPr>
        <w:t>. In that context, it is looking for Provider(s) (see below) for the provision of</w:t>
      </w:r>
      <w:r w:rsidR="00E47CC1">
        <w:rPr>
          <w:rFonts w:ascii="Tahoma" w:hAnsi="Tahoma" w:cs="Tahoma"/>
          <w:sz w:val="20"/>
          <w:szCs w:val="20"/>
        </w:rPr>
        <w:t xml:space="preserve"> </w:t>
      </w:r>
      <w:r w:rsidR="00240120" w:rsidRPr="00E47CC1">
        <w:rPr>
          <w:rFonts w:ascii="Tahoma" w:hAnsi="Tahoma" w:cs="Tahoma"/>
          <w:i/>
          <w:sz w:val="20"/>
          <w:szCs w:val="20"/>
        </w:rPr>
        <w:t>National Consultancy Services</w:t>
      </w:r>
      <w:r w:rsidRPr="00E47CC1">
        <w:rPr>
          <w:rFonts w:ascii="Tahoma" w:hAnsi="Tahoma" w:cs="Tahoma"/>
          <w:sz w:val="20"/>
          <w:szCs w:val="20"/>
        </w:rPr>
        <w:t xml:space="preserve"> to be requested by the Council on an as needed basis, in compliance with the ordering procedure defined below.</w:t>
      </w:r>
      <w:r w:rsidRPr="00D0286A">
        <w:rPr>
          <w:rFonts w:ascii="Tahoma" w:hAnsi="Tahoma" w:cs="Tahoma"/>
          <w:sz w:val="20"/>
          <w:szCs w:val="20"/>
        </w:rPr>
        <w:t xml:space="preserve"> </w:t>
      </w:r>
    </w:p>
    <w:p w14:paraId="5AA4D21A" w14:textId="77777777" w:rsidR="00B133A9" w:rsidRPr="00D0286A" w:rsidRDefault="00B133A9" w:rsidP="00E47CC1">
      <w:pPr>
        <w:spacing w:line="276" w:lineRule="auto"/>
        <w:ind w:left="-142"/>
        <w:jc w:val="both"/>
        <w:rPr>
          <w:rFonts w:ascii="Tahoma" w:hAnsi="Tahoma" w:cs="Tahoma"/>
          <w:sz w:val="20"/>
          <w:szCs w:val="20"/>
        </w:rPr>
      </w:pPr>
    </w:p>
    <w:p w14:paraId="001D0C83" w14:textId="77777777" w:rsidR="00B133A9" w:rsidRPr="00D0286A" w:rsidRDefault="00B133A9" w:rsidP="00E47CC1">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w:t>
      </w:r>
      <w:r w:rsidRPr="00F82B5C">
        <w:rPr>
          <w:rFonts w:ascii="Tahoma" w:hAnsi="Tahoma" w:cs="Tahoma"/>
          <w:sz w:val="20"/>
          <w:szCs w:val="20"/>
        </w:rPr>
        <w:t>Council within 2 (two) working days</w:t>
      </w:r>
      <w:r w:rsidRPr="00D0286A">
        <w:rPr>
          <w:rFonts w:ascii="Tahoma" w:hAnsi="Tahoma" w:cs="Tahoma"/>
          <w:sz w:val="20"/>
          <w:szCs w:val="20"/>
        </w:rPr>
        <w:t xml:space="preserve"> after its reception. </w:t>
      </w:r>
    </w:p>
    <w:p w14:paraId="7575A1A1" w14:textId="77777777" w:rsidR="00B133A9" w:rsidRPr="00D0286A" w:rsidRDefault="00B133A9" w:rsidP="00E47CC1">
      <w:pPr>
        <w:spacing w:line="276" w:lineRule="auto"/>
        <w:ind w:left="-142"/>
        <w:jc w:val="both"/>
        <w:rPr>
          <w:rFonts w:ascii="Tahoma" w:hAnsi="Tahoma" w:cs="Tahoma"/>
          <w:sz w:val="20"/>
          <w:szCs w:val="20"/>
        </w:rPr>
      </w:pPr>
    </w:p>
    <w:p w14:paraId="26FBF922" w14:textId="66904A4E" w:rsidR="00B133A9" w:rsidRPr="00D0286A" w:rsidRDefault="00B133A9" w:rsidP="00E47CC1">
      <w:pPr>
        <w:spacing w:line="276" w:lineRule="auto"/>
        <w:jc w:val="both"/>
        <w:rPr>
          <w:rFonts w:ascii="Tahoma" w:hAnsi="Tahoma" w:cs="Tahoma"/>
          <w:sz w:val="20"/>
          <w:szCs w:val="20"/>
          <w:highlight w:val="cyan"/>
        </w:rPr>
      </w:pPr>
    </w:p>
    <w:p w14:paraId="2B915655" w14:textId="794AE819" w:rsidR="00B133A9" w:rsidRPr="00E47CC1" w:rsidRDefault="00B133A9" w:rsidP="00E47CC1">
      <w:pPr>
        <w:spacing w:line="276" w:lineRule="auto"/>
        <w:jc w:val="both"/>
        <w:rPr>
          <w:rFonts w:ascii="Tahoma" w:hAnsi="Tahoma" w:cs="Tahoma"/>
          <w:b/>
          <w:sz w:val="20"/>
          <w:szCs w:val="20"/>
        </w:rPr>
      </w:pPr>
      <w:r w:rsidRPr="00E47CC1">
        <w:rPr>
          <w:rFonts w:ascii="Tahoma" w:hAnsi="Tahoma" w:cs="Tahoma"/>
          <w:b/>
          <w:sz w:val="20"/>
          <w:szCs w:val="20"/>
        </w:rPr>
        <w:t>Pooling</w:t>
      </w:r>
    </w:p>
    <w:p w14:paraId="49B6F800" w14:textId="77777777" w:rsidR="00E47CC1" w:rsidRPr="00E47CC1" w:rsidRDefault="00E47CC1" w:rsidP="00E47CC1">
      <w:pPr>
        <w:spacing w:line="276" w:lineRule="auto"/>
        <w:jc w:val="both"/>
        <w:rPr>
          <w:rFonts w:ascii="Tahoma" w:hAnsi="Tahoma" w:cs="Tahoma"/>
          <w:b/>
          <w:sz w:val="20"/>
          <w:szCs w:val="20"/>
        </w:rPr>
      </w:pPr>
    </w:p>
    <w:p w14:paraId="01A9D193" w14:textId="77777777" w:rsidR="00B133A9" w:rsidRPr="00E47CC1" w:rsidRDefault="00B133A9" w:rsidP="00E47CC1">
      <w:pPr>
        <w:spacing w:line="276" w:lineRule="auto"/>
        <w:jc w:val="both"/>
        <w:rPr>
          <w:rFonts w:ascii="Tahoma" w:hAnsi="Tahoma" w:cs="Tahoma"/>
          <w:sz w:val="20"/>
          <w:szCs w:val="20"/>
        </w:rPr>
      </w:pPr>
      <w:r w:rsidRPr="00E47CC1">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E47CC1" w:rsidRDefault="00B133A9" w:rsidP="00E47CC1">
      <w:pPr>
        <w:pStyle w:val="Default"/>
        <w:numPr>
          <w:ilvl w:val="0"/>
          <w:numId w:val="6"/>
        </w:numPr>
        <w:ind w:left="709"/>
        <w:jc w:val="both"/>
        <w:rPr>
          <w:rFonts w:ascii="Tahoma" w:hAnsi="Tahoma" w:cs="Tahoma"/>
          <w:sz w:val="20"/>
          <w:szCs w:val="20"/>
        </w:rPr>
      </w:pPr>
      <w:r w:rsidRPr="00E47CC1">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E47CC1" w:rsidRDefault="00B133A9" w:rsidP="00E47CC1">
      <w:pPr>
        <w:pStyle w:val="Default"/>
        <w:numPr>
          <w:ilvl w:val="0"/>
          <w:numId w:val="6"/>
        </w:numPr>
        <w:ind w:left="709"/>
        <w:jc w:val="both"/>
        <w:rPr>
          <w:rFonts w:ascii="Tahoma" w:hAnsi="Tahoma" w:cs="Tahoma"/>
          <w:sz w:val="20"/>
          <w:szCs w:val="20"/>
        </w:rPr>
      </w:pPr>
      <w:r w:rsidRPr="00E47CC1">
        <w:rPr>
          <w:rFonts w:ascii="Tahoma" w:hAnsi="Tahoma" w:cs="Tahoma"/>
          <w:sz w:val="20"/>
          <w:szCs w:val="20"/>
        </w:rPr>
        <w:t>availability (including, without limitation, capacity to meet required deadlines and, where relevant, geographical location); and</w:t>
      </w:r>
    </w:p>
    <w:p w14:paraId="75D10624" w14:textId="77777777" w:rsidR="00B133A9" w:rsidRPr="00E47CC1" w:rsidRDefault="00B133A9" w:rsidP="00E47CC1">
      <w:pPr>
        <w:pStyle w:val="Default"/>
        <w:numPr>
          <w:ilvl w:val="0"/>
          <w:numId w:val="6"/>
        </w:numPr>
        <w:ind w:left="709"/>
        <w:jc w:val="both"/>
        <w:rPr>
          <w:rFonts w:ascii="Tahoma" w:hAnsi="Tahoma" w:cs="Tahoma"/>
          <w:sz w:val="20"/>
          <w:szCs w:val="20"/>
        </w:rPr>
      </w:pPr>
      <w:r w:rsidRPr="00E47CC1">
        <w:rPr>
          <w:rFonts w:ascii="Tahoma" w:hAnsi="Tahoma" w:cs="Tahoma"/>
          <w:sz w:val="20"/>
          <w:szCs w:val="20"/>
        </w:rPr>
        <w:t>price.</w:t>
      </w:r>
    </w:p>
    <w:p w14:paraId="6EE577A1" w14:textId="0B54E7A7" w:rsidR="00B133A9" w:rsidRPr="00E47CC1" w:rsidRDefault="00B133A9" w:rsidP="00E47CC1">
      <w:pPr>
        <w:spacing w:line="276" w:lineRule="auto"/>
        <w:jc w:val="both"/>
        <w:rPr>
          <w:rFonts w:ascii="Tahoma" w:hAnsi="Tahoma" w:cs="Tahoma"/>
          <w:sz w:val="20"/>
          <w:szCs w:val="20"/>
        </w:rPr>
      </w:pPr>
      <w:r w:rsidRPr="00E47CC1">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E47CC1">
      <w:pPr>
        <w:spacing w:line="276" w:lineRule="auto"/>
        <w:ind w:left="-142"/>
        <w:jc w:val="both"/>
        <w:rPr>
          <w:rFonts w:ascii="Tahoma" w:hAnsi="Tahoma" w:cs="Tahoma"/>
          <w:sz w:val="20"/>
          <w:szCs w:val="20"/>
          <w:highlight w:val="cyan"/>
        </w:rPr>
      </w:pPr>
    </w:p>
    <w:p w14:paraId="192A7848" w14:textId="77777777" w:rsidR="00B133A9" w:rsidRPr="00D0286A" w:rsidRDefault="00B133A9" w:rsidP="00E47CC1">
      <w:pPr>
        <w:spacing w:line="276" w:lineRule="auto"/>
        <w:jc w:val="both"/>
        <w:rPr>
          <w:rFonts w:ascii="Tahoma" w:hAnsi="Tahoma" w:cs="Tahoma"/>
          <w:sz w:val="20"/>
          <w:szCs w:val="20"/>
        </w:rPr>
      </w:pPr>
    </w:p>
    <w:p w14:paraId="0D5518DB" w14:textId="77777777" w:rsidR="00B133A9" w:rsidRPr="00D0286A" w:rsidRDefault="00B133A9" w:rsidP="00E47CC1">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E47CC1">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64B8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329"/>
        <w:gridCol w:w="4529"/>
      </w:tblGrid>
      <w:tr w:rsidR="00B133A9" w:rsidRPr="00D0286A" w14:paraId="5C5B7FFB" w14:textId="77777777" w:rsidTr="00112A01">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112A01">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7B458D"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3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37B56921" w:rsidR="00B133A9" w:rsidRPr="00E47CC1" w:rsidRDefault="00B133A9" w:rsidP="00F75021">
            <w:pPr>
              <w:spacing w:before="60" w:after="60"/>
              <w:ind w:left="25" w:right="-249" w:hanging="25"/>
              <w:rPr>
                <w:rFonts w:ascii="Tahoma" w:eastAsia="Calibri" w:hAnsi="Tahoma" w:cs="Tahoma"/>
                <w:b/>
                <w:bCs/>
                <w:sz w:val="16"/>
                <w:szCs w:val="16"/>
                <w:lang w:val="en-US" w:eastAsia="en-US"/>
              </w:rPr>
            </w:pPr>
            <w:r w:rsidRPr="00E47CC1">
              <w:rPr>
                <w:rFonts w:ascii="Tahoma" w:eastAsia="Calibri" w:hAnsi="Tahoma" w:cs="Tahoma"/>
                <w:b/>
                <w:bCs/>
                <w:sz w:val="18"/>
                <w:szCs w:val="18"/>
                <w:lang w:val="en-US" w:eastAsia="en-US"/>
              </w:rPr>
              <w:t>Lot 1 -</w:t>
            </w:r>
            <w:r w:rsidRPr="00E47CC1">
              <w:rPr>
                <w:rFonts w:ascii="Tahoma" w:eastAsia="Calibri" w:hAnsi="Tahoma" w:cs="Tahoma"/>
                <w:b/>
                <w:bCs/>
                <w:sz w:val="16"/>
                <w:szCs w:val="16"/>
                <w:lang w:val="en-US" w:eastAsia="en-US"/>
              </w:rPr>
              <w:t xml:space="preserve"> </w:t>
            </w:r>
            <w:r w:rsidR="00176E5A" w:rsidRPr="003E77AC">
              <w:rPr>
                <w:rFonts w:ascii="Tahoma" w:hAnsi="Tahoma" w:cs="Tahoma"/>
                <w:color w:val="000000" w:themeColor="text1"/>
                <w:sz w:val="20"/>
                <w:szCs w:val="20"/>
              </w:rPr>
              <w:t>Consultancy services on economic and social rights (with a primary focus on Labour rights), particularly rights guaranteed under the European Social Charter.</w:t>
            </w: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E4075CA" w:rsidR="00B133A9" w:rsidRPr="00E47CC1" w:rsidRDefault="00240120" w:rsidP="00512853">
            <w:pPr>
              <w:spacing w:before="60" w:after="60"/>
              <w:ind w:left="-142"/>
              <w:jc w:val="center"/>
              <w:rPr>
                <w:rFonts w:ascii="Tahoma" w:eastAsia="Calibri" w:hAnsi="Tahoma" w:cs="Tahoma"/>
                <w:b/>
                <w:bCs/>
                <w:sz w:val="18"/>
                <w:szCs w:val="18"/>
                <w:lang w:val="en-US" w:eastAsia="en-US"/>
              </w:rPr>
            </w:pPr>
            <w:r w:rsidRPr="00E47CC1">
              <w:rPr>
                <w:rFonts w:ascii="Tahoma" w:eastAsia="Calibri" w:hAnsi="Tahoma" w:cs="Tahoma"/>
                <w:b/>
                <w:bCs/>
                <w:sz w:val="18"/>
                <w:szCs w:val="18"/>
                <w:lang w:val="en-US" w:eastAsia="en-US"/>
              </w:rPr>
              <w:t>10</w:t>
            </w:r>
          </w:p>
        </w:tc>
      </w:tr>
      <w:tr w:rsidR="00B133A9" w:rsidRPr="00D0286A" w14:paraId="0F91EE37" w14:textId="77777777" w:rsidTr="00112A01">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3ECA5051" w:rsidR="00B133A9" w:rsidRPr="00D0286A" w:rsidRDefault="00240120"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458EE031" w:rsidR="00B133A9" w:rsidRPr="00E47CC1" w:rsidRDefault="00B133A9" w:rsidP="00F75021">
            <w:pPr>
              <w:spacing w:before="60" w:after="60"/>
              <w:ind w:right="-249"/>
              <w:rPr>
                <w:rFonts w:ascii="Tahoma" w:eastAsia="Calibri" w:hAnsi="Tahoma" w:cs="Tahoma"/>
                <w:bCs/>
                <w:sz w:val="18"/>
                <w:szCs w:val="18"/>
                <w:lang w:val="en-US" w:eastAsia="en-US"/>
              </w:rPr>
            </w:pPr>
            <w:r w:rsidRPr="00E47CC1">
              <w:rPr>
                <w:rFonts w:ascii="Tahoma" w:eastAsia="Calibri" w:hAnsi="Tahoma" w:cs="Tahoma"/>
                <w:b/>
                <w:bCs/>
                <w:sz w:val="18"/>
                <w:szCs w:val="18"/>
                <w:lang w:val="en-US" w:eastAsia="en-US"/>
              </w:rPr>
              <w:t>Lot 2</w:t>
            </w:r>
            <w:r w:rsidRPr="00E47CC1">
              <w:rPr>
                <w:rFonts w:ascii="Tahoma" w:eastAsia="Calibri" w:hAnsi="Tahoma" w:cs="Tahoma"/>
                <w:bCs/>
                <w:sz w:val="18"/>
                <w:szCs w:val="18"/>
                <w:lang w:val="en-US" w:eastAsia="en-US"/>
              </w:rPr>
              <w:t xml:space="preserve"> -</w:t>
            </w:r>
            <w:r w:rsidR="00E47CC1">
              <w:rPr>
                <w:rFonts w:ascii="Tahoma" w:eastAsia="Calibri" w:hAnsi="Tahoma" w:cs="Tahoma"/>
                <w:bCs/>
                <w:sz w:val="18"/>
                <w:szCs w:val="18"/>
                <w:lang w:val="en-US" w:eastAsia="en-US"/>
              </w:rPr>
              <w:t xml:space="preserve"> </w:t>
            </w:r>
            <w:r w:rsidR="00176E5A" w:rsidRPr="003E77AC">
              <w:rPr>
                <w:rFonts w:ascii="Tahoma" w:hAnsi="Tahoma" w:cs="Tahoma"/>
                <w:color w:val="000000" w:themeColor="text1"/>
                <w:sz w:val="20"/>
                <w:szCs w:val="20"/>
              </w:rPr>
              <w:t xml:space="preserve">Consultancy in </w:t>
            </w:r>
            <w:r w:rsidR="00176E5A">
              <w:rPr>
                <w:rFonts w:ascii="Tahoma" w:hAnsi="Tahoma" w:cs="Tahoma"/>
                <w:color w:val="000000" w:themeColor="text1"/>
                <w:sz w:val="20"/>
                <w:szCs w:val="20"/>
              </w:rPr>
              <w:t xml:space="preserve">providing capacity enhancement activities (development of training materials, provision of trainings) on different aspects of social rights, </w:t>
            </w:r>
            <w:r w:rsidR="00176E5A" w:rsidRPr="003E77AC">
              <w:rPr>
                <w:rFonts w:ascii="Tahoma" w:hAnsi="Tahoma" w:cs="Tahoma"/>
                <w:color w:val="000000" w:themeColor="text1"/>
                <w:sz w:val="20"/>
                <w:szCs w:val="20"/>
              </w:rPr>
              <w:t>particularly rights guaranteed under the European Social Charter</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5B084ACC" w:rsidR="00B133A9" w:rsidRPr="00E47CC1" w:rsidRDefault="00240120" w:rsidP="00512853">
            <w:pPr>
              <w:spacing w:before="60" w:after="60"/>
              <w:ind w:left="-142"/>
              <w:jc w:val="center"/>
              <w:rPr>
                <w:rFonts w:ascii="Tahoma" w:eastAsia="Calibri" w:hAnsi="Tahoma" w:cs="Tahoma"/>
                <w:b/>
                <w:bCs/>
                <w:sz w:val="18"/>
                <w:szCs w:val="18"/>
                <w:lang w:val="en-US" w:eastAsia="en-US"/>
              </w:rPr>
            </w:pPr>
            <w:r w:rsidRPr="00E47CC1">
              <w:rPr>
                <w:rFonts w:ascii="Tahoma" w:eastAsia="Calibri" w:hAnsi="Tahoma" w:cs="Tahoma"/>
                <w:b/>
                <w:bCs/>
                <w:sz w:val="18"/>
                <w:szCs w:val="18"/>
                <w:lang w:val="en-US" w:eastAsia="en-US"/>
              </w:rPr>
              <w:t>10</w:t>
            </w:r>
          </w:p>
        </w:tc>
      </w:tr>
      <w:tr w:rsidR="00240120" w:rsidRPr="00D0286A" w14:paraId="0F5E2733" w14:textId="77777777" w:rsidTr="00112A01">
        <w:trPr>
          <w:trHeight w:val="420"/>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9FF6299" w14:textId="625A6CBF" w:rsidR="00240120" w:rsidRDefault="007B458D"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26916240"/>
                <w14:checkbox>
                  <w14:checked w14:val="0"/>
                  <w14:checkedState w14:val="2612" w14:font="MS Gothic"/>
                  <w14:uncheckedState w14:val="2610" w14:font="MS Gothic"/>
                </w14:checkbox>
              </w:sdtPr>
              <w:sdtEndPr/>
              <w:sdtContent>
                <w:r w:rsidR="00240120" w:rsidRPr="00D0286A">
                  <w:rPr>
                    <w:rFonts w:ascii="MS UI Gothic" w:eastAsia="MS UI Gothic" w:hAnsi="MS UI Gothic" w:cs="MS UI Gothic" w:hint="eastAsia"/>
                    <w:bCs/>
                    <w:sz w:val="36"/>
                    <w:szCs w:val="36"/>
                    <w:lang w:val="en-US" w:eastAsia="en-US"/>
                  </w:rPr>
                  <w:t>☐</w:t>
                </w:r>
              </w:sdtContent>
            </w:sdt>
            <w:r w:rsidR="00240120">
              <w:rPr>
                <w:rFonts w:ascii="Tahoma" w:eastAsia="Calibri" w:hAnsi="Tahoma" w:cs="Tahoma"/>
                <w:bCs/>
                <w:sz w:val="36"/>
                <w:szCs w:val="36"/>
                <w:lang w:val="en-US" w:eastAsia="en-US"/>
              </w:rPr>
              <w:t xml:space="preserve">   </w:t>
            </w:r>
          </w:p>
        </w:tc>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57672E1" w14:textId="70355262" w:rsidR="00240120" w:rsidRPr="00E47CC1" w:rsidRDefault="00240120" w:rsidP="00F75021">
            <w:pPr>
              <w:spacing w:before="60" w:after="60"/>
              <w:ind w:right="-249"/>
              <w:rPr>
                <w:rFonts w:ascii="Tahoma" w:eastAsia="Calibri" w:hAnsi="Tahoma" w:cs="Tahoma"/>
                <w:b/>
                <w:bCs/>
                <w:sz w:val="18"/>
                <w:szCs w:val="18"/>
                <w:lang w:val="en-US" w:eastAsia="en-US"/>
              </w:rPr>
            </w:pPr>
            <w:r w:rsidRPr="00E47CC1">
              <w:rPr>
                <w:rFonts w:ascii="Tahoma" w:eastAsia="Calibri" w:hAnsi="Tahoma" w:cs="Tahoma"/>
                <w:b/>
                <w:bCs/>
                <w:sz w:val="18"/>
                <w:szCs w:val="18"/>
                <w:lang w:val="en-US" w:eastAsia="en-US"/>
              </w:rPr>
              <w:t xml:space="preserve">Lot </w:t>
            </w:r>
            <w:r w:rsidR="00F414CD">
              <w:rPr>
                <w:rFonts w:ascii="Tahoma" w:eastAsia="Calibri" w:hAnsi="Tahoma" w:cs="Tahoma"/>
                <w:b/>
                <w:bCs/>
                <w:sz w:val="18"/>
                <w:szCs w:val="18"/>
                <w:lang w:val="en-US" w:eastAsia="en-US"/>
              </w:rPr>
              <w:t>3</w:t>
            </w:r>
            <w:r w:rsidRPr="00E47CC1">
              <w:rPr>
                <w:rFonts w:ascii="Tahoma" w:eastAsia="Calibri" w:hAnsi="Tahoma" w:cs="Tahoma"/>
                <w:bCs/>
                <w:sz w:val="18"/>
                <w:szCs w:val="18"/>
                <w:lang w:val="en-US" w:eastAsia="en-US"/>
              </w:rPr>
              <w:t xml:space="preserve"> -</w:t>
            </w:r>
            <w:r w:rsidR="00E47CC1">
              <w:rPr>
                <w:rFonts w:ascii="Tahoma" w:eastAsia="Calibri" w:hAnsi="Tahoma" w:cs="Tahoma"/>
                <w:bCs/>
                <w:sz w:val="18"/>
                <w:szCs w:val="18"/>
                <w:lang w:val="en-US" w:eastAsia="en-US"/>
              </w:rPr>
              <w:t xml:space="preserve"> </w:t>
            </w:r>
            <w:r w:rsidR="00176E5A" w:rsidRPr="00403770">
              <w:rPr>
                <w:rFonts w:ascii="Tahoma" w:hAnsi="Tahoma" w:cs="Tahoma"/>
                <w:color w:val="000000" w:themeColor="text1"/>
                <w:sz w:val="20"/>
                <w:szCs w:val="20"/>
              </w:rPr>
              <w:t>Consultancy services with expertise in editorial and/or legal proofreading to-from Georgian and English Languages</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C21FFC7" w14:textId="6964563A" w:rsidR="00240120" w:rsidRPr="00E47CC1" w:rsidRDefault="00240120" w:rsidP="00512853">
            <w:pPr>
              <w:spacing w:before="60" w:after="60"/>
              <w:ind w:left="-142"/>
              <w:jc w:val="center"/>
              <w:rPr>
                <w:rFonts w:ascii="Tahoma" w:eastAsia="Calibri" w:hAnsi="Tahoma" w:cs="Tahoma"/>
                <w:b/>
                <w:bCs/>
                <w:sz w:val="18"/>
                <w:szCs w:val="18"/>
                <w:lang w:val="en-US" w:eastAsia="en-US"/>
              </w:rPr>
            </w:pPr>
            <w:r w:rsidRPr="00E47CC1">
              <w:rPr>
                <w:rFonts w:ascii="Tahoma" w:eastAsia="Calibri" w:hAnsi="Tahoma" w:cs="Tahoma"/>
                <w:b/>
                <w:bCs/>
                <w:sz w:val="18"/>
                <w:szCs w:val="18"/>
                <w:lang w:val="en-US" w:eastAsia="en-US"/>
              </w:rPr>
              <w:t>7</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1762162E" w:rsidR="00B133A9" w:rsidRDefault="00B133A9" w:rsidP="00B133A9">
      <w:pPr>
        <w:spacing w:line="276" w:lineRule="auto"/>
        <w:jc w:val="both"/>
        <w:rPr>
          <w:rFonts w:ascii="Tahoma" w:hAnsi="Tahoma" w:cs="Tahoma"/>
          <w:b/>
          <w:color w:val="000000"/>
          <w:sz w:val="20"/>
          <w:szCs w:val="20"/>
          <w:u w:val="single"/>
          <w:lang w:eastAsia="en-US"/>
        </w:rPr>
      </w:pPr>
      <w:r w:rsidRPr="00116565">
        <w:rPr>
          <w:rFonts w:ascii="Tahoma" w:hAnsi="Tahoma" w:cs="Tahoma"/>
          <w:sz w:val="20"/>
          <w:szCs w:val="20"/>
        </w:rPr>
        <w:t xml:space="preserve">The fees indicated below will be applicable throughout the duration of the Framework Contract. </w:t>
      </w:r>
      <w:r w:rsidRPr="00116565">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 Prices are indicated in Euros without VAT.</w:t>
      </w:r>
      <w:r w:rsidRPr="00116565">
        <w:rPr>
          <w:rFonts w:ascii="Tahoma" w:hAnsi="Tahoma" w:cs="Tahoma"/>
          <w:b/>
          <w:color w:val="000000"/>
          <w:sz w:val="20"/>
          <w:szCs w:val="20"/>
          <w:lang w:eastAsia="en-US"/>
        </w:rPr>
        <w:t xml:space="preserve"> </w:t>
      </w:r>
      <w:r w:rsidRPr="00116565">
        <w:rPr>
          <w:rFonts w:ascii="Tahoma" w:hAnsi="Tahoma" w:cs="Tahoma"/>
          <w:b/>
          <w:color w:val="000000"/>
          <w:sz w:val="20"/>
          <w:szCs w:val="20"/>
          <w:u w:val="single"/>
          <w:lang w:eastAsia="en-US"/>
        </w:rPr>
        <w:t>Tenders proposing a fee above the exclusion level will be entirely and automatically excluded from the tender procedure.</w:t>
      </w:r>
    </w:p>
    <w:p w14:paraId="28F98FF8" w14:textId="0914EBD9" w:rsidR="00116565" w:rsidRDefault="00116565" w:rsidP="00B133A9">
      <w:pPr>
        <w:spacing w:line="276" w:lineRule="auto"/>
        <w:jc w:val="both"/>
        <w:rPr>
          <w:rFonts w:ascii="Tahoma" w:hAnsi="Tahoma" w:cs="Tahoma"/>
          <w:b/>
          <w:color w:val="000000"/>
          <w:sz w:val="20"/>
          <w:szCs w:val="20"/>
          <w:u w:val="single"/>
          <w:lang w:eastAsia="en-US"/>
        </w:rPr>
      </w:pPr>
    </w:p>
    <w:p w14:paraId="02A893A4" w14:textId="1834A9B6" w:rsidR="00116565" w:rsidRDefault="00116565" w:rsidP="00B133A9">
      <w:pPr>
        <w:spacing w:line="276" w:lineRule="auto"/>
        <w:jc w:val="both"/>
        <w:rPr>
          <w:rFonts w:ascii="Tahoma" w:hAnsi="Tahoma" w:cs="Tahoma"/>
          <w:b/>
          <w:color w:val="000000"/>
          <w:sz w:val="20"/>
          <w:szCs w:val="20"/>
          <w:u w:val="single"/>
          <w:lang w:eastAsia="en-US"/>
        </w:rPr>
      </w:pPr>
    </w:p>
    <w:p w14:paraId="375F6843" w14:textId="622FA535" w:rsidR="00116565" w:rsidRDefault="00116565" w:rsidP="00B133A9">
      <w:pPr>
        <w:spacing w:line="276" w:lineRule="auto"/>
        <w:jc w:val="both"/>
        <w:rPr>
          <w:rFonts w:ascii="Tahoma" w:hAnsi="Tahoma" w:cs="Tahoma"/>
          <w:b/>
          <w:color w:val="000000"/>
          <w:sz w:val="20"/>
          <w:szCs w:val="20"/>
          <w:u w:val="single"/>
          <w:lang w:eastAsia="en-US"/>
        </w:rPr>
      </w:pPr>
    </w:p>
    <w:p w14:paraId="58E1DE69" w14:textId="77777777" w:rsidR="00116565" w:rsidRPr="00D0286A" w:rsidRDefault="00116565" w:rsidP="00B133A9">
      <w:pPr>
        <w:spacing w:line="276" w:lineRule="auto"/>
        <w:jc w:val="both"/>
        <w:rPr>
          <w:rFonts w:ascii="Tahoma" w:hAnsi="Tahoma" w:cs="Tahoma"/>
          <w:b/>
          <w:color w:val="000000"/>
          <w:sz w:val="20"/>
          <w:szCs w:val="20"/>
          <w:u w:val="single"/>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29F8F823">
                <wp:simplePos x="0" y="0"/>
                <wp:positionH relativeFrom="column">
                  <wp:posOffset>4404360</wp:posOffset>
                </wp:positionH>
                <wp:positionV relativeFrom="paragraph">
                  <wp:posOffset>-16510</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26DBB" id="Up Arrow 7" o:spid="_x0000_s1026" type="#_x0000_t68" style="position:absolute;margin-left:346.8pt;margin-top:-1.3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Hg7tK3gAAAAkBAAAPAAAAZHJzL2Rvd25yZXYueG1sTI9NT8MwDIbvSPyHyEi7bUk3&#10;UbbSdGKThrgBgwNHrzVNRfOhxuvKvyec4GRZfvT6ecvtZHsx0hA77zRkCwWCXO2bzrUa3t8O8zWI&#10;yOga7L0jDd8UYVtdX5VYNP7iXmk8citSiIsFajDMoZAy1oYsxoUP5NLt0w8WOa1DK5sBLync9nKp&#10;VC4tdi59MBhob6j+Op6thh1/SHoKt6PiDH14Phh+edxpPbuZHu5BME38B8OvflKHKjmd/Nk1UfQa&#10;8s0qT6iG+TLNBNxlmxWIk4a1ykBWpfzfoPoBAAD//wMAUEsBAi0AFAAGAAgAAAAhALaDOJL+AAAA&#10;4QEAABMAAAAAAAAAAAAAAAAAAAAAAFtDb250ZW50X1R5cGVzXS54bWxQSwECLQAUAAYACAAAACEA&#10;OP0h/9YAAACUAQAACwAAAAAAAAAAAAAAAAAvAQAAX3JlbHMvLnJlbHNQSwECLQAUAAYACAAAACEA&#10;/h9W800CAACyBAAADgAAAAAAAAAAAAAAAAAuAgAAZHJzL2Uyb0RvYy54bWxQSwECLQAUAAYACAAA&#10;ACEAR4O7St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9"/>
        <w:gridCol w:w="1516"/>
        <w:gridCol w:w="1573"/>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682F96CC"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5B68D81" w14:textId="77777777" w:rsidR="009F4A66" w:rsidRDefault="009F4A66" w:rsidP="009F4A66">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Unit fee</w:t>
            </w:r>
            <w:r>
              <w:rPr>
                <w:rFonts w:asciiTheme="minorHAnsi" w:hAnsiTheme="minorHAnsi" w:cs="Tahoma"/>
                <w:b/>
                <w:sz w:val="18"/>
                <w:szCs w:val="18"/>
                <w:lang w:val="ka-GE" w:eastAsia="en-US"/>
              </w:rPr>
              <w:t xml:space="preserve"> </w:t>
            </w:r>
            <w:r>
              <w:rPr>
                <w:rFonts w:ascii="Tahoma" w:hAnsi="Tahoma" w:cs="Tahoma"/>
                <w:b/>
                <w:sz w:val="18"/>
                <w:szCs w:val="18"/>
                <w:lang w:eastAsia="en-US"/>
              </w:rPr>
              <w:t>per working day</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350E48" w:rsidRDefault="00B133A9" w:rsidP="00512853">
            <w:pPr>
              <w:spacing w:line="276" w:lineRule="auto"/>
              <w:ind w:left="-142" w:right="-126"/>
              <w:jc w:val="center"/>
              <w:rPr>
                <w:rFonts w:ascii="Tahoma" w:hAnsi="Tahoma" w:cs="Tahoma"/>
                <w:b/>
                <w:sz w:val="18"/>
                <w:szCs w:val="18"/>
                <w:lang w:eastAsia="en-US"/>
              </w:rPr>
            </w:pPr>
            <w:r w:rsidRPr="00350E48">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350E48">
              <w:rPr>
                <w:b/>
                <w:sz w:val="18"/>
                <w:szCs w:val="18"/>
                <w:lang w:eastAsia="en-US"/>
              </w:rPr>
              <w:t>▼</w:t>
            </w:r>
          </w:p>
        </w:tc>
      </w:tr>
      <w:tr w:rsidR="00B133A9" w:rsidRPr="00D0286A" w14:paraId="5A649F14" w14:textId="77777777" w:rsidTr="009F4A66">
        <w:trPr>
          <w:trHeight w:val="780"/>
          <w:jc w:val="center"/>
        </w:trPr>
        <w:tc>
          <w:tcPr>
            <w:tcW w:w="7052" w:type="dxa"/>
            <w:tcBorders>
              <w:right w:val="single" w:sz="2" w:space="0" w:color="FF0000"/>
            </w:tcBorders>
            <w:shd w:val="clear" w:color="auto" w:fill="auto"/>
            <w:vAlign w:val="center"/>
          </w:tcPr>
          <w:p w14:paraId="299C107B" w14:textId="77777777" w:rsidR="009F4A66" w:rsidRPr="003E77AC" w:rsidRDefault="009F4A66" w:rsidP="009F4A66">
            <w:pPr>
              <w:pStyle w:val="ListParagraph"/>
              <w:numPr>
                <w:ilvl w:val="0"/>
                <w:numId w:val="34"/>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E77AC">
              <w:rPr>
                <w:rFonts w:ascii="Tahoma" w:hAnsi="Tahoma" w:cs="Tahoma"/>
                <w:noProof/>
                <w:sz w:val="20"/>
                <w:szCs w:val="20"/>
                <w:lang w:eastAsia="fr-FR"/>
              </w:rPr>
              <w:t>Analysis and/or expertise of laws, drafts, strategies and policies or the situation in practice as a result of the application of those laws and policies, in light of  the European Social Charter, case law of the European Committee of Social Rights and by taking account of relevant social, economic and policy considerations;</w:t>
            </w:r>
          </w:p>
          <w:p w14:paraId="633102A4" w14:textId="77777777" w:rsidR="009F4A66" w:rsidRPr="003E77AC" w:rsidRDefault="009F4A66" w:rsidP="009F4A66">
            <w:pPr>
              <w:pStyle w:val="ListParagraph"/>
              <w:numPr>
                <w:ilvl w:val="0"/>
                <w:numId w:val="34"/>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E77AC">
              <w:rPr>
                <w:rFonts w:ascii="Tahoma" w:hAnsi="Tahoma" w:cs="Tahoma"/>
                <w:noProof/>
                <w:sz w:val="20"/>
                <w:szCs w:val="20"/>
                <w:lang w:eastAsia="fr-FR"/>
              </w:rPr>
              <w:t>Provide advice, opinions and expertise: assessments, needs analysis,</w:t>
            </w:r>
            <w:r>
              <w:rPr>
                <w:rFonts w:ascii="Tahoma" w:hAnsi="Tahoma" w:cs="Tahoma"/>
                <w:noProof/>
                <w:sz w:val="20"/>
                <w:szCs w:val="20"/>
                <w:lang w:eastAsia="fr-FR"/>
              </w:rPr>
              <w:t xml:space="preserve"> </w:t>
            </w:r>
            <w:r w:rsidRPr="003E77AC">
              <w:rPr>
                <w:rFonts w:ascii="Tahoma" w:hAnsi="Tahoma" w:cs="Tahoma"/>
                <w:noProof/>
                <w:sz w:val="20"/>
                <w:szCs w:val="20"/>
                <w:lang w:eastAsia="fr-FR"/>
              </w:rPr>
              <w:t>identification of challenges; mapping of good practices, legal opinions, reports and recommendations;</w:t>
            </w:r>
          </w:p>
          <w:p w14:paraId="6A3F441D" w14:textId="77777777" w:rsidR="009F4A66" w:rsidRPr="003E77AC" w:rsidRDefault="009F4A66" w:rsidP="009F4A66">
            <w:pPr>
              <w:pStyle w:val="ListParagraph"/>
              <w:numPr>
                <w:ilvl w:val="0"/>
                <w:numId w:val="34"/>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E77AC">
              <w:rPr>
                <w:rFonts w:ascii="Tahoma" w:hAnsi="Tahoma" w:cs="Tahoma"/>
                <w:noProof/>
                <w:sz w:val="20"/>
                <w:szCs w:val="20"/>
                <w:lang w:eastAsia="fr-FR"/>
              </w:rPr>
              <w:t xml:space="preserve">Contribute to the capacity building of project beneficiaries; tailor-made assistance, advice, training, training of trainers and other forms of support; </w:t>
            </w:r>
          </w:p>
          <w:p w14:paraId="1824F404" w14:textId="77777777" w:rsidR="009F4A66" w:rsidRPr="003E77AC" w:rsidRDefault="009F4A66" w:rsidP="009F4A66">
            <w:pPr>
              <w:pStyle w:val="ListParagraph"/>
              <w:numPr>
                <w:ilvl w:val="0"/>
                <w:numId w:val="34"/>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E77AC">
              <w:rPr>
                <w:rFonts w:ascii="Tahoma" w:hAnsi="Tahoma" w:cs="Tahoma"/>
                <w:noProof/>
                <w:sz w:val="20"/>
                <w:szCs w:val="20"/>
                <w:lang w:eastAsia="fr-FR"/>
              </w:rPr>
              <w:t>Peer-to peer exchanges: Participation and contribution to the organisation and to the conduct of conferences, round-tables, seminars, trainings, working group meetings, workshops, conusltation meetings and other relevant events, including through moderating/facilitating discussions and delivering presentations (identify challenges, propose solutions and provide arguments to resolve difficulties.</w:t>
            </w:r>
          </w:p>
          <w:p w14:paraId="5CB1EB02" w14:textId="77777777" w:rsidR="009F4A66" w:rsidRPr="003E77AC" w:rsidRDefault="009F4A66" w:rsidP="009F4A66">
            <w:pPr>
              <w:pStyle w:val="ListParagraph"/>
              <w:numPr>
                <w:ilvl w:val="0"/>
                <w:numId w:val="34"/>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E77AC">
              <w:rPr>
                <w:rFonts w:ascii="Tahoma" w:hAnsi="Tahoma" w:cs="Tahoma"/>
                <w:noProof/>
                <w:sz w:val="20"/>
                <w:szCs w:val="20"/>
                <w:lang w:eastAsia="fr-FR"/>
              </w:rPr>
              <w:t>Contribute to preparation of reports, legal opinions, comments, recommendations, etc on the implementation of the provisions of the European Social Charter</w:t>
            </w:r>
            <w:r>
              <w:rPr>
                <w:rFonts w:ascii="Tahoma" w:hAnsi="Tahoma" w:cs="Tahoma"/>
                <w:noProof/>
                <w:sz w:val="20"/>
                <w:szCs w:val="20"/>
                <w:lang w:eastAsia="fr-FR"/>
              </w:rPr>
              <w:t xml:space="preserve">. </w:t>
            </w:r>
            <w:r w:rsidRPr="003E77AC">
              <w:rPr>
                <w:rFonts w:ascii="Tahoma" w:hAnsi="Tahoma" w:cs="Tahoma"/>
                <w:noProof/>
                <w:sz w:val="20"/>
                <w:szCs w:val="20"/>
                <w:lang w:eastAsia="fr-FR"/>
              </w:rPr>
              <w:t xml:space="preserve"> </w:t>
            </w:r>
          </w:p>
          <w:p w14:paraId="3091965A" w14:textId="77777777" w:rsidR="009F4A66" w:rsidRPr="003E77AC" w:rsidRDefault="009F4A66" w:rsidP="009F4A66">
            <w:pPr>
              <w:pStyle w:val="ListParagraph"/>
              <w:numPr>
                <w:ilvl w:val="0"/>
                <w:numId w:val="34"/>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E77AC">
              <w:rPr>
                <w:rFonts w:ascii="Tahoma" w:hAnsi="Tahoma" w:cs="Tahoma"/>
                <w:noProof/>
                <w:sz w:val="20"/>
                <w:szCs w:val="20"/>
                <w:lang w:eastAsia="fr-FR"/>
              </w:rPr>
              <w:t>Contribute to the development of methodology and conduct of needs assessment on specific aspects related to the theme of the lot.</w:t>
            </w:r>
          </w:p>
          <w:p w14:paraId="5C41C061" w14:textId="77777777" w:rsidR="009F4A66" w:rsidRPr="003E77AC" w:rsidRDefault="009F4A66" w:rsidP="009F4A66">
            <w:pPr>
              <w:pStyle w:val="ListParagraph"/>
              <w:numPr>
                <w:ilvl w:val="0"/>
                <w:numId w:val="34"/>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E77AC">
              <w:rPr>
                <w:rFonts w:ascii="Tahoma" w:hAnsi="Tahoma" w:cs="Tahoma"/>
                <w:noProof/>
                <w:sz w:val="20"/>
                <w:szCs w:val="20"/>
                <w:lang w:eastAsia="fr-FR"/>
              </w:rPr>
              <w:t>Provision of other deliverables related to the above as requested by the Council of Europe;</w:t>
            </w:r>
          </w:p>
          <w:p w14:paraId="386E0040" w14:textId="77777777" w:rsidR="00176E5A" w:rsidRPr="003E77AC" w:rsidRDefault="00176E5A" w:rsidP="003910F8">
            <w:pPr>
              <w:autoSpaceDE w:val="0"/>
              <w:autoSpaceDN w:val="0"/>
              <w:adjustRightInd w:val="0"/>
              <w:ind w:left="720"/>
              <w:contextualSpacing/>
              <w:jc w:val="both"/>
              <w:rPr>
                <w:rFonts w:ascii="Tahoma" w:hAnsi="Tahoma" w:cs="Tahoma"/>
                <w:noProof/>
                <w:sz w:val="20"/>
                <w:szCs w:val="20"/>
                <w:lang w:eastAsia="fr-FR"/>
              </w:rPr>
            </w:pPr>
          </w:p>
          <w:p w14:paraId="2BCAF44A" w14:textId="3DA4F5C6" w:rsidR="00B133A9" w:rsidRPr="00D0286A" w:rsidRDefault="00B133A9" w:rsidP="00512853">
            <w:pPr>
              <w:spacing w:line="276" w:lineRule="auto"/>
              <w:rPr>
                <w:rFonts w:ascii="Tahoma" w:hAnsi="Tahoma" w:cs="Tahoma"/>
                <w:sz w:val="18"/>
                <w:szCs w:val="18"/>
                <w:highlight w:val="yellow"/>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0EC8B603"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2BBAC75C" w:rsidR="00B133A9" w:rsidRPr="00350E48" w:rsidRDefault="00240120" w:rsidP="00512853">
            <w:pPr>
              <w:spacing w:line="276" w:lineRule="auto"/>
              <w:ind w:left="-142" w:right="-91"/>
              <w:jc w:val="center"/>
              <w:rPr>
                <w:rFonts w:ascii="Tahoma" w:hAnsi="Tahoma" w:cs="Tahoma"/>
                <w:sz w:val="20"/>
                <w:szCs w:val="20"/>
                <w:highlight w:val="yellow"/>
                <w:lang w:eastAsia="en-US"/>
              </w:rPr>
            </w:pPr>
            <w:r w:rsidRPr="00350E48">
              <w:rPr>
                <w:rFonts w:ascii="Tahoma" w:hAnsi="Tahoma" w:cs="Tahoma"/>
                <w:sz w:val="20"/>
                <w:szCs w:val="20"/>
                <w:lang w:eastAsia="en-US"/>
              </w:rPr>
              <w:t>200</w:t>
            </w:r>
          </w:p>
        </w:tc>
      </w:tr>
    </w:tbl>
    <w:p w14:paraId="4B17550E" w14:textId="77777777" w:rsidR="006A1D4A" w:rsidRDefault="006A1D4A" w:rsidP="006A1D4A">
      <w:pPr>
        <w:ind w:left="-142"/>
        <w:rPr>
          <w:rFonts w:ascii="Tahoma" w:hAnsi="Tahoma" w:cs="Tahoma"/>
          <w:b/>
        </w:rPr>
      </w:pPr>
      <w:bookmarkStart w:id="0" w:name="_Hlk62556255"/>
    </w:p>
    <w:p w14:paraId="6FCC62D9" w14:textId="760777CF" w:rsidR="006A1D4A" w:rsidRPr="00026E8A" w:rsidRDefault="006A1D4A" w:rsidP="006A1D4A">
      <w:pPr>
        <w:pBdr>
          <w:bottom w:val="single" w:sz="2" w:space="1" w:color="808080" w:themeColor="background1" w:themeShade="80"/>
        </w:pBdr>
        <w:rPr>
          <w:rFonts w:ascii="Tahoma" w:hAnsi="Tahoma" w:cs="Tahoma"/>
          <w:bCs/>
          <w:highlight w:val="cyan"/>
        </w:rPr>
      </w:pPr>
      <w:bookmarkStart w:id="1" w:name="_Hlk62555567"/>
    </w:p>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7"/>
        <w:gridCol w:w="1418"/>
      </w:tblGrid>
      <w:tr w:rsidR="00403770" w:rsidRPr="00026E8A" w14:paraId="435D9F8C" w14:textId="77777777" w:rsidTr="00403770">
        <w:tc>
          <w:tcPr>
            <w:tcW w:w="8647" w:type="dxa"/>
            <w:shd w:val="clear" w:color="auto" w:fill="DBE5F1" w:themeFill="accent1" w:themeFillTint="33"/>
            <w:vAlign w:val="center"/>
          </w:tcPr>
          <w:bookmarkEnd w:id="0"/>
          <w:bookmarkEnd w:id="1"/>
          <w:p w14:paraId="51775F40" w14:textId="77777777" w:rsidR="00403770" w:rsidRPr="00026E8A" w:rsidRDefault="00403770" w:rsidP="009369D5">
            <w:pPr>
              <w:spacing w:before="120" w:after="120"/>
              <w:rPr>
                <w:rFonts w:ascii="Tahoma" w:hAnsi="Tahoma" w:cs="Tahoma"/>
                <w:sz w:val="20"/>
                <w:szCs w:val="20"/>
                <w:highlight w:val="cyan"/>
              </w:rPr>
            </w:pPr>
            <w:r w:rsidRPr="00FC5EE1">
              <w:rPr>
                <w:rFonts w:ascii="Tahoma" w:hAnsi="Tahoma" w:cs="Tahoma"/>
                <w:sz w:val="20"/>
                <w:szCs w:val="20"/>
              </w:rPr>
              <w:t>This Framework Contract</w:t>
            </w:r>
            <w:r w:rsidRPr="00FC5EE1">
              <w:rPr>
                <w:rFonts w:ascii="Tahoma" w:eastAsia="Calibri" w:hAnsi="Tahoma" w:cs="Tahoma"/>
                <w:sz w:val="20"/>
                <w:szCs w:val="20"/>
                <w:lang w:val="en-US" w:eastAsia="en-US"/>
              </w:rPr>
              <w:t xml:space="preserve"> takes effect as from the date of its signature by both parties</w:t>
            </w:r>
            <w:r w:rsidRPr="00FC5EE1">
              <w:rPr>
                <w:rFonts w:ascii="Tahoma" w:hAnsi="Tahoma" w:cs="Tahoma"/>
                <w:sz w:val="20"/>
                <w:szCs w:val="20"/>
              </w:rPr>
              <w:t xml:space="preserve"> and</w:t>
            </w:r>
            <w:r w:rsidRPr="00FC5EE1">
              <w:rPr>
                <w:rFonts w:ascii="Tahoma" w:hAnsi="Tahoma" w:cs="Tahoma"/>
                <w:color w:val="C00000"/>
                <w:sz w:val="20"/>
                <w:szCs w:val="20"/>
              </w:rPr>
              <w:t xml:space="preserve"> </w:t>
            </w:r>
            <w:r w:rsidRPr="00FC5EE1">
              <w:rPr>
                <w:rFonts w:ascii="Tahoma" w:hAnsi="Tahoma" w:cs="Tahoma"/>
                <w:sz w:val="20"/>
                <w:szCs w:val="20"/>
              </w:rPr>
              <w:t>is concluded until:</w:t>
            </w:r>
          </w:p>
        </w:tc>
        <w:tc>
          <w:tcPr>
            <w:tcW w:w="1418" w:type="dxa"/>
            <w:shd w:val="clear" w:color="auto" w:fill="F2F2F2" w:themeFill="background1" w:themeFillShade="F2"/>
            <w:vAlign w:val="center"/>
          </w:tcPr>
          <w:sdt>
            <w:sdtPr>
              <w:rPr>
                <w:rStyle w:val="Style71"/>
                <w:rFonts w:ascii="Tahoma" w:hAnsi="Tahoma" w:cs="Tahoma"/>
                <w:szCs w:val="20"/>
              </w:rPr>
              <w:id w:val="1530985778"/>
              <w:placeholder>
                <w:docPart w:val="383CD8DCB0A64511945B5FF57B15C4F4"/>
              </w:placeholder>
              <w:date w:fullDate="2022-08-31T00:00:00Z">
                <w:dateFormat w:val="dd/MM/yyyy"/>
                <w:lid w:val="fr-FR"/>
                <w:storeMappedDataAs w:val="dateTime"/>
                <w:calendar w:val="gregorian"/>
              </w:date>
            </w:sdtPr>
            <w:sdtEndPr>
              <w:rPr>
                <w:rStyle w:val="Style71"/>
              </w:rPr>
            </w:sdtEndPr>
            <w:sdtContent>
              <w:p w14:paraId="6B8E0B8A" w14:textId="77777777" w:rsidR="00403770" w:rsidRPr="00026E8A" w:rsidRDefault="00403770" w:rsidP="009369D5">
                <w:pPr>
                  <w:spacing w:before="120" w:after="120"/>
                  <w:rPr>
                    <w:rFonts w:ascii="Tahoma" w:hAnsi="Tahoma" w:cs="Tahoma"/>
                    <w:sz w:val="20"/>
                    <w:szCs w:val="20"/>
                    <w:highlight w:val="cyan"/>
                  </w:rPr>
                </w:pPr>
                <w:r w:rsidRPr="00FC5EE1">
                  <w:rPr>
                    <w:rStyle w:val="Style71"/>
                    <w:rFonts w:ascii="Tahoma" w:hAnsi="Tahoma" w:cs="Tahoma"/>
                    <w:szCs w:val="20"/>
                    <w:lang w:val="fr-FR"/>
                  </w:rPr>
                  <w:t>31/08/2022</w:t>
                </w:r>
              </w:p>
            </w:sdtContent>
          </w:sdt>
        </w:tc>
      </w:tr>
      <w:tr w:rsidR="00403770" w:rsidRPr="00651235" w14:paraId="21EAE763" w14:textId="77777777" w:rsidTr="00403770">
        <w:tc>
          <w:tcPr>
            <w:tcW w:w="10065" w:type="dxa"/>
            <w:gridSpan w:val="2"/>
            <w:shd w:val="clear" w:color="auto" w:fill="DBE5F1" w:themeFill="accent1" w:themeFillTint="33"/>
            <w:vAlign w:val="center"/>
          </w:tcPr>
          <w:p w14:paraId="79BEA5C8" w14:textId="77777777" w:rsidR="00403770" w:rsidRPr="0021182D" w:rsidRDefault="00403770" w:rsidP="009369D5">
            <w:pPr>
              <w:spacing w:before="120" w:after="120"/>
              <w:rPr>
                <w:rStyle w:val="Style71"/>
                <w:rFonts w:asciiTheme="minorHAnsi" w:hAnsiTheme="minorHAnsi" w:cs="Tahoma"/>
                <w:szCs w:val="20"/>
                <w:lang w:val="ka-GE"/>
              </w:rPr>
            </w:pPr>
            <w:r w:rsidRPr="00FC5EE1">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(3) months before the renewal date. The contract shall not be renewed beyond 31 August 202</w:t>
            </w:r>
            <w:r>
              <w:rPr>
                <w:rFonts w:ascii="Tahoma" w:hAnsi="Tahoma" w:cs="Tahoma"/>
                <w:sz w:val="20"/>
                <w:szCs w:val="20"/>
                <w:lang w:val="en-US"/>
              </w:rPr>
              <w:t>4</w:t>
            </w:r>
            <w:r w:rsidRPr="00FC5EE1">
              <w:rPr>
                <w:rFonts w:ascii="Tahoma" w:hAnsi="Tahoma" w:cs="Tahoma"/>
                <w:sz w:val="20"/>
                <w:szCs w:val="20"/>
                <w:lang w:val="en-US"/>
              </w:rPr>
              <w:t xml:space="preserve"> and shall end on this date unless either party has already validly terminated the contract.</w:t>
            </w:r>
            <w:bookmarkStart w:id="2" w:name="_Hlk83817709"/>
            <w:r>
              <w:rPr>
                <w:rFonts w:ascii="Tahoma" w:hAnsi="Tahoma" w:cs="Tahoma"/>
                <w:sz w:val="20"/>
                <w:szCs w:val="20"/>
                <w:lang w:val="en-US"/>
              </w:rPr>
              <w:t xml:space="preserve"> </w:t>
            </w:r>
            <w:bookmarkEnd w:id="2"/>
          </w:p>
        </w:tc>
      </w:tr>
    </w:tbl>
    <w:p w14:paraId="3A849A7D" w14:textId="7E905AB8" w:rsidR="006A1D4A" w:rsidRDefault="006A1D4A" w:rsidP="00B133A9">
      <w:pPr>
        <w:spacing w:before="60" w:after="120"/>
        <w:ind w:left="-142"/>
        <w:rPr>
          <w:rFonts w:ascii="Tahoma" w:hAnsi="Tahoma" w:cs="Tahoma"/>
          <w:sz w:val="20"/>
          <w:szCs w:val="20"/>
        </w:rPr>
      </w:pPr>
    </w:p>
    <w:p w14:paraId="02F54D24" w14:textId="77777777" w:rsidR="00A113A0" w:rsidRPr="00D0286A" w:rsidRDefault="00A113A0"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290E3D50">
                <wp:simplePos x="0" y="0"/>
                <wp:positionH relativeFrom="column">
                  <wp:posOffset>4441190</wp:posOffset>
                </wp:positionH>
                <wp:positionV relativeFrom="paragraph">
                  <wp:posOffset>-35560</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68002" id="Up Arrow 1" o:spid="_x0000_s1026" type="#_x0000_t68" style="position:absolute;margin-left:349.7pt;margin-top:-2.8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O31W3TeAAAACQEAAA8AAABkcnMvZG93bnJldi54bWxMj8FOwzAMhu9IvENkJG5b&#10;2ol2rDSdGNIQN2Bw4Jg1pqlonKjxuvL2hBPcbPnT7++vt7MbxIRj7D0pyJcZCKTWm546Be9v+8Ut&#10;iMiajB48oYJvjLBtLi9qXRl/plecDtyJFEKx0gosc6ikjK1Fp+PSB6R0+/Sj05zWsZNm1OcU7ga5&#10;yrJSOt1T+mB1wAeL7dfh5BTs+EPiUyimjHPtw/Pe8svjTqnrq/n+DgTjzH8w/OondWiS09GfyEQx&#10;KCg3m5uEKlgUJYgErFdFDuKYhnUOsqnl/wbNDwAAAP//AwBQSwECLQAUAAYACAAAACEAtoM4kv4A&#10;AADhAQAAEwAAAAAAAAAAAAAAAAAAAAAAW0NvbnRlbnRfVHlwZXNdLnhtbFBLAQItABQABgAIAAAA&#10;IQA4/SH/1gAAAJQBAAALAAAAAAAAAAAAAAAAAC8BAABfcmVscy8ucmVsc1BLAQItABQABgAIAAAA&#10;IQB+ABKfTwIAALIEAAAOAAAAAAAAAAAAAAAAAC4CAABkcnMvZTJvRG9jLnhtbFBLAQItABQABgAI&#10;AAAAIQDt9Vt0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85"/>
        <w:gridCol w:w="1508"/>
        <w:gridCol w:w="1565"/>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50A41CE6" w:rsidR="00B133A9" w:rsidRPr="00D0286A" w:rsidRDefault="00B133A9" w:rsidP="00512853">
            <w:pPr>
              <w:tabs>
                <w:tab w:val="left" w:pos="0"/>
              </w:tabs>
              <w:spacing w:line="276" w:lineRule="auto"/>
              <w:ind w:left="-142"/>
              <w:jc w:val="center"/>
              <w:rPr>
                <w:rFonts w:ascii="Tahoma" w:hAnsi="Tahoma" w:cs="Tahoma"/>
                <w:b/>
                <w:sz w:val="18"/>
                <w:szCs w:val="18"/>
                <w:lang w:eastAsia="en-US"/>
              </w:rPr>
            </w:pPr>
            <w:bookmarkStart w:id="3" w:name="_Hlk80620573"/>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F540DF0" w14:textId="77777777" w:rsidR="009F4A66" w:rsidRDefault="009F4A66" w:rsidP="009F4A66">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Unit fee</w:t>
            </w:r>
            <w:r>
              <w:rPr>
                <w:rFonts w:asciiTheme="minorHAnsi" w:hAnsiTheme="minorHAnsi" w:cs="Tahoma"/>
                <w:b/>
                <w:sz w:val="18"/>
                <w:szCs w:val="18"/>
                <w:lang w:val="ka-GE" w:eastAsia="en-US"/>
              </w:rPr>
              <w:t xml:space="preserve"> </w:t>
            </w:r>
            <w:r>
              <w:rPr>
                <w:rFonts w:ascii="Tahoma" w:hAnsi="Tahoma" w:cs="Tahoma"/>
                <w:b/>
                <w:sz w:val="18"/>
                <w:szCs w:val="18"/>
                <w:lang w:eastAsia="en-US"/>
              </w:rPr>
              <w:t>per working day</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350E48" w:rsidRDefault="00B133A9" w:rsidP="00512853">
            <w:pPr>
              <w:spacing w:line="276" w:lineRule="auto"/>
              <w:ind w:left="-142" w:right="-126"/>
              <w:jc w:val="center"/>
              <w:rPr>
                <w:rFonts w:ascii="Tahoma" w:hAnsi="Tahoma" w:cs="Tahoma"/>
                <w:b/>
                <w:sz w:val="18"/>
                <w:szCs w:val="18"/>
                <w:lang w:eastAsia="en-US"/>
              </w:rPr>
            </w:pPr>
            <w:r w:rsidRPr="00350E48">
              <w:rPr>
                <w:rFonts w:ascii="Tahoma" w:hAnsi="Tahoma" w:cs="Tahoma"/>
                <w:b/>
                <w:sz w:val="18"/>
                <w:szCs w:val="18"/>
                <w:lang w:eastAsia="en-US"/>
              </w:rPr>
              <w:t>Exclusion level</w:t>
            </w:r>
          </w:p>
          <w:p w14:paraId="2D699B72"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350E48">
              <w:rPr>
                <w:b/>
                <w:sz w:val="18"/>
                <w:szCs w:val="18"/>
                <w:lang w:eastAsia="en-US"/>
              </w:rPr>
              <w:t>▼</w:t>
            </w:r>
          </w:p>
        </w:tc>
      </w:tr>
      <w:tr w:rsidR="00B133A9" w:rsidRPr="00D0286A" w14:paraId="4C29C9B9" w14:textId="77777777" w:rsidTr="003910F8">
        <w:trPr>
          <w:trHeight w:val="780"/>
          <w:jc w:val="center"/>
        </w:trPr>
        <w:tc>
          <w:tcPr>
            <w:tcW w:w="7052" w:type="dxa"/>
            <w:tcBorders>
              <w:right w:val="single" w:sz="2" w:space="0" w:color="FF0000"/>
            </w:tcBorders>
            <w:shd w:val="clear" w:color="auto" w:fill="auto"/>
            <w:vAlign w:val="center"/>
          </w:tcPr>
          <w:p w14:paraId="705A1BBC" w14:textId="77777777" w:rsidR="00176E5A" w:rsidRPr="003E77AC" w:rsidRDefault="00176E5A" w:rsidP="00176E5A">
            <w:pPr>
              <w:pStyle w:val="ListParagraph"/>
              <w:numPr>
                <w:ilvl w:val="0"/>
                <w:numId w:val="35"/>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E77AC">
              <w:rPr>
                <w:rFonts w:ascii="Tahoma" w:hAnsi="Tahoma" w:cs="Tahoma"/>
                <w:noProof/>
                <w:sz w:val="20"/>
                <w:szCs w:val="20"/>
                <w:lang w:eastAsia="fr-FR"/>
              </w:rPr>
              <w:t>Development of the methodology and conduct of training needs assessment, evaluation of their impact/effectiveness and development of reports/recommendations thereof on specific aspects related to the theme of the lot;</w:t>
            </w:r>
          </w:p>
          <w:p w14:paraId="4BE6EF36" w14:textId="77777777" w:rsidR="00176E5A" w:rsidRPr="003E77AC" w:rsidRDefault="00176E5A" w:rsidP="00176E5A">
            <w:pPr>
              <w:pStyle w:val="ListParagraph"/>
              <w:numPr>
                <w:ilvl w:val="0"/>
                <w:numId w:val="35"/>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E77AC">
              <w:rPr>
                <w:rFonts w:ascii="Tahoma" w:hAnsi="Tahoma" w:cs="Tahoma"/>
                <w:noProof/>
                <w:sz w:val="20"/>
                <w:szCs w:val="20"/>
                <w:lang w:eastAsia="fr-FR"/>
              </w:rPr>
              <w:lastRenderedPageBreak/>
              <w:t>Development, adaptation of training courses (including on-line) and materials and provision of trainings on specific aspects related to the theme.</w:t>
            </w:r>
          </w:p>
          <w:p w14:paraId="7573C474" w14:textId="77777777" w:rsidR="00176E5A" w:rsidRDefault="00176E5A" w:rsidP="00176E5A">
            <w:pPr>
              <w:pStyle w:val="ListParagraph"/>
              <w:numPr>
                <w:ilvl w:val="0"/>
                <w:numId w:val="35"/>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E77AC">
              <w:rPr>
                <w:rFonts w:ascii="Tahoma" w:hAnsi="Tahoma" w:cs="Tahoma"/>
                <w:noProof/>
                <w:sz w:val="20"/>
                <w:szCs w:val="20"/>
                <w:lang w:eastAsia="fr-FR"/>
              </w:rPr>
              <w:t>Conducting training sessions, preparing training materials, group work exercises, practical cases etc.</w:t>
            </w:r>
          </w:p>
          <w:p w14:paraId="75448E2C" w14:textId="77777777" w:rsidR="00176E5A" w:rsidRPr="003E77AC" w:rsidRDefault="00176E5A" w:rsidP="00176E5A">
            <w:pPr>
              <w:pStyle w:val="ListParagraph"/>
              <w:numPr>
                <w:ilvl w:val="0"/>
                <w:numId w:val="35"/>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E77AC">
              <w:rPr>
                <w:rFonts w:ascii="Tahoma" w:hAnsi="Tahoma" w:cs="Tahoma"/>
                <w:noProof/>
                <w:sz w:val="20"/>
                <w:szCs w:val="20"/>
                <w:lang w:eastAsia="fr-FR"/>
              </w:rPr>
              <w:t>Contribute to development of information campaigns, awareness raising materials on specific aspects related to the theme of the lot.</w:t>
            </w:r>
          </w:p>
          <w:p w14:paraId="7B6039B3" w14:textId="77777777" w:rsidR="00176E5A" w:rsidRDefault="00176E5A" w:rsidP="00176E5A">
            <w:pPr>
              <w:pStyle w:val="ListParagraph"/>
              <w:numPr>
                <w:ilvl w:val="0"/>
                <w:numId w:val="35"/>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E77AC">
              <w:rPr>
                <w:rFonts w:ascii="Tahoma" w:hAnsi="Tahoma" w:cs="Tahoma"/>
                <w:noProof/>
                <w:sz w:val="20"/>
                <w:szCs w:val="20"/>
                <w:lang w:eastAsia="fr-FR"/>
              </w:rPr>
              <w:t>Elaboration of guidelines/handbooks/recommendations</w:t>
            </w:r>
            <w:r>
              <w:rPr>
                <w:rFonts w:ascii="Tahoma" w:hAnsi="Tahoma" w:cs="Tahoma"/>
                <w:noProof/>
                <w:sz w:val="20"/>
                <w:szCs w:val="20"/>
                <w:lang w:eastAsia="fr-FR"/>
              </w:rPr>
              <w:t>;</w:t>
            </w:r>
          </w:p>
          <w:p w14:paraId="359278DF" w14:textId="77777777" w:rsidR="00176E5A" w:rsidRPr="003E77AC" w:rsidRDefault="00176E5A" w:rsidP="00176E5A">
            <w:pPr>
              <w:pStyle w:val="ListParagraph"/>
              <w:numPr>
                <w:ilvl w:val="0"/>
                <w:numId w:val="35"/>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E77AC">
              <w:rPr>
                <w:rFonts w:ascii="Tahoma" w:hAnsi="Tahoma" w:cs="Tahoma"/>
                <w:noProof/>
                <w:sz w:val="20"/>
                <w:szCs w:val="20"/>
                <w:lang w:eastAsia="fr-FR"/>
              </w:rPr>
              <w:t>Development of institutional internal regulations, guidelines and information materials on specific aspects related to the theme of the lot;</w:t>
            </w:r>
          </w:p>
          <w:p w14:paraId="111D065B" w14:textId="77777777" w:rsidR="00176E5A" w:rsidRPr="003E77AC" w:rsidRDefault="00176E5A" w:rsidP="00176E5A">
            <w:pPr>
              <w:pStyle w:val="ListParagraph"/>
              <w:numPr>
                <w:ilvl w:val="0"/>
                <w:numId w:val="35"/>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E77AC">
              <w:rPr>
                <w:rFonts w:ascii="Tahoma" w:hAnsi="Tahoma" w:cs="Tahoma"/>
                <w:noProof/>
                <w:sz w:val="20"/>
                <w:szCs w:val="20"/>
                <w:lang w:eastAsia="fr-FR"/>
              </w:rPr>
              <w:t>Provision of other deliverables related to the above as requested by the Council of Europe;</w:t>
            </w:r>
          </w:p>
          <w:p w14:paraId="277FDB2E" w14:textId="0B9716D2" w:rsidR="00B133A9" w:rsidRPr="00D0286A" w:rsidRDefault="00B133A9" w:rsidP="00512853">
            <w:pPr>
              <w:spacing w:line="276" w:lineRule="auto"/>
              <w:rPr>
                <w:rFonts w:ascii="Tahoma" w:hAnsi="Tahoma" w:cs="Tahoma"/>
                <w:sz w:val="18"/>
                <w:szCs w:val="18"/>
                <w:highlight w:val="yellow"/>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49AB3642" w:rsidR="00B133A9" w:rsidRPr="00350E48" w:rsidRDefault="00CF3B5B" w:rsidP="00512853">
            <w:pPr>
              <w:spacing w:line="276" w:lineRule="auto"/>
              <w:ind w:left="-142" w:right="-91"/>
              <w:jc w:val="center"/>
              <w:rPr>
                <w:rFonts w:ascii="Tahoma" w:hAnsi="Tahoma" w:cs="Tahoma"/>
                <w:sz w:val="20"/>
                <w:szCs w:val="20"/>
                <w:highlight w:val="yellow"/>
                <w:lang w:eastAsia="en-US"/>
              </w:rPr>
            </w:pPr>
            <w:r w:rsidRPr="00350E48">
              <w:rPr>
                <w:rFonts w:ascii="Tahoma" w:hAnsi="Tahoma" w:cs="Tahoma"/>
                <w:sz w:val="20"/>
                <w:szCs w:val="20"/>
                <w:lang w:eastAsia="en-US"/>
              </w:rPr>
              <w:t>200</w:t>
            </w:r>
          </w:p>
        </w:tc>
      </w:tr>
      <w:bookmarkEnd w:id="3"/>
    </w:tbl>
    <w:p w14:paraId="5C6C1A24" w14:textId="77777777" w:rsidR="006A1D4A" w:rsidRDefault="006A1D4A" w:rsidP="006A1D4A">
      <w:pPr>
        <w:rPr>
          <w:rFonts w:ascii="Tahoma" w:hAnsi="Tahoma" w:cs="Tahoma"/>
          <w:b/>
        </w:rPr>
      </w:pPr>
    </w:p>
    <w:p w14:paraId="1D2228C5" w14:textId="283B52BB" w:rsidR="006A1D4A" w:rsidRPr="00026E8A" w:rsidRDefault="006A1D4A" w:rsidP="006A1D4A">
      <w:pPr>
        <w:pBdr>
          <w:bottom w:val="single" w:sz="2" w:space="1" w:color="808080" w:themeColor="background1" w:themeShade="80"/>
        </w:pBdr>
        <w:rPr>
          <w:rFonts w:ascii="Tahoma" w:hAnsi="Tahoma" w:cs="Tahoma"/>
          <w:bCs/>
          <w:highlight w:val="cyan"/>
        </w:rPr>
      </w:pPr>
    </w:p>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7"/>
        <w:gridCol w:w="1418"/>
      </w:tblGrid>
      <w:tr w:rsidR="00403770" w:rsidRPr="00026E8A" w14:paraId="4F8C3127" w14:textId="77777777" w:rsidTr="00403770">
        <w:tc>
          <w:tcPr>
            <w:tcW w:w="8647" w:type="dxa"/>
            <w:shd w:val="clear" w:color="auto" w:fill="DBE5F1" w:themeFill="accent1" w:themeFillTint="33"/>
            <w:vAlign w:val="center"/>
          </w:tcPr>
          <w:p w14:paraId="4BAD0C52" w14:textId="77777777" w:rsidR="00403770" w:rsidRPr="00026E8A" w:rsidRDefault="00403770" w:rsidP="009369D5">
            <w:pPr>
              <w:spacing w:before="120" w:after="120"/>
              <w:rPr>
                <w:rFonts w:ascii="Tahoma" w:hAnsi="Tahoma" w:cs="Tahoma"/>
                <w:sz w:val="20"/>
                <w:szCs w:val="20"/>
                <w:highlight w:val="cyan"/>
              </w:rPr>
            </w:pPr>
            <w:r w:rsidRPr="00FC5EE1">
              <w:rPr>
                <w:rFonts w:ascii="Tahoma" w:hAnsi="Tahoma" w:cs="Tahoma"/>
                <w:sz w:val="20"/>
                <w:szCs w:val="20"/>
              </w:rPr>
              <w:t>This Framework Contract</w:t>
            </w:r>
            <w:r w:rsidRPr="00FC5EE1">
              <w:rPr>
                <w:rFonts w:ascii="Tahoma" w:eastAsia="Calibri" w:hAnsi="Tahoma" w:cs="Tahoma"/>
                <w:sz w:val="20"/>
                <w:szCs w:val="20"/>
                <w:lang w:val="en-US" w:eastAsia="en-US"/>
              </w:rPr>
              <w:t xml:space="preserve"> takes effect as from the date of its signature by both parties</w:t>
            </w:r>
            <w:r w:rsidRPr="00FC5EE1">
              <w:rPr>
                <w:rFonts w:ascii="Tahoma" w:hAnsi="Tahoma" w:cs="Tahoma"/>
                <w:sz w:val="20"/>
                <w:szCs w:val="20"/>
              </w:rPr>
              <w:t xml:space="preserve"> and</w:t>
            </w:r>
            <w:r w:rsidRPr="00FC5EE1">
              <w:rPr>
                <w:rFonts w:ascii="Tahoma" w:hAnsi="Tahoma" w:cs="Tahoma"/>
                <w:color w:val="C00000"/>
                <w:sz w:val="20"/>
                <w:szCs w:val="20"/>
              </w:rPr>
              <w:t xml:space="preserve"> </w:t>
            </w:r>
            <w:r w:rsidRPr="00FC5EE1">
              <w:rPr>
                <w:rFonts w:ascii="Tahoma" w:hAnsi="Tahoma" w:cs="Tahoma"/>
                <w:sz w:val="20"/>
                <w:szCs w:val="20"/>
              </w:rPr>
              <w:t>is concluded until:</w:t>
            </w:r>
          </w:p>
        </w:tc>
        <w:tc>
          <w:tcPr>
            <w:tcW w:w="1418" w:type="dxa"/>
            <w:shd w:val="clear" w:color="auto" w:fill="F2F2F2" w:themeFill="background1" w:themeFillShade="F2"/>
            <w:vAlign w:val="center"/>
          </w:tcPr>
          <w:sdt>
            <w:sdtPr>
              <w:rPr>
                <w:rStyle w:val="Style71"/>
                <w:rFonts w:ascii="Tahoma" w:hAnsi="Tahoma" w:cs="Tahoma"/>
                <w:szCs w:val="20"/>
              </w:rPr>
              <w:id w:val="561290717"/>
              <w:placeholder>
                <w:docPart w:val="D5C836306CD84132B404141127C01D21"/>
              </w:placeholder>
              <w:date w:fullDate="2022-08-31T00:00:00Z">
                <w:dateFormat w:val="dd/MM/yyyy"/>
                <w:lid w:val="fr-FR"/>
                <w:storeMappedDataAs w:val="dateTime"/>
                <w:calendar w:val="gregorian"/>
              </w:date>
            </w:sdtPr>
            <w:sdtEndPr>
              <w:rPr>
                <w:rStyle w:val="Style71"/>
              </w:rPr>
            </w:sdtEndPr>
            <w:sdtContent>
              <w:p w14:paraId="48BE81F3" w14:textId="77777777" w:rsidR="00403770" w:rsidRPr="00026E8A" w:rsidRDefault="00403770" w:rsidP="009369D5">
                <w:pPr>
                  <w:spacing w:before="120" w:after="120"/>
                  <w:rPr>
                    <w:rFonts w:ascii="Tahoma" w:hAnsi="Tahoma" w:cs="Tahoma"/>
                    <w:sz w:val="20"/>
                    <w:szCs w:val="20"/>
                    <w:highlight w:val="cyan"/>
                  </w:rPr>
                </w:pPr>
                <w:r w:rsidRPr="00FC5EE1">
                  <w:rPr>
                    <w:rStyle w:val="Style71"/>
                    <w:rFonts w:ascii="Tahoma" w:hAnsi="Tahoma" w:cs="Tahoma"/>
                    <w:szCs w:val="20"/>
                    <w:lang w:val="fr-FR"/>
                  </w:rPr>
                  <w:t>31/08/2022</w:t>
                </w:r>
              </w:p>
            </w:sdtContent>
          </w:sdt>
        </w:tc>
      </w:tr>
      <w:tr w:rsidR="00403770" w:rsidRPr="00651235" w14:paraId="398C3808" w14:textId="77777777" w:rsidTr="00403770">
        <w:tc>
          <w:tcPr>
            <w:tcW w:w="10065" w:type="dxa"/>
            <w:gridSpan w:val="2"/>
            <w:shd w:val="clear" w:color="auto" w:fill="DBE5F1" w:themeFill="accent1" w:themeFillTint="33"/>
            <w:vAlign w:val="center"/>
          </w:tcPr>
          <w:p w14:paraId="504671E5" w14:textId="77777777" w:rsidR="00403770" w:rsidRPr="0021182D" w:rsidRDefault="00403770" w:rsidP="009369D5">
            <w:pPr>
              <w:spacing w:before="120" w:after="120"/>
              <w:rPr>
                <w:rStyle w:val="Style71"/>
                <w:rFonts w:asciiTheme="minorHAnsi" w:hAnsiTheme="minorHAnsi" w:cs="Tahoma"/>
                <w:szCs w:val="20"/>
                <w:lang w:val="ka-GE"/>
              </w:rPr>
            </w:pPr>
            <w:r w:rsidRPr="00FC5EE1">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(3) months before the renewal date. The contract shall not be renewed beyond 31 August 202</w:t>
            </w:r>
            <w:r>
              <w:rPr>
                <w:rFonts w:ascii="Tahoma" w:hAnsi="Tahoma" w:cs="Tahoma"/>
                <w:sz w:val="20"/>
                <w:szCs w:val="20"/>
                <w:lang w:val="en-US"/>
              </w:rPr>
              <w:t>4</w:t>
            </w:r>
            <w:r w:rsidRPr="00FC5EE1">
              <w:rPr>
                <w:rFonts w:ascii="Tahoma" w:hAnsi="Tahoma" w:cs="Tahoma"/>
                <w:sz w:val="20"/>
                <w:szCs w:val="20"/>
                <w:lang w:val="en-US"/>
              </w:rPr>
              <w:t xml:space="preserve"> and shall end on this date unless either party has already validly terminated the contract.</w:t>
            </w:r>
            <w:r>
              <w:rPr>
                <w:rFonts w:ascii="Tahoma" w:hAnsi="Tahoma" w:cs="Tahoma"/>
                <w:sz w:val="20"/>
                <w:szCs w:val="20"/>
                <w:lang w:val="en-US"/>
              </w:rPr>
              <w:t xml:space="preserve"> </w:t>
            </w:r>
          </w:p>
        </w:tc>
      </w:tr>
    </w:tbl>
    <w:p w14:paraId="7387B623" w14:textId="77777777" w:rsidR="00CF3B5B" w:rsidRDefault="00CF3B5B" w:rsidP="00CF3B5B">
      <w:pPr>
        <w:pBdr>
          <w:bottom w:val="single" w:sz="2" w:space="1" w:color="808080" w:themeColor="background1" w:themeShade="80"/>
        </w:pBdr>
        <w:tabs>
          <w:tab w:val="left" w:pos="2187"/>
        </w:tabs>
        <w:spacing w:before="60" w:after="120"/>
        <w:rPr>
          <w:rFonts w:ascii="Tahoma" w:hAnsi="Tahoma" w:cs="Tahoma"/>
          <w:b/>
        </w:rPr>
      </w:pPr>
      <w:r>
        <w:rPr>
          <w:rFonts w:ascii="Tahoma" w:hAnsi="Tahoma" w:cs="Tahoma"/>
          <w:b/>
        </w:rPr>
        <w:tab/>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20"/>
        <w:gridCol w:w="1575"/>
      </w:tblGrid>
      <w:tr w:rsidR="00CF3B5B" w:rsidRPr="00D0286A" w14:paraId="0A349D59" w14:textId="77777777" w:rsidTr="003F35E4">
        <w:trPr>
          <w:trHeight w:val="688"/>
          <w:jc w:val="center"/>
        </w:trPr>
        <w:tc>
          <w:tcPr>
            <w:tcW w:w="7052" w:type="dxa"/>
            <w:shd w:val="clear" w:color="auto" w:fill="DBE5F1" w:themeFill="accent1" w:themeFillTint="33"/>
            <w:vAlign w:val="center"/>
          </w:tcPr>
          <w:p w14:paraId="38635546" w14:textId="1447D26E" w:rsidR="00CF3B5B" w:rsidRPr="00D0286A" w:rsidRDefault="00CF3B5B" w:rsidP="003F35E4">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2252DE09" w14:textId="38C20F72" w:rsidR="009F4A66" w:rsidRPr="007B458D" w:rsidRDefault="009F4A66" w:rsidP="009F4A66">
            <w:pPr>
              <w:spacing w:line="276" w:lineRule="auto"/>
              <w:ind w:left="-142" w:right="-154"/>
              <w:jc w:val="center"/>
              <w:rPr>
                <w:rFonts w:asciiTheme="minorHAnsi" w:hAnsiTheme="minorHAnsi" w:cs="Tahoma"/>
                <w:b/>
                <w:sz w:val="18"/>
                <w:szCs w:val="18"/>
                <w:lang w:val="en-US" w:eastAsia="en-US"/>
              </w:rPr>
            </w:pPr>
            <w:r>
              <w:rPr>
                <w:rFonts w:ascii="Tahoma" w:hAnsi="Tahoma" w:cs="Tahoma"/>
                <w:b/>
                <w:sz w:val="18"/>
                <w:szCs w:val="18"/>
                <w:lang w:eastAsia="en-US"/>
              </w:rPr>
              <w:t>Unit fee</w:t>
            </w:r>
            <w:r>
              <w:rPr>
                <w:rFonts w:asciiTheme="minorHAnsi" w:hAnsiTheme="minorHAnsi" w:cs="Tahoma"/>
                <w:b/>
                <w:sz w:val="18"/>
                <w:szCs w:val="18"/>
                <w:lang w:val="ka-GE" w:eastAsia="en-US"/>
              </w:rPr>
              <w:t xml:space="preserve"> </w:t>
            </w:r>
            <w:r>
              <w:rPr>
                <w:rFonts w:ascii="Tahoma" w:hAnsi="Tahoma" w:cs="Tahoma"/>
                <w:b/>
                <w:sz w:val="18"/>
                <w:szCs w:val="18"/>
                <w:lang w:eastAsia="en-US"/>
              </w:rPr>
              <w:t>per</w:t>
            </w:r>
            <w:r w:rsidR="007B458D">
              <w:rPr>
                <w:rFonts w:ascii="Tahoma" w:hAnsi="Tahoma" w:cs="Tahoma"/>
                <w:b/>
                <w:sz w:val="18"/>
                <w:szCs w:val="18"/>
                <w:lang w:eastAsia="en-US"/>
              </w:rPr>
              <w:t xml:space="preserve"> 1 standard page (1500 symbols without space)</w:t>
            </w:r>
          </w:p>
          <w:p w14:paraId="71BBAF68" w14:textId="77777777" w:rsidR="00CF3B5B" w:rsidRPr="00D0286A" w:rsidRDefault="00CF3B5B" w:rsidP="003F35E4">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8451966" w14:textId="77777777" w:rsidR="00CF3B5B" w:rsidRPr="00350E48" w:rsidRDefault="00CF3B5B" w:rsidP="003F35E4">
            <w:pPr>
              <w:spacing w:line="276" w:lineRule="auto"/>
              <w:ind w:left="-142" w:right="-126"/>
              <w:jc w:val="center"/>
              <w:rPr>
                <w:rFonts w:ascii="Tahoma" w:hAnsi="Tahoma" w:cs="Tahoma"/>
                <w:b/>
                <w:sz w:val="18"/>
                <w:szCs w:val="18"/>
                <w:lang w:eastAsia="en-US"/>
              </w:rPr>
            </w:pPr>
            <w:r w:rsidRPr="00350E48">
              <w:rPr>
                <w:rFonts w:ascii="Tahoma" w:hAnsi="Tahoma" w:cs="Tahoma"/>
                <w:b/>
                <w:sz w:val="18"/>
                <w:szCs w:val="18"/>
                <w:lang w:eastAsia="en-US"/>
              </w:rPr>
              <w:t>Exclusion level</w:t>
            </w:r>
          </w:p>
          <w:p w14:paraId="1DEC3832" w14:textId="77777777" w:rsidR="00CF3B5B" w:rsidRPr="00350E48" w:rsidRDefault="00CF3B5B" w:rsidP="003F35E4">
            <w:pPr>
              <w:spacing w:line="276" w:lineRule="auto"/>
              <w:ind w:left="-142" w:right="-126"/>
              <w:jc w:val="center"/>
              <w:rPr>
                <w:rFonts w:ascii="Tahoma" w:hAnsi="Tahoma" w:cs="Tahoma"/>
                <w:b/>
                <w:sz w:val="18"/>
                <w:szCs w:val="18"/>
                <w:lang w:eastAsia="en-US"/>
              </w:rPr>
            </w:pPr>
            <w:r w:rsidRPr="00350E48">
              <w:rPr>
                <w:b/>
                <w:sz w:val="18"/>
                <w:szCs w:val="18"/>
                <w:lang w:eastAsia="en-US"/>
              </w:rPr>
              <w:t>▼</w:t>
            </w:r>
          </w:p>
        </w:tc>
      </w:tr>
      <w:tr w:rsidR="00CF3B5B" w:rsidRPr="00D0286A" w14:paraId="6AABC977" w14:textId="77777777" w:rsidTr="003910F8">
        <w:trPr>
          <w:trHeight w:val="780"/>
          <w:jc w:val="center"/>
        </w:trPr>
        <w:tc>
          <w:tcPr>
            <w:tcW w:w="7052" w:type="dxa"/>
            <w:tcBorders>
              <w:right w:val="single" w:sz="2" w:space="0" w:color="FF0000"/>
            </w:tcBorders>
            <w:shd w:val="clear" w:color="auto" w:fill="auto"/>
            <w:vAlign w:val="center"/>
          </w:tcPr>
          <w:p w14:paraId="4068FA2F" w14:textId="77777777" w:rsidR="00176E5A" w:rsidRPr="003E77AC" w:rsidRDefault="00176E5A" w:rsidP="00176E5A">
            <w:pPr>
              <w:pStyle w:val="ListParagraph"/>
              <w:numPr>
                <w:ilvl w:val="0"/>
                <w:numId w:val="36"/>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E77AC">
              <w:rPr>
                <w:rFonts w:ascii="Tahoma" w:hAnsi="Tahoma" w:cs="Tahoma"/>
                <w:noProof/>
                <w:sz w:val="20"/>
                <w:szCs w:val="20"/>
                <w:lang w:eastAsia="fr-FR"/>
              </w:rPr>
              <w:t xml:space="preserve">Provision of legal proofreading and/or language check (Georgian) of the </w:t>
            </w:r>
            <w:r>
              <w:rPr>
                <w:rFonts w:ascii="Tahoma" w:hAnsi="Tahoma" w:cs="Tahoma"/>
                <w:noProof/>
                <w:sz w:val="20"/>
                <w:szCs w:val="20"/>
                <w:lang w:eastAsia="fr-FR"/>
              </w:rPr>
              <w:t>translated</w:t>
            </w:r>
            <w:r w:rsidRPr="003E77AC">
              <w:rPr>
                <w:rFonts w:ascii="Tahoma" w:hAnsi="Tahoma" w:cs="Tahoma"/>
                <w:noProof/>
                <w:sz w:val="20"/>
                <w:szCs w:val="20"/>
                <w:lang w:eastAsia="fr-FR"/>
              </w:rPr>
              <w:t xml:space="preserve"> Digest of the case law of the European Committee of Social Rights and its Appendix;</w:t>
            </w:r>
          </w:p>
          <w:p w14:paraId="1652B6D7" w14:textId="77777777" w:rsidR="00176E5A" w:rsidRPr="001B21C4" w:rsidRDefault="00176E5A" w:rsidP="00176E5A">
            <w:pPr>
              <w:pStyle w:val="ListParagraph"/>
              <w:numPr>
                <w:ilvl w:val="0"/>
                <w:numId w:val="36"/>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E77AC">
              <w:rPr>
                <w:rFonts w:ascii="Tahoma" w:hAnsi="Tahoma" w:cs="Tahoma"/>
                <w:color w:val="000000"/>
                <w:sz w:val="20"/>
                <w:szCs w:val="20"/>
                <w:lang w:eastAsia="fr-FR"/>
              </w:rPr>
              <w:t>Editing and/or proofreading in the Georgian</w:t>
            </w:r>
            <w:r>
              <w:rPr>
                <w:rFonts w:ascii="Tahoma" w:hAnsi="Tahoma" w:cs="Tahoma"/>
                <w:color w:val="000000"/>
                <w:sz w:val="20"/>
                <w:szCs w:val="20"/>
                <w:lang w:eastAsia="fr-FR"/>
              </w:rPr>
              <w:t xml:space="preserve"> and/or English</w:t>
            </w:r>
            <w:r w:rsidRPr="003E77AC">
              <w:rPr>
                <w:rFonts w:ascii="Tahoma" w:hAnsi="Tahoma" w:cs="Tahoma"/>
                <w:color w:val="000000"/>
                <w:sz w:val="20"/>
                <w:szCs w:val="20"/>
                <w:lang w:eastAsia="fr-FR"/>
              </w:rPr>
              <w:t xml:space="preserve"> language</w:t>
            </w:r>
            <w:r>
              <w:rPr>
                <w:rFonts w:ascii="Tahoma" w:hAnsi="Tahoma" w:cs="Tahoma"/>
                <w:color w:val="000000"/>
                <w:sz w:val="20"/>
                <w:szCs w:val="20"/>
                <w:lang w:eastAsia="fr-FR"/>
              </w:rPr>
              <w:t>s</w:t>
            </w:r>
            <w:r w:rsidRPr="003E77AC">
              <w:rPr>
                <w:rFonts w:ascii="Tahoma" w:hAnsi="Tahoma" w:cs="Tahoma"/>
                <w:color w:val="000000"/>
                <w:sz w:val="20"/>
                <w:szCs w:val="20"/>
                <w:lang w:eastAsia="fr-FR"/>
              </w:rPr>
              <w:t xml:space="preserve"> the newly developed, adapted, translated guidelines, reports, policy papers, legislation recommendations, </w:t>
            </w:r>
            <w:r>
              <w:rPr>
                <w:rFonts w:ascii="Tahoma" w:hAnsi="Tahoma" w:cs="Tahoma"/>
                <w:color w:val="000000"/>
                <w:sz w:val="20"/>
                <w:szCs w:val="20"/>
                <w:lang w:eastAsia="fr-FR"/>
              </w:rPr>
              <w:t>h</w:t>
            </w:r>
            <w:r w:rsidRPr="003E77AC">
              <w:rPr>
                <w:rFonts w:ascii="Tahoma" w:hAnsi="Tahoma" w:cs="Tahoma"/>
                <w:color w:val="000000"/>
                <w:sz w:val="20"/>
                <w:szCs w:val="20"/>
                <w:lang w:eastAsia="fr-FR"/>
              </w:rPr>
              <w:t>andbooks, etc.</w:t>
            </w:r>
          </w:p>
          <w:p w14:paraId="7E3D20CE" w14:textId="77777777" w:rsidR="00176E5A" w:rsidRPr="003E77AC" w:rsidRDefault="00176E5A" w:rsidP="00176E5A">
            <w:pPr>
              <w:pStyle w:val="ListParagraph"/>
              <w:numPr>
                <w:ilvl w:val="0"/>
                <w:numId w:val="36"/>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E77AC">
              <w:rPr>
                <w:rFonts w:ascii="Tahoma" w:hAnsi="Tahoma" w:cs="Tahoma"/>
                <w:noProof/>
                <w:sz w:val="20"/>
                <w:szCs w:val="20"/>
                <w:lang w:eastAsia="fr-FR"/>
              </w:rPr>
              <w:t>Provision of other deliverables related to the above as requested by the Council of Europe;</w:t>
            </w:r>
          </w:p>
          <w:p w14:paraId="779A8E39" w14:textId="77777777" w:rsidR="00CF3B5B" w:rsidRPr="00D0286A" w:rsidRDefault="00CF3B5B" w:rsidP="003F35E4">
            <w:pPr>
              <w:spacing w:line="276" w:lineRule="auto"/>
              <w:rPr>
                <w:rFonts w:ascii="Tahoma" w:hAnsi="Tahoma" w:cs="Tahoma"/>
                <w:sz w:val="18"/>
                <w:szCs w:val="18"/>
                <w:highlight w:val="yellow"/>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4F21E1" w14:textId="77777777" w:rsidR="00CF3B5B" w:rsidRPr="00D0286A" w:rsidRDefault="00CF3B5B" w:rsidP="003F35E4">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9D3BAA3" w14:textId="6E9055E2" w:rsidR="00CF3B5B" w:rsidRPr="00350E48" w:rsidRDefault="007B458D" w:rsidP="003F35E4">
            <w:pPr>
              <w:spacing w:line="276" w:lineRule="auto"/>
              <w:ind w:left="-142" w:right="-91"/>
              <w:jc w:val="center"/>
              <w:rPr>
                <w:rFonts w:ascii="Tahoma" w:hAnsi="Tahoma" w:cs="Tahoma"/>
                <w:sz w:val="20"/>
                <w:szCs w:val="20"/>
                <w:lang w:eastAsia="en-US"/>
              </w:rPr>
            </w:pPr>
            <w:r>
              <w:rPr>
                <w:rFonts w:ascii="Tahoma" w:hAnsi="Tahoma" w:cs="Tahoma"/>
                <w:sz w:val="20"/>
                <w:szCs w:val="20"/>
                <w:lang w:eastAsia="en-US"/>
              </w:rPr>
              <w:t>5</w:t>
            </w:r>
          </w:p>
        </w:tc>
      </w:tr>
    </w:tbl>
    <w:p w14:paraId="7704B1B8" w14:textId="4D35FAE3" w:rsidR="00CF3B5B" w:rsidRPr="00026E8A" w:rsidRDefault="00CF3B5B" w:rsidP="00CF3B5B">
      <w:pPr>
        <w:pBdr>
          <w:bottom w:val="single" w:sz="2" w:space="1" w:color="808080" w:themeColor="background1" w:themeShade="80"/>
        </w:pBdr>
        <w:rPr>
          <w:rFonts w:ascii="Tahoma" w:hAnsi="Tahoma" w:cs="Tahoma"/>
          <w:bCs/>
          <w:highlight w:val="cyan"/>
        </w:rPr>
      </w:pPr>
    </w:p>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7"/>
        <w:gridCol w:w="1418"/>
      </w:tblGrid>
      <w:tr w:rsidR="00403770" w:rsidRPr="00026E8A" w14:paraId="6F29CE33" w14:textId="77777777" w:rsidTr="009369D5">
        <w:tc>
          <w:tcPr>
            <w:tcW w:w="8647" w:type="dxa"/>
            <w:shd w:val="clear" w:color="auto" w:fill="DBE5F1" w:themeFill="accent1" w:themeFillTint="33"/>
            <w:vAlign w:val="center"/>
          </w:tcPr>
          <w:p w14:paraId="56A94810" w14:textId="77777777" w:rsidR="00403770" w:rsidRPr="00026E8A" w:rsidRDefault="00403770" w:rsidP="009369D5">
            <w:pPr>
              <w:spacing w:before="120" w:after="120"/>
              <w:rPr>
                <w:rFonts w:ascii="Tahoma" w:hAnsi="Tahoma" w:cs="Tahoma"/>
                <w:sz w:val="20"/>
                <w:szCs w:val="20"/>
                <w:highlight w:val="cyan"/>
              </w:rPr>
            </w:pPr>
            <w:r w:rsidRPr="00FC5EE1">
              <w:rPr>
                <w:rFonts w:ascii="Tahoma" w:hAnsi="Tahoma" w:cs="Tahoma"/>
                <w:sz w:val="20"/>
                <w:szCs w:val="20"/>
              </w:rPr>
              <w:t>This Framework Contract</w:t>
            </w:r>
            <w:r w:rsidRPr="00FC5EE1">
              <w:rPr>
                <w:rFonts w:ascii="Tahoma" w:eastAsia="Calibri" w:hAnsi="Tahoma" w:cs="Tahoma"/>
                <w:sz w:val="20"/>
                <w:szCs w:val="20"/>
                <w:lang w:val="en-US" w:eastAsia="en-US"/>
              </w:rPr>
              <w:t xml:space="preserve"> takes effect as from the date of its signature by both parties</w:t>
            </w:r>
            <w:r w:rsidRPr="00FC5EE1">
              <w:rPr>
                <w:rFonts w:ascii="Tahoma" w:hAnsi="Tahoma" w:cs="Tahoma"/>
                <w:sz w:val="20"/>
                <w:szCs w:val="20"/>
              </w:rPr>
              <w:t xml:space="preserve"> and</w:t>
            </w:r>
            <w:r w:rsidRPr="00FC5EE1">
              <w:rPr>
                <w:rFonts w:ascii="Tahoma" w:hAnsi="Tahoma" w:cs="Tahoma"/>
                <w:color w:val="C00000"/>
                <w:sz w:val="20"/>
                <w:szCs w:val="20"/>
              </w:rPr>
              <w:t xml:space="preserve"> </w:t>
            </w:r>
            <w:r w:rsidRPr="00FC5EE1">
              <w:rPr>
                <w:rFonts w:ascii="Tahoma" w:hAnsi="Tahoma" w:cs="Tahoma"/>
                <w:sz w:val="20"/>
                <w:szCs w:val="20"/>
              </w:rPr>
              <w:t>is concluded until:</w:t>
            </w:r>
          </w:p>
        </w:tc>
        <w:tc>
          <w:tcPr>
            <w:tcW w:w="1418" w:type="dxa"/>
            <w:shd w:val="clear" w:color="auto" w:fill="F2F2F2" w:themeFill="background1" w:themeFillShade="F2"/>
            <w:vAlign w:val="center"/>
          </w:tcPr>
          <w:sdt>
            <w:sdtPr>
              <w:rPr>
                <w:rStyle w:val="Style71"/>
                <w:rFonts w:ascii="Tahoma" w:hAnsi="Tahoma" w:cs="Tahoma"/>
                <w:szCs w:val="20"/>
              </w:rPr>
              <w:id w:val="791790619"/>
              <w:placeholder>
                <w:docPart w:val="05DE390A2339458285F031EA2A35E2A2"/>
              </w:placeholder>
              <w:date w:fullDate="2022-08-31T00:00:00Z">
                <w:dateFormat w:val="dd/MM/yyyy"/>
                <w:lid w:val="fr-FR"/>
                <w:storeMappedDataAs w:val="dateTime"/>
                <w:calendar w:val="gregorian"/>
              </w:date>
            </w:sdtPr>
            <w:sdtEndPr>
              <w:rPr>
                <w:rStyle w:val="Style71"/>
              </w:rPr>
            </w:sdtEndPr>
            <w:sdtContent>
              <w:p w14:paraId="373E615C" w14:textId="77777777" w:rsidR="00403770" w:rsidRPr="00026E8A" w:rsidRDefault="00403770" w:rsidP="009369D5">
                <w:pPr>
                  <w:spacing w:before="120" w:after="120"/>
                  <w:rPr>
                    <w:rFonts w:ascii="Tahoma" w:hAnsi="Tahoma" w:cs="Tahoma"/>
                    <w:sz w:val="20"/>
                    <w:szCs w:val="20"/>
                    <w:highlight w:val="cyan"/>
                  </w:rPr>
                </w:pPr>
                <w:r w:rsidRPr="00FC5EE1">
                  <w:rPr>
                    <w:rStyle w:val="Style71"/>
                    <w:rFonts w:ascii="Tahoma" w:hAnsi="Tahoma" w:cs="Tahoma"/>
                    <w:szCs w:val="20"/>
                    <w:lang w:val="fr-FR"/>
                  </w:rPr>
                  <w:t>31/08/2022</w:t>
                </w:r>
              </w:p>
            </w:sdtContent>
          </w:sdt>
        </w:tc>
      </w:tr>
      <w:tr w:rsidR="00403770" w:rsidRPr="00651235" w14:paraId="58FA68E7" w14:textId="77777777" w:rsidTr="009369D5">
        <w:tc>
          <w:tcPr>
            <w:tcW w:w="10065" w:type="dxa"/>
            <w:gridSpan w:val="2"/>
            <w:shd w:val="clear" w:color="auto" w:fill="DBE5F1" w:themeFill="accent1" w:themeFillTint="33"/>
            <w:vAlign w:val="center"/>
          </w:tcPr>
          <w:p w14:paraId="31D87B2E" w14:textId="77777777" w:rsidR="00403770" w:rsidRPr="0021182D" w:rsidRDefault="00403770" w:rsidP="009369D5">
            <w:pPr>
              <w:spacing w:before="120" w:after="120"/>
              <w:rPr>
                <w:rStyle w:val="Style71"/>
                <w:rFonts w:asciiTheme="minorHAnsi" w:hAnsiTheme="minorHAnsi" w:cs="Tahoma"/>
                <w:szCs w:val="20"/>
                <w:lang w:val="ka-GE"/>
              </w:rPr>
            </w:pPr>
            <w:r w:rsidRPr="00FC5EE1">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(3) months before the renewal date. The contract shall not be renewed beyond 31 August 202</w:t>
            </w:r>
            <w:r>
              <w:rPr>
                <w:rFonts w:ascii="Tahoma" w:hAnsi="Tahoma" w:cs="Tahoma"/>
                <w:sz w:val="20"/>
                <w:szCs w:val="20"/>
                <w:lang w:val="en-US"/>
              </w:rPr>
              <w:t>4</w:t>
            </w:r>
            <w:r w:rsidRPr="00FC5EE1">
              <w:rPr>
                <w:rFonts w:ascii="Tahoma" w:hAnsi="Tahoma" w:cs="Tahoma"/>
                <w:sz w:val="20"/>
                <w:szCs w:val="20"/>
                <w:lang w:val="en-US"/>
              </w:rPr>
              <w:t xml:space="preserve"> and shall end on this date unless either party has already validly terminated the contract.</w:t>
            </w:r>
            <w:r>
              <w:rPr>
                <w:rFonts w:ascii="Tahoma" w:hAnsi="Tahoma" w:cs="Tahoma"/>
                <w:sz w:val="20"/>
                <w:szCs w:val="20"/>
                <w:lang w:val="en-US"/>
              </w:rPr>
              <w:t xml:space="preserve"> </w:t>
            </w:r>
          </w:p>
        </w:tc>
      </w:tr>
    </w:tbl>
    <w:p w14:paraId="3D68B47E" w14:textId="2DFE2274" w:rsidR="002133FA" w:rsidRPr="00D0286A" w:rsidRDefault="00812B47" w:rsidP="00B133A9">
      <w:pPr>
        <w:pBdr>
          <w:bottom w:val="single" w:sz="2" w:space="1" w:color="808080" w:themeColor="background1" w:themeShade="80"/>
        </w:pBdr>
        <w:spacing w:before="60" w:after="120"/>
        <w:rPr>
          <w:rFonts w:ascii="Tahoma" w:hAnsi="Tahoma" w:cs="Tahoma"/>
          <w:b/>
        </w:rPr>
      </w:pPr>
      <w:r w:rsidRPr="00A113A0">
        <w:rPr>
          <w:rFonts w:ascii="Tahoma" w:hAnsi="Tahoma" w:cs="Tahoma"/>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E016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29554086" w14:textId="77777777" w:rsidR="00AE0BA0" w:rsidRPr="002A092A" w:rsidRDefault="00AE0BA0" w:rsidP="00AE0BA0">
            <w:pPr>
              <w:rPr>
                <w:rFonts w:ascii="Tahoma" w:hAnsi="Tahoma" w:cs="Tahoma"/>
                <w:sz w:val="20"/>
                <w:szCs w:val="20"/>
              </w:rPr>
            </w:pPr>
            <w:r>
              <w:rPr>
                <w:rFonts w:ascii="Tahoma" w:hAnsi="Tahoma" w:cs="Tahoma"/>
                <w:sz w:val="20"/>
                <w:szCs w:val="20"/>
              </w:rPr>
              <w:t>Natalia Voutova</w:t>
            </w:r>
          </w:p>
          <w:p w14:paraId="54C5E3A0" w14:textId="7A6CFA96" w:rsidR="003A0F5F" w:rsidRPr="00D0286A" w:rsidRDefault="00AE0BA0" w:rsidP="00AE0BA0">
            <w:pPr>
              <w:rPr>
                <w:rFonts w:ascii="Tahoma" w:hAnsi="Tahoma" w:cs="Tahoma"/>
                <w:sz w:val="20"/>
                <w:szCs w:val="20"/>
              </w:rPr>
            </w:pPr>
            <w:r w:rsidRPr="0028228B">
              <w:rPr>
                <w:rFonts w:ascii="Tahoma" w:hAnsi="Tahoma" w:cs="Tahoma"/>
                <w:sz w:val="20"/>
                <w:szCs w:val="20"/>
              </w:rPr>
              <w:t>Head of the Council of Europe Office in Georgia</w:t>
            </w:r>
            <w:r w:rsidRPr="00D0286A">
              <w:rPr>
                <w:rFonts w:ascii="Tahoma" w:hAnsi="Tahoma" w:cs="Tahoma"/>
                <w:sz w:val="20"/>
                <w:szCs w:val="20"/>
              </w:rPr>
              <w:t xml:space="preserve"> </w:t>
            </w: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19A3A2A2" w:rsidR="003A0F5F" w:rsidRPr="00D0286A" w:rsidRDefault="00DD4C16" w:rsidP="003A0F5F">
            <w:pPr>
              <w:rPr>
                <w:rFonts w:ascii="Tahoma" w:hAnsi="Tahoma" w:cs="Tahoma"/>
                <w:sz w:val="20"/>
                <w:szCs w:val="20"/>
              </w:rPr>
            </w:pPr>
            <w:r w:rsidRPr="00D0286A">
              <w:rPr>
                <w:rFonts w:ascii="Tahoma" w:hAnsi="Tahoma" w:cs="Tahoma"/>
                <w:sz w:val="20"/>
                <w:szCs w:val="20"/>
              </w:rPr>
              <w:t>In</w:t>
            </w:r>
            <w:r w:rsidR="00952BF0">
              <w:rPr>
                <w:rFonts w:ascii="Tahoma" w:hAnsi="Tahoma" w:cs="Tahoma"/>
                <w:sz w:val="20"/>
                <w:szCs w:val="20"/>
              </w:rPr>
              <w:t xml:space="preserve"> Tbilisi</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F64D62" w:rsidRPr="00D0286A" w14:paraId="3FB29C5B" w14:textId="77777777" w:rsidTr="00D0286A">
        <w:trPr>
          <w:gridAfter w:val="1"/>
          <w:wAfter w:w="1668" w:type="dxa"/>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F64D62" w:rsidRPr="00D0286A" w:rsidRDefault="00F64D62"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F64D62" w:rsidRPr="00D0286A" w:rsidRDefault="00F64D62"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F64D62" w:rsidRPr="00D0286A" w:rsidRDefault="00F64D62"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F64D62" w:rsidRPr="00D0286A" w:rsidRDefault="00F64D62"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74B8C8FA" w:rsidR="00F64D62" w:rsidRPr="00D0286A" w:rsidRDefault="00F64D62" w:rsidP="003A0F5F">
            <w:pPr>
              <w:ind w:left="-38"/>
              <w:rPr>
                <w:rFonts w:ascii="Tahoma" w:hAnsi="Tahoma" w:cs="Tahoma"/>
                <w:sz w:val="18"/>
                <w:szCs w:val="18"/>
              </w:rPr>
            </w:pPr>
            <w:r w:rsidRPr="00D0286A">
              <w:rPr>
                <w:rFonts w:ascii="Tahoma" w:hAnsi="Tahoma" w:cs="Tahoma"/>
                <w:sz w:val="18"/>
                <w:szCs w:val="18"/>
              </w:rPr>
              <w:t>Selection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F64D62" w:rsidRPr="00D0286A" w:rsidRDefault="00F64D62"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F64D62" w:rsidRPr="00D0286A" w:rsidRDefault="00F64D62"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r>
      <w:tr w:rsidR="00F64D62" w:rsidRPr="00D0286A" w14:paraId="74E7DA64" w14:textId="77777777" w:rsidTr="00A113A0">
        <w:trPr>
          <w:gridAfter w:val="1"/>
          <w:wAfter w:w="1668" w:type="dxa"/>
          <w:trHeight w:val="308"/>
          <w:jc w:val="center"/>
        </w:trPr>
        <w:tc>
          <w:tcPr>
            <w:tcW w:w="438" w:type="dxa"/>
            <w:tcBorders>
              <w:top w:val="nil"/>
              <w:left w:val="nil"/>
              <w:bottom w:val="nil"/>
              <w:right w:val="nil"/>
            </w:tcBorders>
            <w:shd w:val="clear" w:color="auto" w:fill="FFFFFF" w:themeFill="background1"/>
          </w:tcPr>
          <w:p w14:paraId="593950AC" w14:textId="77777777" w:rsidR="00F64D62" w:rsidRPr="00D0286A" w:rsidRDefault="00F64D62" w:rsidP="003A0F5F">
            <w:pPr>
              <w:rPr>
                <w:rFonts w:ascii="Tahoma" w:hAnsi="Tahoma" w:cs="Tahoma"/>
                <w:sz w:val="20"/>
                <w:szCs w:val="20"/>
              </w:rPr>
            </w:pPr>
            <w:bookmarkStart w:id="4" w:name="_Hlk80620626"/>
          </w:p>
        </w:tc>
        <w:tc>
          <w:tcPr>
            <w:tcW w:w="1877" w:type="dxa"/>
            <w:tcBorders>
              <w:top w:val="nil"/>
              <w:left w:val="nil"/>
              <w:bottom w:val="nil"/>
              <w:right w:val="nil"/>
            </w:tcBorders>
            <w:shd w:val="clear" w:color="auto" w:fill="FFFFFF" w:themeFill="background1"/>
            <w:vAlign w:val="center"/>
          </w:tcPr>
          <w:p w14:paraId="06D8AB15" w14:textId="77777777" w:rsidR="00F64D62" w:rsidRPr="00D0286A" w:rsidRDefault="00F64D62"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F64D62" w:rsidRPr="00D0286A" w:rsidRDefault="00F64D62"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F64D62" w:rsidRPr="00D0286A" w:rsidRDefault="00F64D62"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F64D62" w:rsidRPr="00D0286A" w:rsidRDefault="00F64D62"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F64D62" w:rsidRPr="00D0286A" w:rsidRDefault="00F64D62"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F64D62" w:rsidRPr="00D0286A" w:rsidRDefault="00F64D62"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r>
      <w:bookmarkEnd w:id="4"/>
      <w:tr w:rsidR="00F64D62" w:rsidRPr="00D0286A" w14:paraId="5A466D22" w14:textId="77777777" w:rsidTr="00D0286A">
        <w:trPr>
          <w:gridAfter w:val="1"/>
          <w:wAfter w:w="1668" w:type="dxa"/>
          <w:trHeight w:val="308"/>
          <w:jc w:val="center"/>
        </w:trPr>
        <w:tc>
          <w:tcPr>
            <w:tcW w:w="438" w:type="dxa"/>
            <w:tcBorders>
              <w:top w:val="nil"/>
              <w:left w:val="nil"/>
              <w:bottom w:val="nil"/>
              <w:right w:val="nil"/>
            </w:tcBorders>
            <w:shd w:val="clear" w:color="auto" w:fill="FFFFFF" w:themeFill="background1"/>
          </w:tcPr>
          <w:p w14:paraId="6DEB4835" w14:textId="77777777" w:rsidR="00F64D62" w:rsidRPr="00D0286A" w:rsidRDefault="00F64D62" w:rsidP="00CF3B5B">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63E08D2" w14:textId="77777777" w:rsidR="00F64D62" w:rsidRPr="00D0286A" w:rsidRDefault="00F64D62" w:rsidP="00CF3B5B">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4E54BF6" w14:textId="77777777" w:rsidR="00F64D62" w:rsidRPr="00D0286A" w:rsidRDefault="00F64D62" w:rsidP="00CF3B5B">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B9FF6F5" w14:textId="77777777" w:rsidR="00F64D62" w:rsidRPr="00D0286A" w:rsidRDefault="00F64D62" w:rsidP="00CF3B5B">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32D1DFA2" w14:textId="77777777" w:rsidR="00F64D62" w:rsidRPr="00D0286A" w:rsidRDefault="00F64D62" w:rsidP="00CF3B5B">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87D2065" w14:textId="102C98F6" w:rsidR="00F64D62" w:rsidRPr="00D0286A" w:rsidRDefault="00F64D62" w:rsidP="00CF3B5B">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433136098"/>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335094AA" w14:textId="10134ECB" w:rsidR="00F64D62" w:rsidRDefault="00F64D62" w:rsidP="00CF3B5B">
                <w:pPr>
                  <w:rPr>
                    <w:rFonts w:ascii="Tahoma" w:hAnsi="Tahoma" w:cs="Tahoma"/>
                    <w:sz w:val="20"/>
                    <w:szCs w:val="20"/>
                  </w:rPr>
                </w:pPr>
                <w:r w:rsidRPr="00D0286A">
                  <w:rPr>
                    <w:rFonts w:ascii="MS UI Gothic" w:eastAsia="MS UI Gothic" w:hAnsi="MS UI Gothic" w:cs="MS UI Gothic" w:hint="eastAsia"/>
                    <w:sz w:val="20"/>
                    <w:szCs w:val="20"/>
                  </w:rPr>
                  <w:t>☐</w:t>
                </w:r>
              </w:p>
            </w:tc>
          </w:sdtContent>
        </w:sdt>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4"/>
      <w:bookmarkEnd w:id="5"/>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523B9379" w:rsidR="00A8672C"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2956AED" w14:textId="06C3BD7A" w:rsidR="00D72A44" w:rsidRDefault="00D72A44" w:rsidP="00D72A44">
      <w:pPr>
        <w:tabs>
          <w:tab w:val="left" w:pos="284"/>
        </w:tabs>
        <w:autoSpaceDE w:val="0"/>
        <w:autoSpaceDN w:val="0"/>
        <w:jc w:val="both"/>
        <w:rPr>
          <w:rFonts w:ascii="Tahoma" w:hAnsi="Tahoma" w:cs="Tahoma"/>
          <w:sz w:val="18"/>
          <w:szCs w:val="18"/>
          <w:lang w:eastAsia="fr-FR"/>
        </w:rPr>
      </w:pPr>
    </w:p>
    <w:p w14:paraId="1E48A639" w14:textId="77777777" w:rsidR="00D72A44" w:rsidRPr="00D72A44" w:rsidRDefault="00D72A44" w:rsidP="00D72A44">
      <w:pPr>
        <w:tabs>
          <w:tab w:val="left" w:pos="284"/>
        </w:tabs>
        <w:autoSpaceDE w:val="0"/>
        <w:autoSpaceDN w:val="0"/>
        <w:jc w:val="both"/>
        <w:rPr>
          <w:rFonts w:ascii="Tahoma" w:hAnsi="Tahoma" w:cs="Tahoma"/>
          <w:sz w:val="18"/>
          <w:szCs w:val="18"/>
          <w:lang w:eastAsia="fr-FR"/>
        </w:rPr>
      </w:pP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5E966C34" w14:textId="2C49784F" w:rsidR="00D72A44" w:rsidRPr="00D72A44" w:rsidRDefault="003A0F5F" w:rsidP="00D72A44">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4BC1EFF1" w14:textId="77777777" w:rsidR="00D72A44" w:rsidRPr="00D72A44" w:rsidRDefault="00D72A44" w:rsidP="00D72A44">
      <w:pPr>
        <w:tabs>
          <w:tab w:val="left" w:pos="284"/>
        </w:tabs>
        <w:autoSpaceDE w:val="0"/>
        <w:autoSpaceDN w:val="0"/>
        <w:jc w:val="both"/>
        <w:rPr>
          <w:rFonts w:ascii="Tahoma" w:hAnsi="Tahoma" w:cs="Tahoma"/>
          <w:sz w:val="18"/>
          <w:szCs w:val="18"/>
          <w:lang w:eastAsia="fr-FR"/>
        </w:rPr>
      </w:pPr>
      <w:r w:rsidRPr="00D72A44">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and financial risks concerning or resulting from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6"/>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7"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8" w:name="_Hlk62556333"/>
      <w:r w:rsidRPr="00ED301C">
        <w:rPr>
          <w:rFonts w:ascii="Tahoma" w:hAnsi="Tahoma" w:cs="Tahoma"/>
          <w:sz w:val="18"/>
          <w:szCs w:val="18"/>
          <w:lang w:eastAsia="fr-FR"/>
        </w:rPr>
        <w:lastRenderedPageBreak/>
        <w:t>In the event that: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8"/>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r>
      <w:r w:rsidRPr="00211D01">
        <w:rPr>
          <w:rFonts w:ascii="Tahoma" w:hAnsi="Tahoma" w:cs="Tahoma"/>
          <w:color w:val="000000"/>
          <w:sz w:val="18"/>
          <w:szCs w:val="18"/>
        </w:rPr>
        <w:lastRenderedPageBreak/>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monitor that the Deliverables are carried out timely and properly, in accordance with the terms of the contract;</w:t>
      </w:r>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request and review any documents or information required by the Council and verify their completeness and correctness before passing them on to the Council;</w:t>
      </w:r>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the Deliverables to the Council in accordance with the timing and terms of the contract;</w:t>
      </w:r>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2"/>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19612459"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3" w:name="_Hlk62555726"/>
      <w:bookmarkStart w:id="14"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3"/>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4"/>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3771D" w14:textId="77777777" w:rsidR="00675E91" w:rsidRDefault="00675E91" w:rsidP="00D50F13">
      <w:r>
        <w:separator/>
      </w:r>
    </w:p>
  </w:endnote>
  <w:endnote w:type="continuationSeparator" w:id="0">
    <w:p w14:paraId="636AD0B5" w14:textId="77777777" w:rsidR="00675E91" w:rsidRDefault="00675E9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0E787B6B" w:rsidR="00E320C9" w:rsidRPr="00AE2D2B" w:rsidRDefault="00116565" w:rsidP="004965C8">
          <w:pPr>
            <w:rPr>
              <w:rFonts w:ascii="Arial Narrow" w:hAnsi="Arial Narrow"/>
              <w:caps/>
              <w:color w:val="000000"/>
              <w:sz w:val="18"/>
              <w:szCs w:val="18"/>
              <w:highlight w:val="cyan"/>
            </w:rPr>
          </w:pPr>
          <w:r w:rsidRPr="005B70F9">
            <w:rPr>
              <w:rFonts w:ascii="Tahoma" w:hAnsi="Tahoma" w:cs="Tahoma"/>
              <w:caps/>
              <w:color w:val="000000" w:themeColor="text1"/>
              <w:sz w:val="18"/>
              <w:szCs w:val="18"/>
            </w:rPr>
            <w:t>8764/</w:t>
          </w:r>
          <w:r w:rsidR="00403770">
            <w:rPr>
              <w:rFonts w:ascii="Tahoma" w:hAnsi="Tahoma" w:cs="Tahoma"/>
              <w:caps/>
              <w:color w:val="000000" w:themeColor="text1"/>
              <w:sz w:val="18"/>
              <w:szCs w:val="18"/>
            </w:rPr>
            <w:t>29092021-0</w:t>
          </w:r>
          <w:r w:rsidR="00E7723C">
            <w:rPr>
              <w:rFonts w:ascii="Tahoma" w:hAnsi="Tahoma" w:cs="Tahoma"/>
              <w:caps/>
              <w:color w:val="000000" w:themeColor="text1"/>
              <w:sz w:val="18"/>
              <w:szCs w:val="18"/>
            </w:rPr>
            <w:t>1</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ECA1B" w14:textId="77777777" w:rsidR="00675E91" w:rsidRDefault="00675E91" w:rsidP="00D50F13">
      <w:r>
        <w:separator/>
      </w:r>
    </w:p>
  </w:footnote>
  <w:footnote w:type="continuationSeparator" w:id="0">
    <w:p w14:paraId="78B3E27A" w14:textId="77777777" w:rsidR="00675E91" w:rsidRDefault="00675E91"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l’Europe,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8915D5F"/>
    <w:multiLevelType w:val="hybridMultilevel"/>
    <w:tmpl w:val="7E863C66"/>
    <w:lvl w:ilvl="0" w:tplc="0C000001">
      <w:start w:val="1"/>
      <w:numFmt w:val="bullet"/>
      <w:lvlText w:val=""/>
      <w:lvlJc w:val="left"/>
      <w:pPr>
        <w:ind w:left="1287" w:hanging="360"/>
      </w:pPr>
      <w:rPr>
        <w:rFonts w:ascii="Symbol" w:hAnsi="Symbol" w:hint="default"/>
      </w:rPr>
    </w:lvl>
    <w:lvl w:ilvl="1" w:tplc="0C000003" w:tentative="1">
      <w:start w:val="1"/>
      <w:numFmt w:val="bullet"/>
      <w:lvlText w:val="o"/>
      <w:lvlJc w:val="left"/>
      <w:pPr>
        <w:ind w:left="2007" w:hanging="360"/>
      </w:pPr>
      <w:rPr>
        <w:rFonts w:ascii="Courier New" w:hAnsi="Courier New" w:cs="Courier New" w:hint="default"/>
      </w:rPr>
    </w:lvl>
    <w:lvl w:ilvl="2" w:tplc="0C000005" w:tentative="1">
      <w:start w:val="1"/>
      <w:numFmt w:val="bullet"/>
      <w:lvlText w:val=""/>
      <w:lvlJc w:val="left"/>
      <w:pPr>
        <w:ind w:left="2727" w:hanging="360"/>
      </w:pPr>
      <w:rPr>
        <w:rFonts w:ascii="Wingdings" w:hAnsi="Wingdings" w:hint="default"/>
      </w:rPr>
    </w:lvl>
    <w:lvl w:ilvl="3" w:tplc="0C000001" w:tentative="1">
      <w:start w:val="1"/>
      <w:numFmt w:val="bullet"/>
      <w:lvlText w:val=""/>
      <w:lvlJc w:val="left"/>
      <w:pPr>
        <w:ind w:left="3447" w:hanging="360"/>
      </w:pPr>
      <w:rPr>
        <w:rFonts w:ascii="Symbol" w:hAnsi="Symbol" w:hint="default"/>
      </w:rPr>
    </w:lvl>
    <w:lvl w:ilvl="4" w:tplc="0C000003" w:tentative="1">
      <w:start w:val="1"/>
      <w:numFmt w:val="bullet"/>
      <w:lvlText w:val="o"/>
      <w:lvlJc w:val="left"/>
      <w:pPr>
        <w:ind w:left="4167" w:hanging="360"/>
      </w:pPr>
      <w:rPr>
        <w:rFonts w:ascii="Courier New" w:hAnsi="Courier New" w:cs="Courier New" w:hint="default"/>
      </w:rPr>
    </w:lvl>
    <w:lvl w:ilvl="5" w:tplc="0C000005" w:tentative="1">
      <w:start w:val="1"/>
      <w:numFmt w:val="bullet"/>
      <w:lvlText w:val=""/>
      <w:lvlJc w:val="left"/>
      <w:pPr>
        <w:ind w:left="4887" w:hanging="360"/>
      </w:pPr>
      <w:rPr>
        <w:rFonts w:ascii="Wingdings" w:hAnsi="Wingdings" w:hint="default"/>
      </w:rPr>
    </w:lvl>
    <w:lvl w:ilvl="6" w:tplc="0C000001" w:tentative="1">
      <w:start w:val="1"/>
      <w:numFmt w:val="bullet"/>
      <w:lvlText w:val=""/>
      <w:lvlJc w:val="left"/>
      <w:pPr>
        <w:ind w:left="5607" w:hanging="360"/>
      </w:pPr>
      <w:rPr>
        <w:rFonts w:ascii="Symbol" w:hAnsi="Symbol" w:hint="default"/>
      </w:rPr>
    </w:lvl>
    <w:lvl w:ilvl="7" w:tplc="0C000003" w:tentative="1">
      <w:start w:val="1"/>
      <w:numFmt w:val="bullet"/>
      <w:lvlText w:val="o"/>
      <w:lvlJc w:val="left"/>
      <w:pPr>
        <w:ind w:left="6327" w:hanging="360"/>
      </w:pPr>
      <w:rPr>
        <w:rFonts w:ascii="Courier New" w:hAnsi="Courier New" w:cs="Courier New" w:hint="default"/>
      </w:rPr>
    </w:lvl>
    <w:lvl w:ilvl="8" w:tplc="0C000005" w:tentative="1">
      <w:start w:val="1"/>
      <w:numFmt w:val="bullet"/>
      <w:lvlText w:val=""/>
      <w:lvlJc w:val="left"/>
      <w:pPr>
        <w:ind w:left="7047" w:hanging="360"/>
      </w:pPr>
      <w:rPr>
        <w:rFonts w:ascii="Wingdings" w:hAnsi="Wingding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5B2C3C"/>
    <w:multiLevelType w:val="hybridMultilevel"/>
    <w:tmpl w:val="69C2BA6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DF132AF"/>
    <w:multiLevelType w:val="hybridMultilevel"/>
    <w:tmpl w:val="237E24E6"/>
    <w:lvl w:ilvl="0" w:tplc="0C000001">
      <w:start w:val="1"/>
      <w:numFmt w:val="bullet"/>
      <w:lvlText w:val=""/>
      <w:lvlJc w:val="left"/>
      <w:pPr>
        <w:ind w:left="1287" w:hanging="360"/>
      </w:pPr>
      <w:rPr>
        <w:rFonts w:ascii="Symbol" w:hAnsi="Symbol" w:hint="default"/>
      </w:rPr>
    </w:lvl>
    <w:lvl w:ilvl="1" w:tplc="0C000003" w:tentative="1">
      <w:start w:val="1"/>
      <w:numFmt w:val="bullet"/>
      <w:lvlText w:val="o"/>
      <w:lvlJc w:val="left"/>
      <w:pPr>
        <w:ind w:left="2007" w:hanging="360"/>
      </w:pPr>
      <w:rPr>
        <w:rFonts w:ascii="Courier New" w:hAnsi="Courier New" w:cs="Courier New" w:hint="default"/>
      </w:rPr>
    </w:lvl>
    <w:lvl w:ilvl="2" w:tplc="0C000005" w:tentative="1">
      <w:start w:val="1"/>
      <w:numFmt w:val="bullet"/>
      <w:lvlText w:val=""/>
      <w:lvlJc w:val="left"/>
      <w:pPr>
        <w:ind w:left="2727" w:hanging="360"/>
      </w:pPr>
      <w:rPr>
        <w:rFonts w:ascii="Wingdings" w:hAnsi="Wingdings" w:hint="default"/>
      </w:rPr>
    </w:lvl>
    <w:lvl w:ilvl="3" w:tplc="0C000001" w:tentative="1">
      <w:start w:val="1"/>
      <w:numFmt w:val="bullet"/>
      <w:lvlText w:val=""/>
      <w:lvlJc w:val="left"/>
      <w:pPr>
        <w:ind w:left="3447" w:hanging="360"/>
      </w:pPr>
      <w:rPr>
        <w:rFonts w:ascii="Symbol" w:hAnsi="Symbol" w:hint="default"/>
      </w:rPr>
    </w:lvl>
    <w:lvl w:ilvl="4" w:tplc="0C000003" w:tentative="1">
      <w:start w:val="1"/>
      <w:numFmt w:val="bullet"/>
      <w:lvlText w:val="o"/>
      <w:lvlJc w:val="left"/>
      <w:pPr>
        <w:ind w:left="4167" w:hanging="360"/>
      </w:pPr>
      <w:rPr>
        <w:rFonts w:ascii="Courier New" w:hAnsi="Courier New" w:cs="Courier New" w:hint="default"/>
      </w:rPr>
    </w:lvl>
    <w:lvl w:ilvl="5" w:tplc="0C000005" w:tentative="1">
      <w:start w:val="1"/>
      <w:numFmt w:val="bullet"/>
      <w:lvlText w:val=""/>
      <w:lvlJc w:val="left"/>
      <w:pPr>
        <w:ind w:left="4887" w:hanging="360"/>
      </w:pPr>
      <w:rPr>
        <w:rFonts w:ascii="Wingdings" w:hAnsi="Wingdings" w:hint="default"/>
      </w:rPr>
    </w:lvl>
    <w:lvl w:ilvl="6" w:tplc="0C000001" w:tentative="1">
      <w:start w:val="1"/>
      <w:numFmt w:val="bullet"/>
      <w:lvlText w:val=""/>
      <w:lvlJc w:val="left"/>
      <w:pPr>
        <w:ind w:left="5607" w:hanging="360"/>
      </w:pPr>
      <w:rPr>
        <w:rFonts w:ascii="Symbol" w:hAnsi="Symbol" w:hint="default"/>
      </w:rPr>
    </w:lvl>
    <w:lvl w:ilvl="7" w:tplc="0C000003" w:tentative="1">
      <w:start w:val="1"/>
      <w:numFmt w:val="bullet"/>
      <w:lvlText w:val="o"/>
      <w:lvlJc w:val="left"/>
      <w:pPr>
        <w:ind w:left="6327" w:hanging="360"/>
      </w:pPr>
      <w:rPr>
        <w:rFonts w:ascii="Courier New" w:hAnsi="Courier New" w:cs="Courier New" w:hint="default"/>
      </w:rPr>
    </w:lvl>
    <w:lvl w:ilvl="8" w:tplc="0C000005" w:tentative="1">
      <w:start w:val="1"/>
      <w:numFmt w:val="bullet"/>
      <w:lvlText w:val=""/>
      <w:lvlJc w:val="left"/>
      <w:pPr>
        <w:ind w:left="7047" w:hanging="360"/>
      </w:pPr>
      <w:rPr>
        <w:rFonts w:ascii="Wingdings" w:hAnsi="Wingdings" w:hint="default"/>
      </w:r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2"/>
  </w:num>
  <w:num w:numId="4">
    <w:abstractNumId w:val="1"/>
  </w:num>
  <w:num w:numId="5">
    <w:abstractNumId w:val="15"/>
  </w:num>
  <w:num w:numId="6">
    <w:abstractNumId w:val="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9"/>
  </w:num>
  <w:num w:numId="10">
    <w:abstractNumId w:val="11"/>
  </w:num>
  <w:num w:numId="11">
    <w:abstractNumId w:val="7"/>
  </w:num>
  <w:num w:numId="12">
    <w:abstractNumId w:val="30"/>
  </w:num>
  <w:num w:numId="13">
    <w:abstractNumId w:val="0"/>
  </w:num>
  <w:num w:numId="14">
    <w:abstractNumId w:val="13"/>
  </w:num>
  <w:num w:numId="15">
    <w:abstractNumId w:val="21"/>
  </w:num>
  <w:num w:numId="16">
    <w:abstractNumId w:val="33"/>
  </w:num>
  <w:num w:numId="17">
    <w:abstractNumId w:val="9"/>
  </w:num>
  <w:num w:numId="18">
    <w:abstractNumId w:val="32"/>
  </w:num>
  <w:num w:numId="19">
    <w:abstractNumId w:val="24"/>
  </w:num>
  <w:num w:numId="20">
    <w:abstractNumId w:val="18"/>
  </w:num>
  <w:num w:numId="21">
    <w:abstractNumId w:val="14"/>
  </w:num>
  <w:num w:numId="22">
    <w:abstractNumId w:val="6"/>
  </w:num>
  <w:num w:numId="23">
    <w:abstractNumId w:val="12"/>
  </w:num>
  <w:num w:numId="24">
    <w:abstractNumId w:val="10"/>
  </w:num>
  <w:num w:numId="25">
    <w:abstractNumId w:val="8"/>
  </w:num>
  <w:num w:numId="26">
    <w:abstractNumId w:val="31"/>
  </w:num>
  <w:num w:numId="27">
    <w:abstractNumId w:val="25"/>
  </w:num>
  <w:num w:numId="28">
    <w:abstractNumId w:val="26"/>
  </w:num>
  <w:num w:numId="29">
    <w:abstractNumId w:val="4"/>
  </w:num>
  <w:num w:numId="30">
    <w:abstractNumId w:val="27"/>
  </w:num>
  <w:num w:numId="31">
    <w:abstractNumId w:val="23"/>
  </w:num>
  <w:num w:numId="32">
    <w:abstractNumId w:val="19"/>
  </w:num>
  <w:num w:numId="33">
    <w:abstractNumId w:val="22"/>
  </w:num>
  <w:num w:numId="34">
    <w:abstractNumId w:val="28"/>
  </w:num>
  <w:num w:numId="35">
    <w:abstractNumId w:val="3"/>
  </w:num>
  <w:num w:numId="3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16565"/>
    <w:rsid w:val="00126183"/>
    <w:rsid w:val="0012667B"/>
    <w:rsid w:val="00127842"/>
    <w:rsid w:val="00127AB4"/>
    <w:rsid w:val="00135199"/>
    <w:rsid w:val="001359BE"/>
    <w:rsid w:val="0014098C"/>
    <w:rsid w:val="00150C0F"/>
    <w:rsid w:val="00160002"/>
    <w:rsid w:val="0016172B"/>
    <w:rsid w:val="00162598"/>
    <w:rsid w:val="00176E5A"/>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40120"/>
    <w:rsid w:val="00251355"/>
    <w:rsid w:val="00252393"/>
    <w:rsid w:val="002818A7"/>
    <w:rsid w:val="00290EAC"/>
    <w:rsid w:val="00293CBB"/>
    <w:rsid w:val="00294937"/>
    <w:rsid w:val="002A2C42"/>
    <w:rsid w:val="002A56A1"/>
    <w:rsid w:val="002B4786"/>
    <w:rsid w:val="002C6F98"/>
    <w:rsid w:val="002D5425"/>
    <w:rsid w:val="002D5DC0"/>
    <w:rsid w:val="002E302E"/>
    <w:rsid w:val="002E5606"/>
    <w:rsid w:val="00300098"/>
    <w:rsid w:val="00311C90"/>
    <w:rsid w:val="00320711"/>
    <w:rsid w:val="003215FC"/>
    <w:rsid w:val="00332AF4"/>
    <w:rsid w:val="003347E8"/>
    <w:rsid w:val="0034681E"/>
    <w:rsid w:val="00350E48"/>
    <w:rsid w:val="00350F4E"/>
    <w:rsid w:val="0035108E"/>
    <w:rsid w:val="00361219"/>
    <w:rsid w:val="003705A6"/>
    <w:rsid w:val="003712F2"/>
    <w:rsid w:val="00371509"/>
    <w:rsid w:val="00371F0B"/>
    <w:rsid w:val="00381B1A"/>
    <w:rsid w:val="003840F5"/>
    <w:rsid w:val="00386026"/>
    <w:rsid w:val="003910F8"/>
    <w:rsid w:val="0039258A"/>
    <w:rsid w:val="00393451"/>
    <w:rsid w:val="00394B2C"/>
    <w:rsid w:val="00395336"/>
    <w:rsid w:val="003A0F5F"/>
    <w:rsid w:val="003B1C2E"/>
    <w:rsid w:val="003B2E7E"/>
    <w:rsid w:val="003B43F7"/>
    <w:rsid w:val="003C1D13"/>
    <w:rsid w:val="003E2D84"/>
    <w:rsid w:val="003E693C"/>
    <w:rsid w:val="003E6D30"/>
    <w:rsid w:val="003F2595"/>
    <w:rsid w:val="003F5956"/>
    <w:rsid w:val="003F7D5B"/>
    <w:rsid w:val="00402529"/>
    <w:rsid w:val="004036A8"/>
    <w:rsid w:val="00403770"/>
    <w:rsid w:val="004121E2"/>
    <w:rsid w:val="00415503"/>
    <w:rsid w:val="00420E9A"/>
    <w:rsid w:val="00432F42"/>
    <w:rsid w:val="00437926"/>
    <w:rsid w:val="00437C60"/>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23268"/>
    <w:rsid w:val="00527592"/>
    <w:rsid w:val="0053377B"/>
    <w:rsid w:val="00540FB7"/>
    <w:rsid w:val="00542FEE"/>
    <w:rsid w:val="00550849"/>
    <w:rsid w:val="00566A81"/>
    <w:rsid w:val="00567F3E"/>
    <w:rsid w:val="005845C2"/>
    <w:rsid w:val="005A6974"/>
    <w:rsid w:val="005B0752"/>
    <w:rsid w:val="005B70F9"/>
    <w:rsid w:val="005C5D6E"/>
    <w:rsid w:val="005E2710"/>
    <w:rsid w:val="005E5511"/>
    <w:rsid w:val="005F65E7"/>
    <w:rsid w:val="005F7249"/>
    <w:rsid w:val="00602C82"/>
    <w:rsid w:val="0060558A"/>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5E91"/>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F040B"/>
    <w:rsid w:val="006F441D"/>
    <w:rsid w:val="00711683"/>
    <w:rsid w:val="00712D43"/>
    <w:rsid w:val="00714D53"/>
    <w:rsid w:val="00717259"/>
    <w:rsid w:val="0072200B"/>
    <w:rsid w:val="007240A0"/>
    <w:rsid w:val="007332D8"/>
    <w:rsid w:val="0073515E"/>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B27A0"/>
    <w:rsid w:val="007B458D"/>
    <w:rsid w:val="007C24B1"/>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A5748"/>
    <w:rsid w:val="008B3EEE"/>
    <w:rsid w:val="008B6FDD"/>
    <w:rsid w:val="008C0AFB"/>
    <w:rsid w:val="008C754F"/>
    <w:rsid w:val="008D0D34"/>
    <w:rsid w:val="008D113B"/>
    <w:rsid w:val="008D3220"/>
    <w:rsid w:val="008F1C9A"/>
    <w:rsid w:val="008F2664"/>
    <w:rsid w:val="008F2DBD"/>
    <w:rsid w:val="008F3844"/>
    <w:rsid w:val="008F3D21"/>
    <w:rsid w:val="00901C1A"/>
    <w:rsid w:val="00903397"/>
    <w:rsid w:val="00904B93"/>
    <w:rsid w:val="009058FD"/>
    <w:rsid w:val="009117D6"/>
    <w:rsid w:val="009214B5"/>
    <w:rsid w:val="0093185B"/>
    <w:rsid w:val="0095095F"/>
    <w:rsid w:val="00952BF0"/>
    <w:rsid w:val="00956F45"/>
    <w:rsid w:val="0097037F"/>
    <w:rsid w:val="00973EF1"/>
    <w:rsid w:val="00977364"/>
    <w:rsid w:val="0098229E"/>
    <w:rsid w:val="00987B83"/>
    <w:rsid w:val="00990230"/>
    <w:rsid w:val="00990987"/>
    <w:rsid w:val="0099327E"/>
    <w:rsid w:val="009A100B"/>
    <w:rsid w:val="009A5B27"/>
    <w:rsid w:val="009B76BE"/>
    <w:rsid w:val="009C258F"/>
    <w:rsid w:val="009D290D"/>
    <w:rsid w:val="009E0C9B"/>
    <w:rsid w:val="009E4346"/>
    <w:rsid w:val="009E55DF"/>
    <w:rsid w:val="009F32D6"/>
    <w:rsid w:val="009F49A6"/>
    <w:rsid w:val="009F4A66"/>
    <w:rsid w:val="009F6493"/>
    <w:rsid w:val="00A00374"/>
    <w:rsid w:val="00A0107D"/>
    <w:rsid w:val="00A01BC9"/>
    <w:rsid w:val="00A06007"/>
    <w:rsid w:val="00A0651D"/>
    <w:rsid w:val="00A113A0"/>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0BA0"/>
    <w:rsid w:val="00AE2A99"/>
    <w:rsid w:val="00AE5507"/>
    <w:rsid w:val="00AF7DCB"/>
    <w:rsid w:val="00B0003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4285"/>
    <w:rsid w:val="00C674A5"/>
    <w:rsid w:val="00C70E44"/>
    <w:rsid w:val="00C73C2F"/>
    <w:rsid w:val="00C7643B"/>
    <w:rsid w:val="00C8260C"/>
    <w:rsid w:val="00C840FE"/>
    <w:rsid w:val="00CA4416"/>
    <w:rsid w:val="00CA6E6F"/>
    <w:rsid w:val="00CD061B"/>
    <w:rsid w:val="00CE0F61"/>
    <w:rsid w:val="00CE4E5E"/>
    <w:rsid w:val="00CE58F8"/>
    <w:rsid w:val="00CF3B5B"/>
    <w:rsid w:val="00CF59FB"/>
    <w:rsid w:val="00D0286A"/>
    <w:rsid w:val="00D04381"/>
    <w:rsid w:val="00D10FC0"/>
    <w:rsid w:val="00D11491"/>
    <w:rsid w:val="00D121FC"/>
    <w:rsid w:val="00D135C6"/>
    <w:rsid w:val="00D14044"/>
    <w:rsid w:val="00D206B6"/>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6AC5"/>
    <w:rsid w:val="00D70688"/>
    <w:rsid w:val="00D72A44"/>
    <w:rsid w:val="00D73100"/>
    <w:rsid w:val="00D73D5B"/>
    <w:rsid w:val="00D777C0"/>
    <w:rsid w:val="00D90F8E"/>
    <w:rsid w:val="00DA21E2"/>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45055"/>
    <w:rsid w:val="00E47CC1"/>
    <w:rsid w:val="00E56FDA"/>
    <w:rsid w:val="00E57189"/>
    <w:rsid w:val="00E7723C"/>
    <w:rsid w:val="00E81D73"/>
    <w:rsid w:val="00E90DC4"/>
    <w:rsid w:val="00E9309D"/>
    <w:rsid w:val="00E94437"/>
    <w:rsid w:val="00EA472D"/>
    <w:rsid w:val="00EB550D"/>
    <w:rsid w:val="00EB6C90"/>
    <w:rsid w:val="00EC08A1"/>
    <w:rsid w:val="00EE1D09"/>
    <w:rsid w:val="00EE4D07"/>
    <w:rsid w:val="00EE5970"/>
    <w:rsid w:val="00EE7240"/>
    <w:rsid w:val="00EF66B8"/>
    <w:rsid w:val="00F069C5"/>
    <w:rsid w:val="00F130D7"/>
    <w:rsid w:val="00F17C76"/>
    <w:rsid w:val="00F21315"/>
    <w:rsid w:val="00F25459"/>
    <w:rsid w:val="00F26952"/>
    <w:rsid w:val="00F270C4"/>
    <w:rsid w:val="00F30E47"/>
    <w:rsid w:val="00F33B17"/>
    <w:rsid w:val="00F414CD"/>
    <w:rsid w:val="00F423E5"/>
    <w:rsid w:val="00F47E97"/>
    <w:rsid w:val="00F520F1"/>
    <w:rsid w:val="00F56296"/>
    <w:rsid w:val="00F56682"/>
    <w:rsid w:val="00F57BB6"/>
    <w:rsid w:val="00F57EC4"/>
    <w:rsid w:val="00F64D62"/>
    <w:rsid w:val="00F6665F"/>
    <w:rsid w:val="00F75021"/>
    <w:rsid w:val="00F77E7D"/>
    <w:rsid w:val="00F82B5C"/>
    <w:rsid w:val="00F84B26"/>
    <w:rsid w:val="00FA4F2B"/>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99"/>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40120"/>
    <w:rPr>
      <w:color w:val="605E5C"/>
      <w:shd w:val="clear" w:color="auto" w:fill="E1DFDD"/>
    </w:rPr>
  </w:style>
  <w:style w:type="character" w:styleId="FollowedHyperlink">
    <w:name w:val="FollowedHyperlink"/>
    <w:basedOn w:val="DefaultParagraphFont"/>
    <w:uiPriority w:val="99"/>
    <w:semiHidden/>
    <w:unhideWhenUsed/>
    <w:rsid w:val="00240120"/>
    <w:rPr>
      <w:color w:val="800080" w:themeColor="followedHyperlink"/>
      <w:u w:val="single"/>
    </w:rPr>
  </w:style>
  <w:style w:type="character" w:customStyle="1" w:styleId="ListParagraphChar">
    <w:name w:val="List Paragraph Char"/>
    <w:basedOn w:val="DefaultParagraphFont"/>
    <w:link w:val="ListParagraph"/>
    <w:uiPriority w:val="99"/>
    <w:rsid w:val="00CF3B5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24237584">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vantsa.kereselidze@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3CD8DCB0A64511945B5FF57B15C4F4"/>
        <w:category>
          <w:name w:val="General"/>
          <w:gallery w:val="placeholder"/>
        </w:category>
        <w:types>
          <w:type w:val="bbPlcHdr"/>
        </w:types>
        <w:behaviors>
          <w:behavior w:val="content"/>
        </w:behaviors>
        <w:guid w:val="{E966C2AB-9DF0-4F30-9B5B-8CA8B11440DC}"/>
      </w:docPartPr>
      <w:docPartBody>
        <w:p w:rsidR="00594980" w:rsidRDefault="007816D0" w:rsidP="007816D0">
          <w:pPr>
            <w:pStyle w:val="383CD8DCB0A64511945B5FF57B15C4F4"/>
          </w:pPr>
          <w:r w:rsidRPr="00802563">
            <w:rPr>
              <w:rStyle w:val="PlaceholderText"/>
              <w:rFonts w:ascii="Arial Narrow" w:hAnsi="Arial Narrow"/>
              <w:sz w:val="20"/>
              <w:szCs w:val="20"/>
              <w:highlight w:val="cyan"/>
            </w:rPr>
            <w:t>date</w:t>
          </w:r>
        </w:p>
      </w:docPartBody>
    </w:docPart>
    <w:docPart>
      <w:docPartPr>
        <w:name w:val="D5C836306CD84132B404141127C01D21"/>
        <w:category>
          <w:name w:val="General"/>
          <w:gallery w:val="placeholder"/>
        </w:category>
        <w:types>
          <w:type w:val="bbPlcHdr"/>
        </w:types>
        <w:behaviors>
          <w:behavior w:val="content"/>
        </w:behaviors>
        <w:guid w:val="{796238B9-EBD1-4041-B18A-F58AB160C2E6}"/>
      </w:docPartPr>
      <w:docPartBody>
        <w:p w:rsidR="00594980" w:rsidRDefault="007816D0" w:rsidP="007816D0">
          <w:pPr>
            <w:pStyle w:val="D5C836306CD84132B404141127C01D21"/>
          </w:pPr>
          <w:r w:rsidRPr="00802563">
            <w:rPr>
              <w:rStyle w:val="PlaceholderText"/>
              <w:rFonts w:ascii="Arial Narrow" w:hAnsi="Arial Narrow"/>
              <w:sz w:val="20"/>
              <w:szCs w:val="20"/>
              <w:highlight w:val="cyan"/>
            </w:rPr>
            <w:t>date</w:t>
          </w:r>
        </w:p>
      </w:docPartBody>
    </w:docPart>
    <w:docPart>
      <w:docPartPr>
        <w:name w:val="05DE390A2339458285F031EA2A35E2A2"/>
        <w:category>
          <w:name w:val="General"/>
          <w:gallery w:val="placeholder"/>
        </w:category>
        <w:types>
          <w:type w:val="bbPlcHdr"/>
        </w:types>
        <w:behaviors>
          <w:behavior w:val="content"/>
        </w:behaviors>
        <w:guid w:val="{5F0E706A-7DE0-4522-9481-E1CF53655128}"/>
      </w:docPartPr>
      <w:docPartBody>
        <w:p w:rsidR="00594980" w:rsidRDefault="007816D0" w:rsidP="007816D0">
          <w:pPr>
            <w:pStyle w:val="05DE390A2339458285F031EA2A35E2A2"/>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066F21"/>
    <w:rsid w:val="00135641"/>
    <w:rsid w:val="003731FE"/>
    <w:rsid w:val="00392D74"/>
    <w:rsid w:val="003D0227"/>
    <w:rsid w:val="004A1032"/>
    <w:rsid w:val="00594980"/>
    <w:rsid w:val="00710995"/>
    <w:rsid w:val="00751C8E"/>
    <w:rsid w:val="007816D0"/>
    <w:rsid w:val="008D0C6C"/>
    <w:rsid w:val="0093387A"/>
    <w:rsid w:val="00973DC9"/>
    <w:rsid w:val="00B1718D"/>
    <w:rsid w:val="00B832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816D0"/>
    <w:rPr>
      <w:color w:val="808080"/>
    </w:rPr>
  </w:style>
  <w:style w:type="paragraph" w:customStyle="1" w:styleId="383CD8DCB0A64511945B5FF57B15C4F4">
    <w:name w:val="383CD8DCB0A64511945B5FF57B15C4F4"/>
    <w:rsid w:val="007816D0"/>
    <w:rPr>
      <w:lang w:val="en-150" w:eastAsia="en-150"/>
    </w:rPr>
  </w:style>
  <w:style w:type="paragraph" w:customStyle="1" w:styleId="D5C836306CD84132B404141127C01D21">
    <w:name w:val="D5C836306CD84132B404141127C01D21"/>
    <w:rsid w:val="007816D0"/>
    <w:rPr>
      <w:lang w:val="en-150" w:eastAsia="en-150"/>
    </w:rPr>
  </w:style>
  <w:style w:type="paragraph" w:customStyle="1" w:styleId="05DE390A2339458285F031EA2A35E2A2">
    <w:name w:val="05DE390A2339458285F031EA2A35E2A2"/>
    <w:rsid w:val="007816D0"/>
    <w:rPr>
      <w:lang w:val="en-150" w:eastAsia="en-15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6418</Words>
  <Characters>36584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42917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NOZADZE Tamar</cp:lastModifiedBy>
  <cp:revision>4</cp:revision>
  <cp:lastPrinted>2021-02-02T14:57:00Z</cp:lastPrinted>
  <dcterms:created xsi:type="dcterms:W3CDTF">2021-10-07T07:50:00Z</dcterms:created>
  <dcterms:modified xsi:type="dcterms:W3CDTF">2021-10-19T11:48:00Z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