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13682" w14:textId="5D076318" w:rsidR="002118A0" w:rsidRDefault="002118A0"/>
    <w:p w14:paraId="7F716728" w14:textId="734E315C" w:rsidR="00D5459C" w:rsidRDefault="00D5459C"/>
    <w:p w14:paraId="19C881DF" w14:textId="3C2B0DC5" w:rsidR="00DD0586" w:rsidRDefault="00DD0586"/>
    <w:p w14:paraId="5ABC1C86" w14:textId="7D9F3856" w:rsidR="00DD0586" w:rsidRPr="002374AB" w:rsidRDefault="00DD0586">
      <w:pPr>
        <w:rPr>
          <w:rFonts w:ascii="Tahoma" w:hAnsi="Tahoma" w:cs="Tahoma"/>
          <w:sz w:val="28"/>
          <w:szCs w:val="28"/>
        </w:rPr>
      </w:pPr>
    </w:p>
    <w:p w14:paraId="60413E84" w14:textId="77777777" w:rsidR="00DD0586" w:rsidRPr="002374AB" w:rsidRDefault="00DD0586">
      <w:pPr>
        <w:rPr>
          <w:rFonts w:ascii="Tahoma" w:hAnsi="Tahoma" w:cs="Tahoma"/>
          <w:sz w:val="28"/>
          <w:szCs w:val="28"/>
        </w:rPr>
      </w:pPr>
    </w:p>
    <w:p w14:paraId="64B2C4CC" w14:textId="5B8332E5" w:rsidR="00D5459C" w:rsidRPr="002374AB" w:rsidRDefault="00D5459C">
      <w:pPr>
        <w:rPr>
          <w:rFonts w:ascii="Tahoma" w:hAnsi="Tahoma" w:cs="Tahoma"/>
          <w:sz w:val="28"/>
          <w:szCs w:val="28"/>
        </w:rPr>
      </w:pPr>
    </w:p>
    <w:p w14:paraId="6124ED9A" w14:textId="092BD5CF" w:rsidR="00DD0586" w:rsidRPr="002374AB" w:rsidRDefault="00DD0586" w:rsidP="00DD0586">
      <w:pPr>
        <w:jc w:val="center"/>
        <w:rPr>
          <w:rFonts w:ascii="Tahoma" w:hAnsi="Tahoma" w:cs="Tahoma"/>
          <w:b/>
          <w:sz w:val="28"/>
          <w:szCs w:val="28"/>
        </w:rPr>
      </w:pPr>
      <w:r w:rsidRPr="002374AB">
        <w:rPr>
          <w:rFonts w:ascii="Tahoma" w:hAnsi="Tahoma" w:cs="Tahoma"/>
          <w:b/>
          <w:sz w:val="28"/>
          <w:szCs w:val="28"/>
        </w:rPr>
        <w:t>EXPERTISE LEGISLATIVE SUR L’ARCHITECTURE INSTITUTIONNELLE DE LA DECENTRALISATION AU MAROC</w:t>
      </w:r>
    </w:p>
    <w:p w14:paraId="71B614BA" w14:textId="71461C0D" w:rsidR="00DD0586" w:rsidRPr="002374AB" w:rsidRDefault="00DD0586" w:rsidP="00DD0586">
      <w:pPr>
        <w:jc w:val="center"/>
        <w:rPr>
          <w:rFonts w:ascii="Tahoma" w:hAnsi="Tahoma" w:cs="Tahoma"/>
          <w:b/>
          <w:sz w:val="28"/>
          <w:szCs w:val="28"/>
        </w:rPr>
      </w:pPr>
    </w:p>
    <w:p w14:paraId="29AF21EC" w14:textId="3EB536AC" w:rsidR="00DD0586" w:rsidRPr="002374AB" w:rsidRDefault="00DD0586" w:rsidP="00DD0586">
      <w:pPr>
        <w:jc w:val="center"/>
        <w:rPr>
          <w:rFonts w:ascii="Tahoma" w:hAnsi="Tahoma" w:cs="Tahoma"/>
          <w:b/>
          <w:sz w:val="28"/>
          <w:szCs w:val="28"/>
        </w:rPr>
      </w:pPr>
    </w:p>
    <w:p w14:paraId="48FF3974" w14:textId="3E56A5FA" w:rsidR="00DD0586" w:rsidRPr="002374AB" w:rsidRDefault="00DD0586" w:rsidP="00DD0586">
      <w:pPr>
        <w:jc w:val="center"/>
        <w:rPr>
          <w:rFonts w:ascii="Tahoma" w:hAnsi="Tahoma" w:cs="Tahoma"/>
          <w:bCs/>
          <w:sz w:val="28"/>
          <w:szCs w:val="28"/>
        </w:rPr>
      </w:pPr>
      <w:r w:rsidRPr="002374AB">
        <w:rPr>
          <w:rFonts w:ascii="Tahoma" w:hAnsi="Tahoma" w:cs="Tahoma"/>
          <w:bCs/>
          <w:sz w:val="28"/>
          <w:szCs w:val="28"/>
        </w:rPr>
        <w:t xml:space="preserve">Demande d’accompagnement par la Délégation du Maroc auprès du Congrès des pouvoirs locaux et régionaux du Conseil de l’Europe dans le cadre des activités de coopération </w:t>
      </w:r>
    </w:p>
    <w:p w14:paraId="2CDDE1D6" w14:textId="572D9C24" w:rsidR="00DD0586" w:rsidRPr="002374AB" w:rsidRDefault="00DD0586">
      <w:pPr>
        <w:rPr>
          <w:rFonts w:ascii="Tahoma" w:hAnsi="Tahoma" w:cs="Tahoma"/>
          <w:sz w:val="28"/>
          <w:szCs w:val="28"/>
        </w:rPr>
      </w:pPr>
    </w:p>
    <w:p w14:paraId="0BCC0346" w14:textId="2CA64103" w:rsidR="00DD0586" w:rsidRPr="002374AB" w:rsidRDefault="00DD0586">
      <w:pPr>
        <w:rPr>
          <w:rFonts w:ascii="Tahoma" w:hAnsi="Tahoma" w:cs="Tahoma"/>
        </w:rPr>
      </w:pPr>
    </w:p>
    <w:p w14:paraId="0118ECDB" w14:textId="34433C17" w:rsidR="00DD0586" w:rsidRPr="002374AB" w:rsidRDefault="00DD0586">
      <w:pPr>
        <w:rPr>
          <w:rFonts w:ascii="Tahoma" w:hAnsi="Tahoma" w:cs="Tahoma"/>
        </w:rPr>
      </w:pPr>
    </w:p>
    <w:p w14:paraId="1265107B" w14:textId="77777777" w:rsidR="00DD0586" w:rsidRPr="002374AB" w:rsidRDefault="00DD0586">
      <w:pPr>
        <w:rPr>
          <w:rFonts w:ascii="Tahoma" w:hAnsi="Tahoma" w:cs="Tahoma"/>
        </w:rPr>
      </w:pPr>
    </w:p>
    <w:p w14:paraId="2AE1F5CB" w14:textId="77777777" w:rsidR="00D5459C" w:rsidRPr="002374AB" w:rsidRDefault="00D5459C" w:rsidP="00D5459C">
      <w:pPr>
        <w:suppressAutoHyphens/>
        <w:autoSpaceDN w:val="0"/>
        <w:spacing w:after="0" w:line="276" w:lineRule="auto"/>
        <w:jc w:val="both"/>
        <w:textAlignment w:val="baseline"/>
        <w:outlineLvl w:val="0"/>
        <w:rPr>
          <w:rFonts w:ascii="Tahoma" w:eastAsia="Times New Roman" w:hAnsi="Tahoma" w:cs="Tahoma"/>
          <w:b/>
          <w:color w:val="000000" w:themeColor="text1"/>
          <w:lang w:eastAsia="fr-FR"/>
        </w:rPr>
      </w:pPr>
    </w:p>
    <w:tbl>
      <w:tblPr>
        <w:tblStyle w:val="TableGrid"/>
        <w:tblpPr w:leftFromText="180" w:rightFromText="180" w:vertAnchor="text" w:horzAnchor="margin" w:tblpY="40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374AB" w:rsidRPr="002374AB" w14:paraId="1E2D9D88" w14:textId="77777777" w:rsidTr="002374AB">
        <w:tc>
          <w:tcPr>
            <w:tcW w:w="5353" w:type="dxa"/>
            <w:shd w:val="clear" w:color="auto" w:fill="C9C9C9" w:themeFill="accent3" w:themeFillTint="99"/>
          </w:tcPr>
          <w:p w14:paraId="304690CC" w14:textId="74F39FCC" w:rsidR="002374AB" w:rsidRPr="002374AB" w:rsidRDefault="002374AB" w:rsidP="002374AB">
            <w:pPr>
              <w:spacing w:after="160" w:line="259" w:lineRule="auto"/>
              <w:jc w:val="both"/>
              <w:rPr>
                <w:rFonts w:ascii="Tahoma" w:hAnsi="Tahoma" w:cs="Tahoma"/>
                <w:i/>
                <w:sz w:val="22"/>
              </w:rPr>
            </w:pPr>
            <w:r w:rsidRPr="002374AB">
              <w:rPr>
                <w:rFonts w:ascii="Tahoma" w:hAnsi="Tahoma" w:cs="Tahoma"/>
                <w:i/>
                <w:sz w:val="22"/>
              </w:rPr>
              <w:t xml:space="preserve">Ce document représente une base indicative, qui peut être modifiée selon les suggestions du prestataire adaptées aux besoins </w:t>
            </w:r>
            <w:r w:rsidR="004F6019" w:rsidRPr="00787713">
              <w:rPr>
                <w:rFonts w:ascii="Tahoma" w:hAnsi="Tahoma" w:cs="Tahoma"/>
                <w:i/>
                <w:sz w:val="22"/>
              </w:rPr>
              <w:t>de la délégation marocaine</w:t>
            </w:r>
            <w:r w:rsidR="00787713">
              <w:rPr>
                <w:rFonts w:ascii="Tahoma" w:hAnsi="Tahoma" w:cs="Tahoma"/>
                <w:i/>
                <w:sz w:val="22"/>
              </w:rPr>
              <w:t>.</w:t>
            </w:r>
          </w:p>
        </w:tc>
      </w:tr>
    </w:tbl>
    <w:p w14:paraId="0C134D25" w14:textId="57011F74" w:rsidR="00DD0586" w:rsidRPr="002374AB" w:rsidRDefault="002374AB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ahoma" w:hAnsi="Tahoma" w:cs="Tahoma"/>
          <w:b/>
          <w:bCs/>
          <w:i/>
          <w:iCs/>
          <w:color w:val="C00000"/>
          <w:sz w:val="28"/>
          <w:szCs w:val="28"/>
          <w:u w:val="single"/>
        </w:rPr>
      </w:pPr>
      <w:r w:rsidRPr="002374AB">
        <w:rPr>
          <w:rFonts w:ascii="Tahoma" w:hAnsi="Tahoma" w:cs="Tahoma"/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="00DD0586" w:rsidRPr="002374AB">
        <w:rPr>
          <w:rFonts w:ascii="Tahoma" w:hAnsi="Tahoma" w:cs="Tahoma"/>
          <w:b/>
          <w:bCs/>
          <w:i/>
          <w:iCs/>
          <w:color w:val="C00000"/>
          <w:sz w:val="28"/>
          <w:szCs w:val="28"/>
          <w:u w:val="single"/>
        </w:rPr>
        <w:br w:type="page"/>
      </w:r>
    </w:p>
    <w:p w14:paraId="399F3102" w14:textId="4F4458E6" w:rsidR="00D5459C" w:rsidRPr="002374AB" w:rsidRDefault="00D5459C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ahoma" w:hAnsi="Tahoma" w:cs="Tahoma"/>
          <w:b/>
          <w:bCs/>
          <w:i/>
          <w:iCs/>
          <w:color w:val="C00000"/>
          <w:u w:val="single"/>
        </w:rPr>
      </w:pPr>
      <w:r w:rsidRPr="002374AB">
        <w:rPr>
          <w:rFonts w:ascii="Tahoma" w:hAnsi="Tahoma" w:cs="Tahoma"/>
          <w:b/>
          <w:bCs/>
          <w:i/>
          <w:iCs/>
          <w:color w:val="C00000"/>
          <w:u w:val="single"/>
        </w:rPr>
        <w:lastRenderedPageBreak/>
        <w:t>ANNEXES</w:t>
      </w:r>
    </w:p>
    <w:p w14:paraId="2B27DF69" w14:textId="665D1A2E" w:rsidR="00D5459C" w:rsidRDefault="00D5459C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</w:p>
    <w:p w14:paraId="1CC23725" w14:textId="61CA5783" w:rsidR="007E665A" w:rsidRDefault="007E665A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</w:p>
    <w:p w14:paraId="2A8C2AF6" w14:textId="77777777" w:rsidR="007E665A" w:rsidRDefault="007E665A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</w:p>
    <w:p w14:paraId="43F16A3A" w14:textId="63F9DEB8" w:rsidR="002374AB" w:rsidRDefault="002374AB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</w:p>
    <w:p w14:paraId="03E232E8" w14:textId="17C79DA4" w:rsidR="007E665A" w:rsidRDefault="007E665A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</w:p>
    <w:p w14:paraId="5FF74842" w14:textId="2D2C516D" w:rsidR="007E665A" w:rsidRPr="007E665A" w:rsidRDefault="007E665A" w:rsidP="007E665A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rPr>
          <w:rFonts w:ascii="Tahoma" w:hAnsi="Tahoma" w:cs="Tahoma"/>
          <w:b/>
          <w:bCs/>
          <w:i/>
          <w:iCs/>
          <w:color w:val="C00000"/>
        </w:rPr>
      </w:pPr>
      <w:r w:rsidRPr="007E665A">
        <w:rPr>
          <w:rFonts w:ascii="Tahoma" w:hAnsi="Tahoma" w:cs="Tahoma"/>
          <w:b/>
          <w:bCs/>
          <w:i/>
          <w:iCs/>
          <w:color w:val="C00000"/>
        </w:rPr>
        <w:t>Objectifs spécifiques</w:t>
      </w:r>
    </w:p>
    <w:p w14:paraId="39952E1D" w14:textId="77777777" w:rsidR="007E665A" w:rsidRPr="007E665A" w:rsidRDefault="007E665A" w:rsidP="007E665A">
      <w:pPr>
        <w:pStyle w:val="Paragraphedeliste1"/>
        <w:spacing w:after="120" w:line="276" w:lineRule="auto"/>
        <w:ind w:left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37A4E9C4" w14:textId="6ED341EE" w:rsidR="007E665A" w:rsidRPr="007E665A" w:rsidRDefault="007E665A" w:rsidP="007E665A">
      <w:pPr>
        <w:pStyle w:val="Paragraphedeliste1"/>
        <w:spacing w:after="120" w:line="276" w:lineRule="auto"/>
        <w:ind w:left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 xml:space="preserve">Les objectifs spécifiques recherchés à travers cet accompagnement consistent à sélectionner des experts capables de répondre à certains questionnements majeurs et de dégager des perspectives prometteuses pour l’approfondissement et l’amélioration du cadre juridique et réglementaire du processus de décentralisation au Maroc. </w:t>
      </w:r>
    </w:p>
    <w:p w14:paraId="4CA8DEB7" w14:textId="77777777" w:rsidR="007E665A" w:rsidRPr="007E665A" w:rsidRDefault="007E665A" w:rsidP="007E665A">
      <w:pPr>
        <w:pStyle w:val="Paragraphedeliste1"/>
        <w:spacing w:after="120" w:line="276" w:lineRule="auto"/>
        <w:ind w:left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0574FC82" w14:textId="77777777" w:rsidR="007E665A" w:rsidRPr="007E665A" w:rsidRDefault="007E665A" w:rsidP="007E665A">
      <w:pPr>
        <w:pStyle w:val="Paragraphedeliste1"/>
        <w:spacing w:after="120" w:line="276" w:lineRule="auto"/>
        <w:ind w:left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>Parmi les questionnements majeurs on peut citer, notamment :</w:t>
      </w:r>
    </w:p>
    <w:p w14:paraId="7407BB86" w14:textId="77777777" w:rsidR="007E665A" w:rsidRPr="007E665A" w:rsidRDefault="007E665A" w:rsidP="007E665A">
      <w:pPr>
        <w:pStyle w:val="Paragraphedeliste1"/>
        <w:numPr>
          <w:ilvl w:val="0"/>
          <w:numId w:val="10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>Comment clarifier et monitorer les compétences entre les différents niveaux de décentralisation ?</w:t>
      </w:r>
    </w:p>
    <w:p w14:paraId="67B1FBA3" w14:textId="77777777" w:rsidR="007E665A" w:rsidRPr="007E665A" w:rsidRDefault="007E665A" w:rsidP="007E665A">
      <w:pPr>
        <w:pStyle w:val="Paragraphedeliste1"/>
        <w:numPr>
          <w:ilvl w:val="0"/>
          <w:numId w:val="10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>Comment la répartition des compétences influe-t-elle sur le développement régional inclusif ?</w:t>
      </w:r>
    </w:p>
    <w:p w14:paraId="320F9513" w14:textId="77777777" w:rsidR="007E665A" w:rsidRPr="007E665A" w:rsidRDefault="007E665A" w:rsidP="007E665A">
      <w:pPr>
        <w:pStyle w:val="Paragraphedeliste1"/>
        <w:numPr>
          <w:ilvl w:val="0"/>
          <w:numId w:val="10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>Comment une intégration des politiques publiques au niveau local peut-elle être efficiente ?</w:t>
      </w:r>
    </w:p>
    <w:p w14:paraId="1AD6D338" w14:textId="77777777" w:rsidR="007E665A" w:rsidRPr="007E665A" w:rsidRDefault="007E665A" w:rsidP="007E665A">
      <w:pPr>
        <w:pStyle w:val="Paragraphedeliste1"/>
        <w:numPr>
          <w:ilvl w:val="0"/>
          <w:numId w:val="10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>Quel rôle attribué au niveau intermédiaire (Préfecture/Province) dans l’intégration des politiques publiques, notamment à travers le pouvoir de suppléance dont elle dispose vis-vis des Communes ?</w:t>
      </w:r>
    </w:p>
    <w:p w14:paraId="3E71D29A" w14:textId="77777777" w:rsidR="007E665A" w:rsidRPr="007E665A" w:rsidRDefault="007E665A" w:rsidP="007E665A">
      <w:pPr>
        <w:pStyle w:val="Paragraphedeliste1"/>
        <w:numPr>
          <w:ilvl w:val="0"/>
          <w:numId w:val="10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>Quels rôles peuvent jouer les groupements de Collectivités Territoriales dans l’intégration des politiques publiques et la convergence avec les projets et programmes sectoriels ?</w:t>
      </w:r>
    </w:p>
    <w:p w14:paraId="2FA92DD2" w14:textId="77777777" w:rsidR="007E665A" w:rsidRPr="007E665A" w:rsidRDefault="007E665A" w:rsidP="007E665A">
      <w:pPr>
        <w:pStyle w:val="Paragraphedeliste1"/>
        <w:numPr>
          <w:ilvl w:val="0"/>
          <w:numId w:val="10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>Quel impact a la programmation sectorielle du Budget Général de l’Etat sur l’adoption d’une approche régionale et territoriale dans la programmation des projets ou actions en vue d’aboutir aux contrats Etat-Région ?</w:t>
      </w:r>
    </w:p>
    <w:p w14:paraId="084F9CE5" w14:textId="77777777" w:rsidR="007E665A" w:rsidRPr="007E665A" w:rsidRDefault="007E665A" w:rsidP="007E665A">
      <w:pPr>
        <w:pStyle w:val="Paragraphedeliste1"/>
        <w:numPr>
          <w:ilvl w:val="0"/>
          <w:numId w:val="10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>Comment intégré en amont les Collectivités Territoriales, à travers leurs associations d’élu-e-s au processus d’élaboration des politiques publiques ?</w:t>
      </w:r>
    </w:p>
    <w:p w14:paraId="7142BB3B" w14:textId="77777777" w:rsidR="007E665A" w:rsidRPr="007E665A" w:rsidRDefault="007E665A" w:rsidP="007E665A">
      <w:pPr>
        <w:pStyle w:val="Paragraphedeliste1"/>
        <w:numPr>
          <w:ilvl w:val="0"/>
          <w:numId w:val="10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>Enfin, comment garantir une convergence et une intégration efficiente de l’ensemble des acteurs locaux, étatiques, privés pour aboutir à un développement socio-économique territorial inclusif ?</w:t>
      </w:r>
    </w:p>
    <w:p w14:paraId="2815AF8F" w14:textId="77777777" w:rsidR="007E665A" w:rsidRPr="007E665A" w:rsidRDefault="007E665A" w:rsidP="007E665A">
      <w:pPr>
        <w:pStyle w:val="Paragraphedeliste1"/>
        <w:numPr>
          <w:ilvl w:val="0"/>
          <w:numId w:val="10"/>
        </w:numPr>
        <w:tabs>
          <w:tab w:val="left" w:pos="360"/>
        </w:tabs>
        <w:spacing w:after="120" w:line="276" w:lineRule="auto"/>
        <w:ind w:left="0" w:firstLine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7E665A">
        <w:rPr>
          <w:rFonts w:ascii="Tahoma" w:eastAsiaTheme="minorHAnsi" w:hAnsi="Tahoma" w:cs="Tahoma"/>
          <w:sz w:val="22"/>
          <w:szCs w:val="22"/>
          <w:lang w:eastAsia="en-US"/>
        </w:rPr>
        <w:t xml:space="preserve">Quels mécanismes de coordination et d’appui des CT par les autorités centrales ? </w:t>
      </w:r>
    </w:p>
    <w:p w14:paraId="62FCD4CB" w14:textId="77777777" w:rsidR="007E665A" w:rsidRPr="005126CA" w:rsidRDefault="007E665A" w:rsidP="007E665A">
      <w:pPr>
        <w:pStyle w:val="Paragraphedeliste1"/>
        <w:spacing w:after="120" w:line="276" w:lineRule="auto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8F3B93C" w14:textId="391626C9" w:rsidR="007E665A" w:rsidRDefault="007E665A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</w:p>
    <w:p w14:paraId="21DACDC1" w14:textId="62142BB2" w:rsidR="007E665A" w:rsidRDefault="007E665A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</w:p>
    <w:p w14:paraId="3ADD298D" w14:textId="77777777" w:rsidR="007E665A" w:rsidRPr="002374AB" w:rsidRDefault="007E665A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</w:p>
    <w:p w14:paraId="2C16162A" w14:textId="77777777" w:rsidR="007E665A" w:rsidRDefault="007E665A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33B29623" w14:textId="5539F919" w:rsidR="00D5459C" w:rsidRPr="002374AB" w:rsidRDefault="00D5459C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lastRenderedPageBreak/>
        <w:t xml:space="preserve">Par ailleurs, le maître d’ouvrage met à la disposition des soumissionnaires, </w:t>
      </w:r>
      <w:r w:rsidRPr="00787713">
        <w:rPr>
          <w:rFonts w:ascii="Tahoma" w:hAnsi="Tahoma" w:cs="Tahoma"/>
        </w:rPr>
        <w:t>à titre indicatif</w:t>
      </w:r>
      <w:r w:rsidRPr="002374AB">
        <w:rPr>
          <w:rFonts w:ascii="Tahoma" w:hAnsi="Tahoma" w:cs="Tahoma"/>
        </w:rPr>
        <w:t xml:space="preserve">, la structure du document final à produire ainsi qu’un certain nombre de documents de référence : </w:t>
      </w:r>
    </w:p>
    <w:p w14:paraId="65369222" w14:textId="77777777" w:rsidR="00D5459C" w:rsidRPr="002374AB" w:rsidRDefault="00D5459C" w:rsidP="00D5459C">
      <w:pPr>
        <w:pStyle w:val="ListParagraph"/>
        <w:autoSpaceDE w:val="0"/>
        <w:autoSpaceDN w:val="0"/>
        <w:adjustRightInd w:val="0"/>
        <w:spacing w:after="0" w:line="276" w:lineRule="auto"/>
        <w:ind w:left="0"/>
        <w:jc w:val="both"/>
        <w:rPr>
          <w:rFonts w:ascii="Tahoma" w:hAnsi="Tahoma" w:cs="Tahoma"/>
          <w:lang w:val="fr-CA"/>
        </w:rPr>
      </w:pPr>
    </w:p>
    <w:p w14:paraId="7990FEE3" w14:textId="77777777" w:rsidR="00D5459C" w:rsidRPr="002374AB" w:rsidRDefault="00D5459C" w:rsidP="00D5459C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rPr>
          <w:rFonts w:ascii="Tahoma" w:hAnsi="Tahoma" w:cs="Tahoma"/>
          <w:b/>
          <w:bCs/>
          <w:i/>
          <w:iCs/>
          <w:color w:val="C00000"/>
        </w:rPr>
      </w:pPr>
      <w:r w:rsidRPr="002374AB">
        <w:rPr>
          <w:rFonts w:ascii="Tahoma" w:hAnsi="Tahoma" w:cs="Tahoma"/>
          <w:b/>
          <w:bCs/>
          <w:i/>
          <w:iCs/>
          <w:color w:val="C00000"/>
        </w:rPr>
        <w:t>Projet de structure du document final</w:t>
      </w:r>
    </w:p>
    <w:p w14:paraId="4A8F30D1" w14:textId="77777777" w:rsidR="00D5459C" w:rsidRPr="002374AB" w:rsidRDefault="00D5459C" w:rsidP="00D5459C">
      <w:pPr>
        <w:pStyle w:val="ListParagraph"/>
        <w:ind w:left="0"/>
        <w:rPr>
          <w:rFonts w:ascii="Tahoma" w:hAnsi="Tahoma" w:cs="Tahoma"/>
          <w:b/>
          <w:bCs/>
          <w:color w:val="5B9BD5" w:themeColor="accent5"/>
        </w:rPr>
      </w:pPr>
    </w:p>
    <w:p w14:paraId="7250A08F" w14:textId="77777777" w:rsidR="00D5459C" w:rsidRPr="002374AB" w:rsidRDefault="00D5459C" w:rsidP="00D5459C">
      <w:pPr>
        <w:pStyle w:val="ListParagraph"/>
        <w:ind w:left="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Le document final, qui ne devra pas dépasser 40 pages (N/C les annexes), pourrait être, de préférence, structuré comme suit, sauf proposition meilleure présentée par le prestataire de service et validée par le Comité de Pilotage.</w:t>
      </w:r>
    </w:p>
    <w:p w14:paraId="1A2C779A" w14:textId="77777777" w:rsidR="00D5459C" w:rsidRPr="002374AB" w:rsidRDefault="00D5459C" w:rsidP="00D5459C">
      <w:pPr>
        <w:pStyle w:val="ListParagraph"/>
        <w:ind w:left="0"/>
        <w:rPr>
          <w:rFonts w:ascii="Tahoma" w:hAnsi="Tahoma" w:cs="Tahoma"/>
        </w:rPr>
      </w:pPr>
    </w:p>
    <w:p w14:paraId="36F506EB" w14:textId="77777777" w:rsidR="00D5459C" w:rsidRPr="002374AB" w:rsidRDefault="00D5459C" w:rsidP="00D5459C">
      <w:pPr>
        <w:tabs>
          <w:tab w:val="left" w:pos="1080"/>
        </w:tabs>
        <w:ind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  <w:b/>
          <w:bCs/>
        </w:rPr>
        <w:t>Résumé exécutif</w:t>
      </w:r>
      <w:r w:rsidRPr="002374AB">
        <w:rPr>
          <w:rFonts w:ascii="Tahoma" w:hAnsi="Tahoma" w:cs="Tahoma"/>
        </w:rPr>
        <w:t xml:space="preserve"> </w:t>
      </w:r>
    </w:p>
    <w:p w14:paraId="71173325" w14:textId="77777777" w:rsidR="00D5459C" w:rsidRPr="002374AB" w:rsidRDefault="00D5459C" w:rsidP="00D5459C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Une brève description du sujet  </w:t>
      </w:r>
    </w:p>
    <w:p w14:paraId="2212011D" w14:textId="77777777" w:rsidR="00D5459C" w:rsidRPr="002374AB" w:rsidRDefault="00D5459C" w:rsidP="00D5459C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Le contexte, la situation actuelle et une description du sujet par rapport à des questions connexes ;</w:t>
      </w:r>
    </w:p>
    <w:p w14:paraId="27C173F4" w14:textId="77777777" w:rsidR="00D5459C" w:rsidRPr="002374AB" w:rsidRDefault="00D5459C" w:rsidP="00D5459C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L’objet, les objectifs de l’étude </w:t>
      </w:r>
    </w:p>
    <w:p w14:paraId="438A16E1" w14:textId="77777777" w:rsidR="00D5459C" w:rsidRPr="002374AB" w:rsidRDefault="00D5459C" w:rsidP="00D5459C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Une brève description de la méthode suivie, y compris les raisons qui ont déterminé le choix de cette méthode, la source des données utilisées, les méthodes utilisées pour la collecte et l’analyse des données, et les principales contraintes ; </w:t>
      </w:r>
    </w:p>
    <w:p w14:paraId="239C9B45" w14:textId="77777777" w:rsidR="00D5459C" w:rsidRPr="002374AB" w:rsidRDefault="00D5459C" w:rsidP="00D5459C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Les principaux résultats des données collectées et conclusions ; </w:t>
      </w:r>
    </w:p>
    <w:p w14:paraId="49FD5E43" w14:textId="77777777" w:rsidR="00D5459C" w:rsidRPr="002374AB" w:rsidRDefault="00D5459C" w:rsidP="00D5459C">
      <w:pPr>
        <w:pStyle w:val="ListParagraph"/>
        <w:numPr>
          <w:ilvl w:val="0"/>
          <w:numId w:val="4"/>
        </w:numPr>
        <w:tabs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Les principales recommandations.</w:t>
      </w:r>
    </w:p>
    <w:p w14:paraId="18161306" w14:textId="77777777" w:rsidR="00D5459C" w:rsidRPr="002374AB" w:rsidRDefault="00D5459C" w:rsidP="00D5459C">
      <w:pPr>
        <w:pStyle w:val="ListParagraph"/>
        <w:tabs>
          <w:tab w:val="left" w:pos="1080"/>
        </w:tabs>
        <w:ind w:left="0" w:firstLine="720"/>
        <w:jc w:val="both"/>
        <w:rPr>
          <w:rFonts w:ascii="Tahoma" w:hAnsi="Tahoma" w:cs="Tahoma"/>
        </w:rPr>
      </w:pPr>
    </w:p>
    <w:p w14:paraId="21E48920" w14:textId="77777777" w:rsidR="00D5459C" w:rsidRPr="002374AB" w:rsidRDefault="00D5459C" w:rsidP="00D5459C">
      <w:pPr>
        <w:tabs>
          <w:tab w:val="left" w:pos="1080"/>
        </w:tabs>
        <w:ind w:firstLine="720"/>
        <w:jc w:val="both"/>
        <w:rPr>
          <w:rFonts w:ascii="Tahoma" w:hAnsi="Tahoma" w:cs="Tahoma"/>
          <w:b/>
          <w:bCs/>
        </w:rPr>
      </w:pPr>
      <w:r w:rsidRPr="002374AB">
        <w:rPr>
          <w:rFonts w:ascii="Tahoma" w:hAnsi="Tahoma" w:cs="Tahoma"/>
          <w:b/>
          <w:bCs/>
        </w:rPr>
        <w:t>Introduction générale</w:t>
      </w:r>
    </w:p>
    <w:p w14:paraId="576D5017" w14:textId="77777777" w:rsidR="00D5459C" w:rsidRPr="002374AB" w:rsidRDefault="00D5459C" w:rsidP="00D5459C">
      <w:pPr>
        <w:tabs>
          <w:tab w:val="left" w:pos="1080"/>
        </w:tabs>
        <w:ind w:firstLine="720"/>
        <w:jc w:val="both"/>
        <w:rPr>
          <w:rFonts w:ascii="Tahoma" w:hAnsi="Tahoma" w:cs="Tahoma"/>
          <w:b/>
          <w:bCs/>
        </w:rPr>
      </w:pPr>
      <w:r w:rsidRPr="002374AB">
        <w:rPr>
          <w:rFonts w:ascii="Tahoma" w:hAnsi="Tahoma" w:cs="Tahoma"/>
          <w:b/>
          <w:bCs/>
        </w:rPr>
        <w:t>Partie I : Analyse du contexte et cadre méthodologique</w:t>
      </w:r>
    </w:p>
    <w:p w14:paraId="17A6566E" w14:textId="77777777" w:rsidR="00D5459C" w:rsidRPr="002374AB" w:rsidRDefault="00D5459C" w:rsidP="00D5459C">
      <w:pPr>
        <w:tabs>
          <w:tab w:val="left" w:pos="810"/>
          <w:tab w:val="left" w:pos="1080"/>
        </w:tabs>
        <w:ind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I. Contexte général </w:t>
      </w:r>
    </w:p>
    <w:p w14:paraId="634E65CB" w14:textId="77777777" w:rsidR="00D5459C" w:rsidRPr="002374AB" w:rsidRDefault="00D5459C" w:rsidP="00D5459C">
      <w:pPr>
        <w:tabs>
          <w:tab w:val="left" w:pos="810"/>
          <w:tab w:val="left" w:pos="1080"/>
        </w:tabs>
        <w:ind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II. Contexte particulier </w:t>
      </w:r>
    </w:p>
    <w:p w14:paraId="51A4008D" w14:textId="77777777" w:rsidR="00D5459C" w:rsidRPr="002374AB" w:rsidRDefault="00D5459C" w:rsidP="00D5459C">
      <w:pPr>
        <w:tabs>
          <w:tab w:val="left" w:pos="810"/>
          <w:tab w:val="left" w:pos="1080"/>
        </w:tabs>
        <w:ind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III. Objet, objectifs et portée de l’étude </w:t>
      </w:r>
    </w:p>
    <w:p w14:paraId="1BB5F8F7" w14:textId="77777777" w:rsidR="00D5459C" w:rsidRPr="002374AB" w:rsidRDefault="00D5459C" w:rsidP="00D5459C">
      <w:pPr>
        <w:tabs>
          <w:tab w:val="left" w:pos="810"/>
          <w:tab w:val="left" w:pos="1080"/>
        </w:tabs>
        <w:ind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IV. Démarche méthodologique : </w:t>
      </w:r>
    </w:p>
    <w:p w14:paraId="2F1CEA1B" w14:textId="77777777" w:rsidR="00D5459C" w:rsidRPr="002374AB" w:rsidRDefault="00D5459C" w:rsidP="00D5459C">
      <w:pPr>
        <w:pStyle w:val="ListParagraph"/>
        <w:numPr>
          <w:ilvl w:val="1"/>
          <w:numId w:val="7"/>
        </w:numPr>
        <w:tabs>
          <w:tab w:val="left" w:pos="1620"/>
        </w:tabs>
        <w:ind w:left="0" w:firstLine="126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Les approches, </w:t>
      </w:r>
    </w:p>
    <w:p w14:paraId="034DE780" w14:textId="77777777" w:rsidR="00D5459C" w:rsidRPr="002374AB" w:rsidRDefault="00D5459C" w:rsidP="00D5459C">
      <w:pPr>
        <w:pStyle w:val="ListParagraph"/>
        <w:numPr>
          <w:ilvl w:val="1"/>
          <w:numId w:val="7"/>
        </w:numPr>
        <w:tabs>
          <w:tab w:val="left" w:pos="1620"/>
        </w:tabs>
        <w:ind w:left="0" w:firstLine="126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La démarche, </w:t>
      </w:r>
    </w:p>
    <w:p w14:paraId="5EB6DD3C" w14:textId="77777777" w:rsidR="00D5459C" w:rsidRPr="002374AB" w:rsidRDefault="00D5459C" w:rsidP="00D5459C">
      <w:pPr>
        <w:pStyle w:val="ListParagraph"/>
        <w:numPr>
          <w:ilvl w:val="1"/>
          <w:numId w:val="7"/>
        </w:numPr>
        <w:tabs>
          <w:tab w:val="left" w:pos="1620"/>
        </w:tabs>
        <w:ind w:left="0" w:firstLine="126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Les outils utilisés,</w:t>
      </w:r>
    </w:p>
    <w:p w14:paraId="6911C84E" w14:textId="134E2E19" w:rsidR="00D5459C" w:rsidRPr="002374AB" w:rsidRDefault="00D5459C" w:rsidP="00DD0586">
      <w:pPr>
        <w:pStyle w:val="ListParagraph"/>
        <w:numPr>
          <w:ilvl w:val="1"/>
          <w:numId w:val="7"/>
        </w:numPr>
        <w:tabs>
          <w:tab w:val="left" w:pos="1620"/>
        </w:tabs>
        <w:ind w:left="0" w:firstLine="126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Les risques liés à la mission.</w:t>
      </w:r>
    </w:p>
    <w:p w14:paraId="6A3E3578" w14:textId="77777777" w:rsidR="00D5459C" w:rsidRPr="002374AB" w:rsidRDefault="00D5459C" w:rsidP="00D5459C">
      <w:pPr>
        <w:pStyle w:val="ListParagraph"/>
        <w:tabs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</w:p>
    <w:p w14:paraId="6F963454" w14:textId="77777777" w:rsidR="00D5459C" w:rsidRPr="002374AB" w:rsidRDefault="00D5459C" w:rsidP="00D5459C">
      <w:pPr>
        <w:tabs>
          <w:tab w:val="left" w:pos="810"/>
          <w:tab w:val="left" w:pos="1080"/>
        </w:tabs>
        <w:ind w:firstLine="720"/>
        <w:jc w:val="both"/>
        <w:rPr>
          <w:rFonts w:ascii="Tahoma" w:hAnsi="Tahoma" w:cs="Tahoma"/>
          <w:b/>
          <w:bCs/>
        </w:rPr>
      </w:pPr>
      <w:r w:rsidRPr="002374AB">
        <w:rPr>
          <w:rFonts w:ascii="Tahoma" w:hAnsi="Tahoma" w:cs="Tahoma"/>
          <w:b/>
          <w:bCs/>
        </w:rPr>
        <w:t>Partie II. Analyse de l’architecture de la décentralisation au Maroc</w:t>
      </w:r>
    </w:p>
    <w:p w14:paraId="70625E64" w14:textId="77777777" w:rsidR="00D5459C" w:rsidRPr="002374AB" w:rsidRDefault="00D5459C" w:rsidP="00D5459C">
      <w:pPr>
        <w:pStyle w:val="ListParagraph"/>
        <w:numPr>
          <w:ilvl w:val="0"/>
          <w:numId w:val="1"/>
        </w:numPr>
        <w:tabs>
          <w:tab w:val="left" w:pos="45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Etat de la décentralisation au Maroc (le découpage administratif du Royaume, les nouveautés de la régionalisation avancée) </w:t>
      </w:r>
    </w:p>
    <w:p w14:paraId="08CC277B" w14:textId="77777777" w:rsidR="00D5459C" w:rsidRPr="002374AB" w:rsidRDefault="00D5459C" w:rsidP="00D5459C">
      <w:pPr>
        <w:pStyle w:val="ListParagraph"/>
        <w:numPr>
          <w:ilvl w:val="0"/>
          <w:numId w:val="1"/>
        </w:numPr>
        <w:tabs>
          <w:tab w:val="left" w:pos="45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  <w:b/>
          <w:bCs/>
          <w:i/>
          <w:iCs/>
        </w:rPr>
      </w:pPr>
      <w:r w:rsidRPr="002374AB">
        <w:rPr>
          <w:rFonts w:ascii="Tahoma" w:hAnsi="Tahoma" w:cs="Tahoma"/>
        </w:rPr>
        <w:t>Analyses stratégiques de l’application des Lois Organiques pendant les 5 premières années </w:t>
      </w:r>
    </w:p>
    <w:p w14:paraId="1B13449F" w14:textId="77777777" w:rsidR="00D5459C" w:rsidRPr="002374AB" w:rsidRDefault="00D5459C" w:rsidP="00D5459C">
      <w:pPr>
        <w:pStyle w:val="ListParagraph"/>
        <w:numPr>
          <w:ilvl w:val="0"/>
          <w:numId w:val="1"/>
        </w:numPr>
        <w:tabs>
          <w:tab w:val="left" w:pos="45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L’apport de la déconcentration dans la mise en place de la régionalisation avancée</w:t>
      </w:r>
    </w:p>
    <w:p w14:paraId="4D3C3E4F" w14:textId="77777777" w:rsidR="00D5459C" w:rsidRPr="002374AB" w:rsidRDefault="00D5459C" w:rsidP="00D5459C">
      <w:pPr>
        <w:pStyle w:val="ListParagraph"/>
        <w:numPr>
          <w:ilvl w:val="0"/>
          <w:numId w:val="1"/>
        </w:numPr>
        <w:tabs>
          <w:tab w:val="left" w:pos="45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Les relations entre les trois niveaux de la décentralisation au Maroc (Régions, Préfectures/Provinces et Communes) </w:t>
      </w:r>
    </w:p>
    <w:p w14:paraId="50E51A71" w14:textId="15150391" w:rsidR="002374AB" w:rsidRPr="002374AB" w:rsidRDefault="00D5459C" w:rsidP="002374AB">
      <w:pPr>
        <w:pStyle w:val="ListParagraph"/>
        <w:numPr>
          <w:ilvl w:val="0"/>
          <w:numId w:val="1"/>
        </w:numPr>
        <w:tabs>
          <w:tab w:val="left" w:pos="45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Conclusion de la 2</w:t>
      </w:r>
      <w:r w:rsidRPr="002374AB">
        <w:rPr>
          <w:rFonts w:ascii="Tahoma" w:hAnsi="Tahoma" w:cs="Tahoma"/>
          <w:vertAlign w:val="superscript"/>
        </w:rPr>
        <w:t>ème</w:t>
      </w:r>
      <w:r w:rsidRPr="002374AB">
        <w:rPr>
          <w:rFonts w:ascii="Tahoma" w:hAnsi="Tahoma" w:cs="Tahoma"/>
        </w:rPr>
        <w:t xml:space="preserve"> partie.</w:t>
      </w:r>
    </w:p>
    <w:p w14:paraId="7EA50E48" w14:textId="77777777" w:rsidR="00D5459C" w:rsidRPr="002374AB" w:rsidRDefault="00D5459C" w:rsidP="00D5459C">
      <w:pPr>
        <w:tabs>
          <w:tab w:val="left" w:pos="810"/>
          <w:tab w:val="left" w:pos="1080"/>
        </w:tabs>
        <w:ind w:firstLine="720"/>
        <w:jc w:val="both"/>
        <w:rPr>
          <w:rFonts w:ascii="Tahoma" w:hAnsi="Tahoma" w:cs="Tahoma"/>
          <w:b/>
          <w:bCs/>
        </w:rPr>
      </w:pPr>
      <w:r w:rsidRPr="002374AB">
        <w:rPr>
          <w:rFonts w:ascii="Tahoma" w:hAnsi="Tahoma" w:cs="Tahoma"/>
          <w:b/>
          <w:bCs/>
        </w:rPr>
        <w:lastRenderedPageBreak/>
        <w:t xml:space="preserve">Partie III.  Analyse comparative (Benchmark) et constats </w:t>
      </w:r>
    </w:p>
    <w:p w14:paraId="1D21E41C" w14:textId="77777777" w:rsidR="00D5459C" w:rsidRPr="002374AB" w:rsidRDefault="00D5459C" w:rsidP="00D5459C">
      <w:pPr>
        <w:pStyle w:val="ListParagraph"/>
        <w:numPr>
          <w:ilvl w:val="0"/>
          <w:numId w:val="2"/>
        </w:numPr>
        <w:tabs>
          <w:tab w:val="left" w:pos="36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Les bonnes pratiques dans d’autres systèmes politiques ayant les mêmes acteurs institutionnels (Région-Province-Commune) – benchmark ;</w:t>
      </w:r>
    </w:p>
    <w:p w14:paraId="3838B4B4" w14:textId="77777777" w:rsidR="00D5459C" w:rsidRPr="002374AB" w:rsidRDefault="00D5459C" w:rsidP="00D5459C">
      <w:pPr>
        <w:pStyle w:val="ListParagraph"/>
        <w:numPr>
          <w:ilvl w:val="0"/>
          <w:numId w:val="2"/>
        </w:numPr>
        <w:tabs>
          <w:tab w:val="left" w:pos="36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Identification des bonnes pratiques, les lacunes et des insuffisances existantes dans l’architecture institutionnelle de la décentralisation au Maroc par rapport aux cas de bonnes pratiques Benchmark). </w:t>
      </w:r>
    </w:p>
    <w:p w14:paraId="72792F82" w14:textId="77777777" w:rsidR="00D5459C" w:rsidRPr="002374AB" w:rsidRDefault="00D5459C" w:rsidP="00D5459C">
      <w:pPr>
        <w:pStyle w:val="ListParagraph"/>
        <w:numPr>
          <w:ilvl w:val="0"/>
          <w:numId w:val="2"/>
        </w:numPr>
        <w:tabs>
          <w:tab w:val="left" w:pos="36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Conclusion de la 3</w:t>
      </w:r>
      <w:r w:rsidRPr="002374AB">
        <w:rPr>
          <w:rFonts w:ascii="Tahoma" w:hAnsi="Tahoma" w:cs="Tahoma"/>
          <w:vertAlign w:val="superscript"/>
        </w:rPr>
        <w:t>ème</w:t>
      </w:r>
      <w:r w:rsidRPr="002374AB">
        <w:rPr>
          <w:rFonts w:ascii="Tahoma" w:hAnsi="Tahoma" w:cs="Tahoma"/>
        </w:rPr>
        <w:t xml:space="preserve"> partie.</w:t>
      </w:r>
    </w:p>
    <w:p w14:paraId="2E20916D" w14:textId="77777777" w:rsidR="00D5459C" w:rsidRPr="002374AB" w:rsidRDefault="00D5459C" w:rsidP="00D5459C">
      <w:pPr>
        <w:tabs>
          <w:tab w:val="left" w:pos="810"/>
          <w:tab w:val="left" w:pos="1080"/>
        </w:tabs>
        <w:ind w:firstLine="720"/>
        <w:jc w:val="both"/>
        <w:rPr>
          <w:rFonts w:ascii="Tahoma" w:hAnsi="Tahoma" w:cs="Tahoma"/>
          <w:b/>
          <w:bCs/>
        </w:rPr>
      </w:pPr>
      <w:r w:rsidRPr="002374AB">
        <w:rPr>
          <w:rFonts w:ascii="Tahoma" w:hAnsi="Tahoma" w:cs="Tahoma"/>
          <w:b/>
          <w:bCs/>
        </w:rPr>
        <w:t>Partie IV.  Recommandations</w:t>
      </w:r>
    </w:p>
    <w:p w14:paraId="3277DE89" w14:textId="77777777" w:rsidR="00D5459C" w:rsidRPr="002374AB" w:rsidRDefault="00D5459C" w:rsidP="00D5459C">
      <w:pPr>
        <w:pStyle w:val="ListParagraph"/>
        <w:numPr>
          <w:ilvl w:val="0"/>
          <w:numId w:val="3"/>
        </w:numPr>
        <w:tabs>
          <w:tab w:val="left" w:pos="18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Pour chaque niveau de décentralisation ;</w:t>
      </w:r>
    </w:p>
    <w:p w14:paraId="3BA102BD" w14:textId="77777777" w:rsidR="00D5459C" w:rsidRPr="002374AB" w:rsidRDefault="00D5459C" w:rsidP="00D5459C">
      <w:pPr>
        <w:pStyle w:val="ListParagraph"/>
        <w:numPr>
          <w:ilvl w:val="0"/>
          <w:numId w:val="3"/>
        </w:numPr>
        <w:tabs>
          <w:tab w:val="left" w:pos="18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Pour les relations entre les Collectivités Territoriales et l’Etat ou ses représentants au niveau territorial ;</w:t>
      </w:r>
    </w:p>
    <w:p w14:paraId="2AF2E5C0" w14:textId="2D57251F" w:rsidR="00D5459C" w:rsidRDefault="00D5459C" w:rsidP="00D5459C">
      <w:pPr>
        <w:pStyle w:val="ListParagraph"/>
        <w:numPr>
          <w:ilvl w:val="0"/>
          <w:numId w:val="3"/>
        </w:numPr>
        <w:tabs>
          <w:tab w:val="left" w:pos="180"/>
          <w:tab w:val="left" w:pos="810"/>
          <w:tab w:val="left" w:pos="1080"/>
        </w:tabs>
        <w:ind w:left="0" w:firstLine="720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Pour les relations entre les trois niveaux de la décentralisation (Région-Province-Commune).</w:t>
      </w:r>
    </w:p>
    <w:p w14:paraId="0337D19C" w14:textId="0F70FBC2" w:rsidR="007A378C" w:rsidRDefault="007A378C" w:rsidP="007A378C">
      <w:pPr>
        <w:pStyle w:val="ListParagraph"/>
        <w:tabs>
          <w:tab w:val="left" w:pos="180"/>
          <w:tab w:val="left" w:pos="810"/>
          <w:tab w:val="left" w:pos="1080"/>
        </w:tabs>
        <w:jc w:val="both"/>
        <w:rPr>
          <w:rFonts w:ascii="Tahoma" w:hAnsi="Tahoma" w:cs="Tahoma"/>
        </w:rPr>
      </w:pPr>
    </w:p>
    <w:p w14:paraId="7C76E9C9" w14:textId="77777777" w:rsidR="007A378C" w:rsidRPr="002374AB" w:rsidRDefault="007A378C" w:rsidP="007A378C">
      <w:pPr>
        <w:pStyle w:val="ListParagraph"/>
        <w:tabs>
          <w:tab w:val="left" w:pos="180"/>
          <w:tab w:val="left" w:pos="810"/>
          <w:tab w:val="left" w:pos="1080"/>
        </w:tabs>
        <w:jc w:val="both"/>
        <w:rPr>
          <w:rFonts w:ascii="Tahoma" w:hAnsi="Tahoma" w:cs="Tahoma"/>
        </w:rPr>
      </w:pPr>
    </w:p>
    <w:p w14:paraId="23643F5B" w14:textId="13372541" w:rsidR="00D5459C" w:rsidRPr="00787713" w:rsidRDefault="00C6299D" w:rsidP="00787713">
      <w:pPr>
        <w:pStyle w:val="ListParagraph"/>
        <w:numPr>
          <w:ilvl w:val="0"/>
          <w:numId w:val="8"/>
        </w:numPr>
        <w:tabs>
          <w:tab w:val="left" w:pos="360"/>
        </w:tabs>
        <w:spacing w:line="276" w:lineRule="auto"/>
        <w:rPr>
          <w:rFonts w:ascii="Tahoma" w:hAnsi="Tahoma" w:cs="Tahoma"/>
          <w:b/>
          <w:bCs/>
          <w:i/>
          <w:iCs/>
          <w:color w:val="C00000"/>
        </w:rPr>
      </w:pPr>
      <w:r w:rsidRPr="00787713">
        <w:rPr>
          <w:rFonts w:ascii="Tahoma" w:hAnsi="Tahoma" w:cs="Tahoma"/>
          <w:b/>
          <w:bCs/>
          <w:i/>
          <w:iCs/>
          <w:color w:val="C00000"/>
        </w:rPr>
        <w:t>Rétroplanning</w:t>
      </w:r>
    </w:p>
    <w:p w14:paraId="29779C74" w14:textId="05475C10" w:rsidR="004307A6" w:rsidRDefault="000F05C2" w:rsidP="004307A6">
      <w:pPr>
        <w:pStyle w:val="ListParagraph"/>
        <w:tabs>
          <w:tab w:val="left" w:pos="360"/>
        </w:tabs>
        <w:spacing w:line="276" w:lineRule="auto"/>
        <w:ind w:left="0"/>
        <w:rPr>
          <w:noProof/>
          <w:color w:val="0070C0"/>
          <w:lang w:eastAsia="fr-FR"/>
        </w:rPr>
      </w:pPr>
      <w:r w:rsidRPr="000F05C2">
        <w:rPr>
          <w:noProof/>
        </w:rPr>
        <w:drawing>
          <wp:anchor distT="0" distB="0" distL="114300" distR="114300" simplePos="0" relativeHeight="251658240" behindDoc="0" locked="0" layoutInCell="1" allowOverlap="1" wp14:anchorId="654A8067" wp14:editId="19EBC2DC">
            <wp:simplePos x="0" y="0"/>
            <wp:positionH relativeFrom="margin">
              <wp:posOffset>-542925</wp:posOffset>
            </wp:positionH>
            <wp:positionV relativeFrom="paragraph">
              <wp:posOffset>267335</wp:posOffset>
            </wp:positionV>
            <wp:extent cx="6934200" cy="322834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E3E92DD" w14:textId="4AF58E93" w:rsidR="000F05C2" w:rsidRDefault="000F05C2" w:rsidP="004307A6">
      <w:pPr>
        <w:pStyle w:val="ListParagraph"/>
        <w:tabs>
          <w:tab w:val="left" w:pos="360"/>
        </w:tabs>
        <w:spacing w:line="276" w:lineRule="auto"/>
        <w:ind w:left="0"/>
        <w:rPr>
          <w:noProof/>
          <w:color w:val="0070C0"/>
          <w:lang w:eastAsia="fr-FR"/>
        </w:rPr>
      </w:pPr>
    </w:p>
    <w:p w14:paraId="6FB78173" w14:textId="70377A1D" w:rsidR="000F05C2" w:rsidRDefault="000F05C2" w:rsidP="004307A6">
      <w:pPr>
        <w:pStyle w:val="ListParagraph"/>
        <w:tabs>
          <w:tab w:val="left" w:pos="360"/>
        </w:tabs>
        <w:spacing w:line="276" w:lineRule="auto"/>
        <w:ind w:left="0"/>
        <w:rPr>
          <w:noProof/>
          <w:color w:val="0070C0"/>
          <w:lang w:eastAsia="fr-FR"/>
        </w:rPr>
      </w:pPr>
    </w:p>
    <w:p w14:paraId="5FD16311" w14:textId="48B97536" w:rsidR="000F05C2" w:rsidRDefault="000F05C2" w:rsidP="004307A6">
      <w:pPr>
        <w:pStyle w:val="ListParagraph"/>
        <w:tabs>
          <w:tab w:val="left" w:pos="360"/>
        </w:tabs>
        <w:spacing w:line="276" w:lineRule="auto"/>
        <w:ind w:left="0"/>
        <w:rPr>
          <w:noProof/>
          <w:color w:val="0070C0"/>
          <w:lang w:eastAsia="fr-FR"/>
        </w:rPr>
      </w:pPr>
    </w:p>
    <w:p w14:paraId="6B188827" w14:textId="3291250E" w:rsidR="000F05C2" w:rsidRPr="004307A6" w:rsidRDefault="000F05C2" w:rsidP="004307A6">
      <w:pPr>
        <w:pStyle w:val="ListParagraph"/>
        <w:tabs>
          <w:tab w:val="left" w:pos="360"/>
        </w:tabs>
        <w:spacing w:line="276" w:lineRule="auto"/>
        <w:ind w:left="0"/>
        <w:rPr>
          <w:rFonts w:ascii="Tahoma" w:hAnsi="Tahoma" w:cs="Tahoma"/>
          <w:b/>
          <w:bCs/>
          <w:i/>
          <w:iCs/>
          <w:color w:val="0070C0"/>
        </w:rPr>
      </w:pPr>
    </w:p>
    <w:p w14:paraId="57DF4DD7" w14:textId="582E99E1" w:rsidR="00D5459C" w:rsidRPr="002374AB" w:rsidRDefault="00D5459C" w:rsidP="00C6299D">
      <w:pPr>
        <w:pStyle w:val="ListParagraph"/>
        <w:spacing w:line="276" w:lineRule="auto"/>
        <w:ind w:left="0"/>
        <w:rPr>
          <w:rFonts w:ascii="Tahoma" w:hAnsi="Tahoma" w:cs="Tahoma"/>
        </w:rPr>
      </w:pPr>
    </w:p>
    <w:p w14:paraId="07431CC8" w14:textId="22EC31C1" w:rsidR="00D5459C" w:rsidRDefault="00D5459C" w:rsidP="00D5459C">
      <w:pPr>
        <w:pStyle w:val="ListParagraph"/>
        <w:tabs>
          <w:tab w:val="left" w:pos="360"/>
          <w:tab w:val="left" w:pos="1080"/>
        </w:tabs>
        <w:spacing w:line="276" w:lineRule="auto"/>
        <w:rPr>
          <w:rFonts w:ascii="Tahoma" w:hAnsi="Tahoma" w:cs="Tahoma"/>
          <w:b/>
          <w:bCs/>
          <w:color w:val="1F3864" w:themeColor="accent1" w:themeShade="80"/>
        </w:rPr>
      </w:pPr>
    </w:p>
    <w:p w14:paraId="5A3D719C" w14:textId="023C45DE" w:rsidR="00C6299D" w:rsidRDefault="00C6299D" w:rsidP="00D5459C">
      <w:pPr>
        <w:pStyle w:val="ListParagraph"/>
        <w:tabs>
          <w:tab w:val="left" w:pos="360"/>
          <w:tab w:val="left" w:pos="1080"/>
        </w:tabs>
        <w:spacing w:line="276" w:lineRule="auto"/>
        <w:rPr>
          <w:rFonts w:ascii="Tahoma" w:hAnsi="Tahoma" w:cs="Tahoma"/>
          <w:b/>
          <w:bCs/>
          <w:color w:val="1F3864" w:themeColor="accent1" w:themeShade="80"/>
        </w:rPr>
      </w:pPr>
    </w:p>
    <w:p w14:paraId="5D51011B" w14:textId="07A45024" w:rsidR="00C6299D" w:rsidRDefault="00C6299D" w:rsidP="00D5459C">
      <w:pPr>
        <w:pStyle w:val="ListParagraph"/>
        <w:tabs>
          <w:tab w:val="left" w:pos="360"/>
          <w:tab w:val="left" w:pos="1080"/>
        </w:tabs>
        <w:spacing w:line="276" w:lineRule="auto"/>
        <w:rPr>
          <w:rFonts w:ascii="Tahoma" w:hAnsi="Tahoma" w:cs="Tahoma"/>
          <w:b/>
          <w:bCs/>
          <w:color w:val="1F3864" w:themeColor="accent1" w:themeShade="80"/>
        </w:rPr>
      </w:pPr>
    </w:p>
    <w:p w14:paraId="45A32BB3" w14:textId="1FD05BD4" w:rsidR="00C6299D" w:rsidRDefault="00C6299D" w:rsidP="00D5459C">
      <w:pPr>
        <w:pStyle w:val="ListParagraph"/>
        <w:tabs>
          <w:tab w:val="left" w:pos="360"/>
          <w:tab w:val="left" w:pos="1080"/>
        </w:tabs>
        <w:spacing w:line="276" w:lineRule="auto"/>
        <w:rPr>
          <w:rFonts w:ascii="Tahoma" w:hAnsi="Tahoma" w:cs="Tahoma"/>
          <w:b/>
          <w:bCs/>
          <w:color w:val="1F3864" w:themeColor="accent1" w:themeShade="80"/>
        </w:rPr>
      </w:pPr>
    </w:p>
    <w:p w14:paraId="175F99C7" w14:textId="499B1EE4" w:rsidR="00C6299D" w:rsidRDefault="00C6299D" w:rsidP="00D5459C">
      <w:pPr>
        <w:pStyle w:val="ListParagraph"/>
        <w:tabs>
          <w:tab w:val="left" w:pos="360"/>
          <w:tab w:val="left" w:pos="1080"/>
        </w:tabs>
        <w:spacing w:line="276" w:lineRule="auto"/>
        <w:rPr>
          <w:rFonts w:ascii="Tahoma" w:hAnsi="Tahoma" w:cs="Tahoma"/>
          <w:b/>
          <w:bCs/>
          <w:color w:val="1F3864" w:themeColor="accent1" w:themeShade="80"/>
        </w:rPr>
      </w:pPr>
    </w:p>
    <w:p w14:paraId="5EFCE220" w14:textId="77777777" w:rsidR="00C6299D" w:rsidRPr="002374AB" w:rsidRDefault="00C6299D" w:rsidP="00D5459C">
      <w:pPr>
        <w:pStyle w:val="ListParagraph"/>
        <w:tabs>
          <w:tab w:val="left" w:pos="360"/>
          <w:tab w:val="left" w:pos="1080"/>
        </w:tabs>
        <w:spacing w:line="276" w:lineRule="auto"/>
        <w:rPr>
          <w:rFonts w:ascii="Tahoma" w:hAnsi="Tahoma" w:cs="Tahoma"/>
          <w:b/>
          <w:bCs/>
          <w:color w:val="1F3864" w:themeColor="accent1" w:themeShade="80"/>
        </w:rPr>
      </w:pPr>
    </w:p>
    <w:p w14:paraId="7853F6CF" w14:textId="77777777" w:rsidR="00D5459C" w:rsidRPr="002374AB" w:rsidRDefault="00D5459C" w:rsidP="00D5459C">
      <w:pPr>
        <w:pStyle w:val="ListParagraph"/>
        <w:numPr>
          <w:ilvl w:val="0"/>
          <w:numId w:val="8"/>
        </w:numPr>
        <w:tabs>
          <w:tab w:val="left" w:pos="360"/>
          <w:tab w:val="left" w:pos="1080"/>
        </w:tabs>
        <w:spacing w:line="276" w:lineRule="auto"/>
        <w:ind w:left="0" w:firstLine="720"/>
        <w:rPr>
          <w:rFonts w:ascii="Tahoma" w:hAnsi="Tahoma" w:cs="Tahoma"/>
          <w:b/>
          <w:bCs/>
          <w:color w:val="1F3864" w:themeColor="accent1" w:themeShade="80"/>
        </w:rPr>
      </w:pPr>
      <w:r w:rsidRPr="002374AB">
        <w:rPr>
          <w:rFonts w:ascii="Tahoma" w:hAnsi="Tahoma" w:cs="Tahoma"/>
          <w:b/>
          <w:bCs/>
          <w:i/>
          <w:iCs/>
          <w:color w:val="C00000"/>
        </w:rPr>
        <w:lastRenderedPageBreak/>
        <w:t>Les documents de références</w:t>
      </w:r>
    </w:p>
    <w:p w14:paraId="48304A3A" w14:textId="77777777" w:rsidR="00D5459C" w:rsidRPr="002374AB" w:rsidRDefault="00D5459C" w:rsidP="00D5459C">
      <w:pPr>
        <w:pStyle w:val="ListParagraph"/>
        <w:tabs>
          <w:tab w:val="left" w:pos="360"/>
          <w:tab w:val="left" w:pos="1080"/>
        </w:tabs>
        <w:spacing w:line="276" w:lineRule="auto"/>
        <w:ind w:left="0" w:firstLine="720"/>
        <w:rPr>
          <w:rFonts w:ascii="Tahoma" w:hAnsi="Tahoma" w:cs="Tahoma"/>
          <w:b/>
          <w:bCs/>
          <w:color w:val="1F3864" w:themeColor="accent1" w:themeShade="80"/>
        </w:rPr>
      </w:pPr>
      <w:r w:rsidRPr="002374AB">
        <w:rPr>
          <w:rFonts w:ascii="Tahoma" w:hAnsi="Tahoma" w:cs="Tahoma"/>
          <w:b/>
          <w:bCs/>
          <w:color w:val="5B9BD5" w:themeColor="accent5"/>
        </w:rPr>
        <w:t xml:space="preserve"> </w:t>
      </w:r>
    </w:p>
    <w:p w14:paraId="7F9C639D" w14:textId="77777777" w:rsidR="00D5459C" w:rsidRPr="002374AB" w:rsidRDefault="00D5459C" w:rsidP="00D5459C">
      <w:pPr>
        <w:pStyle w:val="ListParagraph"/>
        <w:numPr>
          <w:ilvl w:val="0"/>
          <w:numId w:val="6"/>
        </w:numPr>
        <w:tabs>
          <w:tab w:val="left" w:pos="1080"/>
        </w:tabs>
        <w:ind w:left="0" w:firstLine="720"/>
        <w:rPr>
          <w:rFonts w:ascii="Tahoma" w:hAnsi="Tahoma" w:cs="Tahoma"/>
          <w:b/>
          <w:bCs/>
        </w:rPr>
      </w:pPr>
      <w:r w:rsidRPr="002374AB">
        <w:rPr>
          <w:rFonts w:ascii="Tahoma" w:hAnsi="Tahoma" w:cs="Tahoma"/>
          <w:b/>
          <w:bCs/>
        </w:rPr>
        <w:t xml:space="preserve">Législation </w:t>
      </w:r>
    </w:p>
    <w:p w14:paraId="2DA6885B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La Constitution du Maroc de 2011. </w:t>
      </w:r>
    </w:p>
    <w:p w14:paraId="68C9CA85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Dahir n° 1-15-83 du 20 ramadan 1436 (7 juillet 2015) portant promulgation de la loi organique n° 111-14 relative aux régions. </w:t>
      </w:r>
    </w:p>
    <w:p w14:paraId="206B4AC0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Dahir n° 1-15-84 du 20 ramadan 1436 (7 juillet 2015) portant promulgation de loi organique n° 112-14 relatives aux préfectures et provinces. </w:t>
      </w:r>
    </w:p>
    <w:p w14:paraId="4F1F79F2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Dahir n° 1-15-85 du 20 ramadan 1436 (7 juillet 2015) portant promulgation de loi organique n° 113-14 relatives aux communes. </w:t>
      </w:r>
    </w:p>
    <w:p w14:paraId="05961CB9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Dahir n° 1-15-90 du 29 ramadan 1436 (16 juillet 2015) portant promulgation de loi organique n° 34-15 modifiant et complétant la loi organique n° 59-11 relative à l’élection des membres des conseils des collectivités territoriales. </w:t>
      </w:r>
    </w:p>
    <w:p w14:paraId="6AD89695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Décret N 2-17-318 du 18 Rabii II 1440(26 Décembre 2018) portant charte nationale de la déconcentration administrative. </w:t>
      </w:r>
    </w:p>
    <w:p w14:paraId="1215C6DF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Loi N 45-08 relative à l’organisation des finances des collectivités locales et de leurs groupements.</w:t>
      </w:r>
    </w:p>
    <w:p w14:paraId="687B0C7C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Dahir portant promulgation de la loi n° 07-20 modifiant et complétant la loi n° 47-06 relative à la fiscalité des collectivités locales. </w:t>
      </w:r>
    </w:p>
    <w:p w14:paraId="539AE915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Les 67 décrets d’application relatifs aux trois Lois Organiques des Collectivités territoriales.</w:t>
      </w:r>
    </w:p>
    <w:p w14:paraId="78ECA404" w14:textId="77777777" w:rsidR="00D5459C" w:rsidRPr="002374AB" w:rsidRDefault="00D5459C" w:rsidP="00D5459C">
      <w:pPr>
        <w:pStyle w:val="ListParagraph"/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</w:p>
    <w:p w14:paraId="295D220B" w14:textId="77777777" w:rsidR="00D5459C" w:rsidRPr="002374AB" w:rsidRDefault="00D5459C" w:rsidP="00D5459C">
      <w:pPr>
        <w:pStyle w:val="ListParagraph"/>
        <w:numPr>
          <w:ilvl w:val="0"/>
          <w:numId w:val="6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  <w:b/>
          <w:bCs/>
        </w:rPr>
      </w:pPr>
      <w:r w:rsidRPr="002374AB">
        <w:rPr>
          <w:rFonts w:ascii="Tahoma" w:hAnsi="Tahoma" w:cs="Tahoma"/>
          <w:b/>
          <w:bCs/>
        </w:rPr>
        <w:t>Rapports, Recherches et travaux</w:t>
      </w:r>
    </w:p>
    <w:p w14:paraId="74EFCBBF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Travaux et consultations de la Commission Spéciale pour le nouveau modèle de développement</w:t>
      </w:r>
    </w:p>
    <w:p w14:paraId="2E6850BB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Publications du Conseil Economique Social et Environnementales en relation avec la régionalisation avancée et le nouveau modèle de développement </w:t>
      </w:r>
    </w:p>
    <w:p w14:paraId="72EDD09A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Rapport de la Cour des Comptes « L’état de préparation du Maroc pour la mise en œuvre des objectifs de développement durable 2015-2030 ». Rapport thématique, Janvier 2019</w:t>
      </w:r>
    </w:p>
    <w:p w14:paraId="28688667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Rapport de la Cour des Comptes, (Octobre 2014) « La Gestion Déléguée des Services Publics Locaux », Rapport de Synthèse. </w:t>
      </w:r>
    </w:p>
    <w:p w14:paraId="4CF8EAF8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Rapport de Synthèse, Cour des Comptes, « La fiscalité locale », Mai 2015</w:t>
      </w:r>
    </w:p>
    <w:p w14:paraId="045B05DD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Rapport de la Commission Consultative de la Régionalisation, Livre I « Conception générale ». </w:t>
      </w:r>
    </w:p>
    <w:p w14:paraId="32FC93A0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Rapport de la Commission Consultative de la Régionalisation, Livre II « Rapports thématiques ». </w:t>
      </w:r>
    </w:p>
    <w:p w14:paraId="1EB83EA3" w14:textId="77777777" w:rsidR="00D5459C" w:rsidRPr="002374AB" w:rsidRDefault="00D5459C" w:rsidP="00D5459C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>Rapport de la Commission Consultative de la Régionalisation, Livre III « La régionalisation avancée au service du développement économique et social »</w:t>
      </w:r>
    </w:p>
    <w:p w14:paraId="3FE12BE4" w14:textId="77777777" w:rsidR="00787713" w:rsidRDefault="00D5459C" w:rsidP="00787713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2374AB">
        <w:rPr>
          <w:rFonts w:ascii="Tahoma" w:hAnsi="Tahoma" w:cs="Tahoma"/>
        </w:rPr>
        <w:t xml:space="preserve">Publications du CPLR relatives à la décentralisation et à la régionalisation </w:t>
      </w:r>
    </w:p>
    <w:p w14:paraId="64C67873" w14:textId="5FE71A19" w:rsidR="00D5459C" w:rsidRPr="00787713" w:rsidRDefault="00D5459C" w:rsidP="00787713">
      <w:pPr>
        <w:pStyle w:val="ListParagraph"/>
        <w:numPr>
          <w:ilvl w:val="0"/>
          <w:numId w:val="5"/>
        </w:numPr>
        <w:tabs>
          <w:tab w:val="left" w:pos="709"/>
          <w:tab w:val="left" w:pos="1080"/>
        </w:tabs>
        <w:ind w:left="0" w:firstLine="426"/>
        <w:jc w:val="both"/>
        <w:rPr>
          <w:rFonts w:ascii="Tahoma" w:hAnsi="Tahoma" w:cs="Tahoma"/>
        </w:rPr>
      </w:pPr>
      <w:r w:rsidRPr="00787713">
        <w:rPr>
          <w:rFonts w:ascii="Tahoma" w:hAnsi="Tahoma" w:cs="Tahoma"/>
        </w:rPr>
        <w:t>Publications de l’OCDE sur la décentralisation et la régionalisation avancée au Maroc.</w:t>
      </w:r>
    </w:p>
    <w:p w14:paraId="2D07B45D" w14:textId="77777777" w:rsidR="00D5459C" w:rsidRPr="002374AB" w:rsidRDefault="00D5459C" w:rsidP="00D5459C">
      <w:pPr>
        <w:pStyle w:val="ListParagraph"/>
        <w:tabs>
          <w:tab w:val="left" w:pos="1080"/>
        </w:tabs>
        <w:jc w:val="both"/>
        <w:rPr>
          <w:rFonts w:ascii="Tahoma" w:hAnsi="Tahoma" w:cs="Tahoma"/>
        </w:rPr>
      </w:pPr>
    </w:p>
    <w:p w14:paraId="3735ED6B" w14:textId="77777777" w:rsidR="00D5459C" w:rsidRPr="002374AB" w:rsidRDefault="00D5459C">
      <w:pPr>
        <w:rPr>
          <w:rFonts w:ascii="Tahoma" w:hAnsi="Tahoma" w:cs="Tahoma"/>
        </w:rPr>
      </w:pPr>
    </w:p>
    <w:sectPr w:rsidR="00D5459C" w:rsidRPr="002374AB" w:rsidSect="00DD0586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740A5" w14:textId="77777777" w:rsidR="00E9392D" w:rsidRDefault="00E9392D" w:rsidP="00DD0586">
      <w:pPr>
        <w:spacing w:after="0" w:line="240" w:lineRule="auto"/>
      </w:pPr>
      <w:r>
        <w:separator/>
      </w:r>
    </w:p>
  </w:endnote>
  <w:endnote w:type="continuationSeparator" w:id="0">
    <w:p w14:paraId="5809C97F" w14:textId="77777777" w:rsidR="00E9392D" w:rsidRDefault="00E9392D" w:rsidP="00DD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D9300" w14:textId="77777777" w:rsidR="00E9392D" w:rsidRDefault="00E9392D" w:rsidP="00DD0586">
      <w:pPr>
        <w:spacing w:after="0" w:line="240" w:lineRule="auto"/>
      </w:pPr>
      <w:r>
        <w:separator/>
      </w:r>
    </w:p>
  </w:footnote>
  <w:footnote w:type="continuationSeparator" w:id="0">
    <w:p w14:paraId="09BF6CF5" w14:textId="77777777" w:rsidR="00E9392D" w:rsidRDefault="00E9392D" w:rsidP="00DD0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6EBFB" w14:textId="2DE4E8F7" w:rsidR="00DD0586" w:rsidRPr="00DD0586" w:rsidRDefault="00DD0586">
    <w:pPr>
      <w:pStyle w:val="Header"/>
      <w:rPr>
        <w:b/>
        <w:bCs/>
        <w:sz w:val="36"/>
        <w:szCs w:val="36"/>
      </w:rPr>
    </w:pPr>
    <w:r w:rsidRPr="00DD0586">
      <w:rPr>
        <w:b/>
        <w:bCs/>
        <w:sz w:val="36"/>
        <w:szCs w:val="36"/>
      </w:rPr>
      <w:t>ANNEXE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00D4"/>
    <w:multiLevelType w:val="hybridMultilevel"/>
    <w:tmpl w:val="EEC453A8"/>
    <w:lvl w:ilvl="0" w:tplc="25F0F13E">
      <w:start w:val="1"/>
      <w:numFmt w:val="bullet"/>
      <w:lvlText w:val="-"/>
      <w:lvlJc w:val="left"/>
      <w:pPr>
        <w:ind w:left="436" w:hanging="360"/>
      </w:pPr>
      <w:rPr>
        <w:rFonts w:ascii="Gill Sans MT" w:eastAsiaTheme="minorHAnsi" w:hAnsi="Gill Sans MT" w:cs="Tahom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C2304"/>
    <w:multiLevelType w:val="hybridMultilevel"/>
    <w:tmpl w:val="26C6C70A"/>
    <w:lvl w:ilvl="0" w:tplc="8D28B1CE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592989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01C93"/>
    <w:multiLevelType w:val="hybridMultilevel"/>
    <w:tmpl w:val="B792CE64"/>
    <w:lvl w:ilvl="0" w:tplc="5E4027A0">
      <w:start w:val="1"/>
      <w:numFmt w:val="decimal"/>
      <w:lvlText w:val="%1."/>
      <w:lvlJc w:val="left"/>
      <w:pPr>
        <w:ind w:left="795" w:hanging="360"/>
      </w:pPr>
      <w:rPr>
        <w:b/>
        <w:bCs w:val="0"/>
        <w:i/>
        <w:iCs/>
        <w:color w:val="5B9BD5" w:themeColor="accent5"/>
      </w:rPr>
    </w:lvl>
    <w:lvl w:ilvl="1" w:tplc="040C0019" w:tentative="1">
      <w:start w:val="1"/>
      <w:numFmt w:val="lowerLetter"/>
      <w:lvlText w:val="%2."/>
      <w:lvlJc w:val="left"/>
      <w:pPr>
        <w:ind w:left="1515" w:hanging="360"/>
      </w:pPr>
    </w:lvl>
    <w:lvl w:ilvl="2" w:tplc="040C001B" w:tentative="1">
      <w:start w:val="1"/>
      <w:numFmt w:val="lowerRoman"/>
      <w:lvlText w:val="%3."/>
      <w:lvlJc w:val="right"/>
      <w:pPr>
        <w:ind w:left="2235" w:hanging="180"/>
      </w:pPr>
    </w:lvl>
    <w:lvl w:ilvl="3" w:tplc="040C000F" w:tentative="1">
      <w:start w:val="1"/>
      <w:numFmt w:val="decimal"/>
      <w:lvlText w:val="%4."/>
      <w:lvlJc w:val="left"/>
      <w:pPr>
        <w:ind w:left="2955" w:hanging="360"/>
      </w:pPr>
    </w:lvl>
    <w:lvl w:ilvl="4" w:tplc="040C0019" w:tentative="1">
      <w:start w:val="1"/>
      <w:numFmt w:val="lowerLetter"/>
      <w:lvlText w:val="%5."/>
      <w:lvlJc w:val="left"/>
      <w:pPr>
        <w:ind w:left="3675" w:hanging="360"/>
      </w:pPr>
    </w:lvl>
    <w:lvl w:ilvl="5" w:tplc="040C001B" w:tentative="1">
      <w:start w:val="1"/>
      <w:numFmt w:val="lowerRoman"/>
      <w:lvlText w:val="%6."/>
      <w:lvlJc w:val="right"/>
      <w:pPr>
        <w:ind w:left="4395" w:hanging="180"/>
      </w:pPr>
    </w:lvl>
    <w:lvl w:ilvl="6" w:tplc="040C000F" w:tentative="1">
      <w:start w:val="1"/>
      <w:numFmt w:val="decimal"/>
      <w:lvlText w:val="%7."/>
      <w:lvlJc w:val="left"/>
      <w:pPr>
        <w:ind w:left="5115" w:hanging="360"/>
      </w:pPr>
    </w:lvl>
    <w:lvl w:ilvl="7" w:tplc="040C0019" w:tentative="1">
      <w:start w:val="1"/>
      <w:numFmt w:val="lowerLetter"/>
      <w:lvlText w:val="%8."/>
      <w:lvlJc w:val="left"/>
      <w:pPr>
        <w:ind w:left="5835" w:hanging="360"/>
      </w:pPr>
    </w:lvl>
    <w:lvl w:ilvl="8" w:tplc="040C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5203163"/>
    <w:multiLevelType w:val="hybridMultilevel"/>
    <w:tmpl w:val="2D5A3E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356DC"/>
    <w:multiLevelType w:val="hybridMultilevel"/>
    <w:tmpl w:val="90F0B8E8"/>
    <w:lvl w:ilvl="0" w:tplc="47A28D60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246DA"/>
    <w:multiLevelType w:val="hybridMultilevel"/>
    <w:tmpl w:val="76EA7FD2"/>
    <w:lvl w:ilvl="0" w:tplc="36141CC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B6F12"/>
    <w:multiLevelType w:val="hybridMultilevel"/>
    <w:tmpl w:val="951E3358"/>
    <w:lvl w:ilvl="0" w:tplc="1ED082F2">
      <w:start w:val="1"/>
      <w:numFmt w:val="bullet"/>
      <w:lvlText w:val=""/>
      <w:lvlJc w:val="left"/>
      <w:pPr>
        <w:ind w:left="796" w:hanging="360"/>
      </w:pPr>
      <w:rPr>
        <w:rFonts w:ascii="Wingdings" w:hAnsi="Wingdings" w:cs="Wingdings"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33B607D6"/>
    <w:multiLevelType w:val="hybridMultilevel"/>
    <w:tmpl w:val="7E1461B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0DC1"/>
    <w:multiLevelType w:val="hybridMultilevel"/>
    <w:tmpl w:val="9EA25E3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874"/>
    <w:multiLevelType w:val="hybridMultilevel"/>
    <w:tmpl w:val="4D180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9C"/>
    <w:rsid w:val="000F05C2"/>
    <w:rsid w:val="002118A0"/>
    <w:rsid w:val="002374AB"/>
    <w:rsid w:val="004307A6"/>
    <w:rsid w:val="004F6019"/>
    <w:rsid w:val="00787713"/>
    <w:rsid w:val="007A378C"/>
    <w:rsid w:val="007E665A"/>
    <w:rsid w:val="00C6299D"/>
    <w:rsid w:val="00D5459C"/>
    <w:rsid w:val="00DD0586"/>
    <w:rsid w:val="00E56E00"/>
    <w:rsid w:val="00E9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DEF5"/>
  <w15:chartTrackingRefBased/>
  <w15:docId w15:val="{932B903A-027A-4017-A64E-FFB02806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 Paragraph (numbered (a)),Use Case List Paragraph,Paragraphe de liste du rapport,List ParagraphCxSpLast,List ParagraphCxSpLastCxSpLast,List ParagraphCxSpLastCxSpLastCxSpLast,List Paragraph Char Char Char"/>
    <w:basedOn w:val="Normal"/>
    <w:link w:val="ListParagraphChar"/>
    <w:uiPriority w:val="34"/>
    <w:qFormat/>
    <w:rsid w:val="00D5459C"/>
    <w:pPr>
      <w:ind w:left="720"/>
      <w:contextualSpacing/>
    </w:pPr>
  </w:style>
  <w:style w:type="character" w:customStyle="1" w:styleId="ListParagraphChar">
    <w:name w:val="List Paragraph Char"/>
    <w:aliases w:val="References Char,List Paragraph (numbered (a)) Char,Use Case List Paragraph Char,Paragraphe de liste du rapport Char,List ParagraphCxSpLast Char,List ParagraphCxSpLastCxSpLast Char,List ParagraphCxSpLastCxSpLastCxSpLast Char"/>
    <w:link w:val="ListParagraph"/>
    <w:uiPriority w:val="34"/>
    <w:rsid w:val="00D5459C"/>
  </w:style>
  <w:style w:type="paragraph" w:styleId="Header">
    <w:name w:val="header"/>
    <w:basedOn w:val="Normal"/>
    <w:link w:val="HeaderChar"/>
    <w:uiPriority w:val="99"/>
    <w:unhideWhenUsed/>
    <w:rsid w:val="00DD0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586"/>
  </w:style>
  <w:style w:type="paragraph" w:styleId="Footer">
    <w:name w:val="footer"/>
    <w:basedOn w:val="Normal"/>
    <w:link w:val="FooterChar"/>
    <w:uiPriority w:val="99"/>
    <w:unhideWhenUsed/>
    <w:rsid w:val="00DD0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586"/>
  </w:style>
  <w:style w:type="table" w:styleId="TableGrid">
    <w:name w:val="Table Grid"/>
    <w:basedOn w:val="TableNormal"/>
    <w:uiPriority w:val="59"/>
    <w:qFormat/>
    <w:rsid w:val="00DD058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7E665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1075</Words>
  <Characters>5917</Characters>
  <Application>Microsoft Office Word</Application>
  <DocSecurity>4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CHARRE Celia</dc:creator>
  <cp:keywords/>
  <dc:description/>
  <cp:lastModifiedBy>CHARRE Celia</cp:lastModifiedBy>
  <cp:revision>2</cp:revision>
  <dcterms:created xsi:type="dcterms:W3CDTF">2021-04-19T14:36:00Z</dcterms:created>
  <dcterms:modified xsi:type="dcterms:W3CDTF">2021-04-19T14:36:00Z</dcterms:modified>
</cp:coreProperties>
</file>