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18" w:rsidRPr="00873495" w:rsidRDefault="003F0A7A" w:rsidP="00E47F89">
      <w:pPr>
        <w:rPr>
          <w:rFonts w:ascii="Verdana" w:hAnsi="Verdana"/>
        </w:rPr>
      </w:pPr>
      <w:r w:rsidRPr="00873495">
        <w:rPr>
          <w:rFonts w:ascii="Verdana" w:hAnsi="Verdana"/>
          <w:b/>
          <w:sz w:val="32"/>
          <w:szCs w:val="32"/>
        </w:rPr>
        <w:t>Plani i leksionit</w:t>
      </w:r>
    </w:p>
    <w:p w:rsidR="00B71D66" w:rsidRPr="00873495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873495" w:rsidRDefault="00D82C18" w:rsidP="00E47F89">
      <w:pPr>
        <w:rPr>
          <w:rFonts w:ascii="Verdana" w:hAnsi="Verdana"/>
          <w:b/>
          <w:sz w:val="22"/>
          <w:szCs w:val="22"/>
        </w:rPr>
      </w:pPr>
      <w:r w:rsidRPr="00873495">
        <w:rPr>
          <w:rFonts w:ascii="Verdana" w:hAnsi="Verdana"/>
          <w:sz w:val="28"/>
          <w:szCs w:val="28"/>
        </w:rPr>
        <w:t>Le</w:t>
      </w:r>
      <w:r w:rsidR="003F0A7A" w:rsidRPr="00873495">
        <w:rPr>
          <w:rFonts w:ascii="Verdana" w:hAnsi="Verdana"/>
          <w:sz w:val="28"/>
          <w:szCs w:val="28"/>
        </w:rPr>
        <w:t>ksionet</w:t>
      </w:r>
      <w:r w:rsidRPr="00873495">
        <w:rPr>
          <w:rFonts w:ascii="Verdana" w:hAnsi="Verdana"/>
          <w:sz w:val="28"/>
          <w:szCs w:val="28"/>
        </w:rPr>
        <w:t xml:space="preserve"> </w:t>
      </w:r>
      <w:r w:rsidR="005951B6" w:rsidRPr="00873495">
        <w:rPr>
          <w:rFonts w:ascii="Verdana" w:hAnsi="Verdana"/>
          <w:sz w:val="28"/>
          <w:szCs w:val="28"/>
        </w:rPr>
        <w:t>1</w:t>
      </w:r>
      <w:r w:rsidRPr="00873495">
        <w:rPr>
          <w:rFonts w:ascii="Verdana" w:hAnsi="Verdana"/>
          <w:sz w:val="28"/>
          <w:szCs w:val="28"/>
        </w:rPr>
        <w:t>.</w:t>
      </w:r>
      <w:r w:rsidR="00044F01" w:rsidRPr="00873495">
        <w:rPr>
          <w:rFonts w:ascii="Verdana" w:hAnsi="Verdana"/>
          <w:sz w:val="28"/>
          <w:szCs w:val="28"/>
        </w:rPr>
        <w:t>2.3</w:t>
      </w:r>
      <w:r w:rsidRPr="00873495">
        <w:rPr>
          <w:rFonts w:ascii="Verdana" w:hAnsi="Verdana"/>
          <w:sz w:val="28"/>
          <w:szCs w:val="28"/>
        </w:rPr>
        <w:t xml:space="preserve"> (</w:t>
      </w:r>
      <w:r w:rsidR="003F0A7A" w:rsidRPr="00873495">
        <w:rPr>
          <w:rFonts w:ascii="Verdana" w:hAnsi="Verdana"/>
          <w:sz w:val="28"/>
          <w:szCs w:val="28"/>
        </w:rPr>
        <w:t>Dispozitat procedurale sipas Konventës së Budapestit</w:t>
      </w:r>
      <w:r w:rsidRPr="00873495">
        <w:rPr>
          <w:rFonts w:ascii="Verdana" w:hAnsi="Verdana"/>
          <w:sz w:val="28"/>
          <w:szCs w:val="28"/>
        </w:rPr>
        <w:t>)</w:t>
      </w:r>
    </w:p>
    <w:p w:rsidR="00D82C18" w:rsidRPr="00873495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/>
      </w:tblPr>
      <w:tblGrid>
        <w:gridCol w:w="1858"/>
        <w:gridCol w:w="4740"/>
        <w:gridCol w:w="2638"/>
      </w:tblGrid>
      <w:tr w:rsidR="001D3C6E" w:rsidRPr="00873495" w:rsidTr="00873495">
        <w:trPr>
          <w:trHeight w:val="872"/>
        </w:trPr>
        <w:tc>
          <w:tcPr>
            <w:tcW w:w="6555" w:type="dxa"/>
            <w:gridSpan w:val="2"/>
            <w:shd w:val="clear" w:color="auto" w:fill="DEEAF6" w:themeFill="accent5" w:themeFillTint="33"/>
            <w:vAlign w:val="center"/>
          </w:tcPr>
          <w:p w:rsidR="00D82C18" w:rsidRPr="00873495" w:rsidRDefault="003F0A7A" w:rsidP="003F0A7A">
            <w:pPr>
              <w:rPr>
                <w:rFonts w:ascii="Verdana" w:hAnsi="Verdana"/>
                <w:sz w:val="22"/>
                <w:szCs w:val="22"/>
              </w:rPr>
            </w:pPr>
            <w:r w:rsidRPr="00873495">
              <w:rPr>
                <w:rFonts w:ascii="Verdana" w:hAnsi="Verdana"/>
                <w:bCs/>
                <w:sz w:val="22"/>
                <w:szCs w:val="22"/>
              </w:rPr>
              <w:t>Leksioni</w:t>
            </w:r>
            <w:r w:rsidR="00D82C18" w:rsidRPr="0087349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951B6" w:rsidRPr="00873495">
              <w:rPr>
                <w:rFonts w:ascii="Verdana" w:hAnsi="Verdana"/>
                <w:sz w:val="22"/>
                <w:szCs w:val="22"/>
              </w:rPr>
              <w:t>1</w:t>
            </w:r>
            <w:r w:rsidR="00D82C18" w:rsidRPr="00873495">
              <w:rPr>
                <w:rFonts w:ascii="Verdana" w:hAnsi="Verdana"/>
                <w:sz w:val="22"/>
                <w:szCs w:val="22"/>
              </w:rPr>
              <w:t>.</w:t>
            </w:r>
            <w:r w:rsidR="00044F01" w:rsidRPr="00873495">
              <w:rPr>
                <w:rFonts w:ascii="Verdana" w:hAnsi="Verdana"/>
                <w:sz w:val="22"/>
                <w:szCs w:val="22"/>
              </w:rPr>
              <w:t>2.3</w:t>
            </w:r>
            <w:r w:rsidR="00D82C18" w:rsidRPr="00873495">
              <w:rPr>
                <w:rFonts w:ascii="Verdana" w:hAnsi="Verdana"/>
                <w:sz w:val="22"/>
                <w:szCs w:val="22"/>
              </w:rPr>
              <w:t xml:space="preserve"> (</w:t>
            </w:r>
            <w:r w:rsidRPr="00873495">
              <w:rPr>
                <w:rFonts w:ascii="Verdana" w:hAnsi="Verdana"/>
                <w:sz w:val="22"/>
                <w:szCs w:val="22"/>
              </w:rPr>
              <w:t>Rregullorja</w:t>
            </w:r>
            <w:r w:rsidR="00D82C18" w:rsidRPr="00873495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681" w:type="dxa"/>
            <w:shd w:val="clear" w:color="auto" w:fill="DEEAF6" w:themeFill="accent5" w:themeFillTint="33"/>
            <w:vAlign w:val="center"/>
          </w:tcPr>
          <w:p w:rsidR="00D82C18" w:rsidRPr="00873495" w:rsidRDefault="003F0A7A" w:rsidP="003F0A7A">
            <w:pPr>
              <w:rPr>
                <w:rFonts w:ascii="Verdana" w:hAnsi="Verdana"/>
                <w:sz w:val="22"/>
                <w:szCs w:val="22"/>
              </w:rPr>
            </w:pPr>
            <w:r w:rsidRPr="00873495">
              <w:rPr>
                <w:rFonts w:ascii="Verdana" w:hAnsi="Verdana"/>
                <w:sz w:val="22"/>
                <w:szCs w:val="22"/>
              </w:rPr>
              <w:t>Kohëzgjatja</w:t>
            </w:r>
            <w:r w:rsidR="00D82C18" w:rsidRPr="00873495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044F01" w:rsidRPr="00873495">
              <w:rPr>
                <w:rFonts w:ascii="Verdana" w:hAnsi="Verdana"/>
                <w:sz w:val="22"/>
                <w:szCs w:val="22"/>
              </w:rPr>
              <w:t>150</w:t>
            </w:r>
            <w:r w:rsidR="00B71D66" w:rsidRPr="00873495">
              <w:rPr>
                <w:rFonts w:ascii="Verdana" w:hAnsi="Verdana"/>
                <w:sz w:val="22"/>
                <w:szCs w:val="22"/>
              </w:rPr>
              <w:t xml:space="preserve"> minut</w:t>
            </w:r>
            <w:r w:rsidRPr="00873495">
              <w:rPr>
                <w:rFonts w:ascii="Verdana" w:hAnsi="Verdana"/>
                <w:sz w:val="22"/>
                <w:szCs w:val="22"/>
              </w:rPr>
              <w:t>a</w:t>
            </w:r>
          </w:p>
        </w:tc>
      </w:tr>
      <w:tr w:rsidR="003406F3" w:rsidRPr="00873495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873495" w:rsidRDefault="003F0A7A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873495">
              <w:rPr>
                <w:rFonts w:ascii="Verdana" w:hAnsi="Verdana"/>
                <w:b/>
                <w:sz w:val="22"/>
                <w:szCs w:val="22"/>
              </w:rPr>
              <w:t>Burimet që kërkohen</w:t>
            </w:r>
            <w:r w:rsidR="00E7344B" w:rsidRPr="00873495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:rsidR="003F0A7A" w:rsidRPr="00873495" w:rsidRDefault="003F0A7A" w:rsidP="003F0A7A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873495">
              <w:rPr>
                <w:szCs w:val="18"/>
                <w:lang w:val="sq-AL"/>
              </w:rPr>
              <w:t xml:space="preserve">PC/Laptop me programe në versione të pajtueshme me materialet e përgatitura </w:t>
            </w:r>
          </w:p>
          <w:p w:rsidR="003F0A7A" w:rsidRPr="00873495" w:rsidRDefault="003F0A7A" w:rsidP="003F0A7A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873495">
              <w:rPr>
                <w:bCs/>
                <w:szCs w:val="18"/>
                <w:lang w:val="sq-AL"/>
              </w:rPr>
              <w:t>Projektor dhe ekran.</w:t>
            </w:r>
          </w:p>
          <w:p w:rsidR="003F0A7A" w:rsidRPr="00873495" w:rsidRDefault="003F0A7A" w:rsidP="003F0A7A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873495">
              <w:rPr>
                <w:bCs/>
                <w:szCs w:val="18"/>
                <w:lang w:val="sq-AL"/>
              </w:rPr>
              <w:t xml:space="preserve">Qasje në Internet (nëse është e mundur). </w:t>
            </w:r>
          </w:p>
          <w:p w:rsidR="00E7344B" w:rsidRPr="00873495" w:rsidRDefault="003F0A7A" w:rsidP="003F0A7A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  <w:lang w:val="sq-AL"/>
              </w:rPr>
            </w:pPr>
            <w:r w:rsidRPr="00873495">
              <w:rPr>
                <w:rFonts w:cs="Helvetica"/>
                <w:szCs w:val="18"/>
                <w:lang w:val="sq-AL"/>
              </w:rPr>
              <w:t>Letër shkrimi dhe lapsa për pjesëmarrësit</w:t>
            </w:r>
            <w:r w:rsidR="00F62A15" w:rsidRPr="00873495">
              <w:rPr>
                <w:rFonts w:cs="Helvetica"/>
                <w:szCs w:val="18"/>
                <w:lang w:val="sq-AL"/>
              </w:rPr>
              <w:t>.</w:t>
            </w:r>
          </w:p>
        </w:tc>
      </w:tr>
      <w:tr w:rsidR="003406F3" w:rsidRPr="00873495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873495" w:rsidRDefault="003F0A7A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873495">
              <w:rPr>
                <w:rFonts w:ascii="Verdana" w:hAnsi="Verdana"/>
                <w:b/>
                <w:sz w:val="22"/>
                <w:szCs w:val="22"/>
              </w:rPr>
              <w:t>Qëllimi i sesionit</w:t>
            </w:r>
            <w:r w:rsidR="00A03CF0" w:rsidRPr="00873495">
              <w:rPr>
                <w:rFonts w:ascii="Verdana" w:hAnsi="Verdana"/>
                <w:b/>
                <w:sz w:val="22"/>
                <w:szCs w:val="22"/>
              </w:rPr>
              <w:t xml:space="preserve">:  </w:t>
            </w:r>
          </w:p>
          <w:p w:rsidR="00A03CF0" w:rsidRPr="00873495" w:rsidRDefault="003F0A7A" w:rsidP="003F0A7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Qëllimi i përgjithshëm i këtij sesioni është t’u japë pjesëmarrësve një ide gjithëpërfshirëse të </w:t>
            </w:r>
            <w:proofErr w:type="spellStart"/>
            <w:r w:rsidRPr="00873495">
              <w:rPr>
                <w:rFonts w:ascii="Verdana" w:hAnsi="Verdana"/>
                <w:sz w:val="18"/>
                <w:szCs w:val="18"/>
              </w:rPr>
              <w:t>të</w:t>
            </w:r>
            <w:proofErr w:type="spellEnd"/>
            <w:r w:rsidRPr="00873495">
              <w:rPr>
                <w:rFonts w:ascii="Verdana" w:hAnsi="Verdana"/>
                <w:sz w:val="18"/>
                <w:szCs w:val="18"/>
              </w:rPr>
              <w:t xml:space="preserve"> drejtave procedurale që lidhen me krimin kibernetik dhe provat elektronike, sikurse ato parashikohen në </w:t>
            </w:r>
            <w:r w:rsidRPr="00873495">
              <w:rPr>
                <w:rFonts w:ascii="Verdana" w:hAnsi="Verdana"/>
                <w:bCs/>
                <w:sz w:val="18"/>
                <w:szCs w:val="18"/>
              </w:rPr>
              <w:t>Konventën e Budapestit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873495" w:rsidTr="004D6399">
        <w:trPr>
          <w:trHeight w:val="1722"/>
        </w:trPr>
        <w:tc>
          <w:tcPr>
            <w:tcW w:w="9010" w:type="dxa"/>
            <w:gridSpan w:val="3"/>
            <w:vAlign w:val="center"/>
          </w:tcPr>
          <w:p w:rsidR="00A03CF0" w:rsidRPr="00873495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873495">
              <w:rPr>
                <w:rFonts w:ascii="Verdana" w:hAnsi="Verdana"/>
                <w:b/>
                <w:sz w:val="22"/>
                <w:szCs w:val="22"/>
              </w:rPr>
              <w:t>Obje</w:t>
            </w:r>
            <w:r w:rsidR="003F0A7A" w:rsidRPr="00873495">
              <w:rPr>
                <w:rFonts w:ascii="Verdana" w:hAnsi="Verdana"/>
                <w:b/>
                <w:sz w:val="22"/>
                <w:szCs w:val="22"/>
              </w:rPr>
              <w:t>ktivat</w:t>
            </w:r>
            <w:r w:rsidRPr="00873495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:rsidR="005703B7" w:rsidRPr="00873495" w:rsidRDefault="003F0A7A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873495">
              <w:rPr>
                <w:rFonts w:ascii="Verdana" w:eastAsia="Times New Roman" w:hAnsi="Verdana" w:cs="Times New Roman"/>
                <w:sz w:val="18"/>
                <w:szCs w:val="18"/>
              </w:rPr>
              <w:t>Në fund të leksionit, pjesëmarrësit do të jenë në gjendje të</w:t>
            </w:r>
            <w:r w:rsidR="005703B7" w:rsidRPr="00873495">
              <w:rPr>
                <w:rFonts w:ascii="Verdana" w:eastAsia="Times New Roman" w:hAnsi="Verdana" w:cs="Times New Roman"/>
                <w:sz w:val="18"/>
                <w:szCs w:val="18"/>
              </w:rPr>
              <w:t>:</w:t>
            </w:r>
          </w:p>
          <w:p w:rsidR="005703B7" w:rsidRPr="00873495" w:rsidRDefault="003F0A7A" w:rsidP="004D6399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873495">
              <w:rPr>
                <w:szCs w:val="18"/>
                <w:lang w:val="sq-AL"/>
              </w:rPr>
              <w:t>Shpjegojnë dispozitat procedurale të</w:t>
            </w:r>
            <w:r w:rsidR="00B71D66" w:rsidRPr="00873495">
              <w:rPr>
                <w:szCs w:val="18"/>
                <w:lang w:val="sq-AL"/>
              </w:rPr>
              <w:t xml:space="preserve"> </w:t>
            </w:r>
            <w:r w:rsidRPr="00873495">
              <w:rPr>
                <w:bCs/>
                <w:szCs w:val="18"/>
                <w:lang w:val="sq-AL"/>
              </w:rPr>
              <w:t>Konventës së Budapestit.</w:t>
            </w:r>
          </w:p>
          <w:p w:rsidR="00E95703" w:rsidRPr="00873495" w:rsidRDefault="00CB217D" w:rsidP="00CB217D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873495">
              <w:rPr>
                <w:szCs w:val="18"/>
                <w:lang w:val="sq-AL"/>
              </w:rPr>
              <w:t xml:space="preserve">Shpjegojnë rëndësinë e kushteve dhe mbrojtjeve dhe mënyrën se si </w:t>
            </w:r>
            <w:r w:rsidR="008E4E51">
              <w:rPr>
                <w:szCs w:val="18"/>
                <w:lang w:val="sq-AL"/>
              </w:rPr>
              <w:t xml:space="preserve">ato </w:t>
            </w:r>
            <w:r w:rsidRPr="00873495">
              <w:rPr>
                <w:szCs w:val="18"/>
                <w:lang w:val="sq-AL"/>
              </w:rPr>
              <w:t>mund të pë</w:t>
            </w:r>
            <w:r w:rsidR="008E4E51">
              <w:rPr>
                <w:szCs w:val="18"/>
                <w:lang w:val="sq-AL"/>
              </w:rPr>
              <w:t>rcaktohen</w:t>
            </w:r>
            <w:r w:rsidR="003F0A7A" w:rsidRPr="00873495">
              <w:rPr>
                <w:szCs w:val="18"/>
                <w:lang w:val="sq-AL"/>
              </w:rPr>
              <w:t>.</w:t>
            </w:r>
          </w:p>
        </w:tc>
      </w:tr>
      <w:tr w:rsidR="003406F3" w:rsidRPr="00873495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873495" w:rsidRDefault="00CB217D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873495">
              <w:rPr>
                <w:rFonts w:ascii="Verdana" w:hAnsi="Verdana"/>
                <w:b/>
                <w:sz w:val="22"/>
                <w:szCs w:val="22"/>
              </w:rPr>
              <w:t>Udhëzime për trajnerin</w:t>
            </w:r>
          </w:p>
          <w:p w:rsidR="007B75A9" w:rsidRPr="00873495" w:rsidRDefault="007D2900" w:rsidP="008E4E51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Ky sesion është përgatitur për t’u dhënë pjesëmarrësve një ide të përgjithshme </w:t>
            </w:r>
            <w:r w:rsidR="00873495" w:rsidRPr="00873495">
              <w:rPr>
                <w:rFonts w:ascii="Verdana" w:hAnsi="Verdana"/>
                <w:sz w:val="18"/>
                <w:szCs w:val="18"/>
              </w:rPr>
              <w:t>rreth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të drejtave procedurale që lidhen me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krimin kibernetik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73495">
              <w:rPr>
                <w:rFonts w:ascii="Verdana" w:hAnsi="Verdana"/>
                <w:sz w:val="18"/>
                <w:szCs w:val="18"/>
              </w:rPr>
              <w:t>dhe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provat elektronike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. </w:t>
            </w:r>
            <w:r w:rsidRPr="00873495">
              <w:rPr>
                <w:rFonts w:ascii="Verdana" w:hAnsi="Verdana"/>
                <w:sz w:val="18"/>
                <w:szCs w:val="18"/>
              </w:rPr>
              <w:t>Sesioni është ndarë në tre pjesë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873495">
              <w:rPr>
                <w:rFonts w:ascii="Verdana" w:hAnsi="Verdana"/>
                <w:sz w:val="18"/>
                <w:szCs w:val="18"/>
              </w:rPr>
              <w:t>përveç prezantimit dhe konkluzioneve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. </w:t>
            </w:r>
            <w:r w:rsidRPr="00873495">
              <w:rPr>
                <w:rFonts w:ascii="Verdana" w:hAnsi="Verdana"/>
                <w:sz w:val="18"/>
                <w:szCs w:val="18"/>
              </w:rPr>
              <w:t>Pjesa e parë e sesionit trajton të drejtat procedurale të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Konvent</w:t>
            </w:r>
            <w:r w:rsidRPr="00873495">
              <w:rPr>
                <w:rFonts w:ascii="Verdana" w:hAnsi="Verdana"/>
                <w:bCs/>
                <w:sz w:val="18"/>
                <w:szCs w:val="18"/>
              </w:rPr>
              <w:t>ës së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 xml:space="preserve"> Budapestit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73495">
              <w:rPr>
                <w:rFonts w:ascii="Verdana" w:hAnsi="Verdana"/>
                <w:sz w:val="18"/>
                <w:szCs w:val="18"/>
              </w:rPr>
              <w:t>për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Krimin kibernetik</w:t>
            </w:r>
            <w:r w:rsidR="00B569A5" w:rsidRPr="00873495">
              <w:rPr>
                <w:rFonts w:ascii="Verdana" w:hAnsi="Verdana"/>
                <w:sz w:val="18"/>
                <w:szCs w:val="18"/>
              </w:rPr>
              <w:t xml:space="preserve">. 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Këto diapozitiva paraqesin tekstin e çdo të drejte </w:t>
            </w:r>
            <w:r w:rsidR="00AF62EC" w:rsidRPr="00873495">
              <w:rPr>
                <w:rFonts w:ascii="Verdana" w:hAnsi="Verdana"/>
                <w:sz w:val="18"/>
                <w:szCs w:val="18"/>
              </w:rPr>
              <w:t>procedural</w:t>
            </w:r>
            <w:r w:rsidRPr="00873495">
              <w:rPr>
                <w:rFonts w:ascii="Verdana" w:hAnsi="Verdana"/>
                <w:sz w:val="18"/>
                <w:szCs w:val="18"/>
              </w:rPr>
              <w:t>e të Kapitullit</w:t>
            </w:r>
            <w:r w:rsidR="00AF62EC" w:rsidRPr="00873495">
              <w:rPr>
                <w:rFonts w:ascii="Verdana" w:hAnsi="Verdana"/>
                <w:sz w:val="18"/>
                <w:szCs w:val="18"/>
              </w:rPr>
              <w:t xml:space="preserve"> 2, Se</w:t>
            </w:r>
            <w:r w:rsidRPr="00873495">
              <w:rPr>
                <w:rFonts w:ascii="Verdana" w:hAnsi="Verdana"/>
                <w:sz w:val="18"/>
                <w:szCs w:val="18"/>
              </w:rPr>
              <w:t>ksionit</w:t>
            </w:r>
            <w:r w:rsidR="00AF62EC" w:rsidRPr="00873495">
              <w:rPr>
                <w:rFonts w:ascii="Verdana" w:hAnsi="Verdana"/>
                <w:sz w:val="18"/>
                <w:szCs w:val="18"/>
              </w:rPr>
              <w:t xml:space="preserve"> 2 </w:t>
            </w:r>
            <w:r w:rsidRPr="00873495">
              <w:rPr>
                <w:rFonts w:ascii="Verdana" w:hAnsi="Verdana"/>
                <w:sz w:val="18"/>
                <w:szCs w:val="18"/>
              </w:rPr>
              <w:t>të</w:t>
            </w:r>
            <w:r w:rsidR="00AF62EC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Konvent</w:t>
            </w:r>
            <w:r w:rsidRPr="00873495">
              <w:rPr>
                <w:rFonts w:ascii="Verdana" w:hAnsi="Verdana"/>
                <w:bCs/>
                <w:sz w:val="18"/>
                <w:szCs w:val="18"/>
              </w:rPr>
              <w:t>ës së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 xml:space="preserve"> Budapestit</w:t>
            </w:r>
            <w:r w:rsidR="00AF62EC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73495">
              <w:rPr>
                <w:rFonts w:ascii="Verdana" w:hAnsi="Verdana"/>
                <w:sz w:val="18"/>
                <w:szCs w:val="18"/>
              </w:rPr>
              <w:t>për</w:t>
            </w:r>
            <w:r w:rsidR="00AF62EC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Krimin kibernetik</w:t>
            </w:r>
            <w:r w:rsidR="00AF62EC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73495" w:rsidRPr="00873495">
              <w:rPr>
                <w:rFonts w:ascii="Verdana" w:hAnsi="Verdana"/>
                <w:sz w:val="18"/>
                <w:szCs w:val="18"/>
              </w:rPr>
              <w:t>s</w:t>
            </w:r>
            <w:r w:rsidRPr="00873495">
              <w:rPr>
                <w:rFonts w:ascii="Verdana" w:hAnsi="Verdana"/>
                <w:sz w:val="18"/>
                <w:szCs w:val="18"/>
              </w:rPr>
              <w:t>i edhe diapozitiva</w:t>
            </w:r>
            <w:r w:rsidR="008E4E51">
              <w:rPr>
                <w:rFonts w:ascii="Verdana" w:hAnsi="Verdana"/>
                <w:sz w:val="18"/>
                <w:szCs w:val="18"/>
              </w:rPr>
              <w:t>t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E4E51">
              <w:rPr>
                <w:rFonts w:ascii="Verdana" w:hAnsi="Verdana"/>
                <w:sz w:val="18"/>
                <w:szCs w:val="18"/>
              </w:rPr>
              <w:t>e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hollësishme që shpjegojnë </w:t>
            </w:r>
            <w:r w:rsidR="00873495" w:rsidRPr="00873495">
              <w:rPr>
                <w:rFonts w:ascii="Verdana" w:hAnsi="Verdana"/>
                <w:sz w:val="18"/>
                <w:szCs w:val="18"/>
              </w:rPr>
              <w:t>çdo element të secilit nen. Pjesa e dytë e sesionit mbulon kushtet dhe mbrojtjet e lidhura me të drejtat procedurale</w:t>
            </w:r>
            <w:r w:rsidR="00AF62EC" w:rsidRPr="00873495"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  <w:tr w:rsidR="003406F3" w:rsidRPr="00873495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873495" w:rsidRDefault="00873495" w:rsidP="00873495">
            <w:pPr>
              <w:rPr>
                <w:rFonts w:ascii="Verdana" w:hAnsi="Verdana"/>
                <w:b/>
                <w:sz w:val="28"/>
                <w:szCs w:val="28"/>
              </w:rPr>
            </w:pPr>
            <w:r w:rsidRPr="00873495">
              <w:rPr>
                <w:rFonts w:ascii="Verdana" w:hAnsi="Verdana"/>
                <w:b/>
                <w:sz w:val="28"/>
                <w:szCs w:val="28"/>
              </w:rPr>
              <w:t>Përmbajtja e leksionit</w:t>
            </w:r>
          </w:p>
        </w:tc>
      </w:tr>
      <w:tr w:rsidR="003406F3" w:rsidRPr="00873495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873495" w:rsidRDefault="00873495" w:rsidP="0087349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873495">
              <w:rPr>
                <w:rFonts w:ascii="Verdana" w:hAnsi="Verdana"/>
                <w:b/>
                <w:sz w:val="22"/>
                <w:szCs w:val="22"/>
              </w:rPr>
              <w:t>Numrat e diapozitivave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873495" w:rsidRDefault="00873495" w:rsidP="00873495">
            <w:pPr>
              <w:rPr>
                <w:rFonts w:ascii="Verdana" w:hAnsi="Verdana"/>
                <w:b/>
                <w:sz w:val="22"/>
                <w:szCs w:val="22"/>
              </w:rPr>
            </w:pPr>
            <w:r w:rsidRPr="00873495">
              <w:rPr>
                <w:rFonts w:ascii="Verdana" w:hAnsi="Verdana"/>
                <w:b/>
                <w:sz w:val="22"/>
                <w:szCs w:val="22"/>
              </w:rPr>
              <w:t>Përmbajtja</w:t>
            </w:r>
          </w:p>
        </w:tc>
      </w:tr>
      <w:tr w:rsidR="003406F3" w:rsidRPr="00873495" w:rsidTr="00CB3026">
        <w:tc>
          <w:tcPr>
            <w:tcW w:w="1615" w:type="dxa"/>
            <w:vAlign w:val="center"/>
          </w:tcPr>
          <w:p w:rsidR="00D82C18" w:rsidRPr="00873495" w:rsidRDefault="003630ED" w:rsidP="00873495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>1</w:t>
            </w:r>
            <w:r w:rsidR="00873495" w:rsidRPr="00873495">
              <w:rPr>
                <w:rFonts w:ascii="Verdana" w:hAnsi="Verdana"/>
                <w:sz w:val="18"/>
                <w:szCs w:val="18"/>
              </w:rPr>
              <w:t xml:space="preserve"> deri në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00A58" w:rsidRPr="0087349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873495" w:rsidRDefault="00873495" w:rsidP="0087349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</w:rPr>
              <w:t>D</w:t>
            </w:r>
            <w:r w:rsidRPr="00873495">
              <w:rPr>
                <w:rFonts w:ascii="Verdana" w:eastAsia="Times New Roman" w:hAnsi="Verdana" w:cs="Times New Roman"/>
                <w:bCs/>
                <w:sz w:val="18"/>
                <w:szCs w:val="18"/>
              </w:rPr>
              <w:t>iapozitivat</w:t>
            </w:r>
            <w:r w:rsidR="00AF62EC" w:rsidRPr="00873495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e para parashikojnë strukturën dhe objektivat e këtij sesioni. Pjesëmarrësve duhet t’u jepet mundësia të bëjnë pyetje paraprake që mund të kenë në lidhje me strukturën dhe objektivat e sesionit</w:t>
            </w:r>
            <w:r w:rsidR="00A00A58" w:rsidRPr="00873495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3406F3" w:rsidRPr="00873495" w:rsidTr="00CB3026">
        <w:trPr>
          <w:trHeight w:val="3158"/>
        </w:trPr>
        <w:tc>
          <w:tcPr>
            <w:tcW w:w="1615" w:type="dxa"/>
            <w:vAlign w:val="center"/>
          </w:tcPr>
          <w:p w:rsidR="00D82C18" w:rsidRPr="00873495" w:rsidRDefault="00A00A58" w:rsidP="0087349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lastRenderedPageBreak/>
              <w:t xml:space="preserve">5 </w:t>
            </w:r>
            <w:r w:rsidR="00873495" w:rsidRPr="00873495">
              <w:rPr>
                <w:rFonts w:ascii="Verdana" w:hAnsi="Verdana"/>
                <w:sz w:val="18"/>
                <w:szCs w:val="18"/>
              </w:rPr>
              <w:t>deri në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124</w:t>
            </w:r>
          </w:p>
        </w:tc>
        <w:tc>
          <w:tcPr>
            <w:tcW w:w="7395" w:type="dxa"/>
            <w:gridSpan w:val="2"/>
            <w:vAlign w:val="center"/>
          </w:tcPr>
          <w:p w:rsidR="00CB3026" w:rsidRPr="00873495" w:rsidRDefault="00873495" w:rsidP="003E0EDB">
            <w:pPr>
              <w:pStyle w:val="Subtitle"/>
              <w:spacing w:beforeLines="20" w:afterLines="120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>
              <w:rPr>
                <w:rFonts w:ascii="Verdana" w:eastAsia="Times New Roman" w:hAnsi="Verdana"/>
                <w:color w:val="auto"/>
                <w:szCs w:val="18"/>
              </w:rPr>
              <w:t>Këto diapozitiva mbulojnë dispozitat e të drejtës procedurale sipas Kapitullit</w:t>
            </w:r>
            <w:r w:rsidR="00823B30" w:rsidRPr="00873495">
              <w:rPr>
                <w:rFonts w:ascii="Verdana" w:eastAsia="Times New Roman" w:hAnsi="Verdana"/>
                <w:color w:val="auto"/>
                <w:szCs w:val="18"/>
              </w:rPr>
              <w:t xml:space="preserve"> II, Se</w:t>
            </w:r>
            <w:r>
              <w:rPr>
                <w:rFonts w:ascii="Verdana" w:eastAsia="Times New Roman" w:hAnsi="Verdana"/>
                <w:color w:val="auto"/>
                <w:szCs w:val="18"/>
              </w:rPr>
              <w:t>ksionit</w:t>
            </w:r>
            <w:r w:rsidR="00823B30" w:rsidRPr="00873495">
              <w:rPr>
                <w:rFonts w:ascii="Verdana" w:eastAsia="Times New Roman" w:hAnsi="Verdana"/>
                <w:color w:val="auto"/>
                <w:szCs w:val="18"/>
              </w:rPr>
              <w:t xml:space="preserve"> 2 </w:t>
            </w:r>
            <w:r>
              <w:rPr>
                <w:rFonts w:ascii="Verdana" w:eastAsia="Times New Roman" w:hAnsi="Verdana"/>
                <w:color w:val="auto"/>
                <w:szCs w:val="18"/>
              </w:rPr>
              <w:t>të Konventës së Budapestit</w:t>
            </w:r>
            <w:r w:rsidR="00823B30" w:rsidRPr="00873495">
              <w:rPr>
                <w:rFonts w:ascii="Verdana" w:eastAsia="Times New Roman" w:hAnsi="Verdana"/>
                <w:color w:val="auto"/>
                <w:szCs w:val="18"/>
              </w:rPr>
              <w:t>. T</w:t>
            </w:r>
            <w:r>
              <w:rPr>
                <w:rFonts w:ascii="Verdana" w:eastAsia="Times New Roman" w:hAnsi="Verdana"/>
                <w:color w:val="auto"/>
                <w:szCs w:val="18"/>
              </w:rPr>
              <w:t>rajneri duhet që së pari t</w:t>
            </w:r>
            <w:r w:rsidR="008E4E51">
              <w:rPr>
                <w:rFonts w:ascii="Verdana" w:eastAsia="Times New Roman" w:hAnsi="Verdana"/>
                <w:color w:val="auto"/>
                <w:szCs w:val="18"/>
              </w:rPr>
              <w:t>’i</w:t>
            </w:r>
            <w:r>
              <w:rPr>
                <w:rFonts w:ascii="Verdana" w:eastAsia="Times New Roman" w:hAnsi="Verdana"/>
                <w:color w:val="auto"/>
                <w:szCs w:val="18"/>
              </w:rPr>
              <w:t xml:space="preserve"> prezantojë të pranishmit me përkufizimet bazë të tilla si “të dhëna kompjuterike”, “të dhëna për përmbajtjen”, “të dhëna për trafikun” dhe “ofruesi i shërbimit” sikurse ato përdoren në Konventën e Budapestit</w:t>
            </w:r>
            <w:r w:rsidR="001D3C6E">
              <w:rPr>
                <w:rFonts w:ascii="Verdana" w:eastAsia="Times New Roman" w:hAnsi="Verdana"/>
                <w:color w:val="auto"/>
                <w:szCs w:val="18"/>
              </w:rPr>
              <w:t>.</w:t>
            </w:r>
            <w:r w:rsidR="00534FB7" w:rsidRPr="00873495">
              <w:rPr>
                <w:rFonts w:ascii="Verdana" w:eastAsia="Times New Roman" w:hAnsi="Verdana"/>
                <w:color w:val="auto"/>
                <w:szCs w:val="18"/>
              </w:rPr>
              <w:t xml:space="preserve"> </w:t>
            </w:r>
            <w:r w:rsidR="001D3C6E">
              <w:rPr>
                <w:rFonts w:ascii="Verdana" w:eastAsia="Times New Roman" w:hAnsi="Verdana"/>
                <w:color w:val="auto"/>
                <w:szCs w:val="18"/>
              </w:rPr>
              <w:t>Pas kësaj, trajneri kërkohet të mbulojë tekstin dhe shpjegime</w:t>
            </w:r>
            <w:r w:rsidR="008E4E51">
              <w:rPr>
                <w:rFonts w:ascii="Verdana" w:eastAsia="Times New Roman" w:hAnsi="Verdana"/>
                <w:color w:val="auto"/>
                <w:szCs w:val="18"/>
              </w:rPr>
              <w:t>t</w:t>
            </w:r>
            <w:r w:rsidR="001D3C6E">
              <w:rPr>
                <w:rFonts w:ascii="Verdana" w:eastAsia="Times New Roman" w:hAnsi="Verdana"/>
                <w:color w:val="auto"/>
                <w:szCs w:val="18"/>
              </w:rPr>
              <w:t xml:space="preserve"> </w:t>
            </w:r>
            <w:r w:rsidR="008E4E51">
              <w:rPr>
                <w:rFonts w:ascii="Verdana" w:eastAsia="Times New Roman" w:hAnsi="Verdana"/>
                <w:color w:val="auto"/>
                <w:szCs w:val="18"/>
              </w:rPr>
              <w:t>e</w:t>
            </w:r>
            <w:r w:rsidR="001D3C6E">
              <w:rPr>
                <w:rFonts w:ascii="Verdana" w:eastAsia="Times New Roman" w:hAnsi="Verdana"/>
                <w:color w:val="auto"/>
                <w:szCs w:val="18"/>
              </w:rPr>
              <w:t xml:space="preserve"> hollësishme të </w:t>
            </w:r>
            <w:proofErr w:type="spellStart"/>
            <w:r w:rsidR="001D3C6E">
              <w:rPr>
                <w:rFonts w:ascii="Verdana" w:eastAsia="Times New Roman" w:hAnsi="Verdana"/>
                <w:color w:val="auto"/>
                <w:szCs w:val="18"/>
              </w:rPr>
              <w:t>të</w:t>
            </w:r>
            <w:proofErr w:type="spellEnd"/>
            <w:r w:rsidR="001D3C6E">
              <w:rPr>
                <w:rFonts w:ascii="Verdana" w:eastAsia="Times New Roman" w:hAnsi="Verdana"/>
                <w:color w:val="auto"/>
                <w:szCs w:val="18"/>
              </w:rPr>
              <w:t xml:space="preserve"> drejtave procedurale të mëposhtme të Konventës së Budapestit</w:t>
            </w:r>
            <w:r w:rsidR="00823B30" w:rsidRPr="00873495">
              <w:rPr>
                <w:rFonts w:ascii="Verdana" w:eastAsia="Times New Roman" w:hAnsi="Verdana"/>
                <w:color w:val="auto"/>
                <w:szCs w:val="18"/>
              </w:rPr>
              <w:t>:</w:t>
            </w:r>
          </w:p>
          <w:p w:rsidR="003E0EDB" w:rsidRPr="00873495" w:rsidRDefault="00534FB7" w:rsidP="003E0EDB">
            <w:pPr>
              <w:spacing w:beforeLines="20" w:after="20" w:line="280" w:lineRule="exact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a. </w:t>
            </w:r>
            <w:r w:rsidR="001D3C6E">
              <w:rPr>
                <w:rFonts w:ascii="Verdana" w:hAnsi="Verdana"/>
                <w:sz w:val="18"/>
                <w:szCs w:val="18"/>
              </w:rPr>
              <w:t xml:space="preserve">Ruajtja e përshpejtuar e të dhënave kompjuterike të mbajtura </w:t>
            </w:r>
            <w:r w:rsidRPr="00873495">
              <w:rPr>
                <w:rFonts w:ascii="Verdana" w:hAnsi="Verdana"/>
                <w:sz w:val="18"/>
                <w:szCs w:val="18"/>
              </w:rPr>
              <w:t>(</w:t>
            </w:r>
            <w:r w:rsidR="001D3C6E" w:rsidRPr="001D3C6E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873495">
              <w:rPr>
                <w:rFonts w:ascii="Verdana" w:hAnsi="Verdana"/>
                <w:sz w:val="18"/>
                <w:szCs w:val="18"/>
              </w:rPr>
              <w:t>16)</w:t>
            </w:r>
            <w:r w:rsidR="001D3C6E">
              <w:rPr>
                <w:rFonts w:ascii="Verdana" w:hAnsi="Verdana"/>
                <w:sz w:val="18"/>
                <w:szCs w:val="18"/>
              </w:rPr>
              <w:t>.</w:t>
            </w:r>
          </w:p>
          <w:p w:rsidR="00534FB7" w:rsidRPr="00873495" w:rsidRDefault="00534FB7" w:rsidP="003E0EDB">
            <w:pPr>
              <w:spacing w:beforeLines="20" w:after="20" w:line="280" w:lineRule="exact"/>
              <w:ind w:left="252" w:hanging="252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b. </w:t>
            </w:r>
            <w:r w:rsidR="001D3C6E">
              <w:rPr>
                <w:rFonts w:ascii="Verdana" w:hAnsi="Verdana"/>
                <w:sz w:val="18"/>
                <w:szCs w:val="18"/>
              </w:rPr>
              <w:t>Ruajtja e përshpejtuar dhe publikimi i pjesshëm i të dhënave të ruajtura të trafikut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1D3C6E" w:rsidRPr="001D3C6E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873495">
              <w:rPr>
                <w:rFonts w:ascii="Verdana" w:hAnsi="Verdana"/>
                <w:sz w:val="18"/>
                <w:szCs w:val="18"/>
              </w:rPr>
              <w:t>17)</w:t>
            </w:r>
            <w:r w:rsidR="001D3C6E">
              <w:rPr>
                <w:rFonts w:ascii="Verdana" w:hAnsi="Verdana"/>
                <w:sz w:val="18"/>
                <w:szCs w:val="18"/>
              </w:rPr>
              <w:t>.</w:t>
            </w:r>
          </w:p>
          <w:p w:rsidR="00534FB7" w:rsidRPr="00873495" w:rsidRDefault="00534FB7" w:rsidP="003E0EDB">
            <w:pPr>
              <w:spacing w:beforeLines="20" w:after="20" w:line="280" w:lineRule="exact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c. </w:t>
            </w:r>
            <w:r w:rsidR="001D3C6E">
              <w:rPr>
                <w:rFonts w:ascii="Verdana" w:hAnsi="Verdana"/>
                <w:sz w:val="18"/>
                <w:szCs w:val="18"/>
              </w:rPr>
              <w:t>Urdhër për p</w:t>
            </w:r>
            <w:r w:rsidR="008E4E51">
              <w:rPr>
                <w:rFonts w:ascii="Verdana" w:hAnsi="Verdana"/>
                <w:sz w:val="18"/>
                <w:szCs w:val="18"/>
              </w:rPr>
              <w:t>rodhimin</w:t>
            </w:r>
            <w:r w:rsidR="001D3C6E">
              <w:rPr>
                <w:rFonts w:ascii="Verdana" w:hAnsi="Verdana"/>
                <w:sz w:val="18"/>
                <w:szCs w:val="18"/>
              </w:rPr>
              <w:t xml:space="preserve"> (e të dhënave)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1D3C6E" w:rsidRPr="001D3C6E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="001D3C6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873495">
              <w:rPr>
                <w:rFonts w:ascii="Verdana" w:hAnsi="Verdana"/>
                <w:sz w:val="18"/>
                <w:szCs w:val="18"/>
              </w:rPr>
              <w:t>18)</w:t>
            </w:r>
            <w:r w:rsidR="001D3C6E">
              <w:rPr>
                <w:rFonts w:ascii="Verdana" w:hAnsi="Verdana"/>
                <w:sz w:val="18"/>
                <w:szCs w:val="18"/>
              </w:rPr>
              <w:t>.</w:t>
            </w:r>
          </w:p>
          <w:p w:rsidR="00534FB7" w:rsidRPr="00873495" w:rsidRDefault="00534FB7" w:rsidP="003E0EDB">
            <w:pPr>
              <w:spacing w:beforeLines="20" w:after="20" w:line="280" w:lineRule="exact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d. </w:t>
            </w:r>
            <w:r w:rsidR="001D3C6E">
              <w:rPr>
                <w:rFonts w:ascii="Verdana" w:hAnsi="Verdana"/>
                <w:sz w:val="18"/>
                <w:szCs w:val="18"/>
              </w:rPr>
              <w:t>Kontrolli dhe sekuestrimi i të dhënave të ruajtura kompjuterike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1D3C6E" w:rsidRPr="001D3C6E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873495">
              <w:rPr>
                <w:rFonts w:ascii="Verdana" w:hAnsi="Verdana"/>
                <w:sz w:val="18"/>
                <w:szCs w:val="18"/>
              </w:rPr>
              <w:t>19)</w:t>
            </w:r>
            <w:r w:rsidR="001D3C6E">
              <w:rPr>
                <w:rFonts w:ascii="Verdana" w:hAnsi="Verdana"/>
                <w:sz w:val="18"/>
                <w:szCs w:val="18"/>
              </w:rPr>
              <w:t>.</w:t>
            </w:r>
          </w:p>
          <w:p w:rsidR="00534FB7" w:rsidRPr="00873495" w:rsidRDefault="00534FB7" w:rsidP="003E0EDB">
            <w:pPr>
              <w:spacing w:beforeLines="20" w:after="20" w:line="280" w:lineRule="exact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e. </w:t>
            </w:r>
            <w:r w:rsidR="001D3C6E">
              <w:rPr>
                <w:rFonts w:ascii="Verdana" w:hAnsi="Verdana"/>
                <w:sz w:val="18"/>
                <w:szCs w:val="18"/>
              </w:rPr>
              <w:t>Mbledhje në kohë reale e të dhënave të trafikut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1D3C6E" w:rsidRPr="001D3C6E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873495">
              <w:rPr>
                <w:rFonts w:ascii="Verdana" w:hAnsi="Verdana"/>
                <w:sz w:val="18"/>
                <w:szCs w:val="18"/>
              </w:rPr>
              <w:t>20)</w:t>
            </w:r>
            <w:r w:rsidR="001D3C6E">
              <w:rPr>
                <w:rFonts w:ascii="Verdana" w:hAnsi="Verdana"/>
                <w:sz w:val="18"/>
                <w:szCs w:val="18"/>
              </w:rPr>
              <w:t>.</w:t>
            </w:r>
          </w:p>
          <w:p w:rsidR="00534FB7" w:rsidRPr="00873495" w:rsidRDefault="00534FB7" w:rsidP="003E0EDB">
            <w:pPr>
              <w:spacing w:beforeLines="20" w:after="24" w:line="280" w:lineRule="exact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f. </w:t>
            </w:r>
            <w:r w:rsidR="001D3C6E">
              <w:rPr>
                <w:rFonts w:ascii="Verdana" w:hAnsi="Verdana"/>
                <w:sz w:val="18"/>
                <w:szCs w:val="18"/>
              </w:rPr>
              <w:t>Përgjimi i të dhënave për përmbajtjen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1D3C6E" w:rsidRPr="001D3C6E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873495">
              <w:rPr>
                <w:rFonts w:ascii="Verdana" w:hAnsi="Verdana"/>
                <w:sz w:val="18"/>
                <w:szCs w:val="18"/>
              </w:rPr>
              <w:t>21)</w:t>
            </w:r>
            <w:r w:rsidR="001D3C6E">
              <w:rPr>
                <w:rFonts w:ascii="Verdana" w:hAnsi="Verdana"/>
                <w:sz w:val="18"/>
                <w:szCs w:val="18"/>
              </w:rPr>
              <w:t>.</w:t>
            </w:r>
          </w:p>
          <w:p w:rsidR="003E0EDB" w:rsidRPr="00873495" w:rsidRDefault="003E0EDB" w:rsidP="003E0EDB">
            <w:pPr>
              <w:spacing w:beforeLines="20" w:after="24" w:line="280" w:lineRule="exact"/>
            </w:pPr>
          </w:p>
          <w:p w:rsidR="003406F3" w:rsidRPr="00873495" w:rsidRDefault="001D3C6E" w:rsidP="001D3C6E">
            <w:pPr>
              <w:spacing w:beforeLines="20" w:afterLines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Pjesëmarrësit duhet të njihen me elementët e rëndësishëm të këtyre neneve të së drejtës procedurale të</w:t>
            </w:r>
            <w:r w:rsidR="00534FB7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Konvent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ës së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Budapestit</w:t>
            </w:r>
            <w:r w:rsidR="003E0EDB" w:rsidRPr="00873495">
              <w:rPr>
                <w:rFonts w:ascii="Verdana" w:hAnsi="Verdana"/>
                <w:sz w:val="18"/>
                <w:szCs w:val="18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</w:rPr>
              <w:t>Elementët e rëndësishëm të secilit N</w:t>
            </w:r>
            <w:r w:rsidRPr="001D3C6E">
              <w:rPr>
                <w:rFonts w:ascii="Verdana" w:hAnsi="Verdana"/>
                <w:bCs/>
                <w:sz w:val="18"/>
                <w:szCs w:val="18"/>
              </w:rPr>
              <w:t>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janë shënuar secili me tekst të kuq, dhe çdo element i veçantë i theksuar me të kuq pasohet nga</w:t>
            </w:r>
            <w:r w:rsidR="003E0EDB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73495" w:rsidRPr="00873495">
              <w:rPr>
                <w:rFonts w:ascii="Verdana" w:hAnsi="Verdana"/>
                <w:bCs/>
                <w:sz w:val="18"/>
                <w:szCs w:val="18"/>
              </w:rPr>
              <w:t>diapozitiva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me shpjegime të elementit të mëparshëm. Trajneri mund të zgjedhë të mos i përdorë këto diapozitiva të hollësishme jo thelbësore</w:t>
            </w:r>
            <w:r w:rsidR="00534FB7" w:rsidRPr="00873495">
              <w:rPr>
                <w:rFonts w:ascii="Verdana" w:hAnsi="Verdana"/>
                <w:sz w:val="18"/>
                <w:szCs w:val="18"/>
              </w:rPr>
              <w:t xml:space="preserve">; </w:t>
            </w:r>
            <w:r>
              <w:rPr>
                <w:rFonts w:ascii="Verdana" w:hAnsi="Verdana"/>
                <w:sz w:val="18"/>
                <w:szCs w:val="18"/>
              </w:rPr>
              <w:t>por është e rëndësishme që secila nga të drejtat procedurale të shpjegohet me hollësi të mjaftueshme</w:t>
            </w:r>
            <w:r w:rsidR="00534FB7" w:rsidRPr="00873495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873495" w:rsidTr="00CB3026">
        <w:trPr>
          <w:trHeight w:val="3158"/>
        </w:trPr>
        <w:tc>
          <w:tcPr>
            <w:tcW w:w="1615" w:type="dxa"/>
            <w:vAlign w:val="center"/>
          </w:tcPr>
          <w:p w:rsidR="00A00A58" w:rsidRPr="00873495" w:rsidRDefault="00A00A58" w:rsidP="000B44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 xml:space="preserve">125 </w:t>
            </w:r>
            <w:r w:rsidR="00873495" w:rsidRPr="00873495">
              <w:rPr>
                <w:rFonts w:ascii="Verdana" w:hAnsi="Verdana"/>
                <w:sz w:val="18"/>
                <w:szCs w:val="18"/>
              </w:rPr>
              <w:t xml:space="preserve">deri në </w:t>
            </w:r>
            <w:r w:rsidRPr="00873495">
              <w:rPr>
                <w:rFonts w:ascii="Verdana" w:hAnsi="Verdana"/>
                <w:sz w:val="18"/>
                <w:szCs w:val="18"/>
              </w:rPr>
              <w:t>13</w:t>
            </w:r>
            <w:r w:rsidR="000B4410" w:rsidRPr="00873495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873495" w:rsidRDefault="001D3C6E" w:rsidP="00175AD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Kjo pjesë sheh kushtet dhe mbrojtjet e ofruara nga</w:t>
            </w:r>
            <w:r w:rsidR="00E17E67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0A7A" w:rsidRPr="00873495">
              <w:rPr>
                <w:rFonts w:ascii="Verdana" w:hAnsi="Verdana"/>
                <w:bCs/>
                <w:sz w:val="18"/>
                <w:szCs w:val="18"/>
              </w:rPr>
              <w:t>Konventa e Budapestit</w:t>
            </w:r>
            <w:r w:rsidR="00175ADE" w:rsidRPr="00873495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>dhe shpjegon elementët e</w:t>
            </w:r>
            <w:r w:rsidR="00175ADE"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D3C6E">
              <w:rPr>
                <w:rFonts w:ascii="Verdana" w:hAnsi="Verdana"/>
                <w:bCs/>
                <w:sz w:val="18"/>
                <w:szCs w:val="18"/>
              </w:rPr>
              <w:t>Neni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t </w:t>
            </w:r>
            <w:r w:rsidR="00175ADE" w:rsidRPr="00873495">
              <w:rPr>
                <w:rFonts w:ascii="Verdana" w:hAnsi="Verdana"/>
                <w:sz w:val="18"/>
                <w:szCs w:val="18"/>
              </w:rPr>
              <w:t xml:space="preserve">15. </w:t>
            </w:r>
            <w:r>
              <w:rPr>
                <w:rFonts w:ascii="Verdana" w:hAnsi="Verdana"/>
                <w:sz w:val="18"/>
                <w:szCs w:val="18"/>
              </w:rPr>
              <w:t>Kjo pjesë mbulon gjithashtu edhe të drejtat e garantuara nga Konventa Evropiane për të Drejtat e Njeriut dhe Konvent</w:t>
            </w:r>
            <w:r w:rsidR="008E4E51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Ndërkombëtare për të Drejtat Civile dhe Politike</w:t>
            </w:r>
            <w:bookmarkStart w:id="0" w:name="_GoBack"/>
            <w:bookmarkEnd w:id="0"/>
            <w:r w:rsidR="00251C9E" w:rsidRPr="00873495"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:rsidR="00175ADE" w:rsidRPr="00873495" w:rsidRDefault="001D3C6E" w:rsidP="008E4E51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Është me rëndësi që këto </w:t>
            </w:r>
            <w:r w:rsidR="00873495" w:rsidRPr="00873495">
              <w:rPr>
                <w:rFonts w:ascii="Verdana" w:hAnsi="Verdana"/>
                <w:bCs/>
                <w:sz w:val="18"/>
                <w:szCs w:val="18"/>
              </w:rPr>
              <w:t>diapozitiva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të </w:t>
            </w:r>
            <w:r w:rsidR="0063344E">
              <w:rPr>
                <w:rFonts w:ascii="Verdana" w:hAnsi="Verdana"/>
                <w:bCs/>
                <w:sz w:val="18"/>
                <w:szCs w:val="18"/>
              </w:rPr>
              <w:t xml:space="preserve">paraqiten në mënyrë të tillë që të theksojë aspektet praktike që delegatët do të duhej të merrnin parasysh gjatë ushtrimit të </w:t>
            </w:r>
            <w:proofErr w:type="spellStart"/>
            <w:r w:rsidR="0063344E">
              <w:rPr>
                <w:rFonts w:ascii="Verdana" w:hAnsi="Verdana"/>
                <w:bCs/>
                <w:sz w:val="18"/>
                <w:szCs w:val="18"/>
              </w:rPr>
              <w:t>të</w:t>
            </w:r>
            <w:proofErr w:type="spellEnd"/>
            <w:r w:rsidR="0063344E">
              <w:rPr>
                <w:rFonts w:ascii="Verdana" w:hAnsi="Verdana"/>
                <w:bCs/>
                <w:sz w:val="18"/>
                <w:szCs w:val="18"/>
              </w:rPr>
              <w:t xml:space="preserve"> drejtave procedurave, apo kur merren me ushtrimin e të drejtave procedurale. Për shembull, pjesëmarrësit duhet të bëhen të ndërgjegjshëm për të drejtat e ndryshme që mund të cenohen në çdo proces të krimit kibernetik dhe se si këto të drejta mund të mbrohen.</w:t>
            </w:r>
          </w:p>
        </w:tc>
      </w:tr>
      <w:tr w:rsidR="003406F3" w:rsidRPr="00873495" w:rsidTr="00FC677E">
        <w:trPr>
          <w:trHeight w:val="1340"/>
        </w:trPr>
        <w:tc>
          <w:tcPr>
            <w:tcW w:w="1615" w:type="dxa"/>
            <w:vAlign w:val="center"/>
          </w:tcPr>
          <w:p w:rsidR="00A00A58" w:rsidRPr="00873495" w:rsidRDefault="00A00A58" w:rsidP="000B44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>1</w:t>
            </w:r>
            <w:r w:rsidR="000B4410" w:rsidRPr="00873495">
              <w:rPr>
                <w:rFonts w:ascii="Verdana" w:hAnsi="Verdana"/>
                <w:sz w:val="18"/>
                <w:szCs w:val="18"/>
              </w:rPr>
              <w:t>40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73495" w:rsidRPr="00873495">
              <w:rPr>
                <w:rFonts w:ascii="Verdana" w:hAnsi="Verdana"/>
                <w:sz w:val="18"/>
                <w:szCs w:val="18"/>
              </w:rPr>
              <w:t>deri në</w:t>
            </w:r>
            <w:r w:rsidRPr="00873495">
              <w:rPr>
                <w:rFonts w:ascii="Verdana" w:hAnsi="Verdana"/>
                <w:sz w:val="18"/>
                <w:szCs w:val="18"/>
              </w:rPr>
              <w:t xml:space="preserve"> 1</w:t>
            </w:r>
            <w:r w:rsidR="00E47F89" w:rsidRPr="00873495">
              <w:rPr>
                <w:rFonts w:ascii="Verdana" w:hAnsi="Verdana"/>
                <w:sz w:val="18"/>
                <w:szCs w:val="18"/>
              </w:rPr>
              <w:t>4</w:t>
            </w:r>
            <w:r w:rsidR="000B4410" w:rsidRPr="008734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873495" w:rsidRDefault="00FC677E" w:rsidP="008E4E51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873495">
              <w:rPr>
                <w:rFonts w:ascii="Verdana" w:eastAsia="Times New Roman" w:hAnsi="Verdana" w:cs="Times New Roman"/>
                <w:sz w:val="18"/>
                <w:szCs w:val="18"/>
              </w:rPr>
              <w:t>T</w:t>
            </w:r>
            <w:r w:rsidR="0063344E">
              <w:rPr>
                <w:rFonts w:ascii="Verdana" w:eastAsia="Times New Roman" w:hAnsi="Verdana" w:cs="Times New Roman"/>
                <w:sz w:val="18"/>
                <w:szCs w:val="18"/>
              </w:rPr>
              <w:t>rajneri duhet të përmbledhë objektivat e sesionit me pjesëmarrësit dhe t’u japë atyre mundësinë të bëjnë çdo pyetje që mund të kenë në lidhje me materialet e mbuluara në këtë modul</w:t>
            </w:r>
            <w:r w:rsidR="00B468A3" w:rsidRPr="00873495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873495" w:rsidRPr="00873495" w:rsidTr="00E47F89">
        <w:trPr>
          <w:trHeight w:val="1226"/>
        </w:trPr>
        <w:tc>
          <w:tcPr>
            <w:tcW w:w="9010" w:type="dxa"/>
            <w:gridSpan w:val="3"/>
            <w:vAlign w:val="center"/>
          </w:tcPr>
          <w:p w:rsidR="00873495" w:rsidRPr="00873495" w:rsidRDefault="00873495" w:rsidP="008B7280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873495">
              <w:rPr>
                <w:rFonts w:ascii="Verdana" w:hAnsi="Verdana"/>
                <w:b/>
                <w:sz w:val="22"/>
                <w:szCs w:val="22"/>
              </w:rPr>
              <w:t>Ushtrime praktike</w:t>
            </w:r>
          </w:p>
          <w:p w:rsidR="00873495" w:rsidRPr="00873495" w:rsidRDefault="00873495" w:rsidP="008B7280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>Në këtë leksion nuk parashikohen ushtrime praktike.</w:t>
            </w:r>
          </w:p>
        </w:tc>
      </w:tr>
      <w:tr w:rsidR="00873495" w:rsidRPr="00873495" w:rsidTr="00873495">
        <w:tc>
          <w:tcPr>
            <w:tcW w:w="9236" w:type="dxa"/>
            <w:gridSpan w:val="3"/>
            <w:vAlign w:val="center"/>
          </w:tcPr>
          <w:p w:rsidR="00873495" w:rsidRPr="00873495" w:rsidRDefault="00873495" w:rsidP="0087349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873495">
              <w:rPr>
                <w:rFonts w:ascii="Verdana" w:hAnsi="Verdana"/>
                <w:b/>
                <w:sz w:val="22"/>
                <w:szCs w:val="22"/>
              </w:rPr>
              <w:t>Vlerësimi/Kontrolli i njohurive</w:t>
            </w:r>
          </w:p>
          <w:p w:rsidR="00873495" w:rsidRPr="00873495" w:rsidRDefault="00873495" w:rsidP="0087349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873495">
              <w:rPr>
                <w:rFonts w:ascii="Verdana" w:hAnsi="Verdana"/>
                <w:sz w:val="18"/>
                <w:szCs w:val="18"/>
              </w:rPr>
              <w:t>Për këtë sesion, nuk është përgatitur ndonjë vlerësim formal. Trajneri inkurajohet të kontrollojë njohuritë dhe të kuptuarit e leksionit duke bërë pyetjet përkatëse gjatë gjithë sesionit.</w:t>
            </w:r>
          </w:p>
        </w:tc>
      </w:tr>
    </w:tbl>
    <w:p w:rsidR="00D82C18" w:rsidRPr="00873495" w:rsidRDefault="00D82C18">
      <w:pPr>
        <w:rPr>
          <w:rFonts w:ascii="Verdana" w:hAnsi="Verdana"/>
        </w:rPr>
      </w:pPr>
    </w:p>
    <w:sectPr w:rsidR="00D82C18" w:rsidRPr="00873495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A4A9C"/>
    <w:multiLevelType w:val="hybridMultilevel"/>
    <w:tmpl w:val="FD706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D82C18"/>
    <w:rsid w:val="00044F01"/>
    <w:rsid w:val="000B4410"/>
    <w:rsid w:val="000B6782"/>
    <w:rsid w:val="000C3172"/>
    <w:rsid w:val="00105DD4"/>
    <w:rsid w:val="00175ADE"/>
    <w:rsid w:val="001D3C6E"/>
    <w:rsid w:val="00251C9E"/>
    <w:rsid w:val="00271010"/>
    <w:rsid w:val="0027512B"/>
    <w:rsid w:val="002F375E"/>
    <w:rsid w:val="003406F3"/>
    <w:rsid w:val="003630ED"/>
    <w:rsid w:val="003E0EDB"/>
    <w:rsid w:val="003F0A7A"/>
    <w:rsid w:val="004639E3"/>
    <w:rsid w:val="004D6399"/>
    <w:rsid w:val="00534FB7"/>
    <w:rsid w:val="005703B7"/>
    <w:rsid w:val="00594B3F"/>
    <w:rsid w:val="005951B6"/>
    <w:rsid w:val="005A4E47"/>
    <w:rsid w:val="00627C03"/>
    <w:rsid w:val="0063344E"/>
    <w:rsid w:val="006D38B9"/>
    <w:rsid w:val="007169BB"/>
    <w:rsid w:val="00761BA4"/>
    <w:rsid w:val="007B75A9"/>
    <w:rsid w:val="007D2900"/>
    <w:rsid w:val="007E56E9"/>
    <w:rsid w:val="00823B30"/>
    <w:rsid w:val="00873495"/>
    <w:rsid w:val="008E3FE7"/>
    <w:rsid w:val="008E4E51"/>
    <w:rsid w:val="009277BD"/>
    <w:rsid w:val="00A00A58"/>
    <w:rsid w:val="00A03CF0"/>
    <w:rsid w:val="00A4110D"/>
    <w:rsid w:val="00A734A5"/>
    <w:rsid w:val="00AF62EC"/>
    <w:rsid w:val="00B468A3"/>
    <w:rsid w:val="00B569A5"/>
    <w:rsid w:val="00B71D66"/>
    <w:rsid w:val="00C541A2"/>
    <w:rsid w:val="00CB02C4"/>
    <w:rsid w:val="00CB217D"/>
    <w:rsid w:val="00CB3026"/>
    <w:rsid w:val="00D82C18"/>
    <w:rsid w:val="00D944B5"/>
    <w:rsid w:val="00E13BE7"/>
    <w:rsid w:val="00E17E67"/>
    <w:rsid w:val="00E47F89"/>
    <w:rsid w:val="00E55549"/>
    <w:rsid w:val="00E7344B"/>
    <w:rsid w:val="00E95703"/>
    <w:rsid w:val="00F35B67"/>
    <w:rsid w:val="00F62A15"/>
    <w:rsid w:val="00FB0630"/>
    <w:rsid w:val="00FC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6E9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Engjellushe Shqarri</cp:lastModifiedBy>
  <cp:revision>5</cp:revision>
  <dcterms:created xsi:type="dcterms:W3CDTF">2017-09-23T17:18:00Z</dcterms:created>
  <dcterms:modified xsi:type="dcterms:W3CDTF">2017-09-24T08:48:00Z</dcterms:modified>
</cp:coreProperties>
</file>