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7777777" w:rsidR="008713A9" w:rsidRPr="00561E48" w:rsidRDefault="008713A9" w:rsidP="00C029E4">
            <w:pPr>
              <w:rPr>
                <w:rFonts w:ascii="Tahoma" w:hAnsi="Tahoma" w:cs="Tahoma"/>
                <w:b/>
                <w:caps/>
                <w:sz w:val="18"/>
                <w:szCs w:val="18"/>
                <w:highlight w:val="cyan"/>
                <w:lang w:val="fr-FR"/>
              </w:rPr>
            </w:pPr>
            <w:r w:rsidRPr="00561E48">
              <w:rPr>
                <w:rFonts w:ascii="Tahoma" w:hAnsi="Tahoma" w:cs="Tahoma"/>
                <w:b/>
                <w:caps/>
                <w:sz w:val="18"/>
                <w:szCs w:val="18"/>
                <w:highlight w:val="cyan"/>
                <w:lang w:val="fr-FR"/>
              </w:rPr>
              <w:t>XX</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33E4E8A2" w:rsidR="008713A9" w:rsidRPr="00DE34D9" w:rsidRDefault="00DE34D9" w:rsidP="00DE34D9">
            <w:pPr>
              <w:pStyle w:val="Default"/>
              <w:rPr>
                <w:rFonts w:ascii="Tahoma" w:hAnsi="Tahoma" w:cs="Tahoma"/>
                <w:b/>
                <w:caps/>
                <w:color w:val="FF0000"/>
                <w:sz w:val="18"/>
                <w:szCs w:val="18"/>
                <w:lang w:val="fr-FR"/>
              </w:rPr>
            </w:pPr>
            <w:r w:rsidRPr="00523F32">
              <w:rPr>
                <w:rFonts w:ascii="Tahoma" w:hAnsi="Tahoma" w:cs="Tahoma"/>
                <w:b/>
                <w:caps/>
                <w:sz w:val="18"/>
                <w:szCs w:val="18"/>
                <w:lang w:val="fr-FR"/>
              </w:rPr>
              <w:t>project ID</w:t>
            </w:r>
            <w:r>
              <w:rPr>
                <w:rFonts w:ascii="Tahoma" w:hAnsi="Tahoma" w:cs="Tahoma"/>
                <w:b/>
                <w:caps/>
                <w:sz w:val="18"/>
                <w:szCs w:val="18"/>
                <w:lang w:val="fr-FR"/>
              </w:rPr>
              <w:t xml:space="preserve"> </w:t>
            </w:r>
            <w:r w:rsidRPr="00523F32">
              <w:rPr>
                <w:rFonts w:ascii="Tahoma" w:hAnsi="Tahoma" w:cs="Tahoma"/>
                <w:b/>
                <w:caps/>
                <w:sz w:val="18"/>
                <w:szCs w:val="18"/>
                <w:lang w:val="fr-FR"/>
              </w:rPr>
              <w:t xml:space="preserve">: </w:t>
            </w:r>
            <w:r>
              <w:rPr>
                <w:rFonts w:ascii="Tahoma" w:hAnsi="Tahoma" w:cs="Tahoma"/>
                <w:b/>
                <w:caps/>
                <w:sz w:val="18"/>
                <w:szCs w:val="18"/>
                <w:lang w:val="fr-FR"/>
              </w:rPr>
              <w:t xml:space="preserve">4738 – PAII-T </w:t>
            </w:r>
          </w:p>
        </w:tc>
      </w:tr>
      <w:tr w:rsidR="008713A9" w:rsidRPr="003231B6"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434ACDAC" w:rsidR="008713A9" w:rsidRPr="00561E48" w:rsidRDefault="00B4675F" w:rsidP="00C31D1B">
            <w:pPr>
              <w:rPr>
                <w:rFonts w:ascii="Tahoma" w:hAnsi="Tahoma" w:cs="Tahoma"/>
                <w:b/>
                <w:caps/>
                <w:sz w:val="18"/>
                <w:szCs w:val="18"/>
                <w:highlight w:val="cyan"/>
                <w:lang w:val="fr-FR"/>
              </w:rPr>
            </w:pPr>
            <w:r w:rsidRPr="006459BF">
              <w:rPr>
                <w:rFonts w:ascii="Tahoma" w:hAnsi="Tahoma" w:cs="Tahoma"/>
                <w:sz w:val="18"/>
                <w:szCs w:val="18"/>
                <w:lang w:val="fr-FR"/>
              </w:rPr>
              <w:t>Hela Rezouga (</w:t>
            </w:r>
            <w:hyperlink r:id="rId11" w:history="1">
              <w:r w:rsidRPr="00C43018">
                <w:rPr>
                  <w:rStyle w:val="Hyperlink"/>
                  <w:rFonts w:ascii="Tahoma" w:hAnsi="Tahoma" w:cs="Tahoma"/>
                  <w:sz w:val="18"/>
                  <w:szCs w:val="18"/>
                  <w:lang w:val="fr-FR"/>
                </w:rPr>
                <w:t>hela.rezouga@coe.int</w:t>
              </w:r>
            </w:hyperlink>
            <w:r>
              <w:rPr>
                <w:rStyle w:val="Hyperlink"/>
                <w:rFonts w:ascii="Tahoma" w:hAnsi="Tahoma" w:cs="Tahoma"/>
                <w:sz w:val="18"/>
                <w:szCs w:val="18"/>
                <w:lang w:val="fr-FR"/>
              </w:rPr>
              <w:t>)</w:t>
            </w:r>
          </w:p>
        </w:tc>
      </w:tr>
    </w:tbl>
    <w:p w14:paraId="2002E72B" w14:textId="77777777" w:rsidR="000013DF" w:rsidRPr="00561E48"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44B97024" w14:textId="4DDCC81F" w:rsidR="001D6688" w:rsidRPr="00561E48" w:rsidRDefault="005F4D6F" w:rsidP="00F7456D">
      <w:pPr>
        <w:tabs>
          <w:tab w:val="left" w:pos="2954"/>
        </w:tabs>
        <w:spacing w:before="60" w:after="120"/>
        <w:jc w:val="both"/>
        <w:rPr>
          <w:rFonts w:ascii="Tahoma" w:hAnsi="Tahoma" w:cs="Tahoma"/>
          <w:b/>
          <w:lang w:val="fr-FR"/>
        </w:rPr>
      </w:pPr>
      <w:r w:rsidRPr="00F7456D">
        <w:rPr>
          <w:rFonts w:ascii="Tahoma" w:hAnsi="Tahoma" w:cs="Tahoma"/>
          <w:b/>
          <w:lang w:val="fr-FR"/>
        </w:rPr>
        <w:t>Le présent Acte d’E</w:t>
      </w:r>
      <w:r w:rsidR="001D6688" w:rsidRPr="00F7456D">
        <w:rPr>
          <w:rFonts w:ascii="Tahoma" w:hAnsi="Tahoma" w:cs="Tahoma"/>
          <w:b/>
          <w:lang w:val="fr-FR"/>
        </w:rPr>
        <w:t xml:space="preserve">ngagement </w:t>
      </w:r>
      <w:r w:rsidRPr="00F7456D">
        <w:rPr>
          <w:rFonts w:ascii="Tahoma" w:hAnsi="Tahoma" w:cs="Tahoma"/>
          <w:b/>
          <w:lang w:val="fr-FR"/>
        </w:rPr>
        <w:t>régit les termes et conditions applicables a</w:t>
      </w:r>
      <w:r w:rsidR="001D6688" w:rsidRPr="00F7456D">
        <w:rPr>
          <w:rFonts w:ascii="Tahoma" w:hAnsi="Tahoma" w:cs="Tahoma"/>
          <w:b/>
          <w:lang w:val="fr-FR"/>
        </w:rPr>
        <w:t>u contr</w:t>
      </w:r>
      <w:r w:rsidRPr="00F7456D">
        <w:rPr>
          <w:rFonts w:ascii="Tahoma" w:hAnsi="Tahoma" w:cs="Tahoma"/>
          <w:b/>
          <w:lang w:val="fr-FR"/>
        </w:rPr>
        <w:t>at-</w:t>
      </w:r>
      <w:r w:rsidR="001D6688" w:rsidRPr="00F7456D">
        <w:rPr>
          <w:rFonts w:ascii="Tahoma" w:hAnsi="Tahoma" w:cs="Tahoma"/>
          <w:b/>
          <w:lang w:val="fr-FR"/>
        </w:rPr>
        <w:t>cadre entre le Prestat</w:t>
      </w:r>
      <w:r w:rsidR="00CD752E" w:rsidRPr="00F7456D">
        <w:rPr>
          <w:rFonts w:ascii="Tahoma" w:hAnsi="Tahoma" w:cs="Tahoma"/>
          <w:b/>
          <w:lang w:val="fr-FR"/>
        </w:rPr>
        <w:t xml:space="preserve">aire (voir détails ci-dessous) </w:t>
      </w:r>
      <w:r w:rsidR="001D6688" w:rsidRPr="00F7456D">
        <w:rPr>
          <w:rFonts w:ascii="Tahoma" w:hAnsi="Tahoma" w:cs="Tahoma"/>
          <w:b/>
          <w:lang w:val="fr-FR"/>
        </w:rPr>
        <w:t>et le Conseil de l’Europe</w:t>
      </w:r>
      <w:r w:rsidR="001D6688" w:rsidRPr="00F7456D">
        <w:rPr>
          <w:rStyle w:val="FootnoteReference"/>
          <w:rFonts w:ascii="Tahoma" w:hAnsi="Tahoma" w:cs="Tahoma"/>
          <w:b/>
          <w:lang w:val="fr-FR"/>
        </w:rPr>
        <w:footnoteReference w:id="2"/>
      </w:r>
      <w:r w:rsidR="001D6688" w:rsidRPr="00F7456D">
        <w:rPr>
          <w:rFonts w:ascii="Tahoma" w:hAnsi="Tahoma" w:cs="Tahoma"/>
          <w:b/>
          <w:lang w:val="fr-FR"/>
        </w:rPr>
        <w:t xml:space="preserve"> pour la </w:t>
      </w:r>
      <w:r w:rsidRPr="00F7456D">
        <w:rPr>
          <w:rFonts w:ascii="Tahoma" w:hAnsi="Tahoma" w:cs="Tahoma"/>
          <w:b/>
          <w:lang w:val="fr-FR"/>
        </w:rPr>
        <w:t>fournitur</w:t>
      </w:r>
      <w:r w:rsidR="00F7456D" w:rsidRPr="00F7456D">
        <w:rPr>
          <w:rFonts w:ascii="Tahoma" w:hAnsi="Tahoma" w:cs="Tahoma"/>
          <w:b/>
          <w:lang w:val="fr-FR"/>
        </w:rPr>
        <w:t xml:space="preserve">e </w:t>
      </w:r>
      <w:bookmarkStart w:id="0" w:name="_Hlk64459225"/>
      <w:r w:rsidR="00F7456D" w:rsidRPr="00F7456D">
        <w:rPr>
          <w:rFonts w:ascii="Tahoma" w:hAnsi="Tahoma" w:cs="Tahoma"/>
          <w:b/>
          <w:lang w:val="fr-FR"/>
        </w:rPr>
        <w:t>de services de consultance et d’expertise technique dans le domaine du droit d’accès à l’information visant à renforcer les missions de l’Instance d’Accès à l’Information (INAI) sous le programme conjoint PAII-T</w:t>
      </w:r>
      <w:bookmarkEnd w:id="0"/>
      <w:r w:rsidR="00F7456D" w:rsidRPr="00F7456D">
        <w:rPr>
          <w:rFonts w:ascii="Tahoma" w:hAnsi="Tahoma" w:cs="Tahoma"/>
          <w:b/>
          <w:lang w:val="fr-FR"/>
        </w:rPr>
        <w:t>.</w:t>
      </w:r>
    </w:p>
    <w:p w14:paraId="7BDB500D" w14:textId="7E683ABB" w:rsidR="001D6688" w:rsidRPr="00561E48"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CoE,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DF1F31"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Personne physique</w:t>
            </w:r>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DF1F31"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Personne morale</w:t>
            </w:r>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DF1F31"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Consortium</w:t>
            </w:r>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1CAC46F8"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Email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3231B6"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75F6C1D1" w:rsidR="0072200B" w:rsidRPr="00714678" w:rsidRDefault="00240827" w:rsidP="00714678">
      <w:pPr>
        <w:pStyle w:val="ListParagraph"/>
        <w:numPr>
          <w:ilvl w:val="0"/>
          <w:numId w:val="43"/>
        </w:numPr>
        <w:pBdr>
          <w:bottom w:val="single" w:sz="2" w:space="1" w:color="808080"/>
        </w:pBdr>
        <w:tabs>
          <w:tab w:val="left" w:pos="284"/>
        </w:tabs>
        <w:spacing w:after="120"/>
        <w:ind w:right="142"/>
        <w:rPr>
          <w:rFonts w:ascii="Tahoma" w:hAnsi="Tahoma" w:cs="Tahoma"/>
          <w:b/>
          <w:lang w:val="fr-FR" w:eastAsia="en-US"/>
        </w:rPr>
      </w:pPr>
      <w:r w:rsidRPr="00714678">
        <w:rPr>
          <w:rFonts w:ascii="Tahoma" w:hAnsi="Tahoma" w:cs="Tahoma"/>
          <w:b/>
          <w:lang w:val="fr-FR" w:eastAsia="en-US"/>
        </w:rPr>
        <w:lastRenderedPageBreak/>
        <w:t>Termes</w:t>
      </w:r>
      <w:r w:rsidR="00CF64A3" w:rsidRPr="00714678">
        <w:rPr>
          <w:rFonts w:ascii="Tahoma" w:hAnsi="Tahoma" w:cs="Tahoma"/>
          <w:b/>
          <w:lang w:val="fr-FR" w:eastAsia="en-US"/>
        </w:rPr>
        <w:t xml:space="preserve"> de réfé</w:t>
      </w:r>
      <w:r w:rsidRPr="00714678">
        <w:rPr>
          <w:rFonts w:ascii="Tahoma" w:hAnsi="Tahoma" w:cs="Tahoma"/>
          <w:b/>
          <w:lang w:val="fr-FR" w:eastAsia="en-US"/>
        </w:rPr>
        <w:t>rence/Tableau des honoraires</w:t>
      </w:r>
    </w:p>
    <w:p w14:paraId="3C94F0A7" w14:textId="208EE8EC" w:rsidR="00112287" w:rsidRDefault="003231B6" w:rsidP="003231B6">
      <w:pPr>
        <w:spacing w:line="276" w:lineRule="auto"/>
        <w:ind w:left="142" w:right="142"/>
        <w:jc w:val="both"/>
        <w:rPr>
          <w:rFonts w:ascii="Tahoma" w:hAnsi="Tahoma" w:cs="Tahoma"/>
          <w:sz w:val="20"/>
          <w:szCs w:val="20"/>
          <w:lang w:val="fr-FR"/>
        </w:rPr>
      </w:pPr>
      <w:bookmarkStart w:id="1" w:name="_Hlk64967978"/>
      <w:r w:rsidRPr="003231B6">
        <w:rPr>
          <w:rFonts w:ascii="Tahoma" w:hAnsi="Tahoma" w:cs="Tahoma"/>
          <w:sz w:val="20"/>
          <w:szCs w:val="20"/>
          <w:lang w:val="fr-FR"/>
        </w:rPr>
        <w:t>Dans le cadre du programme conjoint « Projet d’Appui aux Instances Indépendantes en Tunisie (PAII-T) », cofinancé par l’Union européenne et le Conseil de l’Europe et mis en œuvre par ce dernier</w:t>
      </w:r>
      <w:r>
        <w:rPr>
          <w:rFonts w:ascii="Tahoma" w:hAnsi="Tahoma" w:cs="Tahoma"/>
          <w:sz w:val="20"/>
          <w:szCs w:val="20"/>
          <w:lang w:val="fr-FR"/>
        </w:rPr>
        <w:t>, l</w:t>
      </w:r>
      <w:r w:rsidR="00112287" w:rsidRPr="00112287">
        <w:rPr>
          <w:rFonts w:ascii="Tahoma" w:hAnsi="Tahoma" w:cs="Tahoma"/>
          <w:sz w:val="20"/>
          <w:szCs w:val="20"/>
          <w:lang w:val="fr-FR"/>
        </w:rPr>
        <w:t>e Conseil accompagne la mise en place des instances indépendantes</w:t>
      </w:r>
      <w:bookmarkEnd w:id="1"/>
      <w:r w:rsidR="00112287" w:rsidRPr="00112287">
        <w:rPr>
          <w:rFonts w:ascii="Tahoma" w:hAnsi="Tahoma" w:cs="Tahoma"/>
          <w:sz w:val="20"/>
          <w:szCs w:val="20"/>
          <w:lang w:val="fr-FR"/>
        </w:rPr>
        <w:t xml:space="preserve"> en Tunisie prévues par la Constitution de 2014 ainsi que d’autres instances indépendantes non-constitutionnelles et à leur apporter l’appui technique, financier et logistique nécessaire dans l’exercice de leurs mandats et de leurs attributions statutaires en toute indépendance. Une composante du projet porte sur l’appui à l’Instance d’Accès à l’Information (INAI). Dans ce contexte, l’organisation recherche </w:t>
      </w:r>
      <w:r w:rsidR="000E12AF">
        <w:rPr>
          <w:rFonts w:ascii="Tahoma" w:hAnsi="Tahoma" w:cs="Tahoma"/>
          <w:sz w:val="20"/>
          <w:szCs w:val="20"/>
          <w:lang w:val="fr-FR"/>
        </w:rPr>
        <w:t xml:space="preserve">des </w:t>
      </w:r>
      <w:r w:rsidR="00112287" w:rsidRPr="00112287">
        <w:rPr>
          <w:rFonts w:ascii="Tahoma" w:hAnsi="Tahoma" w:cs="Tahoma"/>
          <w:sz w:val="20"/>
          <w:szCs w:val="20"/>
          <w:lang w:val="fr-FR"/>
        </w:rPr>
        <w:t>prestataire</w:t>
      </w:r>
      <w:r w:rsidR="000E12AF">
        <w:rPr>
          <w:rFonts w:ascii="Tahoma" w:hAnsi="Tahoma" w:cs="Tahoma"/>
          <w:sz w:val="20"/>
          <w:szCs w:val="20"/>
          <w:lang w:val="fr-FR"/>
        </w:rPr>
        <w:t>s</w:t>
      </w:r>
      <w:r w:rsidR="00112287" w:rsidRPr="00112287">
        <w:rPr>
          <w:rFonts w:ascii="Tahoma" w:hAnsi="Tahoma" w:cs="Tahoma"/>
          <w:sz w:val="20"/>
          <w:szCs w:val="20"/>
          <w:lang w:val="fr-FR"/>
        </w:rPr>
        <w:t xml:space="preserve"> pour la fourniture de prestations intellectuelles sous la forme de </w:t>
      </w:r>
      <w:r w:rsidR="00112287" w:rsidRPr="00A6780C">
        <w:rPr>
          <w:rFonts w:ascii="Tahoma" w:hAnsi="Tahoma" w:cs="Tahoma"/>
          <w:sz w:val="20"/>
          <w:szCs w:val="20"/>
          <w:lang w:val="fr-FR"/>
        </w:rPr>
        <w:t xml:space="preserve">consultance </w:t>
      </w:r>
      <w:r w:rsidR="00A6780C" w:rsidRPr="00A6780C">
        <w:rPr>
          <w:rFonts w:ascii="Tahoma" w:hAnsi="Tahoma" w:cs="Tahoma"/>
          <w:sz w:val="20"/>
          <w:szCs w:val="20"/>
          <w:lang w:val="fr-FR"/>
        </w:rPr>
        <w:t>– expertise techni</w:t>
      </w:r>
      <w:r w:rsidR="00112287" w:rsidRPr="00A6780C">
        <w:rPr>
          <w:rFonts w:ascii="Tahoma" w:hAnsi="Tahoma" w:cs="Tahoma"/>
          <w:sz w:val="20"/>
          <w:szCs w:val="20"/>
          <w:lang w:val="fr-FR"/>
        </w:rPr>
        <w:t xml:space="preserve">que dans le domaine </w:t>
      </w:r>
      <w:r w:rsidR="00A6780C" w:rsidRPr="00A6780C">
        <w:rPr>
          <w:rFonts w:ascii="Tahoma" w:hAnsi="Tahoma" w:cs="Tahoma"/>
          <w:sz w:val="20"/>
          <w:szCs w:val="20"/>
          <w:lang w:val="fr-FR"/>
        </w:rPr>
        <w:t xml:space="preserve">du </w:t>
      </w:r>
      <w:r w:rsidR="00112287" w:rsidRPr="00A6780C">
        <w:rPr>
          <w:rFonts w:ascii="Tahoma" w:hAnsi="Tahoma" w:cs="Tahoma"/>
          <w:sz w:val="20"/>
          <w:szCs w:val="20"/>
          <w:lang w:val="fr-FR"/>
        </w:rPr>
        <w:t>droit d’accès à l’information, visant à renforcer les missions de l’INAI :</w:t>
      </w:r>
    </w:p>
    <w:p w14:paraId="2E4E70DF" w14:textId="77777777" w:rsidR="00112287" w:rsidRPr="00FD1B25" w:rsidRDefault="00112287" w:rsidP="002B4CD4">
      <w:pPr>
        <w:spacing w:line="276" w:lineRule="auto"/>
        <w:ind w:left="142" w:right="142"/>
        <w:jc w:val="both"/>
        <w:rPr>
          <w:rFonts w:ascii="Tahoma" w:hAnsi="Tahoma" w:cs="Tahoma"/>
          <w:sz w:val="20"/>
          <w:szCs w:val="20"/>
          <w:lang w:val="fr-FR"/>
        </w:rPr>
      </w:pPr>
    </w:p>
    <w:p w14:paraId="42B19381" w14:textId="16E07C04" w:rsidR="00A6780C" w:rsidRPr="00FD1B25" w:rsidRDefault="00FD1B25" w:rsidP="00A6780C">
      <w:pPr>
        <w:spacing w:line="276" w:lineRule="auto"/>
        <w:ind w:right="-426"/>
        <w:jc w:val="both"/>
        <w:rPr>
          <w:rFonts w:ascii="Tahoma" w:hAnsi="Tahoma" w:cs="Tahoma"/>
          <w:sz w:val="20"/>
          <w:szCs w:val="20"/>
          <w:lang w:val="fr-FR"/>
        </w:rPr>
      </w:pPr>
      <w:r w:rsidRPr="00FD1B25">
        <w:rPr>
          <w:rFonts w:ascii="Tahoma" w:hAnsi="Tahoma" w:cs="Tahoma"/>
          <w:sz w:val="20"/>
          <w:szCs w:val="20"/>
          <w:lang w:val="fr-FR"/>
        </w:rPr>
        <w:t xml:space="preserve">  </w:t>
      </w:r>
      <w:r w:rsidR="00A6780C" w:rsidRPr="00FD1B25">
        <w:rPr>
          <w:rFonts w:ascii="Tahoma" w:hAnsi="Tahoma" w:cs="Tahoma"/>
          <w:sz w:val="20"/>
          <w:szCs w:val="20"/>
          <w:lang w:val="fr-FR"/>
        </w:rPr>
        <w:t>L’Instance de l’Accès à l’Information (INAI) a pour missions de :</w:t>
      </w:r>
    </w:p>
    <w:p w14:paraId="317498B3" w14:textId="77777777" w:rsidR="00A6780C" w:rsidRPr="00FD1B25" w:rsidRDefault="00A6780C" w:rsidP="00A6780C">
      <w:pPr>
        <w:pStyle w:val="ListParagraph"/>
        <w:numPr>
          <w:ilvl w:val="0"/>
          <w:numId w:val="40"/>
        </w:numPr>
        <w:ind w:left="567" w:hanging="283"/>
        <w:jc w:val="both"/>
        <w:rPr>
          <w:rFonts w:ascii="Tahoma" w:hAnsi="Tahoma" w:cs="Tahoma"/>
          <w:sz w:val="20"/>
          <w:szCs w:val="20"/>
          <w:lang w:val="fr-FR"/>
        </w:rPr>
      </w:pPr>
      <w:r w:rsidRPr="00FD1B25">
        <w:rPr>
          <w:rFonts w:ascii="Tahoma" w:hAnsi="Tahoma" w:cs="Tahoma"/>
          <w:sz w:val="20"/>
          <w:szCs w:val="20"/>
          <w:lang w:val="fr-FR"/>
        </w:rPr>
        <w:t>Statuer sur les recours qui lui sont soumis en matière d’accès à l’information ;</w:t>
      </w:r>
    </w:p>
    <w:p w14:paraId="6112E6E3" w14:textId="77777777" w:rsidR="00A6780C" w:rsidRPr="00FD1B25" w:rsidRDefault="00A6780C" w:rsidP="00A6780C">
      <w:pPr>
        <w:pStyle w:val="ListParagraph"/>
        <w:numPr>
          <w:ilvl w:val="0"/>
          <w:numId w:val="40"/>
        </w:numPr>
        <w:ind w:left="567" w:hanging="283"/>
        <w:jc w:val="both"/>
        <w:rPr>
          <w:rFonts w:ascii="Tahoma" w:hAnsi="Tahoma" w:cs="Tahoma"/>
          <w:sz w:val="20"/>
          <w:szCs w:val="20"/>
          <w:lang w:val="fr-FR"/>
        </w:rPr>
      </w:pPr>
      <w:r w:rsidRPr="00FD1B25">
        <w:rPr>
          <w:rFonts w:ascii="Tahoma" w:hAnsi="Tahoma" w:cs="Tahoma"/>
          <w:sz w:val="20"/>
          <w:szCs w:val="20"/>
          <w:lang w:val="fr-FR"/>
        </w:rPr>
        <w:t>Suivre l’engagement des organismes concernés en matière de diffusion proactive ;</w:t>
      </w:r>
    </w:p>
    <w:p w14:paraId="2D3086D4" w14:textId="77777777" w:rsidR="00A6780C" w:rsidRPr="00FD1B25" w:rsidRDefault="00A6780C" w:rsidP="00A6780C">
      <w:pPr>
        <w:pStyle w:val="ListParagraph"/>
        <w:numPr>
          <w:ilvl w:val="0"/>
          <w:numId w:val="40"/>
        </w:numPr>
        <w:ind w:left="567" w:hanging="283"/>
        <w:jc w:val="both"/>
        <w:rPr>
          <w:rFonts w:ascii="Tahoma" w:hAnsi="Tahoma" w:cs="Tahoma"/>
          <w:sz w:val="20"/>
          <w:szCs w:val="20"/>
          <w:lang w:val="fr-FR"/>
        </w:rPr>
      </w:pPr>
      <w:r w:rsidRPr="00FD1B25">
        <w:rPr>
          <w:rFonts w:ascii="Tahoma" w:hAnsi="Tahoma" w:cs="Tahoma"/>
          <w:sz w:val="20"/>
          <w:szCs w:val="20"/>
          <w:lang w:val="fr-FR"/>
        </w:rPr>
        <w:t>Emettre des avis sur les projets de lois et les textes réglementaires relatifs au Droit d’accès à l’information ;</w:t>
      </w:r>
    </w:p>
    <w:p w14:paraId="39B1503A" w14:textId="77777777" w:rsidR="00A6780C" w:rsidRPr="00FD1B25" w:rsidRDefault="00A6780C" w:rsidP="00A6780C">
      <w:pPr>
        <w:pStyle w:val="ListParagraph"/>
        <w:numPr>
          <w:ilvl w:val="0"/>
          <w:numId w:val="40"/>
        </w:numPr>
        <w:ind w:left="567" w:hanging="283"/>
        <w:jc w:val="both"/>
        <w:rPr>
          <w:rFonts w:ascii="Tahoma" w:hAnsi="Tahoma" w:cs="Tahoma"/>
          <w:sz w:val="20"/>
          <w:szCs w:val="20"/>
          <w:lang w:val="fr-FR"/>
        </w:rPr>
      </w:pPr>
      <w:r w:rsidRPr="00FD1B25">
        <w:rPr>
          <w:rFonts w:ascii="Tahoma" w:hAnsi="Tahoma" w:cs="Tahoma"/>
          <w:sz w:val="20"/>
          <w:szCs w:val="20"/>
          <w:lang w:val="fr-FR"/>
        </w:rPr>
        <w:t>Promouvoir la culture d’accès à l’information en coordination avec les organismes soumis aux dispositions de la présente loi et la société civile, à travers des actions de sensibilisation et de formation destinées au public ;</w:t>
      </w:r>
    </w:p>
    <w:p w14:paraId="625F9969" w14:textId="77777777" w:rsidR="00A6780C" w:rsidRPr="00FD1B25" w:rsidRDefault="00A6780C" w:rsidP="00A6780C">
      <w:pPr>
        <w:pStyle w:val="ListParagraph"/>
        <w:numPr>
          <w:ilvl w:val="0"/>
          <w:numId w:val="40"/>
        </w:numPr>
        <w:ind w:left="567" w:hanging="283"/>
        <w:jc w:val="both"/>
        <w:rPr>
          <w:rFonts w:ascii="Tahoma" w:hAnsi="Tahoma" w:cs="Tahoma"/>
          <w:sz w:val="20"/>
          <w:szCs w:val="20"/>
          <w:lang w:val="fr-FR"/>
        </w:rPr>
      </w:pPr>
      <w:r w:rsidRPr="00FD1B25">
        <w:rPr>
          <w:rFonts w:ascii="Tahoma" w:hAnsi="Tahoma" w:cs="Tahoma"/>
          <w:sz w:val="20"/>
          <w:szCs w:val="20"/>
          <w:lang w:val="fr-FR"/>
        </w:rPr>
        <w:t xml:space="preserve">Evaluer périodiquement la consécration du droit d’accès à l’information par les organismes soumis aux dispositions de la présente loi ; </w:t>
      </w:r>
    </w:p>
    <w:p w14:paraId="2D5740FF" w14:textId="77777777" w:rsidR="00112287" w:rsidRPr="00FD1B25" w:rsidRDefault="00112287" w:rsidP="002B4CD4">
      <w:pPr>
        <w:spacing w:line="276" w:lineRule="auto"/>
        <w:ind w:left="142" w:right="142"/>
        <w:jc w:val="both"/>
        <w:rPr>
          <w:rFonts w:ascii="Tahoma" w:hAnsi="Tahoma" w:cs="Tahoma"/>
          <w:sz w:val="20"/>
          <w:szCs w:val="20"/>
          <w:lang w:val="fr-FR"/>
        </w:rPr>
      </w:pPr>
    </w:p>
    <w:p w14:paraId="3B0A7E65" w14:textId="3C479985" w:rsidR="00297D2E" w:rsidRPr="00FD1B25" w:rsidRDefault="00297D2E" w:rsidP="002B4CD4">
      <w:pPr>
        <w:spacing w:line="276" w:lineRule="auto"/>
        <w:ind w:left="142" w:right="142"/>
        <w:jc w:val="both"/>
        <w:rPr>
          <w:rFonts w:ascii="Tahoma" w:hAnsi="Tahoma" w:cs="Tahoma"/>
          <w:sz w:val="20"/>
          <w:szCs w:val="20"/>
          <w:lang w:val="fr-FR"/>
        </w:rPr>
      </w:pPr>
      <w:r w:rsidRPr="00FD1B25">
        <w:rPr>
          <w:rFonts w:ascii="Tahoma" w:hAnsi="Tahoma" w:cs="Tahoma"/>
          <w:sz w:val="20"/>
          <w:szCs w:val="20"/>
          <w:lang w:val="fr-FR"/>
        </w:rPr>
        <w:t xml:space="preserve">Dans ce contexte, le Conseil souhaite faire appel à </w:t>
      </w:r>
      <w:r w:rsidR="00A6780C" w:rsidRPr="00FD1B25">
        <w:rPr>
          <w:rFonts w:ascii="Tahoma" w:hAnsi="Tahoma" w:cs="Tahoma"/>
          <w:sz w:val="20"/>
          <w:szCs w:val="20"/>
          <w:lang w:val="fr-FR"/>
        </w:rPr>
        <w:t>deux (02)</w:t>
      </w:r>
      <w:r w:rsidRPr="00FD1B25">
        <w:rPr>
          <w:rFonts w:ascii="Tahoma" w:hAnsi="Tahoma" w:cs="Tahoma"/>
          <w:sz w:val="20"/>
          <w:szCs w:val="20"/>
          <w:lang w:val="fr-FR"/>
        </w:rPr>
        <w:t xml:space="preserve"> Prestataire</w:t>
      </w:r>
      <w:r w:rsidR="00665490" w:rsidRPr="00FD1B25">
        <w:rPr>
          <w:rFonts w:ascii="Tahoma" w:hAnsi="Tahoma" w:cs="Tahoma"/>
          <w:sz w:val="20"/>
          <w:szCs w:val="20"/>
          <w:lang w:val="fr-FR"/>
        </w:rPr>
        <w:t>(s)</w:t>
      </w:r>
      <w:r w:rsidRPr="00FD1B25">
        <w:rPr>
          <w:rFonts w:ascii="Tahoma" w:hAnsi="Tahoma" w:cs="Tahoma"/>
          <w:sz w:val="20"/>
          <w:szCs w:val="20"/>
          <w:lang w:val="fr-FR"/>
        </w:rPr>
        <w:t xml:space="preserve"> pour la fourniture de</w:t>
      </w:r>
      <w:r w:rsidR="00A6780C" w:rsidRPr="00FD1B25">
        <w:rPr>
          <w:rFonts w:ascii="Tahoma" w:hAnsi="Tahoma" w:cs="Tahoma"/>
          <w:sz w:val="20"/>
          <w:szCs w:val="20"/>
          <w:lang w:val="fr-FR"/>
        </w:rPr>
        <w:t xml:space="preserve"> services de consultance et d’expertise technique dans le domaine du droit d’accès à l’information visant à renforcer les missions de l’Instance d’Accès à l’Information (INAI) sous le programme conjoint PAII-T</w:t>
      </w:r>
      <w:r w:rsidRPr="00FD1B25">
        <w:rPr>
          <w:rFonts w:ascii="Tahoma" w:hAnsi="Tahoma" w:cs="Tahoma"/>
          <w:sz w:val="20"/>
          <w:szCs w:val="20"/>
          <w:lang w:val="fr-FR"/>
        </w:rPr>
        <w:t>.</w:t>
      </w:r>
    </w:p>
    <w:p w14:paraId="46F0CDA5" w14:textId="77777777" w:rsidR="00297D2E" w:rsidRPr="00561E48" w:rsidRDefault="00297D2E" w:rsidP="002B4CD4">
      <w:pPr>
        <w:spacing w:line="276" w:lineRule="auto"/>
        <w:ind w:left="142" w:right="142"/>
        <w:jc w:val="both"/>
        <w:rPr>
          <w:rFonts w:ascii="Tahoma" w:hAnsi="Tahoma" w:cs="Tahoma"/>
          <w:sz w:val="20"/>
          <w:szCs w:val="20"/>
          <w:lang w:val="fr-FR"/>
        </w:rPr>
      </w:pPr>
    </w:p>
    <w:p w14:paraId="0E5517C5" w14:textId="11D55B61" w:rsidR="0079079F" w:rsidRPr="00561E48" w:rsidRDefault="0079079F"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 xml:space="preserve">dans les </w:t>
      </w:r>
      <w:r w:rsidR="00B82B21">
        <w:rPr>
          <w:rFonts w:ascii="Tahoma" w:hAnsi="Tahoma" w:cs="Tahoma"/>
          <w:sz w:val="20"/>
          <w:szCs w:val="20"/>
          <w:lang w:val="fr-FR"/>
        </w:rPr>
        <w:t>5</w:t>
      </w:r>
      <w:r w:rsidR="00C32676" w:rsidRPr="00561E48">
        <w:rPr>
          <w:rFonts w:ascii="Tahoma" w:hAnsi="Tahoma" w:cs="Tahoma"/>
          <w:sz w:val="20"/>
          <w:szCs w:val="20"/>
          <w:lang w:val="fr-FR"/>
        </w:rPr>
        <w:t xml:space="preserve"> (</w:t>
      </w:r>
      <w:r w:rsidR="00B82B21">
        <w:rPr>
          <w:rFonts w:ascii="Tahoma" w:hAnsi="Tahoma" w:cs="Tahoma"/>
          <w:sz w:val="20"/>
          <w:szCs w:val="20"/>
          <w:lang w:val="fr-FR"/>
        </w:rPr>
        <w:t>cinq</w:t>
      </w:r>
      <w:r w:rsidR="00C32676" w:rsidRPr="00561E48">
        <w:rPr>
          <w:rFonts w:ascii="Tahoma" w:hAnsi="Tahoma" w:cs="Tahoma"/>
          <w:sz w:val="20"/>
          <w:szCs w:val="20"/>
          <w:lang w:val="fr-FR"/>
        </w:rPr>
        <w:t>) jours ouvrés à compter de</w:t>
      </w:r>
      <w:r w:rsidRPr="00561E48">
        <w:rPr>
          <w:rFonts w:ascii="Tahoma" w:hAnsi="Tahoma" w:cs="Tahoma"/>
          <w:sz w:val="20"/>
          <w:szCs w:val="20"/>
          <w:lang w:val="fr-FR"/>
        </w:rPr>
        <w:t xml:space="preserve"> sa réception.</w:t>
      </w:r>
    </w:p>
    <w:p w14:paraId="37CAEB9A" w14:textId="77777777" w:rsidR="00C31D1B" w:rsidRPr="00561E48" w:rsidRDefault="00C31D1B" w:rsidP="002B4CD4">
      <w:pPr>
        <w:spacing w:line="276" w:lineRule="auto"/>
        <w:ind w:left="142" w:right="142"/>
        <w:jc w:val="both"/>
        <w:rPr>
          <w:rFonts w:ascii="Tahoma" w:hAnsi="Tahoma" w:cs="Tahoma"/>
          <w:sz w:val="20"/>
          <w:szCs w:val="20"/>
          <w:highlight w:val="red"/>
          <w:lang w:val="fr-FR"/>
        </w:rPr>
      </w:pPr>
    </w:p>
    <w:p w14:paraId="01A4F208" w14:textId="662A2952" w:rsidR="00213BF9" w:rsidRPr="00A6780C" w:rsidRDefault="00213BF9" w:rsidP="002B4CD4">
      <w:pPr>
        <w:ind w:left="142" w:right="142"/>
        <w:jc w:val="both"/>
        <w:rPr>
          <w:rFonts w:ascii="Tahoma" w:hAnsi="Tahoma" w:cs="Tahoma"/>
          <w:b/>
          <w:sz w:val="20"/>
          <w:szCs w:val="20"/>
          <w:lang w:val="fr-FR"/>
        </w:rPr>
      </w:pPr>
      <w:r w:rsidRPr="00A6780C">
        <w:rPr>
          <w:rFonts w:ascii="Tahoma" w:hAnsi="Tahoma" w:cs="Tahoma"/>
          <w:b/>
          <w:sz w:val="20"/>
          <w:szCs w:val="20"/>
          <w:lang w:val="fr-FR"/>
        </w:rPr>
        <w:t>« </w:t>
      </w:r>
      <w:r w:rsidR="00C32676" w:rsidRPr="00A6780C">
        <w:rPr>
          <w:rFonts w:ascii="Tahoma" w:hAnsi="Tahoma" w:cs="Tahoma"/>
          <w:b/>
          <w:sz w:val="20"/>
          <w:szCs w:val="20"/>
          <w:lang w:val="fr-FR"/>
        </w:rPr>
        <w:t>Pooling</w:t>
      </w:r>
      <w:r w:rsidRPr="00A6780C">
        <w:rPr>
          <w:rFonts w:ascii="Tahoma" w:hAnsi="Tahoma" w:cs="Tahoma"/>
          <w:b/>
          <w:sz w:val="20"/>
          <w:szCs w:val="20"/>
          <w:lang w:val="fr-FR"/>
        </w:rPr>
        <w:t> »</w:t>
      </w:r>
    </w:p>
    <w:p w14:paraId="20494DEB" w14:textId="77777777" w:rsidR="008D446D" w:rsidRDefault="008D446D" w:rsidP="002B4CD4">
      <w:pPr>
        <w:ind w:left="142" w:right="142"/>
        <w:jc w:val="both"/>
        <w:rPr>
          <w:rFonts w:ascii="Tahoma" w:hAnsi="Tahoma" w:cs="Tahoma"/>
          <w:sz w:val="20"/>
          <w:szCs w:val="20"/>
          <w:lang w:val="fr-FR"/>
        </w:rPr>
      </w:pPr>
    </w:p>
    <w:p w14:paraId="3A899011" w14:textId="4C98E300" w:rsidR="005456B4" w:rsidRPr="00A6780C" w:rsidRDefault="005456B4" w:rsidP="002B4CD4">
      <w:pPr>
        <w:ind w:left="142" w:right="142"/>
        <w:jc w:val="both"/>
        <w:rPr>
          <w:rFonts w:ascii="Tahoma" w:hAnsi="Tahoma" w:cs="Tahoma"/>
          <w:sz w:val="20"/>
          <w:szCs w:val="20"/>
          <w:lang w:val="fr-FR"/>
        </w:rPr>
      </w:pPr>
      <w:r w:rsidRPr="00A6780C">
        <w:rPr>
          <w:rFonts w:ascii="Tahoma" w:hAnsi="Tahoma" w:cs="Tahoma"/>
          <w:sz w:val="20"/>
          <w:szCs w:val="20"/>
          <w:lang w:val="fr-FR"/>
        </w:rPr>
        <w:t>Pour chaque commande, le Conseil choisira, parmi les soumissionnaires présélectionnés</w:t>
      </w:r>
      <w:r w:rsidR="006A07AE" w:rsidRPr="00A6780C">
        <w:rPr>
          <w:rFonts w:ascii="Tahoma" w:hAnsi="Tahoma" w:cs="Tahoma"/>
          <w:sz w:val="20"/>
          <w:szCs w:val="20"/>
          <w:lang w:val="fr-FR"/>
        </w:rPr>
        <w:t xml:space="preserve"> pour le lot concerné</w:t>
      </w:r>
      <w:r w:rsidRPr="00A6780C">
        <w:rPr>
          <w:rFonts w:ascii="Tahoma" w:hAnsi="Tahoma" w:cs="Tahoma"/>
          <w:sz w:val="20"/>
          <w:szCs w:val="20"/>
          <w:lang w:val="fr-FR"/>
        </w:rPr>
        <w:t xml:space="preserve">, le </w:t>
      </w:r>
      <w:r w:rsidR="00C22B8E" w:rsidRPr="00A6780C">
        <w:rPr>
          <w:rFonts w:ascii="Tahoma" w:hAnsi="Tahoma" w:cs="Tahoma"/>
          <w:sz w:val="20"/>
          <w:szCs w:val="20"/>
          <w:lang w:val="fr-FR"/>
        </w:rPr>
        <w:t>prestataire</w:t>
      </w:r>
      <w:r w:rsidRPr="00A6780C">
        <w:rPr>
          <w:rFonts w:ascii="Tahoma" w:hAnsi="Tahoma" w:cs="Tahoma"/>
          <w:sz w:val="20"/>
          <w:szCs w:val="20"/>
          <w:lang w:val="fr-FR"/>
        </w:rPr>
        <w:t xml:space="preserve"> qui</w:t>
      </w:r>
      <w:r w:rsidR="00C22B8E" w:rsidRPr="00A6780C">
        <w:rPr>
          <w:rFonts w:ascii="Tahoma" w:hAnsi="Tahoma" w:cs="Tahoma"/>
          <w:sz w:val="20"/>
          <w:szCs w:val="20"/>
          <w:lang w:val="fr-FR"/>
        </w:rPr>
        <w:t xml:space="preserve"> présente l’offre économiquement la plus avantageuse en rapport avec le besoin à couvrir, à la lumière </w:t>
      </w:r>
      <w:r w:rsidRPr="00A6780C">
        <w:rPr>
          <w:rFonts w:ascii="Tahoma" w:hAnsi="Tahoma" w:cs="Tahoma"/>
          <w:sz w:val="20"/>
          <w:szCs w:val="20"/>
          <w:lang w:val="fr-FR"/>
        </w:rPr>
        <w:t>des critères suivants</w:t>
      </w:r>
      <w:r w:rsidR="004720A6" w:rsidRPr="00A6780C">
        <w:rPr>
          <w:rFonts w:ascii="Tahoma" w:hAnsi="Tahoma" w:cs="Tahoma"/>
          <w:sz w:val="20"/>
          <w:szCs w:val="20"/>
          <w:lang w:val="fr-FR"/>
        </w:rPr>
        <w:t> :</w:t>
      </w:r>
    </w:p>
    <w:p w14:paraId="4A68B81D" w14:textId="5A70124B" w:rsidR="005456B4" w:rsidRPr="00A6780C" w:rsidRDefault="005456B4" w:rsidP="00B74E97">
      <w:pPr>
        <w:pStyle w:val="Default"/>
        <w:numPr>
          <w:ilvl w:val="0"/>
          <w:numId w:val="22"/>
        </w:numPr>
        <w:ind w:left="567" w:right="142" w:hanging="283"/>
        <w:rPr>
          <w:rFonts w:ascii="Tahoma" w:hAnsi="Tahoma" w:cs="Tahoma"/>
          <w:sz w:val="20"/>
          <w:szCs w:val="20"/>
          <w:lang w:val="fr-FR"/>
        </w:rPr>
      </w:pPr>
      <w:r w:rsidRPr="00A6780C">
        <w:rPr>
          <w:rFonts w:ascii="Tahoma" w:hAnsi="Tahoma" w:cs="Tahoma"/>
          <w:sz w:val="20"/>
          <w:szCs w:val="20"/>
          <w:lang w:val="fr-FR"/>
        </w:rPr>
        <w:t>la qualité (y compris, s'il y a lieu</w:t>
      </w:r>
      <w:r w:rsidR="002C2A36" w:rsidRPr="00A6780C">
        <w:rPr>
          <w:rFonts w:ascii="Tahoma" w:hAnsi="Tahoma" w:cs="Tahoma"/>
          <w:sz w:val="20"/>
          <w:szCs w:val="20"/>
          <w:lang w:val="fr-FR"/>
        </w:rPr>
        <w:t> :</w:t>
      </w:r>
      <w:r w:rsidRPr="00A6780C">
        <w:rPr>
          <w:rFonts w:ascii="Tahoma" w:hAnsi="Tahoma" w:cs="Tahoma"/>
          <w:sz w:val="20"/>
          <w:szCs w:val="20"/>
          <w:lang w:val="fr-FR"/>
        </w:rPr>
        <w:t xml:space="preserve"> la compétence, l'expertise, la disponibilité des ressources et les méthodes proposées pour </w:t>
      </w:r>
      <w:r w:rsidR="00C22B8E" w:rsidRPr="00A6780C">
        <w:rPr>
          <w:rFonts w:ascii="Tahoma" w:hAnsi="Tahoma" w:cs="Tahoma"/>
          <w:sz w:val="20"/>
          <w:szCs w:val="20"/>
          <w:lang w:val="fr-FR"/>
        </w:rPr>
        <w:t>exécuter le contrat</w:t>
      </w:r>
      <w:r w:rsidRPr="00A6780C">
        <w:rPr>
          <w:rFonts w:ascii="Tahoma" w:hAnsi="Tahoma" w:cs="Tahoma"/>
          <w:sz w:val="20"/>
          <w:szCs w:val="20"/>
          <w:lang w:val="fr-FR"/>
        </w:rPr>
        <w:t>)</w:t>
      </w:r>
      <w:r w:rsidR="004720A6" w:rsidRPr="00A6780C">
        <w:rPr>
          <w:rFonts w:ascii="Tahoma" w:hAnsi="Tahoma" w:cs="Tahoma"/>
          <w:sz w:val="20"/>
          <w:szCs w:val="20"/>
          <w:lang w:val="fr-FR"/>
        </w:rPr>
        <w:t> ;</w:t>
      </w:r>
    </w:p>
    <w:p w14:paraId="2E6C0581" w14:textId="652E6789" w:rsidR="005456B4" w:rsidRPr="00A6780C" w:rsidRDefault="005456B4" w:rsidP="00B74E97">
      <w:pPr>
        <w:pStyle w:val="Default"/>
        <w:numPr>
          <w:ilvl w:val="0"/>
          <w:numId w:val="22"/>
        </w:numPr>
        <w:ind w:left="567" w:right="142" w:hanging="283"/>
        <w:rPr>
          <w:rFonts w:ascii="Tahoma" w:hAnsi="Tahoma" w:cs="Tahoma"/>
          <w:sz w:val="20"/>
          <w:szCs w:val="20"/>
          <w:lang w:val="fr-FR"/>
        </w:rPr>
      </w:pPr>
      <w:r w:rsidRPr="00A6780C">
        <w:rPr>
          <w:rFonts w:ascii="Tahoma" w:hAnsi="Tahoma" w:cs="Tahoma"/>
          <w:sz w:val="20"/>
          <w:szCs w:val="20"/>
          <w:lang w:val="fr-FR"/>
        </w:rPr>
        <w:t>la di</w:t>
      </w:r>
      <w:r w:rsidR="00C22B8E" w:rsidRPr="00A6780C">
        <w:rPr>
          <w:rFonts w:ascii="Tahoma" w:hAnsi="Tahoma" w:cs="Tahoma"/>
          <w:sz w:val="20"/>
          <w:szCs w:val="20"/>
          <w:lang w:val="fr-FR"/>
        </w:rPr>
        <w:t>sponibilité (y compris, sans s'</w:t>
      </w:r>
      <w:r w:rsidRPr="00A6780C">
        <w:rPr>
          <w:rFonts w:ascii="Tahoma" w:hAnsi="Tahoma" w:cs="Tahoma"/>
          <w:sz w:val="20"/>
          <w:szCs w:val="20"/>
          <w:lang w:val="fr-FR"/>
        </w:rPr>
        <w:t>y limiter, la capacité de respecter les délais requis et, le cas échéant, l'emplacement géographique)</w:t>
      </w:r>
      <w:r w:rsidR="002C2A36" w:rsidRPr="00A6780C">
        <w:rPr>
          <w:rFonts w:ascii="Tahoma" w:hAnsi="Tahoma" w:cs="Tahoma"/>
          <w:sz w:val="20"/>
          <w:szCs w:val="20"/>
          <w:lang w:val="fr-FR"/>
        </w:rPr>
        <w:t> ;</w:t>
      </w:r>
      <w:r w:rsidRPr="00A6780C">
        <w:rPr>
          <w:rFonts w:ascii="Tahoma" w:hAnsi="Tahoma" w:cs="Tahoma"/>
          <w:sz w:val="20"/>
          <w:szCs w:val="20"/>
          <w:lang w:val="fr-FR"/>
        </w:rPr>
        <w:t xml:space="preserve"> et</w:t>
      </w:r>
    </w:p>
    <w:p w14:paraId="011BFEF5" w14:textId="77777777" w:rsidR="005456B4" w:rsidRPr="00A6780C" w:rsidRDefault="005456B4" w:rsidP="00B74E97">
      <w:pPr>
        <w:pStyle w:val="Default"/>
        <w:numPr>
          <w:ilvl w:val="0"/>
          <w:numId w:val="22"/>
        </w:numPr>
        <w:ind w:left="567" w:right="142" w:hanging="283"/>
        <w:rPr>
          <w:rFonts w:ascii="Tahoma" w:hAnsi="Tahoma" w:cs="Tahoma"/>
          <w:sz w:val="20"/>
          <w:szCs w:val="20"/>
          <w:lang w:val="fr-FR"/>
        </w:rPr>
      </w:pPr>
      <w:r w:rsidRPr="00A6780C">
        <w:rPr>
          <w:rFonts w:ascii="Tahoma" w:hAnsi="Tahoma" w:cs="Tahoma"/>
          <w:sz w:val="20"/>
          <w:szCs w:val="20"/>
          <w:lang w:val="fr-FR"/>
        </w:rPr>
        <w:t>le prix.</w:t>
      </w:r>
    </w:p>
    <w:p w14:paraId="49CC1D72" w14:textId="4010A1AE" w:rsidR="00C22B8E" w:rsidRPr="00A6780C" w:rsidRDefault="00C22B8E" w:rsidP="002B4CD4">
      <w:pPr>
        <w:pStyle w:val="Default"/>
        <w:ind w:left="142" w:right="142"/>
        <w:rPr>
          <w:rFonts w:ascii="Tahoma" w:hAnsi="Tahoma" w:cs="Tahoma"/>
          <w:sz w:val="20"/>
          <w:szCs w:val="20"/>
          <w:lang w:val="fr-FR"/>
        </w:rPr>
      </w:pPr>
    </w:p>
    <w:p w14:paraId="0E85DA33" w14:textId="5A7DC0B5" w:rsidR="00C22B8E" w:rsidRPr="00A6780C" w:rsidRDefault="00C22B8E" w:rsidP="002B4CD4">
      <w:pPr>
        <w:pStyle w:val="Default"/>
        <w:ind w:left="142" w:right="142"/>
        <w:rPr>
          <w:rFonts w:ascii="Tahoma" w:hAnsi="Tahoma" w:cs="Tahoma"/>
          <w:sz w:val="20"/>
          <w:szCs w:val="20"/>
          <w:lang w:val="fr-FR"/>
        </w:rPr>
      </w:pPr>
      <w:r w:rsidRPr="00A6780C">
        <w:rPr>
          <w:rFonts w:ascii="Tahoma" w:hAnsi="Tahoma" w:cs="Tahoma"/>
          <w:sz w:val="20"/>
          <w:szCs w:val="20"/>
          <w:lang w:val="fr-FR"/>
        </w:rPr>
        <w:t>Si</w:t>
      </w:r>
      <w:r w:rsidR="006A07AE" w:rsidRPr="00A6780C">
        <w:rPr>
          <w:rFonts w:ascii="Tahoma" w:hAnsi="Tahoma" w:cs="Tahoma"/>
          <w:sz w:val="20"/>
          <w:szCs w:val="20"/>
          <w:lang w:val="fr-FR"/>
        </w:rPr>
        <w:t>, sous un lot,</w:t>
      </w:r>
      <w:r w:rsidRPr="00A6780C">
        <w:rPr>
          <w:rFonts w:ascii="Tahoma" w:hAnsi="Tahoma" w:cs="Tahoma"/>
          <w:sz w:val="20"/>
          <w:szCs w:val="20"/>
          <w:lang w:val="fr-FR"/>
        </w:rPr>
        <w:t xml:space="preserve">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C650209" w14:textId="3B61F778" w:rsidR="00C8161F" w:rsidRPr="00707908" w:rsidRDefault="00C8161F" w:rsidP="002B4CD4">
      <w:pPr>
        <w:spacing w:line="276" w:lineRule="auto"/>
        <w:ind w:left="142" w:right="142"/>
        <w:jc w:val="both"/>
        <w:rPr>
          <w:rFonts w:ascii="Tahoma" w:hAnsi="Tahoma" w:cs="Tahoma"/>
          <w:sz w:val="20"/>
          <w:szCs w:val="20"/>
          <w:lang w:val="fr-FR"/>
        </w:rPr>
      </w:pPr>
    </w:p>
    <w:p w14:paraId="1DD2B2CF" w14:textId="3B041A34" w:rsidR="002C2A36" w:rsidRPr="00F7456D" w:rsidRDefault="002C2A36" w:rsidP="002C2A36">
      <w:pPr>
        <w:spacing w:line="276" w:lineRule="auto"/>
        <w:jc w:val="both"/>
        <w:rPr>
          <w:rFonts w:ascii="Tahoma" w:hAnsi="Tahoma" w:cs="Tahoma"/>
          <w:b/>
          <w:sz w:val="20"/>
          <w:szCs w:val="20"/>
          <w:lang w:val="fr-FR"/>
        </w:rPr>
      </w:pPr>
      <w:r w:rsidRPr="00F7456D">
        <w:rPr>
          <w:rFonts w:ascii="Tahoma" w:hAnsi="Tahoma" w:cs="Tahoma"/>
          <w:b/>
          <w:sz w:val="20"/>
          <w:szCs w:val="20"/>
          <w:lang w:val="fr-FR"/>
        </w:rPr>
        <w:t>Lots</w:t>
      </w:r>
    </w:p>
    <w:p w14:paraId="4D37EFC9" w14:textId="77777777" w:rsidR="0083134E" w:rsidRDefault="0083134E" w:rsidP="002C2A36">
      <w:pPr>
        <w:spacing w:line="276" w:lineRule="auto"/>
        <w:jc w:val="both"/>
        <w:rPr>
          <w:rFonts w:ascii="Tahoma" w:hAnsi="Tahoma" w:cs="Tahoma"/>
          <w:sz w:val="20"/>
          <w:szCs w:val="20"/>
          <w:lang w:val="fr-FR"/>
        </w:rPr>
      </w:pPr>
    </w:p>
    <w:p w14:paraId="37228332" w14:textId="05C76345" w:rsidR="002C2A36" w:rsidRPr="00707908" w:rsidRDefault="002C2A36" w:rsidP="002C2A36">
      <w:pPr>
        <w:spacing w:line="276" w:lineRule="auto"/>
        <w:jc w:val="both"/>
        <w:rPr>
          <w:rFonts w:ascii="Tahoma" w:hAnsi="Tahoma" w:cs="Tahoma"/>
          <w:sz w:val="20"/>
          <w:szCs w:val="20"/>
          <w:lang w:val="fr-FR"/>
        </w:rPr>
      </w:pPr>
      <w:r w:rsidRPr="00707908">
        <w:rPr>
          <w:rFonts w:ascii="Tahoma" w:hAnsi="Tahoma" w:cs="Tahoma"/>
          <w:sz w:val="20"/>
          <w:szCs w:val="20"/>
          <w:lang w:val="fr-FR"/>
        </w:rPr>
        <w:t>Le Prestataire déclare que l’offre soumisse correspondent au(x) lot(s) suivant(s) :</w:t>
      </w:r>
    </w:p>
    <w:p w14:paraId="0DCE6D62" w14:textId="77777777" w:rsidR="002C2A36" w:rsidRPr="00707908" w:rsidRDefault="002C2A36" w:rsidP="004720A6">
      <w:pPr>
        <w:spacing w:line="276" w:lineRule="auto"/>
        <w:ind w:right="-426"/>
        <w:jc w:val="both"/>
        <w:rPr>
          <w:rFonts w:ascii="Tahoma" w:hAnsi="Tahoma" w:cs="Tahoma"/>
          <w:b/>
          <w:color w:val="000000"/>
          <w:sz w:val="20"/>
          <w:szCs w:val="20"/>
          <w:lang w:val="fr-FR" w:eastAsia="en-US"/>
        </w:rPr>
      </w:pPr>
    </w:p>
    <w:p w14:paraId="4347121B" w14:textId="50A0A29F" w:rsidR="002C2A36" w:rsidRPr="00707908" w:rsidRDefault="002C2A36" w:rsidP="002C2A36">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20"/>
          <w:szCs w:val="20"/>
          <w:lang w:val="fr-FR"/>
        </w:rPr>
      </w:pPr>
      <w:r w:rsidRPr="00707908">
        <w:rPr>
          <w:rFonts w:ascii="Tahoma" w:hAnsi="Tahoma" w:cs="Tahoma"/>
          <w:color w:val="FF0000"/>
          <w:sz w:val="20"/>
          <w:szCs w:val="20"/>
          <w:lang w:val="fr-FR"/>
        </w:rPr>
        <w:t>Les soumissionnaires cochent la ou les cases correspondant</w:t>
      </w:r>
      <w:r w:rsidR="00304E39">
        <w:rPr>
          <w:rFonts w:ascii="Tahoma" w:hAnsi="Tahoma" w:cs="Tahoma"/>
          <w:color w:val="FF0000"/>
          <w:sz w:val="20"/>
          <w:szCs w:val="20"/>
          <w:lang w:val="fr-FR"/>
        </w:rPr>
        <w:t>e(s)</w:t>
      </w:r>
      <w:r w:rsidRPr="00707908">
        <w:rPr>
          <w:rFonts w:ascii="Tahoma" w:hAnsi="Tahoma" w:cs="Tahoma"/>
          <w:color w:val="FF0000"/>
          <w:sz w:val="20"/>
          <w:szCs w:val="20"/>
          <w:lang w:val="fr-FR"/>
        </w:rPr>
        <w:t xml:space="preserve"> au(x) lot(s) pour lequel/lesquels ils soumissionnent. Ils peuvent soumissionner pour un, plusieurs ou tous les lots.</w:t>
      </w:r>
    </w:p>
    <w:p w14:paraId="188E76EB" w14:textId="77777777" w:rsidR="002C2A36" w:rsidRPr="00707908" w:rsidRDefault="002C2A36" w:rsidP="002C2A36">
      <w:pPr>
        <w:spacing w:line="276" w:lineRule="auto"/>
        <w:jc w:val="both"/>
        <w:rPr>
          <w:rFonts w:ascii="Tahoma" w:hAnsi="Tahoma" w:cs="Tahoma"/>
          <w:sz w:val="20"/>
          <w:szCs w:val="20"/>
          <w:lang w:val="fr-FR"/>
        </w:rPr>
      </w:pPr>
      <w:r w:rsidRPr="00707908">
        <w:rPr>
          <w:rFonts w:ascii="Tahoma" w:hAnsi="Tahoma" w:cs="Tahoma"/>
          <w:b/>
          <w:noProof/>
          <w:sz w:val="20"/>
          <w:szCs w:val="20"/>
          <w:lang w:val="en-US" w:eastAsia="en-US"/>
        </w:rPr>
        <mc:AlternateContent>
          <mc:Choice Requires="wps">
            <w:drawing>
              <wp:anchor distT="0" distB="0" distL="114300" distR="114300" simplePos="0" relativeHeight="251662337" behindDoc="0" locked="1" layoutInCell="1" allowOverlap="1" wp14:anchorId="66258A59" wp14:editId="493978AF">
                <wp:simplePos x="0" y="0"/>
                <wp:positionH relativeFrom="column">
                  <wp:posOffset>181610</wp:posOffset>
                </wp:positionH>
                <wp:positionV relativeFrom="paragraph">
                  <wp:posOffset>22860</wp:posOffset>
                </wp:positionV>
                <wp:extent cx="201295" cy="465455"/>
                <wp:effectExtent l="19050" t="0" r="27305" b="29845"/>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DC8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" adj="5528" strokecolor="red">
                <o:lock v:ext="edit" aspectratio="t"/>
                <v:textbox style="layout-flow:vertical-ideographic"/>
                <w10:anchorlock/>
              </v:shape>
            </w:pict>
          </mc:Fallback>
        </mc:AlternateContent>
      </w:r>
    </w:p>
    <w:tbl>
      <w:tblPr>
        <w:tblW w:w="1034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4394"/>
        <w:gridCol w:w="5103"/>
      </w:tblGrid>
      <w:tr w:rsidR="002C2A36" w:rsidRPr="003231B6" w14:paraId="25EB7D83" w14:textId="7F3ABAB7" w:rsidTr="000A0798">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C74D86F" w14:textId="77777777" w:rsidR="002C2A36" w:rsidRPr="00707908" w:rsidRDefault="002C2A36" w:rsidP="002C2A36">
            <w:pPr>
              <w:jc w:val="center"/>
              <w:rPr>
                <w:rFonts w:ascii="Tahoma" w:eastAsia="Calibri" w:hAnsi="Tahoma" w:cs="Tahoma"/>
                <w:bCs/>
                <w:sz w:val="20"/>
                <w:szCs w:val="20"/>
                <w:lang w:val="fr-FR" w:eastAsia="en-US"/>
              </w:rPr>
            </w:pPr>
          </w:p>
        </w:tc>
        <w:tc>
          <w:tcPr>
            <w:tcW w:w="4394" w:type="dxa"/>
            <w:tcBorders>
              <w:left w:val="single" w:sz="2" w:space="0" w:color="808080" w:themeColor="background1" w:themeShade="80"/>
              <w:bottom w:val="single" w:sz="2" w:space="0" w:color="808080"/>
              <w:right w:val="single" w:sz="4" w:space="0" w:color="auto"/>
            </w:tcBorders>
            <w:shd w:val="clear" w:color="auto" w:fill="DBE5F1" w:themeFill="accent1" w:themeFillTint="33"/>
            <w:vAlign w:val="center"/>
          </w:tcPr>
          <w:p w14:paraId="199FE39B" w14:textId="77777777" w:rsidR="002C2A36" w:rsidRPr="00707908" w:rsidRDefault="002C2A36" w:rsidP="002C2A36">
            <w:pPr>
              <w:spacing w:before="60" w:after="60"/>
              <w:jc w:val="center"/>
              <w:rPr>
                <w:rFonts w:ascii="Tahoma" w:eastAsia="Calibri" w:hAnsi="Tahoma" w:cs="Tahoma"/>
                <w:b/>
                <w:bCs/>
                <w:sz w:val="20"/>
                <w:szCs w:val="20"/>
                <w:lang w:val="en-US" w:eastAsia="en-US"/>
              </w:rPr>
            </w:pPr>
            <w:r w:rsidRPr="00707908">
              <w:rPr>
                <w:rFonts w:ascii="Tahoma" w:eastAsia="Calibri" w:hAnsi="Tahoma" w:cs="Tahoma"/>
                <w:b/>
                <w:bCs/>
                <w:sz w:val="20"/>
                <w:szCs w:val="20"/>
                <w:lang w:val="en-US" w:eastAsia="en-US"/>
              </w:rPr>
              <w:t>Lots</w:t>
            </w:r>
          </w:p>
        </w:tc>
        <w:tc>
          <w:tcPr>
            <w:tcW w:w="5103" w:type="dxa"/>
            <w:tcBorders>
              <w:left w:val="single" w:sz="4" w:space="0" w:color="auto"/>
              <w:bottom w:val="single" w:sz="2" w:space="0" w:color="808080"/>
              <w:right w:val="single" w:sz="2" w:space="0" w:color="808080" w:themeColor="background1" w:themeShade="80"/>
            </w:tcBorders>
            <w:shd w:val="clear" w:color="auto" w:fill="DBE5F1" w:themeFill="accent1" w:themeFillTint="33"/>
            <w:vAlign w:val="center"/>
          </w:tcPr>
          <w:p w14:paraId="687B9C9C" w14:textId="2FE276B3" w:rsidR="002C2A36" w:rsidRPr="00707908" w:rsidRDefault="002C2A36" w:rsidP="002C2A36">
            <w:pPr>
              <w:spacing w:before="60" w:after="60"/>
              <w:ind w:left="-142" w:right="-391"/>
              <w:jc w:val="center"/>
              <w:rPr>
                <w:rFonts w:ascii="Tahoma" w:eastAsia="Calibri" w:hAnsi="Tahoma" w:cs="Tahoma"/>
                <w:b/>
                <w:bCs/>
                <w:sz w:val="20"/>
                <w:szCs w:val="20"/>
                <w:lang w:val="fr-FR" w:eastAsia="en-US"/>
              </w:rPr>
            </w:pPr>
            <w:r w:rsidRPr="00707908">
              <w:rPr>
                <w:rFonts w:ascii="Tahoma" w:eastAsia="Calibri" w:hAnsi="Tahoma" w:cs="Tahoma"/>
                <w:b/>
                <w:bCs/>
                <w:sz w:val="20"/>
                <w:szCs w:val="20"/>
                <w:lang w:val="fr-FR" w:eastAsia="en-US"/>
              </w:rPr>
              <w:t>Nombre maximum de Prestataires sélectionnés</w:t>
            </w:r>
          </w:p>
          <w:p w14:paraId="0B19F026" w14:textId="6933F57F" w:rsidR="002C2A36" w:rsidRPr="00707908" w:rsidRDefault="002C2A36" w:rsidP="002C2A36">
            <w:pPr>
              <w:spacing w:before="60" w:after="60"/>
              <w:jc w:val="center"/>
              <w:rPr>
                <w:rFonts w:ascii="Tahoma" w:eastAsia="Calibri" w:hAnsi="Tahoma" w:cs="Tahoma"/>
                <w:b/>
                <w:bCs/>
                <w:sz w:val="20"/>
                <w:szCs w:val="20"/>
                <w:lang w:val="fr-FR" w:eastAsia="en-US"/>
              </w:rPr>
            </w:pPr>
            <w:r w:rsidRPr="00707908">
              <w:rPr>
                <w:rFonts w:ascii="Tahoma" w:eastAsia="Calibri" w:hAnsi="Tahoma" w:cs="Tahoma"/>
                <w:b/>
                <w:bCs/>
                <w:sz w:val="20"/>
                <w:szCs w:val="20"/>
                <w:lang w:val="fr-FR" w:eastAsia="en-US"/>
              </w:rPr>
              <w:t xml:space="preserve">dans le cadre de cette procédure </w:t>
            </w:r>
          </w:p>
        </w:tc>
      </w:tr>
      <w:tr w:rsidR="002C2A36" w:rsidRPr="00707908" w14:paraId="388D9E71" w14:textId="27E2BC47" w:rsidTr="000A0798">
        <w:trPr>
          <w:trHeight w:val="467"/>
          <w:jc w:val="center"/>
        </w:trPr>
        <w:sdt>
          <w:sdtPr>
            <w:rPr>
              <w:rFonts w:ascii="Tahoma" w:eastAsia="Calibri" w:hAnsi="Tahoma" w:cs="Tahoma"/>
              <w:bCs/>
              <w:sz w:val="20"/>
              <w:szCs w:val="20"/>
              <w:lang w:val="en-US" w:eastAsia="en-US"/>
            </w:rPr>
            <w:id w:val="189169781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3ADA03" w14:textId="77777777" w:rsidR="002C2A36" w:rsidRPr="00707908" w:rsidRDefault="002C2A36" w:rsidP="002C2A36">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570516FC" w14:textId="6FA106FC" w:rsidR="00FF6075" w:rsidRDefault="002C2A36" w:rsidP="00FF6075">
            <w:pPr>
              <w:jc w:val="both"/>
              <w:rPr>
                <w:rFonts w:ascii="Tahoma" w:hAnsi="Tahoma" w:cs="Tahoma"/>
                <w:color w:val="000000" w:themeColor="text1"/>
                <w:sz w:val="18"/>
                <w:szCs w:val="20"/>
                <w:lang w:val="fr-FR"/>
              </w:rPr>
            </w:pPr>
            <w:r w:rsidRPr="00BC5D10">
              <w:rPr>
                <w:rFonts w:ascii="Tahoma" w:eastAsia="Calibri" w:hAnsi="Tahoma" w:cs="Tahoma"/>
                <w:b/>
                <w:bCs/>
                <w:sz w:val="20"/>
                <w:szCs w:val="20"/>
                <w:lang w:val="fr-FR" w:eastAsia="en-US"/>
              </w:rPr>
              <w:t>Lot 1</w:t>
            </w:r>
            <w:r w:rsidR="00FF6075">
              <w:rPr>
                <w:rFonts w:ascii="Tahoma" w:eastAsia="Calibri" w:hAnsi="Tahoma" w:cs="Tahoma"/>
                <w:b/>
                <w:bCs/>
                <w:sz w:val="20"/>
                <w:szCs w:val="20"/>
                <w:lang w:val="fr-FR" w:eastAsia="en-US"/>
              </w:rPr>
              <w:t xml:space="preserve"> - </w:t>
            </w:r>
            <w:r w:rsidR="00FF6075" w:rsidRPr="00FF6075">
              <w:rPr>
                <w:rFonts w:ascii="Tahoma" w:hAnsi="Tahoma" w:cs="Tahoma"/>
                <w:color w:val="000000" w:themeColor="text1"/>
                <w:sz w:val="18"/>
                <w:szCs w:val="20"/>
                <w:lang w:val="fr-FR"/>
              </w:rPr>
              <w:t>Un expert spécialisé dans la formation technique sur le droit d’accès à l’information, chargé de la mise en œuvre, le suivi, la mise à jour et l’évaluation des plans de formation interne et externe de l’INAI pour l’année 2020-2021. Le consultant sera appelé à fournir les livrables décrits ci-dessous.</w:t>
            </w:r>
          </w:p>
          <w:p w14:paraId="2ACA939C" w14:textId="3BEB4B03" w:rsidR="002C2A36" w:rsidRPr="00FF6075" w:rsidRDefault="002C2A36" w:rsidP="002C2A36">
            <w:pPr>
              <w:spacing w:before="60" w:after="60"/>
              <w:rPr>
                <w:rFonts w:ascii="Tahoma" w:eastAsia="Calibri" w:hAnsi="Tahoma" w:cs="Tahoma"/>
                <w:b/>
                <w:bCs/>
                <w:sz w:val="20"/>
                <w:szCs w:val="20"/>
                <w:lang w:val="fr-FR" w:eastAsia="en-US"/>
              </w:rPr>
            </w:pPr>
          </w:p>
        </w:tc>
        <w:tc>
          <w:tcPr>
            <w:tcW w:w="5103" w:type="dxa"/>
            <w:tcBorders>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5DC7D6" w14:textId="30DC460C" w:rsidR="002C2A36" w:rsidRPr="00707908" w:rsidRDefault="000E53B5" w:rsidP="000E53B5">
            <w:pPr>
              <w:spacing w:before="60" w:after="60"/>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01</w:t>
            </w:r>
          </w:p>
        </w:tc>
      </w:tr>
      <w:tr w:rsidR="002C2A36" w:rsidRPr="00707908" w14:paraId="52DFE2D8" w14:textId="4C683F48" w:rsidTr="000A0798">
        <w:trPr>
          <w:trHeight w:val="467"/>
          <w:jc w:val="center"/>
        </w:trPr>
        <w:sdt>
          <w:sdtPr>
            <w:rPr>
              <w:rFonts w:ascii="Tahoma" w:eastAsia="Calibri" w:hAnsi="Tahoma" w:cs="Tahoma"/>
              <w:bCs/>
              <w:sz w:val="20"/>
              <w:szCs w:val="20"/>
              <w:lang w:val="en-US" w:eastAsia="en-US"/>
            </w:rPr>
            <w:id w:val="8952427"/>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041591" w14:textId="77777777" w:rsidR="002C2A36" w:rsidRPr="00707908" w:rsidRDefault="002C2A36" w:rsidP="002C2A36">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33BC1E37" w14:textId="6B77D7DC" w:rsidR="002C2A36" w:rsidRPr="00FF6075" w:rsidRDefault="002C2A36" w:rsidP="002C2A36">
            <w:pPr>
              <w:spacing w:before="60" w:after="60"/>
              <w:rPr>
                <w:rFonts w:ascii="Tahoma" w:eastAsia="Calibri" w:hAnsi="Tahoma" w:cs="Tahoma"/>
                <w:bCs/>
                <w:sz w:val="20"/>
                <w:szCs w:val="20"/>
                <w:lang w:val="fr-FR" w:eastAsia="en-US"/>
              </w:rPr>
            </w:pPr>
            <w:r w:rsidRPr="00FF6075">
              <w:rPr>
                <w:rFonts w:ascii="Tahoma" w:eastAsia="Calibri" w:hAnsi="Tahoma" w:cs="Tahoma"/>
                <w:b/>
                <w:bCs/>
                <w:sz w:val="20"/>
                <w:szCs w:val="20"/>
                <w:lang w:val="fr-FR" w:eastAsia="en-US"/>
              </w:rPr>
              <w:t>Lot 2</w:t>
            </w:r>
            <w:r w:rsidRPr="00FF6075">
              <w:rPr>
                <w:rFonts w:ascii="Tahoma" w:eastAsia="Calibri" w:hAnsi="Tahoma" w:cs="Tahoma"/>
                <w:bCs/>
                <w:sz w:val="20"/>
                <w:szCs w:val="20"/>
                <w:lang w:val="fr-FR" w:eastAsia="en-US"/>
              </w:rPr>
              <w:t xml:space="preserve"> - </w:t>
            </w:r>
            <w:r w:rsidR="00FF6075" w:rsidRPr="00FF6075">
              <w:rPr>
                <w:rFonts w:ascii="Tahoma" w:eastAsia="Calibri" w:hAnsi="Tahoma" w:cs="Tahoma"/>
                <w:bCs/>
                <w:sz w:val="18"/>
                <w:szCs w:val="18"/>
                <w:lang w:val="fr-FR" w:eastAsia="en-US"/>
              </w:rPr>
              <w:t>Un expert spécialisé en production scientifique chargé de la production des recherches et documents en relation avec l’accès à l’information et la dissémination des connaissances et du savoir auprès des publics cibles. Le consultant sera appelé à fournir les livrables décrits ci-dessous.</w:t>
            </w:r>
          </w:p>
        </w:tc>
        <w:tc>
          <w:tcPr>
            <w:tcW w:w="5103"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508C17" w14:textId="1F954403" w:rsidR="002C2A36" w:rsidRPr="00707908" w:rsidRDefault="000B452B" w:rsidP="000B452B">
            <w:pPr>
              <w:spacing w:before="60" w:after="60"/>
              <w:jc w:val="center"/>
              <w:rPr>
                <w:rFonts w:ascii="Tahoma" w:eastAsia="Calibri" w:hAnsi="Tahoma" w:cs="Tahoma"/>
                <w:bCs/>
                <w:sz w:val="20"/>
                <w:szCs w:val="20"/>
                <w:lang w:val="en-US" w:eastAsia="en-US"/>
              </w:rPr>
            </w:pPr>
            <w:r>
              <w:rPr>
                <w:rFonts w:ascii="Tahoma" w:eastAsia="Calibri" w:hAnsi="Tahoma" w:cs="Tahoma"/>
                <w:b/>
                <w:bCs/>
                <w:sz w:val="20"/>
                <w:szCs w:val="20"/>
                <w:lang w:val="en-US" w:eastAsia="en-US"/>
              </w:rPr>
              <w:t>01</w:t>
            </w:r>
          </w:p>
        </w:tc>
      </w:tr>
    </w:tbl>
    <w:p w14:paraId="6966082C" w14:textId="77777777" w:rsidR="002C2A36" w:rsidRPr="00707908" w:rsidRDefault="002C2A36" w:rsidP="002C2A36">
      <w:pPr>
        <w:spacing w:line="276" w:lineRule="auto"/>
        <w:ind w:left="-284" w:right="-426"/>
        <w:jc w:val="both"/>
        <w:rPr>
          <w:rFonts w:ascii="Tahoma" w:hAnsi="Tahoma" w:cs="Tahoma"/>
          <w:b/>
          <w:color w:val="000000"/>
          <w:sz w:val="20"/>
          <w:szCs w:val="20"/>
          <w:lang w:val="fr-FR" w:eastAsia="en-US"/>
        </w:rPr>
      </w:pPr>
    </w:p>
    <w:p w14:paraId="7AF516F6" w14:textId="77777777" w:rsidR="00CA067E" w:rsidRPr="00707908" w:rsidRDefault="004D634B" w:rsidP="002B4CD4">
      <w:pPr>
        <w:spacing w:line="276" w:lineRule="auto"/>
        <w:ind w:left="142" w:right="142"/>
        <w:jc w:val="both"/>
        <w:rPr>
          <w:rFonts w:ascii="Tahoma" w:hAnsi="Tahoma" w:cs="Tahoma"/>
          <w:b/>
          <w:sz w:val="20"/>
          <w:szCs w:val="20"/>
          <w:lang w:val="fr-FR"/>
        </w:rPr>
      </w:pPr>
      <w:r w:rsidRPr="00707908">
        <w:rPr>
          <w:rFonts w:ascii="Tahoma" w:hAnsi="Tahoma" w:cs="Tahoma"/>
          <w:b/>
          <w:sz w:val="20"/>
          <w:szCs w:val="20"/>
          <w:lang w:val="fr-FR"/>
        </w:rPr>
        <w:t>Honoraires</w:t>
      </w:r>
    </w:p>
    <w:p w14:paraId="7EFE2305" w14:textId="48DCC03C" w:rsidR="00CA067E" w:rsidRPr="00707908" w:rsidRDefault="00CA067E" w:rsidP="002B4CD4">
      <w:pPr>
        <w:spacing w:line="276" w:lineRule="auto"/>
        <w:ind w:left="142" w:right="142"/>
        <w:jc w:val="both"/>
        <w:rPr>
          <w:rFonts w:ascii="Tahoma" w:hAnsi="Tahoma" w:cs="Tahoma"/>
          <w:b/>
          <w:sz w:val="20"/>
          <w:szCs w:val="20"/>
          <w:lang w:val="fr-FR"/>
        </w:rPr>
      </w:pPr>
      <w:r w:rsidRPr="00707908">
        <w:rPr>
          <w:rFonts w:ascii="Tahoma" w:hAnsi="Tahoma" w:cs="Tahoma"/>
          <w:sz w:val="20"/>
          <w:szCs w:val="20"/>
          <w:lang w:val="fr-FR"/>
        </w:rPr>
        <w:t>Les prix indiqués dans le tableau ci-dessous sont fixes et non susceptibles de révision, pour toute la durée du contrat-cadre.</w:t>
      </w:r>
    </w:p>
    <w:p w14:paraId="30CAA29C" w14:textId="41A4C019" w:rsidR="00B017DB" w:rsidRPr="00707908" w:rsidRDefault="00240827" w:rsidP="002B4CD4">
      <w:pPr>
        <w:spacing w:line="276" w:lineRule="auto"/>
        <w:ind w:left="142" w:right="142"/>
        <w:jc w:val="both"/>
        <w:rPr>
          <w:rFonts w:ascii="Tahoma" w:hAnsi="Tahoma" w:cs="Tahoma"/>
          <w:color w:val="000000"/>
          <w:sz w:val="20"/>
          <w:szCs w:val="20"/>
          <w:lang w:val="fr-FR" w:eastAsia="en-US"/>
        </w:rPr>
      </w:pPr>
      <w:r w:rsidRPr="00707908">
        <w:rPr>
          <w:rFonts w:ascii="Tahoma" w:hAnsi="Tahoma" w:cs="Tahoma"/>
          <w:color w:val="000000"/>
          <w:sz w:val="20"/>
          <w:szCs w:val="20"/>
          <w:lang w:val="fr-FR" w:eastAsia="en-US"/>
        </w:rPr>
        <w:t>Les prix sont indiqués en</w:t>
      </w:r>
      <w:r w:rsidR="00F21225">
        <w:rPr>
          <w:rFonts w:ascii="Tahoma" w:hAnsi="Tahoma" w:cs="Tahoma"/>
          <w:color w:val="000000"/>
          <w:sz w:val="20"/>
          <w:szCs w:val="20"/>
          <w:lang w:val="fr-FR" w:eastAsia="en-US"/>
        </w:rPr>
        <w:t xml:space="preserve"> Dinars Tunisiens </w:t>
      </w:r>
      <w:r w:rsidR="00CF64A3" w:rsidRPr="00707908">
        <w:rPr>
          <w:rFonts w:ascii="Tahoma" w:hAnsi="Tahoma" w:cs="Tahoma"/>
          <w:color w:val="000000"/>
          <w:sz w:val="20"/>
          <w:szCs w:val="20"/>
          <w:lang w:val="fr-FR" w:eastAsia="en-US"/>
        </w:rPr>
        <w:t>hors taxes</w:t>
      </w:r>
      <w:r w:rsidR="00B017DB" w:rsidRPr="00707908">
        <w:rPr>
          <w:rFonts w:ascii="Tahoma" w:hAnsi="Tahoma" w:cs="Tahoma"/>
          <w:color w:val="000000"/>
          <w:sz w:val="20"/>
          <w:szCs w:val="20"/>
          <w:lang w:val="fr-FR" w:eastAsia="en-US"/>
        </w:rPr>
        <w:t>.</w:t>
      </w:r>
    </w:p>
    <w:p w14:paraId="7764CF6E" w14:textId="66D7FF99" w:rsidR="00240827" w:rsidRPr="00707908" w:rsidRDefault="002F5A8E" w:rsidP="002B4CD4">
      <w:pPr>
        <w:spacing w:line="276" w:lineRule="auto"/>
        <w:ind w:left="142" w:right="142"/>
        <w:jc w:val="both"/>
        <w:rPr>
          <w:rFonts w:ascii="Tahoma" w:hAnsi="Tahoma" w:cs="Tahoma"/>
          <w:color w:val="000000"/>
          <w:sz w:val="20"/>
          <w:szCs w:val="20"/>
          <w:lang w:val="fr-FR" w:eastAsia="en-US"/>
        </w:rPr>
      </w:pPr>
      <w:r w:rsidRPr="000B452B">
        <w:rPr>
          <w:rFonts w:ascii="Tahoma" w:hAnsi="Tahoma" w:cs="Tahoma"/>
          <w:b/>
          <w:color w:val="000000"/>
          <w:sz w:val="20"/>
          <w:szCs w:val="20"/>
          <w:u w:val="single"/>
          <w:lang w:val="fr-FR" w:eastAsia="en-US"/>
        </w:rPr>
        <w:t xml:space="preserve">Toute offre </w:t>
      </w:r>
      <w:r w:rsidR="00CF64A3" w:rsidRPr="000B452B">
        <w:rPr>
          <w:rFonts w:ascii="Tahoma" w:hAnsi="Tahoma" w:cs="Tahoma"/>
          <w:b/>
          <w:color w:val="000000"/>
          <w:sz w:val="20"/>
          <w:szCs w:val="20"/>
          <w:u w:val="single"/>
          <w:lang w:val="fr-FR" w:eastAsia="en-US"/>
        </w:rPr>
        <w:t>proposant</w:t>
      </w:r>
      <w:r w:rsidRPr="000B452B">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0B452B">
        <w:rPr>
          <w:rFonts w:ascii="Tahoma" w:hAnsi="Tahoma" w:cs="Tahoma"/>
          <w:b/>
          <w:color w:val="000000"/>
          <w:sz w:val="20"/>
          <w:szCs w:val="20"/>
          <w:u w:val="single"/>
          <w:lang w:val="fr-FR" w:eastAsia="en-US"/>
        </w:rPr>
        <w:t>de la procédure</w:t>
      </w:r>
    </w:p>
    <w:p w14:paraId="2EB04732" w14:textId="77777777" w:rsidR="00707908" w:rsidRPr="00707908" w:rsidRDefault="00707908" w:rsidP="00707908">
      <w:pPr>
        <w:spacing w:line="276" w:lineRule="auto"/>
        <w:ind w:left="-284" w:right="-426"/>
        <w:jc w:val="both"/>
        <w:rPr>
          <w:rFonts w:ascii="Tahoma" w:hAnsi="Tahoma" w:cs="Tahoma"/>
          <w:b/>
          <w:color w:val="000000"/>
          <w:sz w:val="20"/>
          <w:szCs w:val="20"/>
          <w:lang w:val="fr-FR" w:eastAsia="en-US"/>
        </w:rPr>
      </w:pPr>
      <w:bookmarkStart w:id="2" w:name="_Hlk64470453"/>
      <w:bookmarkStart w:id="3" w:name="_Hlk62837420"/>
    </w:p>
    <w:p w14:paraId="3CB56AA3" w14:textId="77777777" w:rsidR="00707908" w:rsidRPr="00707908" w:rsidRDefault="00707908" w:rsidP="00707908">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 pour le lot pour lequel il souhaite soumissionner.</w:t>
      </w:r>
    </w:p>
    <w:p w14:paraId="16C8D5F2" w14:textId="77777777" w:rsidR="00707908" w:rsidRPr="00707908" w:rsidRDefault="00707908" w:rsidP="00707908">
      <w:pPr>
        <w:spacing w:line="276" w:lineRule="auto"/>
        <w:ind w:left="-426"/>
        <w:jc w:val="both"/>
        <w:rPr>
          <w:rFonts w:ascii="Tahoma" w:hAnsi="Tahoma" w:cs="Tahoma"/>
          <w:sz w:val="20"/>
          <w:szCs w:val="20"/>
          <w:lang w:val="fr-FR" w:eastAsia="en-US"/>
        </w:rPr>
      </w:pPr>
    </w:p>
    <w:p w14:paraId="31C45984" w14:textId="77777777" w:rsidR="00707908" w:rsidRPr="00707908" w:rsidRDefault="00707908" w:rsidP="00707908">
      <w:pPr>
        <w:pStyle w:val="ListParagraph"/>
        <w:numPr>
          <w:ilvl w:val="0"/>
          <w:numId w:val="39"/>
        </w:numPr>
        <w:spacing w:line="276" w:lineRule="auto"/>
        <w:jc w:val="both"/>
        <w:rPr>
          <w:rFonts w:ascii="Tahoma" w:hAnsi="Tahoma" w:cs="Tahoma"/>
          <w:b/>
          <w:sz w:val="20"/>
          <w:szCs w:val="20"/>
          <w:lang w:val="fr-FR" w:eastAsia="en-US"/>
        </w:rPr>
      </w:pPr>
      <w:r w:rsidRPr="00707908">
        <w:rPr>
          <w:rFonts w:ascii="Tahoma" w:hAnsi="Tahoma" w:cs="Tahoma"/>
          <w:b/>
          <w:sz w:val="20"/>
          <w:szCs w:val="20"/>
          <w:lang w:val="fr-FR" w:eastAsia="en-US"/>
        </w:rPr>
        <w:t>Pour le Lot 1 :</w:t>
      </w:r>
    </w:p>
    <w:p w14:paraId="54AAE40F" w14:textId="77777777" w:rsidR="00707908" w:rsidRPr="00707908" w:rsidRDefault="00707908" w:rsidP="00707908">
      <w:pPr>
        <w:spacing w:line="276" w:lineRule="auto"/>
        <w:ind w:left="-426"/>
        <w:jc w:val="both"/>
        <w:rPr>
          <w:rFonts w:ascii="Tahoma" w:hAnsi="Tahoma" w:cs="Tahoma"/>
          <w:sz w:val="20"/>
          <w:szCs w:val="20"/>
          <w:highlight w:val="yellow"/>
          <w:lang w:val="fr-FR" w:eastAsia="en-US"/>
        </w:rPr>
      </w:pPr>
      <w:r w:rsidRPr="00707908">
        <w:rPr>
          <w:rFonts w:ascii="Tahoma" w:hAnsi="Tahoma" w:cs="Tahoma"/>
          <w:noProof/>
          <w:sz w:val="20"/>
          <w:szCs w:val="20"/>
          <w:lang w:val="en-US" w:eastAsia="en-US"/>
        </w:rPr>
        <mc:AlternateContent>
          <mc:Choice Requires="wps">
            <w:drawing>
              <wp:anchor distT="0" distB="0" distL="114300" distR="114300" simplePos="0" relativeHeight="251664385" behindDoc="0" locked="1" layoutInCell="1" allowOverlap="1" wp14:anchorId="27EC3F9A" wp14:editId="310133F1">
                <wp:simplePos x="0" y="0"/>
                <wp:positionH relativeFrom="column">
                  <wp:posOffset>5374005</wp:posOffset>
                </wp:positionH>
                <wp:positionV relativeFrom="paragraph">
                  <wp:posOffset>-332740</wp:posOffset>
                </wp:positionV>
                <wp:extent cx="146050" cy="645795"/>
                <wp:effectExtent l="19050" t="0" r="44450"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46050" cy="64579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C791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3.15pt;margin-top:-26.2pt;width:11.5pt;height:50.85pt;rotation:180;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" adj="2891" strokecolor="red">
                <o:lock v:ext="edit" aspectratio="t"/>
                <v:textbox style="layout-flow:vertical-ideographic"/>
                <w10:anchorlock/>
              </v:shape>
            </w:pict>
          </mc:Fallback>
        </mc:AlternateContent>
      </w: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71"/>
        <w:gridCol w:w="1757"/>
        <w:gridCol w:w="1984"/>
      </w:tblGrid>
      <w:tr w:rsidR="00707908" w:rsidRPr="00707908" w14:paraId="2FE8D2B0" w14:textId="77777777" w:rsidTr="00707908">
        <w:trPr>
          <w:trHeight w:val="688"/>
          <w:jc w:val="center"/>
        </w:trPr>
        <w:tc>
          <w:tcPr>
            <w:tcW w:w="7171" w:type="dxa"/>
            <w:shd w:val="clear" w:color="auto" w:fill="DBE5F1" w:themeFill="accent1" w:themeFillTint="33"/>
            <w:vAlign w:val="center"/>
          </w:tcPr>
          <w:bookmarkEnd w:id="2"/>
          <w:p w14:paraId="3AFBFBC0" w14:textId="73B5050B" w:rsidR="00707908" w:rsidRPr="00707908" w:rsidRDefault="00707908" w:rsidP="006A07A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w:t>
            </w:r>
            <w:r w:rsidR="00A02699">
              <w:rPr>
                <w:rFonts w:ascii="Tahoma" w:hAnsi="Tahoma" w:cs="Tahoma"/>
                <w:b/>
                <w:sz w:val="20"/>
                <w:szCs w:val="20"/>
                <w:lang w:val="fr-FR" w:eastAsia="en-US"/>
              </w:rPr>
              <w:t>s</w:t>
            </w:r>
            <w:r w:rsidRPr="00707908">
              <w:rPr>
                <w:rFonts w:ascii="Tahoma" w:hAnsi="Tahoma" w:cs="Tahoma"/>
                <w:b/>
                <w:sz w:val="20"/>
                <w:szCs w:val="20"/>
                <w:lang w:val="fr-FR" w:eastAsia="en-US"/>
              </w:rPr>
              <w:t xml:space="preserve"> ▼</w:t>
            </w:r>
          </w:p>
        </w:tc>
        <w:tc>
          <w:tcPr>
            <w:tcW w:w="1757" w:type="dxa"/>
            <w:tcBorders>
              <w:bottom w:val="single" w:sz="2" w:space="0" w:color="FF0000"/>
            </w:tcBorders>
            <w:shd w:val="clear" w:color="auto" w:fill="DBE5F1" w:themeFill="accent1" w:themeFillTint="33"/>
            <w:vAlign w:val="center"/>
          </w:tcPr>
          <w:p w14:paraId="431D52E0" w14:textId="121CA3CE"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r w:rsidR="009C7430">
              <w:rPr>
                <w:rFonts w:ascii="Tahoma" w:hAnsi="Tahoma" w:cs="Tahoma"/>
                <w:b/>
                <w:sz w:val="20"/>
                <w:szCs w:val="20"/>
                <w:lang w:val="fr-FR" w:eastAsia="en-US"/>
              </w:rPr>
              <w:t xml:space="preserve"> (TND)</w:t>
            </w:r>
          </w:p>
          <w:p w14:paraId="57012554"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29859342" w14:textId="77777777" w:rsidR="009C7430" w:rsidRDefault="00707908" w:rsidP="006A07AE">
            <w:pPr>
              <w:spacing w:line="276" w:lineRule="auto"/>
              <w:ind w:left="-426" w:right="-490"/>
              <w:jc w:val="center"/>
              <w:rPr>
                <w:rFonts w:ascii="Tahoma" w:hAnsi="Tahoma" w:cs="Tahoma"/>
                <w:b/>
                <w:sz w:val="20"/>
                <w:szCs w:val="20"/>
                <w:lang w:val="fr-FR" w:eastAsia="en-US"/>
              </w:rPr>
            </w:pPr>
            <w:r w:rsidRPr="009C7430">
              <w:rPr>
                <w:rFonts w:ascii="Tahoma" w:hAnsi="Tahoma" w:cs="Tahoma"/>
                <w:b/>
                <w:sz w:val="20"/>
                <w:szCs w:val="20"/>
                <w:lang w:val="fr-FR" w:eastAsia="en-US"/>
              </w:rPr>
              <w:t>Seuil d’exclusion</w:t>
            </w:r>
            <w:r w:rsidR="009C7430">
              <w:rPr>
                <w:rFonts w:ascii="Tahoma" w:hAnsi="Tahoma" w:cs="Tahoma"/>
                <w:b/>
                <w:sz w:val="20"/>
                <w:szCs w:val="20"/>
                <w:lang w:val="fr-FR" w:eastAsia="en-US"/>
              </w:rPr>
              <w:t xml:space="preserve"> </w:t>
            </w:r>
          </w:p>
          <w:p w14:paraId="6201EC11" w14:textId="6F123B9B" w:rsidR="00707908" w:rsidRPr="00707908" w:rsidRDefault="009C7430" w:rsidP="006A07AE">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(TND)</w:t>
            </w:r>
          </w:p>
          <w:p w14:paraId="7ECA3F3C"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r>
      <w:tr w:rsidR="00707908" w:rsidRPr="00707908" w14:paraId="26E736BF" w14:textId="77777777" w:rsidTr="00707908">
        <w:trPr>
          <w:trHeight w:val="423"/>
          <w:jc w:val="center"/>
        </w:trPr>
        <w:tc>
          <w:tcPr>
            <w:tcW w:w="7171" w:type="dxa"/>
            <w:shd w:val="clear" w:color="auto" w:fill="F2F2F2" w:themeFill="background1" w:themeFillShade="F2"/>
            <w:vAlign w:val="center"/>
          </w:tcPr>
          <w:p w14:paraId="23B2147A" w14:textId="632100F1" w:rsidR="009C7430" w:rsidRDefault="009C7430" w:rsidP="009C7430">
            <w:pPr>
              <w:pStyle w:val="ListParagraph"/>
              <w:numPr>
                <w:ilvl w:val="0"/>
                <w:numId w:val="41"/>
              </w:numPr>
              <w:tabs>
                <w:tab w:val="left" w:pos="284"/>
              </w:tabs>
              <w:ind w:left="0" w:firstLine="0"/>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La mise en œuvre, le suivi et l’évaluation des plans de formation interne et externe de l’INAI pour l’année 2020-2021 qui devra permettre de renforcer deux types de compétences et donc portera sur les deux volets suivants</w:t>
            </w:r>
            <w:r w:rsidR="00232F39">
              <w:rPr>
                <w:rFonts w:ascii="Tahoma" w:hAnsi="Tahoma" w:cs="Tahoma"/>
                <w:color w:val="000000" w:themeColor="text1"/>
                <w:sz w:val="18"/>
                <w:szCs w:val="20"/>
                <w:lang w:val="fr-FR"/>
              </w:rPr>
              <w:t xml:space="preserve"> </w:t>
            </w:r>
            <w:r w:rsidRPr="009C7430">
              <w:rPr>
                <w:rFonts w:ascii="Tahoma" w:hAnsi="Tahoma" w:cs="Tahoma"/>
                <w:color w:val="000000" w:themeColor="text1"/>
                <w:sz w:val="18"/>
                <w:szCs w:val="20"/>
                <w:lang w:val="fr-FR"/>
              </w:rPr>
              <w:t xml:space="preserve">: </w:t>
            </w:r>
          </w:p>
          <w:p w14:paraId="01C85CCC" w14:textId="77777777" w:rsidR="009C7430" w:rsidRPr="003A5835" w:rsidRDefault="009C7430" w:rsidP="009C7430">
            <w:pPr>
              <w:jc w:val="both"/>
              <w:rPr>
                <w:rFonts w:ascii="Tahoma" w:hAnsi="Tahoma" w:cs="Tahoma"/>
                <w:b/>
                <w:bCs/>
                <w:color w:val="000000" w:themeColor="text1"/>
                <w:sz w:val="18"/>
                <w:szCs w:val="20"/>
                <w:lang w:val="fr-FR"/>
              </w:rPr>
            </w:pPr>
          </w:p>
          <w:p w14:paraId="7E9CB4BB" w14:textId="77777777" w:rsidR="009C7430" w:rsidRPr="009C7430" w:rsidRDefault="009C7430" w:rsidP="009C7430">
            <w:pPr>
              <w:tabs>
                <w:tab w:val="left" w:pos="567"/>
              </w:tabs>
              <w:ind w:left="567" w:hanging="283"/>
              <w:jc w:val="both"/>
              <w:rPr>
                <w:rFonts w:ascii="Tahoma" w:hAnsi="Tahoma" w:cs="Tahoma"/>
                <w:color w:val="000000" w:themeColor="text1"/>
                <w:sz w:val="18"/>
                <w:szCs w:val="20"/>
                <w:lang w:val="fr-FR"/>
              </w:rPr>
            </w:pPr>
            <w:r w:rsidRPr="003A5835">
              <w:rPr>
                <w:rFonts w:ascii="Tahoma" w:hAnsi="Tahoma" w:cs="Tahoma"/>
                <w:b/>
                <w:bCs/>
                <w:color w:val="000000" w:themeColor="text1"/>
                <w:sz w:val="18"/>
                <w:szCs w:val="20"/>
                <w:lang w:val="fr-FR"/>
              </w:rPr>
              <w:t>a/</w:t>
            </w:r>
            <w:r w:rsidRPr="009C7430">
              <w:rPr>
                <w:rFonts w:ascii="Tahoma" w:hAnsi="Tahoma" w:cs="Tahoma"/>
                <w:color w:val="000000" w:themeColor="text1"/>
                <w:sz w:val="18"/>
                <w:szCs w:val="20"/>
                <w:lang w:val="fr-FR"/>
              </w:rPr>
              <w:t xml:space="preserve"> </w:t>
            </w:r>
            <w:r w:rsidRPr="009C7430">
              <w:rPr>
                <w:rFonts w:ascii="Tahoma" w:hAnsi="Tahoma" w:cs="Tahoma"/>
                <w:color w:val="000000" w:themeColor="text1"/>
                <w:sz w:val="18"/>
                <w:szCs w:val="20"/>
                <w:lang w:val="fr-FR"/>
              </w:rPr>
              <w:tab/>
              <w:t>la mise en œuvre du plan de formation 2020- 2021 de l’INAI : il s’agit particulièrement du plan de formation en faveur des partenaires nationaux de l’INAI.</w:t>
            </w:r>
          </w:p>
          <w:p w14:paraId="5CCE53BC" w14:textId="77777777" w:rsidR="009C7430" w:rsidRPr="009C7430" w:rsidRDefault="009C7430" w:rsidP="009C7430">
            <w:pPr>
              <w:tabs>
                <w:tab w:val="left" w:pos="567"/>
              </w:tabs>
              <w:ind w:left="567" w:hanging="283"/>
              <w:jc w:val="both"/>
              <w:rPr>
                <w:rFonts w:ascii="Tahoma" w:hAnsi="Tahoma" w:cs="Tahoma"/>
                <w:color w:val="000000" w:themeColor="text1"/>
                <w:sz w:val="18"/>
                <w:szCs w:val="20"/>
                <w:lang w:val="fr-FR"/>
              </w:rPr>
            </w:pPr>
            <w:r w:rsidRPr="003A5835">
              <w:rPr>
                <w:rFonts w:ascii="Tahoma" w:hAnsi="Tahoma" w:cs="Tahoma"/>
                <w:b/>
                <w:bCs/>
                <w:color w:val="000000" w:themeColor="text1"/>
                <w:sz w:val="18"/>
                <w:szCs w:val="20"/>
                <w:lang w:val="fr-FR"/>
              </w:rPr>
              <w:t>b/</w:t>
            </w:r>
            <w:r w:rsidRPr="009C7430">
              <w:rPr>
                <w:rFonts w:ascii="Tahoma" w:hAnsi="Tahoma" w:cs="Tahoma"/>
                <w:color w:val="000000" w:themeColor="text1"/>
                <w:sz w:val="18"/>
                <w:szCs w:val="20"/>
                <w:lang w:val="fr-FR"/>
              </w:rPr>
              <w:t xml:space="preserve"> </w:t>
            </w:r>
            <w:r w:rsidRPr="009C7430">
              <w:rPr>
                <w:rFonts w:ascii="Tahoma" w:hAnsi="Tahoma" w:cs="Tahoma"/>
                <w:color w:val="000000" w:themeColor="text1"/>
                <w:sz w:val="18"/>
                <w:szCs w:val="20"/>
                <w:lang w:val="fr-FR"/>
              </w:rPr>
              <w:tab/>
              <w:t>l’accompagnement interne des formateurs de l’INAI.</w:t>
            </w:r>
          </w:p>
          <w:p w14:paraId="726F3021" w14:textId="77777777" w:rsidR="009C7430" w:rsidRPr="009C7430" w:rsidRDefault="009C7430" w:rsidP="009C7430">
            <w:pPr>
              <w:tabs>
                <w:tab w:val="left" w:pos="567"/>
              </w:tabs>
              <w:ind w:left="567" w:hanging="283"/>
              <w:jc w:val="both"/>
              <w:rPr>
                <w:rFonts w:ascii="Tahoma" w:hAnsi="Tahoma" w:cs="Tahoma"/>
                <w:color w:val="000000" w:themeColor="text1"/>
                <w:sz w:val="18"/>
                <w:szCs w:val="20"/>
                <w:lang w:val="fr-FR"/>
              </w:rPr>
            </w:pPr>
            <w:r w:rsidRPr="003A5835">
              <w:rPr>
                <w:rFonts w:ascii="Tahoma" w:hAnsi="Tahoma" w:cs="Tahoma"/>
                <w:b/>
                <w:bCs/>
                <w:color w:val="000000" w:themeColor="text1"/>
                <w:sz w:val="18"/>
                <w:szCs w:val="20"/>
                <w:lang w:val="fr-FR"/>
              </w:rPr>
              <w:t>c/</w:t>
            </w:r>
            <w:r w:rsidRPr="009C7430">
              <w:rPr>
                <w:rFonts w:ascii="Tahoma" w:hAnsi="Tahoma" w:cs="Tahoma"/>
                <w:color w:val="000000" w:themeColor="text1"/>
                <w:sz w:val="18"/>
                <w:szCs w:val="20"/>
                <w:lang w:val="fr-FR"/>
              </w:rPr>
              <w:t xml:space="preserve"> </w:t>
            </w:r>
            <w:r w:rsidRPr="009C7430">
              <w:rPr>
                <w:rFonts w:ascii="Tahoma" w:hAnsi="Tahoma" w:cs="Tahoma"/>
                <w:color w:val="000000" w:themeColor="text1"/>
                <w:sz w:val="18"/>
                <w:szCs w:val="20"/>
                <w:lang w:val="fr-FR"/>
              </w:rPr>
              <w:tab/>
              <w:t>la tenue de formations internes et externes.</w:t>
            </w:r>
          </w:p>
          <w:p w14:paraId="2E966437" w14:textId="77777777" w:rsidR="009C7430" w:rsidRPr="009C7430" w:rsidRDefault="009C7430" w:rsidP="009C7430">
            <w:pPr>
              <w:jc w:val="both"/>
              <w:rPr>
                <w:rFonts w:ascii="Tahoma" w:hAnsi="Tahoma" w:cs="Tahoma"/>
                <w:color w:val="000000" w:themeColor="text1"/>
                <w:sz w:val="18"/>
                <w:szCs w:val="20"/>
                <w:lang w:val="fr-FR"/>
              </w:rPr>
            </w:pPr>
          </w:p>
          <w:p w14:paraId="5A8F6021" w14:textId="71EE4DC3" w:rsidR="009C7430" w:rsidRDefault="009C7430" w:rsidP="009C7430">
            <w:pPr>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Le consultant</w:t>
            </w:r>
            <w:r w:rsidR="001813A0">
              <w:rPr>
                <w:rFonts w:ascii="Tahoma" w:hAnsi="Tahoma" w:cs="Tahoma"/>
                <w:color w:val="000000" w:themeColor="text1"/>
                <w:sz w:val="18"/>
                <w:szCs w:val="20"/>
                <w:lang w:val="fr-FR"/>
              </w:rPr>
              <w:t>-expert</w:t>
            </w:r>
            <w:r w:rsidRPr="009C7430">
              <w:rPr>
                <w:rFonts w:ascii="Tahoma" w:hAnsi="Tahoma" w:cs="Tahoma"/>
                <w:color w:val="000000" w:themeColor="text1"/>
                <w:sz w:val="18"/>
                <w:szCs w:val="20"/>
                <w:lang w:val="fr-FR"/>
              </w:rPr>
              <w:t xml:space="preserve"> sera appelé, notamment mais pas exclusivement, à assurer l’ensemble des livrables suivants : </w:t>
            </w:r>
          </w:p>
          <w:p w14:paraId="5E2A2F45" w14:textId="77777777" w:rsidR="00DE64EF" w:rsidRPr="009C7430" w:rsidRDefault="00DE64EF" w:rsidP="009C7430">
            <w:pPr>
              <w:jc w:val="both"/>
              <w:rPr>
                <w:rFonts w:ascii="Tahoma" w:hAnsi="Tahoma" w:cs="Tahoma"/>
                <w:color w:val="000000" w:themeColor="text1"/>
                <w:sz w:val="18"/>
                <w:szCs w:val="20"/>
                <w:lang w:val="fr-FR"/>
              </w:rPr>
            </w:pPr>
          </w:p>
          <w:p w14:paraId="2BCFB7D1" w14:textId="77777777" w:rsidR="009C7430" w:rsidRPr="009C7430" w:rsidRDefault="009C7430" w:rsidP="009C7430">
            <w:pPr>
              <w:pStyle w:val="ListParagraph"/>
              <w:numPr>
                <w:ilvl w:val="0"/>
                <w:numId w:val="42"/>
              </w:numPr>
              <w:contextualSpacing/>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Préparation du modèle de formation type sur l’accès à l’information ;</w:t>
            </w:r>
          </w:p>
          <w:p w14:paraId="5ACB8712" w14:textId="61A676D0" w:rsidR="009C7430" w:rsidRPr="009C7430" w:rsidRDefault="009C7430" w:rsidP="009C7430">
            <w:pPr>
              <w:pStyle w:val="ListParagraph"/>
              <w:numPr>
                <w:ilvl w:val="0"/>
                <w:numId w:val="42"/>
              </w:numPr>
              <w:contextualSpacing/>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 xml:space="preserve">La mise en place de l’unité de formation interne et externe au sein de l’INAI et préparation du manuel de procédures, tableaux de bord, formulaire d’évaluation des formations et réalisation </w:t>
            </w:r>
            <w:r w:rsidR="000A0798">
              <w:rPr>
                <w:rFonts w:ascii="Tahoma" w:hAnsi="Tahoma" w:cs="Tahoma"/>
                <w:color w:val="000000" w:themeColor="text1"/>
                <w:sz w:val="18"/>
                <w:szCs w:val="20"/>
                <w:lang w:val="fr-FR"/>
              </w:rPr>
              <w:t>des</w:t>
            </w:r>
            <w:r w:rsidRPr="009C7430">
              <w:rPr>
                <w:rFonts w:ascii="Tahoma" w:hAnsi="Tahoma" w:cs="Tahoma"/>
                <w:color w:val="000000" w:themeColor="text1"/>
                <w:sz w:val="18"/>
                <w:szCs w:val="20"/>
                <w:lang w:val="fr-FR"/>
              </w:rPr>
              <w:t xml:space="preserve"> formation</w:t>
            </w:r>
            <w:r w:rsidR="000A0798">
              <w:rPr>
                <w:rFonts w:ascii="Tahoma" w:hAnsi="Tahoma" w:cs="Tahoma"/>
                <w:color w:val="000000" w:themeColor="text1"/>
                <w:sz w:val="18"/>
                <w:szCs w:val="20"/>
                <w:lang w:val="fr-FR"/>
              </w:rPr>
              <w:t>s</w:t>
            </w:r>
            <w:r w:rsidRPr="009C7430">
              <w:rPr>
                <w:rFonts w:ascii="Tahoma" w:hAnsi="Tahoma" w:cs="Tahoma"/>
                <w:color w:val="000000" w:themeColor="text1"/>
                <w:sz w:val="18"/>
                <w:szCs w:val="20"/>
                <w:lang w:val="fr-FR"/>
              </w:rPr>
              <w:t xml:space="preserve"> interne</w:t>
            </w:r>
            <w:r w:rsidR="000A0798">
              <w:rPr>
                <w:rFonts w:ascii="Tahoma" w:hAnsi="Tahoma" w:cs="Tahoma"/>
                <w:color w:val="000000" w:themeColor="text1"/>
                <w:sz w:val="18"/>
                <w:szCs w:val="20"/>
                <w:lang w:val="fr-FR"/>
              </w:rPr>
              <w:t>s</w:t>
            </w:r>
            <w:r w:rsidRPr="009C7430">
              <w:rPr>
                <w:rFonts w:ascii="Tahoma" w:hAnsi="Tahoma" w:cs="Tahoma"/>
                <w:color w:val="000000" w:themeColor="text1"/>
                <w:sz w:val="18"/>
                <w:szCs w:val="20"/>
                <w:lang w:val="fr-FR"/>
              </w:rPr>
              <w:t xml:space="preserve"> </w:t>
            </w:r>
            <w:r w:rsidR="00574BCC">
              <w:rPr>
                <w:rFonts w:ascii="Tahoma" w:hAnsi="Tahoma" w:cs="Tahoma"/>
                <w:color w:val="000000" w:themeColor="text1"/>
                <w:sz w:val="18"/>
                <w:szCs w:val="20"/>
                <w:lang w:val="fr-FR"/>
              </w:rPr>
              <w:t>et externes</w:t>
            </w:r>
            <w:r w:rsidRPr="009C7430">
              <w:rPr>
                <w:rFonts w:ascii="Tahoma" w:hAnsi="Tahoma" w:cs="Tahoma"/>
                <w:color w:val="000000" w:themeColor="text1"/>
                <w:sz w:val="18"/>
                <w:szCs w:val="20"/>
                <w:lang w:val="fr-FR"/>
              </w:rPr>
              <w:t xml:space="preserve"> ;</w:t>
            </w:r>
          </w:p>
          <w:p w14:paraId="4D099594" w14:textId="77777777" w:rsidR="009C7430" w:rsidRPr="009C7430" w:rsidRDefault="009C7430" w:rsidP="009C7430">
            <w:pPr>
              <w:pStyle w:val="ListParagraph"/>
              <w:numPr>
                <w:ilvl w:val="0"/>
                <w:numId w:val="42"/>
              </w:numPr>
              <w:contextualSpacing/>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Préparation des cahiers des charges pour la réalisation du plan de formations internes et le suivi de sa mise en œuvre ;</w:t>
            </w:r>
          </w:p>
          <w:p w14:paraId="03BC3905" w14:textId="145FA886" w:rsidR="009C7430" w:rsidRPr="009C7430" w:rsidRDefault="009C7430" w:rsidP="009C7430">
            <w:pPr>
              <w:pStyle w:val="ListParagraph"/>
              <w:numPr>
                <w:ilvl w:val="0"/>
                <w:numId w:val="42"/>
              </w:numPr>
              <w:contextualSpacing/>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Réalisation d</w:t>
            </w:r>
            <w:r w:rsidR="00574BCC">
              <w:rPr>
                <w:rFonts w:ascii="Tahoma" w:hAnsi="Tahoma" w:cs="Tahoma"/>
                <w:color w:val="000000" w:themeColor="text1"/>
                <w:sz w:val="18"/>
                <w:szCs w:val="20"/>
                <w:lang w:val="fr-FR"/>
              </w:rPr>
              <w:t>e</w:t>
            </w:r>
            <w:r w:rsidRPr="009C7430">
              <w:rPr>
                <w:rFonts w:ascii="Tahoma" w:hAnsi="Tahoma" w:cs="Tahoma"/>
                <w:color w:val="000000" w:themeColor="text1"/>
                <w:sz w:val="18"/>
                <w:szCs w:val="20"/>
                <w:lang w:val="fr-FR"/>
              </w:rPr>
              <w:t xml:space="preserve"> 2 formations internes en application du plan de formations et suivi de sa mise en place ;</w:t>
            </w:r>
          </w:p>
          <w:p w14:paraId="66E417A8" w14:textId="77777777" w:rsidR="009C7430" w:rsidRPr="009C7430" w:rsidRDefault="009C7430" w:rsidP="009C7430">
            <w:pPr>
              <w:pStyle w:val="ListParagraph"/>
              <w:numPr>
                <w:ilvl w:val="0"/>
                <w:numId w:val="42"/>
              </w:numPr>
              <w:contextualSpacing/>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Suivi de la mise en œuvre du plan de formations externes et réalisations de 2 formations externes en application de ce plan ;</w:t>
            </w:r>
          </w:p>
          <w:p w14:paraId="576C73A1" w14:textId="77777777" w:rsidR="009C7430" w:rsidRPr="009C7430" w:rsidRDefault="009C7430" w:rsidP="009C7430">
            <w:pPr>
              <w:pStyle w:val="ListParagraph"/>
              <w:numPr>
                <w:ilvl w:val="0"/>
                <w:numId w:val="42"/>
              </w:numPr>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Cadrage du projet MOOC sur l’accès à l’information et recrutement des partenaires ;</w:t>
            </w:r>
          </w:p>
          <w:p w14:paraId="769CBB08" w14:textId="77777777" w:rsidR="009C7430" w:rsidRPr="009C7430" w:rsidRDefault="009C7430" w:rsidP="009C7430">
            <w:pPr>
              <w:pStyle w:val="ListParagraph"/>
              <w:numPr>
                <w:ilvl w:val="0"/>
                <w:numId w:val="42"/>
              </w:numPr>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Préparation du contenu et scénarisation du MOOC ;</w:t>
            </w:r>
          </w:p>
          <w:p w14:paraId="75C0100C" w14:textId="77777777" w:rsidR="009C7430" w:rsidRPr="009C7430" w:rsidRDefault="009C7430" w:rsidP="009C7430">
            <w:pPr>
              <w:pStyle w:val="ListParagraph"/>
              <w:numPr>
                <w:ilvl w:val="0"/>
                <w:numId w:val="42"/>
              </w:numPr>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Production du MOOC sur l’accès à l’information ;</w:t>
            </w:r>
          </w:p>
          <w:p w14:paraId="64349D29" w14:textId="77777777" w:rsidR="009C7430" w:rsidRPr="009C7430" w:rsidRDefault="009C7430" w:rsidP="009C7430">
            <w:pPr>
              <w:pStyle w:val="ListParagraph"/>
              <w:numPr>
                <w:ilvl w:val="0"/>
                <w:numId w:val="42"/>
              </w:numPr>
              <w:jc w:val="both"/>
              <w:rPr>
                <w:rFonts w:ascii="Tahoma" w:hAnsi="Tahoma" w:cs="Tahoma"/>
                <w:color w:val="000000" w:themeColor="text1"/>
                <w:sz w:val="18"/>
                <w:szCs w:val="20"/>
                <w:lang w:val="fr-FR"/>
              </w:rPr>
            </w:pPr>
            <w:r w:rsidRPr="009C7430">
              <w:rPr>
                <w:rFonts w:ascii="Tahoma" w:hAnsi="Tahoma" w:cs="Tahoma"/>
                <w:color w:val="000000" w:themeColor="text1"/>
                <w:sz w:val="18"/>
                <w:szCs w:val="20"/>
                <w:lang w:val="fr-FR"/>
              </w:rPr>
              <w:t>Promotion et lancement du MOOC sur l’accès à l’information ;</w:t>
            </w:r>
          </w:p>
          <w:p w14:paraId="11E78760" w14:textId="1963C610" w:rsidR="00707908" w:rsidRPr="00707908" w:rsidRDefault="00707908" w:rsidP="006A07AE">
            <w:pPr>
              <w:spacing w:line="276" w:lineRule="auto"/>
              <w:rPr>
                <w:rFonts w:ascii="Tahoma" w:hAnsi="Tahoma" w:cs="Tahoma"/>
                <w:sz w:val="20"/>
                <w:szCs w:val="20"/>
                <w:highlight w:val="yellow"/>
                <w:lang w:val="fr-FR" w:eastAsia="en-US"/>
              </w:rPr>
            </w:pP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3291C9DF" w14:textId="77777777" w:rsidR="00707908" w:rsidRPr="00707908" w:rsidRDefault="00707908" w:rsidP="006A07AE">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FA504C" w14:textId="5D862B76" w:rsidR="00707908" w:rsidRPr="009C7430" w:rsidRDefault="009C7430" w:rsidP="006A07AE">
            <w:pPr>
              <w:spacing w:line="276" w:lineRule="auto"/>
              <w:ind w:left="-135" w:right="-91"/>
              <w:jc w:val="center"/>
              <w:rPr>
                <w:rFonts w:ascii="Tahoma" w:hAnsi="Tahoma" w:cs="Tahoma"/>
                <w:b/>
                <w:bCs/>
                <w:sz w:val="20"/>
                <w:szCs w:val="20"/>
                <w:highlight w:val="yellow"/>
                <w:lang w:val="fr-FR" w:eastAsia="en-US"/>
              </w:rPr>
            </w:pPr>
            <w:r w:rsidRPr="009C7430">
              <w:rPr>
                <w:rFonts w:ascii="Tahoma" w:hAnsi="Tahoma" w:cs="Tahoma"/>
                <w:b/>
                <w:bCs/>
                <w:sz w:val="20"/>
                <w:szCs w:val="20"/>
                <w:lang w:val="fr-FR" w:eastAsia="en-US"/>
              </w:rPr>
              <w:t>225</w:t>
            </w:r>
            <w:r>
              <w:rPr>
                <w:rFonts w:ascii="Tahoma" w:hAnsi="Tahoma" w:cs="Tahoma"/>
                <w:b/>
                <w:bCs/>
                <w:sz w:val="20"/>
                <w:szCs w:val="20"/>
                <w:lang w:val="fr-FR" w:eastAsia="en-US"/>
              </w:rPr>
              <w:t xml:space="preserve"> / j</w:t>
            </w:r>
          </w:p>
        </w:tc>
      </w:tr>
    </w:tbl>
    <w:p w14:paraId="60B92552" w14:textId="128E20B3" w:rsidR="00707908" w:rsidRPr="00707908" w:rsidRDefault="00707908" w:rsidP="00707908">
      <w:pPr>
        <w:ind w:left="-142"/>
        <w:rPr>
          <w:rFonts w:ascii="Tahoma" w:hAnsi="Tahoma" w:cs="Tahoma"/>
          <w:bCs/>
          <w:sz w:val="20"/>
          <w:szCs w:val="20"/>
          <w:lang w:val="fr-FR"/>
        </w:rPr>
      </w:pPr>
    </w:p>
    <w:tbl>
      <w:tblPr>
        <w:tblStyle w:val="TableGrid"/>
        <w:tblW w:w="10890"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382"/>
        <w:gridCol w:w="1508"/>
      </w:tblGrid>
      <w:tr w:rsidR="00707908" w:rsidRPr="00707908" w14:paraId="1C2266AD" w14:textId="77777777" w:rsidTr="00C2026A">
        <w:trPr>
          <w:trHeight w:val="494"/>
        </w:trPr>
        <w:tc>
          <w:tcPr>
            <w:tcW w:w="9382" w:type="dxa"/>
            <w:shd w:val="clear" w:color="auto" w:fill="DBE5F1" w:themeFill="accent1" w:themeFillTint="33"/>
            <w:vAlign w:val="center"/>
          </w:tcPr>
          <w:p w14:paraId="39D9AE67" w14:textId="77777777" w:rsidR="00707908" w:rsidRPr="00580486" w:rsidRDefault="00707908" w:rsidP="006A07AE">
            <w:pPr>
              <w:spacing w:before="120" w:after="120"/>
              <w:rPr>
                <w:rFonts w:ascii="Tahoma" w:hAnsi="Tahoma" w:cs="Tahoma"/>
                <w:sz w:val="20"/>
                <w:szCs w:val="20"/>
                <w:lang w:val="fr-FR"/>
              </w:rPr>
            </w:pPr>
            <w:bookmarkStart w:id="4" w:name="_Hlk64459698"/>
            <w:r w:rsidRPr="00580486">
              <w:rPr>
                <w:rFonts w:ascii="Tahoma" w:hAnsi="Tahoma" w:cs="Tahoma"/>
                <w:sz w:val="20"/>
                <w:szCs w:val="20"/>
                <w:lang w:val="fr-FR"/>
              </w:rPr>
              <w:t xml:space="preserve">Ce contrat cadre prend effet à la date de sa signature par les deux Parties ET est conclu jusqu’au : </w:t>
            </w:r>
          </w:p>
        </w:tc>
        <w:tc>
          <w:tcPr>
            <w:tcW w:w="1508" w:type="dxa"/>
            <w:shd w:val="clear" w:color="auto" w:fill="F2F2F2" w:themeFill="background1" w:themeFillShade="F2"/>
            <w:vAlign w:val="center"/>
          </w:tcPr>
          <w:sdt>
            <w:sdtPr>
              <w:rPr>
                <w:rStyle w:val="Style71"/>
                <w:rFonts w:ascii="Tahoma" w:hAnsi="Tahoma" w:cs="Tahoma"/>
                <w:b/>
                <w:bCs/>
                <w:szCs w:val="20"/>
                <w:lang w:val="fr-FR"/>
              </w:rPr>
              <w:id w:val="1216856938"/>
              <w:placeholder>
                <w:docPart w:val="572836329F1F4B56AC97F5830D78C096"/>
              </w:placeholder>
              <w:date w:fullDate="2021-12-31T00:00:00Z">
                <w:dateFormat w:val="dd/MM/yyyy"/>
                <w:lid w:val="fr-FR"/>
                <w:storeMappedDataAs w:val="dateTime"/>
                <w:calendar w:val="gregorian"/>
              </w:date>
            </w:sdtPr>
            <w:sdtEndPr>
              <w:rPr>
                <w:rStyle w:val="Style71"/>
              </w:rPr>
            </w:sdtEndPr>
            <w:sdtContent>
              <w:p w14:paraId="6F0489AB" w14:textId="328C17D9" w:rsidR="00707908" w:rsidRPr="00580486" w:rsidRDefault="00CA5DE0" w:rsidP="006A07AE">
                <w:pPr>
                  <w:spacing w:before="120" w:after="120"/>
                  <w:rPr>
                    <w:rFonts w:ascii="Tahoma" w:hAnsi="Tahoma" w:cs="Tahoma"/>
                    <w:sz w:val="20"/>
                    <w:szCs w:val="20"/>
                    <w:lang w:val="fr-FR"/>
                  </w:rPr>
                </w:pPr>
                <w:r w:rsidRPr="00580486">
                  <w:rPr>
                    <w:rStyle w:val="Style71"/>
                    <w:rFonts w:ascii="Tahoma" w:hAnsi="Tahoma" w:cs="Tahoma"/>
                    <w:b/>
                    <w:bCs/>
                    <w:szCs w:val="20"/>
                    <w:lang w:val="fr-FR"/>
                  </w:rPr>
                  <w:t>31/12/2021</w:t>
                </w:r>
              </w:p>
            </w:sdtContent>
          </w:sdt>
        </w:tc>
      </w:tr>
      <w:bookmarkEnd w:id="4"/>
      <w:tr w:rsidR="00707908" w:rsidRPr="003231B6" w14:paraId="4A87B3F2" w14:textId="77777777" w:rsidTr="00C2026A">
        <w:trPr>
          <w:trHeight w:val="510"/>
        </w:trPr>
        <w:tc>
          <w:tcPr>
            <w:tcW w:w="10890" w:type="dxa"/>
            <w:gridSpan w:val="2"/>
            <w:shd w:val="clear" w:color="auto" w:fill="DBE5F1" w:themeFill="accent1" w:themeFillTint="33"/>
            <w:vAlign w:val="center"/>
          </w:tcPr>
          <w:p w14:paraId="6EC9B092" w14:textId="7214C709" w:rsidR="00707908" w:rsidRPr="00580486" w:rsidRDefault="002C75F4" w:rsidP="006A07AE">
            <w:pPr>
              <w:spacing w:before="120" w:after="120"/>
              <w:rPr>
                <w:rStyle w:val="Style71"/>
                <w:rFonts w:ascii="Tahoma" w:hAnsi="Tahoma" w:cs="Tahoma"/>
                <w:szCs w:val="20"/>
                <w:lang w:val="fr-FR"/>
              </w:rPr>
            </w:pPr>
            <w:r w:rsidRPr="002C75F4">
              <w:rPr>
                <w:lang w:val="fr-FR"/>
              </w:rPr>
              <w:t>A</w:t>
            </w:r>
            <w:r w:rsidRPr="002C75F4">
              <w:rPr>
                <w:rFonts w:ascii="Tahoma" w:hAnsi="Tahoma" w:cs="Tahoma"/>
                <w:szCs w:val="20"/>
                <w:lang w:val="fr-FR"/>
              </w:rPr>
              <w:t xml:space="preserve"> la fin de sa durée initiale, le contrat-cadre sera t</w:t>
            </w:r>
            <w:r>
              <w:rPr>
                <w:rFonts w:ascii="Tahoma" w:hAnsi="Tahoma" w:cs="Tahoma"/>
                <w:szCs w:val="20"/>
                <w:lang w:val="fr-FR"/>
              </w:rPr>
              <w:t>a</w:t>
            </w:r>
            <w:r w:rsidRPr="002C75F4">
              <w:rPr>
                <w:rFonts w:ascii="Tahoma" w:hAnsi="Tahoma" w:cs="Tahoma"/>
                <w:szCs w:val="20"/>
                <w:lang w:val="fr-FR"/>
              </w:rPr>
              <w:t xml:space="preserve">citement renouvelé pour une période d’un an, puis renouvelé chaque année par la suite, à moins que l’une des Parties ne notifie par écrit à l’autre Partie son intention de résilier le contrat au plus tard </w:t>
            </w:r>
            <w:r w:rsidRPr="002C75F4">
              <w:rPr>
                <w:rFonts w:ascii="Tahoma" w:hAnsi="Tahoma" w:cs="Tahoma"/>
                <w:b/>
                <w:bCs/>
                <w:szCs w:val="20"/>
                <w:lang w:val="fr-FR"/>
              </w:rPr>
              <w:t>1(un) mois</w:t>
            </w:r>
            <w:r w:rsidRPr="002C75F4">
              <w:rPr>
                <w:rFonts w:ascii="Tahoma" w:hAnsi="Tahoma" w:cs="Tahoma"/>
                <w:szCs w:val="20"/>
                <w:lang w:val="fr-FR"/>
              </w:rPr>
              <w:t xml:space="preserve"> avant la date du renouvellement. </w:t>
            </w:r>
            <w:r w:rsidRPr="003231B6">
              <w:rPr>
                <w:rFonts w:ascii="Tahoma" w:hAnsi="Tahoma" w:cs="Tahoma"/>
                <w:szCs w:val="20"/>
                <w:lang w:val="fr-FR"/>
              </w:rPr>
              <w:t xml:space="preserve">Le contrat ne sera pas renouvelé au-delà du </w:t>
            </w:r>
            <w:r w:rsidRPr="003231B6">
              <w:rPr>
                <w:rFonts w:ascii="Tahoma" w:hAnsi="Tahoma" w:cs="Tahoma"/>
                <w:b/>
                <w:bCs/>
                <w:szCs w:val="20"/>
                <w:lang w:val="fr-FR"/>
              </w:rPr>
              <w:t>31 décembre 2023</w:t>
            </w:r>
            <w:r w:rsidRPr="003231B6">
              <w:rPr>
                <w:rFonts w:ascii="Tahoma" w:hAnsi="Tahoma" w:cs="Tahoma"/>
                <w:szCs w:val="20"/>
                <w:lang w:val="fr-FR"/>
              </w:rPr>
              <w:t xml:space="preserve"> et prendra fin à cette date, sauf si l’une des parties a déjà valablement résilié le contrat</w:t>
            </w:r>
            <w:r w:rsidR="00707908" w:rsidRPr="003231B6">
              <w:rPr>
                <w:lang w:val="fr-FR"/>
              </w:rPr>
              <w:t>.</w:t>
            </w:r>
          </w:p>
        </w:tc>
      </w:tr>
    </w:tbl>
    <w:p w14:paraId="530F1BC3" w14:textId="5A870CE3" w:rsidR="00707908" w:rsidRDefault="00707908" w:rsidP="00707908">
      <w:pPr>
        <w:pBdr>
          <w:bottom w:val="single" w:sz="2" w:space="1" w:color="808080" w:themeColor="background1" w:themeShade="80"/>
        </w:pBdr>
        <w:rPr>
          <w:rFonts w:ascii="Tahoma" w:hAnsi="Tahoma" w:cs="Tahoma"/>
          <w:b/>
          <w:sz w:val="20"/>
          <w:szCs w:val="20"/>
          <w:highlight w:val="cyan"/>
          <w:lang w:val="fr-FR"/>
        </w:rPr>
      </w:pPr>
    </w:p>
    <w:p w14:paraId="0A063A15" w14:textId="77777777" w:rsidR="00C7426B" w:rsidRPr="00707908" w:rsidRDefault="00C7426B" w:rsidP="00707908">
      <w:pPr>
        <w:pBdr>
          <w:bottom w:val="single" w:sz="2" w:space="1" w:color="808080" w:themeColor="background1" w:themeShade="80"/>
        </w:pBdr>
        <w:rPr>
          <w:rFonts w:ascii="Tahoma" w:hAnsi="Tahoma" w:cs="Tahoma"/>
          <w:b/>
          <w:sz w:val="20"/>
          <w:szCs w:val="20"/>
          <w:highlight w:val="cyan"/>
          <w:lang w:val="fr-FR"/>
        </w:rPr>
      </w:pPr>
    </w:p>
    <w:p w14:paraId="0F2C0DA3" w14:textId="77777777" w:rsidR="00707908" w:rsidRPr="00707908" w:rsidRDefault="00707908" w:rsidP="00707908">
      <w:pPr>
        <w:spacing w:before="60" w:after="120"/>
        <w:rPr>
          <w:rFonts w:ascii="Tahoma" w:hAnsi="Tahoma" w:cs="Tahoma"/>
          <w:b/>
          <w:sz w:val="20"/>
          <w:szCs w:val="20"/>
          <w:lang w:val="fr-FR"/>
        </w:rPr>
      </w:pPr>
    </w:p>
    <w:p w14:paraId="2039D0FE" w14:textId="027EFF60" w:rsidR="00EE2417" w:rsidRDefault="00EE2417" w:rsidP="00EE2417">
      <w:pPr>
        <w:pStyle w:val="ListParagraph"/>
        <w:spacing w:line="276" w:lineRule="auto"/>
        <w:ind w:left="294"/>
        <w:jc w:val="both"/>
        <w:rPr>
          <w:rFonts w:ascii="Tahoma" w:hAnsi="Tahoma" w:cs="Tahoma"/>
          <w:b/>
          <w:sz w:val="20"/>
          <w:szCs w:val="20"/>
          <w:lang w:val="fr-FR" w:eastAsia="en-US"/>
        </w:rPr>
      </w:pPr>
    </w:p>
    <w:p w14:paraId="5D17C304" w14:textId="73A152AF" w:rsidR="00C7426B" w:rsidRDefault="00C7426B" w:rsidP="00EE2417">
      <w:pPr>
        <w:pStyle w:val="ListParagraph"/>
        <w:spacing w:line="276" w:lineRule="auto"/>
        <w:ind w:left="294"/>
        <w:jc w:val="both"/>
        <w:rPr>
          <w:rFonts w:ascii="Tahoma" w:hAnsi="Tahoma" w:cs="Tahoma"/>
          <w:b/>
          <w:sz w:val="20"/>
          <w:szCs w:val="20"/>
          <w:lang w:val="fr-FR" w:eastAsia="en-US"/>
        </w:rPr>
      </w:pPr>
    </w:p>
    <w:p w14:paraId="0EEDF971" w14:textId="77777777" w:rsidR="00C7426B" w:rsidRDefault="00C7426B" w:rsidP="00EE2417">
      <w:pPr>
        <w:pStyle w:val="ListParagraph"/>
        <w:spacing w:line="276" w:lineRule="auto"/>
        <w:ind w:left="294"/>
        <w:jc w:val="both"/>
        <w:rPr>
          <w:rFonts w:ascii="Tahoma" w:hAnsi="Tahoma" w:cs="Tahoma"/>
          <w:b/>
          <w:sz w:val="20"/>
          <w:szCs w:val="20"/>
          <w:lang w:val="fr-FR" w:eastAsia="en-US"/>
        </w:rPr>
      </w:pPr>
    </w:p>
    <w:p w14:paraId="2813EE4C" w14:textId="2BEEF466" w:rsidR="00707908" w:rsidRDefault="00707908" w:rsidP="00707908">
      <w:pPr>
        <w:pStyle w:val="ListParagraph"/>
        <w:numPr>
          <w:ilvl w:val="0"/>
          <w:numId w:val="39"/>
        </w:numPr>
        <w:spacing w:line="276" w:lineRule="auto"/>
        <w:jc w:val="both"/>
        <w:rPr>
          <w:rFonts w:ascii="Tahoma" w:hAnsi="Tahoma" w:cs="Tahoma"/>
          <w:b/>
          <w:sz w:val="20"/>
          <w:szCs w:val="20"/>
          <w:lang w:val="fr-FR" w:eastAsia="en-US"/>
        </w:rPr>
      </w:pPr>
      <w:r w:rsidRPr="00707908">
        <w:rPr>
          <w:rFonts w:ascii="Tahoma" w:hAnsi="Tahoma" w:cs="Tahoma"/>
          <w:b/>
          <w:sz w:val="20"/>
          <w:szCs w:val="20"/>
          <w:lang w:val="fr-FR" w:eastAsia="en-US"/>
        </w:rPr>
        <w:t>Pour le Lot 2 :</w:t>
      </w:r>
    </w:p>
    <w:p w14:paraId="0922AC73" w14:textId="5974F7FA" w:rsidR="00C7426B" w:rsidRDefault="00C7426B" w:rsidP="00C7426B">
      <w:pPr>
        <w:spacing w:line="276" w:lineRule="auto"/>
        <w:jc w:val="both"/>
        <w:rPr>
          <w:rFonts w:ascii="Tahoma" w:hAnsi="Tahoma" w:cs="Tahoma"/>
          <w:b/>
          <w:sz w:val="20"/>
          <w:szCs w:val="20"/>
          <w:lang w:val="fr-FR" w:eastAsia="en-US"/>
        </w:rPr>
      </w:pPr>
    </w:p>
    <w:p w14:paraId="6EE0F744" w14:textId="77777777" w:rsidR="00C7426B" w:rsidRPr="00707908" w:rsidRDefault="00C7426B" w:rsidP="00C7426B">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 pour le lot pour lequel il souhaite soumissionner.</w:t>
      </w:r>
    </w:p>
    <w:p w14:paraId="477ACCCF" w14:textId="77777777" w:rsidR="00C7426B" w:rsidRPr="00707908" w:rsidRDefault="00C7426B" w:rsidP="00C7426B">
      <w:pPr>
        <w:spacing w:line="276" w:lineRule="auto"/>
        <w:ind w:left="-426"/>
        <w:jc w:val="both"/>
        <w:rPr>
          <w:rFonts w:ascii="Tahoma" w:hAnsi="Tahoma" w:cs="Tahoma"/>
          <w:sz w:val="20"/>
          <w:szCs w:val="20"/>
          <w:lang w:val="fr-FR" w:eastAsia="en-US"/>
        </w:rPr>
      </w:pPr>
    </w:p>
    <w:p w14:paraId="775A0789" w14:textId="16B51C8E" w:rsidR="00C7426B" w:rsidRPr="00C7426B" w:rsidRDefault="00C7426B" w:rsidP="00C7426B">
      <w:pPr>
        <w:spacing w:line="276" w:lineRule="auto"/>
        <w:ind w:left="-426"/>
        <w:jc w:val="both"/>
        <w:rPr>
          <w:rFonts w:ascii="Tahoma" w:hAnsi="Tahoma" w:cs="Tahoma"/>
          <w:b/>
          <w:sz w:val="20"/>
          <w:szCs w:val="20"/>
          <w:lang w:val="fr-FR" w:eastAsia="en-US"/>
        </w:rPr>
      </w:pPr>
      <w:r w:rsidRPr="00707908">
        <w:rPr>
          <w:rFonts w:ascii="Tahoma" w:hAnsi="Tahoma" w:cs="Tahoma"/>
          <w:noProof/>
          <w:sz w:val="20"/>
          <w:szCs w:val="20"/>
          <w:lang w:val="en-US" w:eastAsia="en-US"/>
        </w:rPr>
        <mc:AlternateContent>
          <mc:Choice Requires="wps">
            <w:drawing>
              <wp:anchor distT="0" distB="0" distL="114300" distR="114300" simplePos="0" relativeHeight="251672577" behindDoc="0" locked="1" layoutInCell="1" allowOverlap="1" wp14:anchorId="3B6312FC" wp14:editId="62DC1D0B">
                <wp:simplePos x="0" y="0"/>
                <wp:positionH relativeFrom="column">
                  <wp:posOffset>5374005</wp:posOffset>
                </wp:positionH>
                <wp:positionV relativeFrom="paragraph">
                  <wp:posOffset>-332740</wp:posOffset>
                </wp:positionV>
                <wp:extent cx="146050" cy="645795"/>
                <wp:effectExtent l="19050" t="0" r="44450" b="40005"/>
                <wp:wrapNone/>
                <wp:docPr id="6"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46050" cy="64579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FD109" id="Up Arrow 7" o:spid="_x0000_s1026" type="#_x0000_t68" style="position:absolute;margin-left:423.15pt;margin-top:-26.2pt;width:11.5pt;height:50.85pt;rotation:180;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" adj="2891" strokecolor="red">
                <o:lock v:ext="edit" aspectratio="t"/>
                <v:textbox style="layout-flow:vertical-ideographic"/>
                <w10:anchorlock/>
              </v:shape>
            </w:pict>
          </mc:Fallback>
        </mc:AlternateContent>
      </w:r>
    </w:p>
    <w:tbl>
      <w:tblPr>
        <w:tblW w:w="108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9"/>
        <w:gridCol w:w="1834"/>
        <w:gridCol w:w="1931"/>
      </w:tblGrid>
      <w:tr w:rsidR="00707908" w:rsidRPr="00707908" w14:paraId="2B87DF25" w14:textId="77777777" w:rsidTr="00707908">
        <w:trPr>
          <w:trHeight w:val="688"/>
          <w:jc w:val="center"/>
        </w:trPr>
        <w:tc>
          <w:tcPr>
            <w:tcW w:w="7049" w:type="dxa"/>
            <w:shd w:val="clear" w:color="auto" w:fill="DBE5F1" w:themeFill="accent1" w:themeFillTint="33"/>
            <w:vAlign w:val="center"/>
          </w:tcPr>
          <w:p w14:paraId="4AD4E5C7" w14:textId="5DAB7BB1" w:rsidR="00707908" w:rsidRPr="00707908" w:rsidRDefault="00707908" w:rsidP="006A07A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ivrable</w:t>
            </w:r>
            <w:r w:rsidR="00A02699">
              <w:rPr>
                <w:rFonts w:ascii="Tahoma" w:hAnsi="Tahoma" w:cs="Tahoma"/>
                <w:b/>
                <w:sz w:val="20"/>
                <w:szCs w:val="20"/>
                <w:lang w:val="fr-FR" w:eastAsia="en-US"/>
              </w:rPr>
              <w:t>s</w:t>
            </w:r>
            <w:r w:rsidRPr="00707908">
              <w:rPr>
                <w:rFonts w:ascii="Tahoma" w:hAnsi="Tahoma" w:cs="Tahoma"/>
                <w:b/>
                <w:sz w:val="20"/>
                <w:szCs w:val="20"/>
                <w:lang w:val="fr-FR" w:eastAsia="en-US"/>
              </w:rPr>
              <w:t xml:space="preserve"> ▼</w:t>
            </w:r>
          </w:p>
        </w:tc>
        <w:tc>
          <w:tcPr>
            <w:tcW w:w="1834" w:type="dxa"/>
            <w:tcBorders>
              <w:bottom w:val="single" w:sz="2" w:space="0" w:color="FF0000"/>
            </w:tcBorders>
            <w:shd w:val="clear" w:color="auto" w:fill="DBE5F1" w:themeFill="accent1" w:themeFillTint="33"/>
            <w:vAlign w:val="center"/>
          </w:tcPr>
          <w:p w14:paraId="1A8699AE" w14:textId="04D55B5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r w:rsidR="00A02699">
              <w:rPr>
                <w:rFonts w:ascii="Tahoma" w:hAnsi="Tahoma" w:cs="Tahoma"/>
                <w:b/>
                <w:sz w:val="20"/>
                <w:szCs w:val="20"/>
                <w:lang w:val="fr-FR" w:eastAsia="en-US"/>
              </w:rPr>
              <w:t xml:space="preserve"> (TND)</w:t>
            </w:r>
          </w:p>
          <w:p w14:paraId="38C25924"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31" w:type="dxa"/>
            <w:tcBorders>
              <w:bottom w:val="single" w:sz="2" w:space="0" w:color="808080"/>
              <w:right w:val="single" w:sz="2" w:space="0" w:color="808080"/>
            </w:tcBorders>
            <w:shd w:val="clear" w:color="auto" w:fill="DBE5F1" w:themeFill="accent1" w:themeFillTint="33"/>
            <w:vAlign w:val="center"/>
          </w:tcPr>
          <w:p w14:paraId="12E28502" w14:textId="081DDCF2" w:rsidR="00707908" w:rsidRDefault="00707908" w:rsidP="006A07AE">
            <w:pPr>
              <w:spacing w:line="276" w:lineRule="auto"/>
              <w:ind w:left="-426" w:right="-490"/>
              <w:jc w:val="center"/>
              <w:rPr>
                <w:rFonts w:ascii="Tahoma" w:hAnsi="Tahoma" w:cs="Tahoma"/>
                <w:b/>
                <w:sz w:val="20"/>
                <w:szCs w:val="20"/>
                <w:lang w:val="fr-FR" w:eastAsia="en-US"/>
              </w:rPr>
            </w:pPr>
            <w:r w:rsidRPr="00A02699">
              <w:rPr>
                <w:rFonts w:ascii="Tahoma" w:hAnsi="Tahoma" w:cs="Tahoma"/>
                <w:b/>
                <w:sz w:val="20"/>
                <w:szCs w:val="20"/>
                <w:lang w:val="fr-FR" w:eastAsia="en-US"/>
              </w:rPr>
              <w:t>Seuil d’exclusion</w:t>
            </w:r>
          </w:p>
          <w:p w14:paraId="7CB1D633" w14:textId="234B8975" w:rsidR="00A02699" w:rsidRPr="00707908" w:rsidRDefault="00A02699" w:rsidP="006A07AE">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(TND)</w:t>
            </w:r>
          </w:p>
          <w:p w14:paraId="171569C8"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r>
      <w:tr w:rsidR="00707908" w:rsidRPr="00707908" w14:paraId="117C68FD" w14:textId="77777777" w:rsidTr="00707908">
        <w:trPr>
          <w:trHeight w:val="423"/>
          <w:jc w:val="center"/>
        </w:trPr>
        <w:tc>
          <w:tcPr>
            <w:tcW w:w="7049" w:type="dxa"/>
            <w:tcBorders>
              <w:right w:val="single" w:sz="2" w:space="0" w:color="808080" w:themeColor="background1" w:themeShade="80"/>
            </w:tcBorders>
            <w:shd w:val="clear" w:color="auto" w:fill="F2F2F2" w:themeFill="background1" w:themeFillShade="F2"/>
            <w:vAlign w:val="center"/>
          </w:tcPr>
          <w:p w14:paraId="4D76C11C" w14:textId="77777777" w:rsidR="001813A0" w:rsidRDefault="001813A0" w:rsidP="001813A0">
            <w:pPr>
              <w:pStyle w:val="ListParagraph"/>
              <w:numPr>
                <w:ilvl w:val="0"/>
                <w:numId w:val="41"/>
              </w:numPr>
              <w:tabs>
                <w:tab w:val="left" w:pos="284"/>
              </w:tabs>
              <w:ind w:left="0" w:firstLine="0"/>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Le développement des réseaux nécessaires à la diffusion de la culture de l’accès à l’information à travers une mise en valeur de la jurisprudence dégagée par l’instance et la production des recherches et documents en relation avec l’accès à l’information notamment auprès des communautés vulnérables personnes handicapées et des femmes ; les médias locaux ou associatives ; les jeunes etc.</w:t>
            </w:r>
          </w:p>
          <w:p w14:paraId="5FDB3AB1" w14:textId="77777777" w:rsidR="001813A0" w:rsidRPr="001813A0" w:rsidRDefault="001813A0" w:rsidP="001813A0">
            <w:pPr>
              <w:pStyle w:val="ListParagraph"/>
              <w:tabs>
                <w:tab w:val="left" w:pos="284"/>
              </w:tabs>
              <w:ind w:left="0"/>
              <w:rPr>
                <w:rFonts w:ascii="Tahoma" w:hAnsi="Tahoma" w:cs="Tahoma"/>
                <w:color w:val="000000" w:themeColor="text1"/>
                <w:sz w:val="18"/>
                <w:szCs w:val="20"/>
                <w:lang w:val="fr-FR"/>
              </w:rPr>
            </w:pPr>
          </w:p>
          <w:p w14:paraId="78678B3D" w14:textId="1364469B" w:rsidR="001813A0" w:rsidRDefault="001813A0" w:rsidP="001813A0">
            <w:pPr>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Le consultant-expert aura aussi pour mission d’assister l’instance à mieux explorer les opportunités scientifiques disponibles. Il sera appelé, notamment mais pas exclusivement, à assurer l’ensemble des livrables suivants :</w:t>
            </w:r>
          </w:p>
          <w:p w14:paraId="08F5684D" w14:textId="77777777" w:rsidR="00DE64EF" w:rsidRPr="001813A0" w:rsidRDefault="00DE64EF" w:rsidP="001813A0">
            <w:pPr>
              <w:jc w:val="both"/>
              <w:rPr>
                <w:rFonts w:ascii="Tahoma" w:hAnsi="Tahoma" w:cs="Tahoma"/>
                <w:color w:val="000000" w:themeColor="text1"/>
                <w:sz w:val="18"/>
                <w:szCs w:val="20"/>
                <w:lang w:val="fr-FR"/>
              </w:rPr>
            </w:pPr>
          </w:p>
          <w:p w14:paraId="69525096" w14:textId="7777777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Examen et analyse des décisions rendues par l’INAI au cours de l’année 2020 et disponibles ;</w:t>
            </w:r>
          </w:p>
          <w:p w14:paraId="15EA6A1B" w14:textId="2D4A94C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Détermination des études et activités à planifier pour la période mai</w:t>
            </w:r>
            <w:r>
              <w:rPr>
                <w:rFonts w:ascii="Tahoma" w:hAnsi="Tahoma" w:cs="Tahoma"/>
                <w:color w:val="000000" w:themeColor="text1"/>
                <w:sz w:val="18"/>
                <w:szCs w:val="20"/>
                <w:lang w:val="fr-FR"/>
              </w:rPr>
              <w:t xml:space="preserve"> </w:t>
            </w:r>
            <w:r w:rsidRPr="001813A0">
              <w:rPr>
                <w:rFonts w:ascii="Tahoma" w:hAnsi="Tahoma" w:cs="Tahoma"/>
                <w:color w:val="000000" w:themeColor="text1"/>
                <w:sz w:val="18"/>
                <w:szCs w:val="20"/>
                <w:lang w:val="fr-FR"/>
              </w:rPr>
              <w:t>-</w:t>
            </w:r>
            <w:r>
              <w:rPr>
                <w:rFonts w:ascii="Tahoma" w:hAnsi="Tahoma" w:cs="Tahoma"/>
                <w:color w:val="000000" w:themeColor="text1"/>
                <w:sz w:val="18"/>
                <w:szCs w:val="20"/>
                <w:lang w:val="fr-FR"/>
              </w:rPr>
              <w:t xml:space="preserve"> </w:t>
            </w:r>
            <w:r w:rsidRPr="001813A0">
              <w:rPr>
                <w:rFonts w:ascii="Tahoma" w:hAnsi="Tahoma" w:cs="Tahoma"/>
                <w:color w:val="000000" w:themeColor="text1"/>
                <w:sz w:val="18"/>
                <w:szCs w:val="20"/>
                <w:lang w:val="fr-FR"/>
              </w:rPr>
              <w:t>décembre 2021 ;</w:t>
            </w:r>
          </w:p>
          <w:p w14:paraId="5CF53897" w14:textId="7777777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Méthode et plan de la troisième étude ;</w:t>
            </w:r>
          </w:p>
          <w:p w14:paraId="4688EE31" w14:textId="7777777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Version finale et validée de la troisième étude ;</w:t>
            </w:r>
          </w:p>
          <w:p w14:paraId="0E26B8E0" w14:textId="7777777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Méthode et plan de la quatrième étude ;</w:t>
            </w:r>
          </w:p>
          <w:p w14:paraId="7E8F3280" w14:textId="7777777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Version finale et validée de la quatrième étude ;</w:t>
            </w:r>
          </w:p>
          <w:p w14:paraId="5691637E" w14:textId="77777777" w:rsidR="001813A0" w:rsidRPr="001813A0" w:rsidRDefault="001813A0" w:rsidP="001813A0">
            <w:pPr>
              <w:pStyle w:val="ListParagraph"/>
              <w:numPr>
                <w:ilvl w:val="0"/>
                <w:numId w:val="42"/>
              </w:numPr>
              <w:contextualSpacing/>
              <w:jc w:val="both"/>
              <w:rPr>
                <w:rFonts w:ascii="Tahoma" w:hAnsi="Tahoma" w:cs="Tahoma"/>
                <w:color w:val="000000" w:themeColor="text1"/>
                <w:sz w:val="18"/>
                <w:szCs w:val="20"/>
                <w:lang w:val="fr-FR"/>
              </w:rPr>
            </w:pPr>
            <w:r w:rsidRPr="001813A0">
              <w:rPr>
                <w:rFonts w:ascii="Tahoma" w:hAnsi="Tahoma" w:cs="Tahoma"/>
                <w:color w:val="000000" w:themeColor="text1"/>
                <w:sz w:val="18"/>
                <w:szCs w:val="20"/>
                <w:lang w:val="fr-FR"/>
              </w:rPr>
              <w:t>Recueil sur la jurisprudence de l’INAI de l’année 2020 ;</w:t>
            </w:r>
          </w:p>
          <w:p w14:paraId="16885ED8" w14:textId="6BD7B63A" w:rsidR="00707908" w:rsidRPr="00707908" w:rsidRDefault="00707908" w:rsidP="006A07AE">
            <w:pPr>
              <w:spacing w:line="276" w:lineRule="auto"/>
              <w:rPr>
                <w:rFonts w:ascii="Tahoma" w:hAnsi="Tahoma" w:cs="Tahoma"/>
                <w:sz w:val="20"/>
                <w:szCs w:val="20"/>
                <w:highlight w:val="yellow"/>
                <w:lang w:val="fr-FR" w:eastAsia="en-US"/>
              </w:rPr>
            </w:pPr>
          </w:p>
        </w:tc>
        <w:tc>
          <w:tcPr>
            <w:tcW w:w="18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FB772F" w14:textId="77777777" w:rsidR="00707908" w:rsidRPr="00707908" w:rsidRDefault="00707908" w:rsidP="006A07AE">
            <w:pPr>
              <w:spacing w:line="276" w:lineRule="auto"/>
              <w:ind w:left="-135" w:right="-91"/>
              <w:jc w:val="center"/>
              <w:rPr>
                <w:rFonts w:ascii="Tahoma" w:hAnsi="Tahoma" w:cs="Tahoma"/>
                <w:sz w:val="20"/>
                <w:szCs w:val="20"/>
                <w:highlight w:val="yellow"/>
                <w:lang w:val="fr-FR" w:eastAsia="en-US"/>
              </w:rPr>
            </w:pPr>
          </w:p>
        </w:tc>
        <w:tc>
          <w:tcPr>
            <w:tcW w:w="193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180B76" w14:textId="4FBD2B4D" w:rsidR="00707908" w:rsidRPr="00306EAE" w:rsidRDefault="00306EAE" w:rsidP="006A07AE">
            <w:pPr>
              <w:spacing w:line="276" w:lineRule="auto"/>
              <w:ind w:left="-135" w:right="-91"/>
              <w:jc w:val="center"/>
              <w:rPr>
                <w:rFonts w:ascii="Tahoma" w:hAnsi="Tahoma" w:cs="Tahoma"/>
                <w:b/>
                <w:bCs/>
                <w:sz w:val="20"/>
                <w:szCs w:val="20"/>
                <w:highlight w:val="yellow"/>
                <w:lang w:val="fr-FR" w:eastAsia="en-US"/>
              </w:rPr>
            </w:pPr>
            <w:r w:rsidRPr="00306EAE">
              <w:rPr>
                <w:rFonts w:ascii="Tahoma" w:hAnsi="Tahoma" w:cs="Tahoma"/>
                <w:b/>
                <w:bCs/>
                <w:sz w:val="20"/>
                <w:szCs w:val="20"/>
                <w:lang w:val="fr-FR" w:eastAsia="en-US"/>
              </w:rPr>
              <w:t>180 </w:t>
            </w:r>
            <w:r>
              <w:rPr>
                <w:rFonts w:ascii="Tahoma" w:hAnsi="Tahoma" w:cs="Tahoma"/>
                <w:b/>
                <w:bCs/>
                <w:sz w:val="20"/>
                <w:szCs w:val="20"/>
                <w:lang w:val="fr-FR" w:eastAsia="en-US"/>
              </w:rPr>
              <w:t>/</w:t>
            </w:r>
            <w:r w:rsidRPr="00306EAE">
              <w:rPr>
                <w:rFonts w:ascii="Tahoma" w:hAnsi="Tahoma" w:cs="Tahoma"/>
                <w:b/>
                <w:bCs/>
                <w:sz w:val="20"/>
                <w:szCs w:val="20"/>
                <w:lang w:val="fr-FR" w:eastAsia="en-US"/>
              </w:rPr>
              <w:t xml:space="preserve"> j</w:t>
            </w:r>
          </w:p>
        </w:tc>
      </w:tr>
    </w:tbl>
    <w:p w14:paraId="465008D7" w14:textId="7189241A" w:rsidR="00707908" w:rsidRPr="00707908" w:rsidRDefault="00707908" w:rsidP="00707908">
      <w:pPr>
        <w:ind w:left="-142"/>
        <w:rPr>
          <w:rFonts w:ascii="Tahoma" w:hAnsi="Tahoma" w:cs="Tahoma"/>
          <w:bCs/>
          <w:sz w:val="20"/>
          <w:szCs w:val="20"/>
          <w:lang w:val="fr-FR"/>
        </w:rPr>
      </w:pPr>
    </w:p>
    <w:tbl>
      <w:tblPr>
        <w:tblStyle w:val="TableGrid"/>
        <w:tblW w:w="10718"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214"/>
        <w:gridCol w:w="1504"/>
      </w:tblGrid>
      <w:tr w:rsidR="00707908" w:rsidRPr="00707908" w14:paraId="60C0B83C" w14:textId="77777777" w:rsidTr="00DE64EF">
        <w:trPr>
          <w:trHeight w:val="494"/>
        </w:trPr>
        <w:tc>
          <w:tcPr>
            <w:tcW w:w="9214" w:type="dxa"/>
            <w:shd w:val="clear" w:color="auto" w:fill="DBE5F1" w:themeFill="accent1" w:themeFillTint="33"/>
            <w:vAlign w:val="center"/>
          </w:tcPr>
          <w:p w14:paraId="076FF17B" w14:textId="77777777" w:rsidR="00707908" w:rsidRPr="003714EB" w:rsidRDefault="00707908" w:rsidP="006A07AE">
            <w:pPr>
              <w:spacing w:before="120" w:after="120"/>
              <w:rPr>
                <w:rFonts w:ascii="Tahoma" w:hAnsi="Tahoma" w:cs="Tahoma"/>
                <w:sz w:val="20"/>
                <w:szCs w:val="20"/>
                <w:lang w:val="fr-FR"/>
              </w:rPr>
            </w:pPr>
            <w:r w:rsidRPr="003714EB">
              <w:rPr>
                <w:rFonts w:ascii="Tahoma" w:hAnsi="Tahoma" w:cs="Tahoma"/>
                <w:sz w:val="20"/>
                <w:szCs w:val="20"/>
                <w:lang w:val="fr-FR"/>
              </w:rPr>
              <w:t xml:space="preserve">Ce contrat cadre prend effet à la date de sa signature par les deux Parties ET est conclu jusqu’au : </w:t>
            </w:r>
          </w:p>
        </w:tc>
        <w:tc>
          <w:tcPr>
            <w:tcW w:w="1503" w:type="dxa"/>
            <w:shd w:val="clear" w:color="auto" w:fill="F2F2F2" w:themeFill="background1" w:themeFillShade="F2"/>
            <w:vAlign w:val="center"/>
          </w:tcPr>
          <w:sdt>
            <w:sdtPr>
              <w:rPr>
                <w:rStyle w:val="Heading1Char"/>
                <w:rFonts w:ascii="Tahoma" w:hAnsi="Tahoma" w:cs="Tahoma"/>
                <w:sz w:val="20"/>
                <w:szCs w:val="20"/>
                <w:lang w:val="fr-FR"/>
              </w:rPr>
              <w:id w:val="-1603328593"/>
              <w:placeholder>
                <w:docPart w:val="479D410D30E842AE9435DB38B93B8023"/>
              </w:placeholder>
              <w:date w:fullDate="2021-12-31T00:00:00Z">
                <w:dateFormat w:val="dd/MM/yyyy"/>
                <w:lid w:val="fr-FR"/>
                <w:storeMappedDataAs w:val="dateTime"/>
                <w:calendar w:val="gregorian"/>
              </w:date>
            </w:sdtPr>
            <w:sdtEndPr>
              <w:rPr>
                <w:rStyle w:val="Heading1Char"/>
              </w:rPr>
            </w:sdtEndPr>
            <w:sdtContent>
              <w:p w14:paraId="6C8FB933" w14:textId="3CE05623" w:rsidR="00707908" w:rsidRPr="003714EB" w:rsidRDefault="003714EB" w:rsidP="006A07AE">
                <w:pPr>
                  <w:spacing w:before="120" w:after="120"/>
                  <w:rPr>
                    <w:rFonts w:ascii="Tahoma" w:hAnsi="Tahoma" w:cs="Tahoma"/>
                    <w:sz w:val="20"/>
                    <w:szCs w:val="20"/>
                    <w:lang w:val="fr-FR"/>
                  </w:rPr>
                </w:pPr>
                <w:r w:rsidRPr="003714EB">
                  <w:rPr>
                    <w:rStyle w:val="Heading1Char"/>
                    <w:rFonts w:ascii="Tahoma" w:hAnsi="Tahoma" w:cs="Tahoma"/>
                    <w:sz w:val="20"/>
                    <w:szCs w:val="20"/>
                    <w:lang w:val="fr-FR"/>
                  </w:rPr>
                  <w:t>31/12/2021</w:t>
                </w:r>
              </w:p>
            </w:sdtContent>
          </w:sdt>
        </w:tc>
      </w:tr>
      <w:tr w:rsidR="00707908" w:rsidRPr="003231B6" w14:paraId="3A90AA93" w14:textId="77777777" w:rsidTr="00DE64EF">
        <w:trPr>
          <w:trHeight w:val="510"/>
        </w:trPr>
        <w:tc>
          <w:tcPr>
            <w:tcW w:w="10718" w:type="dxa"/>
            <w:gridSpan w:val="2"/>
            <w:shd w:val="clear" w:color="auto" w:fill="DBE5F1" w:themeFill="accent1" w:themeFillTint="33"/>
            <w:vAlign w:val="center"/>
          </w:tcPr>
          <w:p w14:paraId="5C68C66A" w14:textId="1F988BAA" w:rsidR="00707908" w:rsidRPr="003714EB" w:rsidRDefault="00621397" w:rsidP="006A07AE">
            <w:pPr>
              <w:spacing w:before="120" w:after="120"/>
              <w:rPr>
                <w:rStyle w:val="Style71"/>
                <w:rFonts w:ascii="Tahoma" w:hAnsi="Tahoma" w:cs="Tahoma"/>
                <w:szCs w:val="20"/>
                <w:lang w:val="fr-FR"/>
              </w:rPr>
            </w:pPr>
            <w:r w:rsidRPr="002C75F4">
              <w:rPr>
                <w:lang w:val="fr-FR"/>
              </w:rPr>
              <w:t>A</w:t>
            </w:r>
            <w:r w:rsidRPr="002C75F4">
              <w:rPr>
                <w:rFonts w:ascii="Tahoma" w:hAnsi="Tahoma" w:cs="Tahoma"/>
                <w:szCs w:val="20"/>
                <w:lang w:val="fr-FR"/>
              </w:rPr>
              <w:t xml:space="preserve"> la fin de sa durée initiale, le contrat-cadre sera t</w:t>
            </w:r>
            <w:r>
              <w:rPr>
                <w:rFonts w:ascii="Tahoma" w:hAnsi="Tahoma" w:cs="Tahoma"/>
                <w:szCs w:val="20"/>
                <w:lang w:val="fr-FR"/>
              </w:rPr>
              <w:t>a</w:t>
            </w:r>
            <w:r w:rsidRPr="002C75F4">
              <w:rPr>
                <w:rFonts w:ascii="Tahoma" w:hAnsi="Tahoma" w:cs="Tahoma"/>
                <w:szCs w:val="20"/>
                <w:lang w:val="fr-FR"/>
              </w:rPr>
              <w:t xml:space="preserve">citement renouvelé pour une période d’un an, puis renouvelé chaque année par la suite, à moins que l’une des Parties ne notifie par écrit à l’autre Partie son intention de résilier le contrat au plus tard </w:t>
            </w:r>
            <w:r w:rsidRPr="002C75F4">
              <w:rPr>
                <w:rFonts w:ascii="Tahoma" w:hAnsi="Tahoma" w:cs="Tahoma"/>
                <w:b/>
                <w:bCs/>
                <w:szCs w:val="20"/>
                <w:lang w:val="fr-FR"/>
              </w:rPr>
              <w:t>1(un) mois</w:t>
            </w:r>
            <w:r w:rsidRPr="002C75F4">
              <w:rPr>
                <w:rFonts w:ascii="Tahoma" w:hAnsi="Tahoma" w:cs="Tahoma"/>
                <w:szCs w:val="20"/>
                <w:lang w:val="fr-FR"/>
              </w:rPr>
              <w:t xml:space="preserve"> avant la date du renouvellement. </w:t>
            </w:r>
            <w:r w:rsidRPr="00621397">
              <w:rPr>
                <w:rFonts w:ascii="Tahoma" w:hAnsi="Tahoma" w:cs="Tahoma"/>
                <w:szCs w:val="20"/>
                <w:lang w:val="fr-FR"/>
              </w:rPr>
              <w:t xml:space="preserve">Le contrat ne sera pas renouvelé au-delà du </w:t>
            </w:r>
            <w:r w:rsidRPr="00621397">
              <w:rPr>
                <w:rFonts w:ascii="Tahoma" w:hAnsi="Tahoma" w:cs="Tahoma"/>
                <w:b/>
                <w:bCs/>
                <w:szCs w:val="20"/>
                <w:lang w:val="fr-FR"/>
              </w:rPr>
              <w:t>31 décembre 2023</w:t>
            </w:r>
            <w:r w:rsidRPr="00621397">
              <w:rPr>
                <w:rFonts w:ascii="Tahoma" w:hAnsi="Tahoma" w:cs="Tahoma"/>
                <w:szCs w:val="20"/>
                <w:lang w:val="fr-FR"/>
              </w:rPr>
              <w:t xml:space="preserve"> et prendra fin à cette date, sauf si l’une des parties a déjà valablement résilié le contrat</w:t>
            </w:r>
            <w:r w:rsidR="00707908" w:rsidRPr="003714EB">
              <w:rPr>
                <w:rStyle w:val="Style71"/>
                <w:rFonts w:ascii="Tahoma" w:hAnsi="Tahoma" w:cs="Tahoma"/>
                <w:szCs w:val="20"/>
                <w:lang w:val="fr-FR"/>
              </w:rPr>
              <w:t>.</w:t>
            </w:r>
          </w:p>
        </w:tc>
      </w:tr>
    </w:tbl>
    <w:p w14:paraId="5AEC899D" w14:textId="77777777" w:rsidR="00707908" w:rsidRPr="00707908" w:rsidRDefault="00707908" w:rsidP="00707908">
      <w:pPr>
        <w:pBdr>
          <w:bottom w:val="single" w:sz="2" w:space="1" w:color="808080" w:themeColor="background1" w:themeShade="80"/>
        </w:pBdr>
        <w:rPr>
          <w:rFonts w:ascii="Tahoma" w:hAnsi="Tahoma" w:cs="Tahoma"/>
          <w:b/>
          <w:sz w:val="20"/>
          <w:szCs w:val="20"/>
          <w:highlight w:val="cyan"/>
          <w:lang w:val="fr-FR"/>
        </w:rPr>
      </w:pPr>
    </w:p>
    <w:p w14:paraId="1EEE7EE4" w14:textId="77777777" w:rsidR="0073426D" w:rsidRPr="00707908" w:rsidRDefault="0073426D" w:rsidP="0073426D">
      <w:pPr>
        <w:pBdr>
          <w:bottom w:val="single" w:sz="2" w:space="1" w:color="808080" w:themeColor="background1" w:themeShade="80"/>
        </w:pBdr>
        <w:rPr>
          <w:rFonts w:ascii="Tahoma" w:hAnsi="Tahoma" w:cs="Tahoma"/>
          <w:b/>
          <w:sz w:val="20"/>
          <w:szCs w:val="20"/>
          <w:highlight w:val="cyan"/>
          <w:lang w:val="fr-FR"/>
        </w:rPr>
      </w:pPr>
    </w:p>
    <w:bookmarkEnd w:id="3"/>
    <w:p w14:paraId="3D68B47E" w14:textId="3FED0907"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7C8D3052" w14:textId="3656E9CE" w:rsidR="007B64ED" w:rsidRDefault="00A91754" w:rsidP="007B64ED">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55BAEA1E" w14:textId="32298719" w:rsidR="00156A94" w:rsidRDefault="00156A94" w:rsidP="00156A94">
      <w:pPr>
        <w:tabs>
          <w:tab w:val="left" w:pos="284"/>
        </w:tabs>
        <w:spacing w:after="60" w:line="276" w:lineRule="auto"/>
        <w:ind w:right="-142"/>
        <w:jc w:val="both"/>
        <w:rPr>
          <w:rFonts w:ascii="Tahoma" w:hAnsi="Tahoma" w:cs="Tahoma"/>
          <w:sz w:val="20"/>
          <w:szCs w:val="20"/>
          <w:lang w:val="fr-FR"/>
        </w:rPr>
      </w:pPr>
    </w:p>
    <w:tbl>
      <w:tblPr>
        <w:tblW w:w="0" w:type="auto"/>
        <w:jc w:val="center"/>
        <w:tblCellMar>
          <w:left w:w="0" w:type="dxa"/>
          <w:right w:w="0" w:type="dxa"/>
        </w:tblCellMar>
        <w:tblLook w:val="04A0" w:firstRow="1" w:lastRow="0" w:firstColumn="1" w:lastColumn="0" w:noHBand="0" w:noVBand="1"/>
      </w:tblPr>
      <w:tblGrid>
        <w:gridCol w:w="9922"/>
      </w:tblGrid>
      <w:tr w:rsidR="0065708D" w:rsidRPr="003231B6" w14:paraId="7D34E9AF" w14:textId="77777777" w:rsidTr="001702E5">
        <w:trPr>
          <w:trHeight w:val="75"/>
          <w:jc w:val="center"/>
        </w:trPr>
        <w:tc>
          <w:tcPr>
            <w:tcW w:w="9922" w:type="dxa"/>
            <w:tcMar>
              <w:top w:w="0" w:type="dxa"/>
              <w:left w:w="108" w:type="dxa"/>
              <w:bottom w:w="0" w:type="dxa"/>
              <w:right w:w="108" w:type="dxa"/>
            </w:tcMar>
            <w:vAlign w:val="center"/>
          </w:tcPr>
          <w:p w14:paraId="3CAABD82" w14:textId="77777777" w:rsidR="0065708D" w:rsidRPr="001872B5" w:rsidRDefault="0065708D" w:rsidP="001702E5">
            <w:pPr>
              <w:jc w:val="center"/>
              <w:rPr>
                <w:rFonts w:ascii="Tahoma" w:eastAsia="Calibri" w:hAnsi="Tahoma" w:cs="Tahoma"/>
                <w:color w:val="FF0000"/>
                <w:sz w:val="10"/>
                <w:szCs w:val="10"/>
                <w:lang w:val="fr-FR" w:eastAsia="en-US"/>
              </w:rPr>
            </w:pPr>
            <w:bookmarkStart w:id="5" w:name="_Hlk64470830"/>
          </w:p>
        </w:tc>
      </w:tr>
    </w:tbl>
    <w:p w14:paraId="71F5C706" w14:textId="77777777" w:rsidR="0065708D" w:rsidRDefault="0065708D" w:rsidP="0065708D">
      <w:pPr>
        <w:ind w:left="-142" w:right="-284"/>
        <w:rPr>
          <w:rFonts w:ascii="Tahoma" w:hAnsi="Tahoma" w:cs="Tahoma"/>
          <w:b/>
          <w:sz w:val="10"/>
          <w:szCs w:val="10"/>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65708D" w:rsidRPr="003231B6" w14:paraId="61A70298" w14:textId="77777777" w:rsidTr="001702E5">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tcPr>
          <w:p w14:paraId="7CE1131C" w14:textId="77777777" w:rsidR="0065708D" w:rsidRPr="00310A24" w:rsidRDefault="0065708D" w:rsidP="001702E5">
            <w:pPr>
              <w:jc w:val="center"/>
              <w:rPr>
                <w:rFonts w:ascii="Tahoma" w:hAnsi="Tahoma" w:cs="Tahoma"/>
                <w:b/>
                <w:sz w:val="20"/>
                <w:szCs w:val="20"/>
                <w:lang w:val="fr-FR"/>
              </w:rPr>
            </w:pPr>
            <w:r w:rsidRPr="00311BCC">
              <w:rPr>
                <w:rFonts w:ascii="Tahoma" w:hAnsi="Tahoma" w:cs="Tahoma"/>
                <w:color w:val="FF0000"/>
                <w:sz w:val="18"/>
                <w:szCs w:val="18"/>
                <w:lang w:val="fr-FR"/>
              </w:rPr>
              <w:t>Compléter cette partie, imprimer le document</w:t>
            </w:r>
            <w:r>
              <w:rPr>
                <w:rFonts w:ascii="Tahoma" w:hAnsi="Tahoma" w:cs="Tahoma"/>
                <w:color w:val="FF0000"/>
                <w:sz w:val="18"/>
                <w:szCs w:val="18"/>
                <w:lang w:val="fr-FR"/>
              </w:rPr>
              <w:t>, signer</w:t>
            </w:r>
            <w:r w:rsidRPr="00311BCC">
              <w:rPr>
                <w:rFonts w:ascii="Tahoma" w:hAnsi="Tahoma" w:cs="Tahoma"/>
                <w:color w:val="FF0000"/>
                <w:sz w:val="18"/>
                <w:szCs w:val="18"/>
                <w:lang w:val="fr-FR"/>
              </w:rPr>
              <w:t xml:space="preserve"> dans la cellule indiquée, envoyer une copie scannée dans son intégralité à l’adresse email indiquée sur la </w:t>
            </w:r>
            <w:r>
              <w:rPr>
                <w:rFonts w:ascii="Tahoma" w:hAnsi="Tahoma" w:cs="Tahoma"/>
                <w:color w:val="FF0000"/>
                <w:sz w:val="18"/>
                <w:szCs w:val="18"/>
                <w:lang w:val="fr-FR"/>
              </w:rPr>
              <w:t>1</w:t>
            </w:r>
            <w:r w:rsidRPr="00310A24">
              <w:rPr>
                <w:rFonts w:ascii="Tahoma" w:hAnsi="Tahoma" w:cs="Tahoma"/>
                <w:color w:val="FF0000"/>
                <w:sz w:val="18"/>
                <w:szCs w:val="18"/>
                <w:vertAlign w:val="superscript"/>
                <w:lang w:val="fr-FR"/>
              </w:rPr>
              <w:t>ère</w:t>
            </w:r>
            <w:r>
              <w:rPr>
                <w:rFonts w:ascii="Tahoma" w:hAnsi="Tahoma" w:cs="Tahoma"/>
                <w:color w:val="FF0000"/>
                <w:sz w:val="18"/>
                <w:szCs w:val="18"/>
                <w:lang w:val="fr-FR"/>
              </w:rPr>
              <w:t xml:space="preserve"> </w:t>
            </w:r>
            <w:r w:rsidRPr="00311BCC">
              <w:rPr>
                <w:rFonts w:ascii="Tahoma" w:hAnsi="Tahoma" w:cs="Tahoma"/>
                <w:color w:val="FF0000"/>
                <w:sz w:val="18"/>
                <w:szCs w:val="18"/>
                <w:lang w:val="fr-FR"/>
              </w:rPr>
              <w:t>page.</w:t>
            </w:r>
            <w:r w:rsidRPr="00311BCC">
              <w:rPr>
                <w:rFonts w:ascii="Tahoma" w:hAnsi="Tahoma" w:cs="Tahoma"/>
                <w:noProof/>
                <w:lang w:val="en-US" w:eastAsia="en-US"/>
              </w:rPr>
              <mc:AlternateContent>
                <mc:Choice Requires="wps">
                  <w:drawing>
                    <wp:anchor distT="0" distB="0" distL="114300" distR="114300" simplePos="0" relativeHeight="251674625" behindDoc="0" locked="1" layoutInCell="1" allowOverlap="1" wp14:anchorId="7D32702B" wp14:editId="1306140A">
                      <wp:simplePos x="0" y="0"/>
                      <wp:positionH relativeFrom="column">
                        <wp:posOffset>2797175</wp:posOffset>
                      </wp:positionH>
                      <wp:positionV relativeFrom="paragraph">
                        <wp:posOffset>267970</wp:posOffset>
                      </wp:positionV>
                      <wp:extent cx="200025" cy="422275"/>
                      <wp:effectExtent l="19050" t="0" r="47625" b="34925"/>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B8AA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25pt;margin-top:21.1pt;width:15.75pt;height:33.25pt;rotation:180;z-index:251674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" adj="6055" strokecolor="red">
                      <o:lock v:ext="edit" aspectratio="t"/>
                      <v:textbox style="layout-flow:vertical-ideographic"/>
                      <w10:anchorlock/>
                    </v:shape>
                  </w:pict>
                </mc:Fallback>
              </mc:AlternateContent>
            </w:r>
          </w:p>
        </w:tc>
      </w:tr>
      <w:tr w:rsidR="0065708D" w:rsidRPr="003231B6" w14:paraId="3AC87A5C" w14:textId="77777777" w:rsidTr="001702E5">
        <w:trPr>
          <w:trHeight w:val="75"/>
          <w:jc w:val="center"/>
        </w:trPr>
        <w:tc>
          <w:tcPr>
            <w:tcW w:w="10550" w:type="dxa"/>
            <w:gridSpan w:val="7"/>
            <w:tcBorders>
              <w:top w:val="single" w:sz="2" w:space="0" w:color="FF0000"/>
              <w:left w:val="nil"/>
              <w:bottom w:val="nil"/>
              <w:right w:val="nil"/>
            </w:tcBorders>
            <w:shd w:val="clear" w:color="auto" w:fill="auto"/>
            <w:vAlign w:val="center"/>
          </w:tcPr>
          <w:p w14:paraId="5F1B70EF" w14:textId="77777777" w:rsidR="0065708D" w:rsidRPr="00310A24" w:rsidRDefault="0065708D" w:rsidP="001702E5">
            <w:pPr>
              <w:jc w:val="center"/>
              <w:rPr>
                <w:rFonts w:ascii="Tahoma" w:hAnsi="Tahoma" w:cs="Tahoma"/>
                <w:b/>
                <w:sz w:val="10"/>
                <w:szCs w:val="10"/>
                <w:lang w:val="fr-FR"/>
              </w:rPr>
            </w:pPr>
          </w:p>
        </w:tc>
      </w:tr>
      <w:tr w:rsidR="0065708D" w:rsidRPr="003231B6" w14:paraId="55F149D0" w14:textId="77777777" w:rsidTr="001702E5">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380AE6BA" w14:textId="77777777" w:rsidR="0065708D" w:rsidRPr="00310A24" w:rsidRDefault="0065708D" w:rsidP="001702E5">
            <w:pPr>
              <w:jc w:val="center"/>
              <w:rPr>
                <w:rFonts w:ascii="Tahoma" w:hAnsi="Tahoma" w:cs="Tahoma"/>
                <w:b/>
                <w:sz w:val="20"/>
                <w:szCs w:val="20"/>
                <w:lang w:val="fr-FR"/>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542361B" w14:textId="77777777" w:rsidR="0065708D" w:rsidRPr="007D707D" w:rsidRDefault="0065708D" w:rsidP="001702E5">
            <w:pPr>
              <w:jc w:val="center"/>
              <w:rPr>
                <w:rFonts w:ascii="Tahoma" w:hAnsi="Tahoma" w:cs="Tahoma"/>
                <w:b/>
                <w:sz w:val="20"/>
                <w:szCs w:val="20"/>
              </w:rPr>
            </w:pPr>
            <w:r w:rsidRPr="001872B5">
              <w:rPr>
                <w:rFonts w:ascii="Tahoma" w:eastAsia="Calibri" w:hAnsi="Tahoma" w:cs="Tahoma"/>
                <w:b/>
                <w:bCs/>
                <w:sz w:val="20"/>
                <w:szCs w:val="20"/>
                <w:lang w:val="fr-FR" w:eastAsia="en-US"/>
              </w:rPr>
              <w:t xml:space="preserve">Pour le Prestataire </w:t>
            </w: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282256B1" w14:textId="77777777" w:rsidR="0065708D" w:rsidRPr="007D707D" w:rsidRDefault="0065708D" w:rsidP="001702E5">
            <w:pPr>
              <w:jc w:val="center"/>
              <w:rPr>
                <w:rFonts w:ascii="Tahoma" w:hAnsi="Tahoma" w:cs="Tahoma"/>
                <w:b/>
                <w:sz w:val="20"/>
                <w:szCs w:val="20"/>
              </w:rPr>
            </w:pP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48649692" w14:textId="77777777" w:rsidR="0065708D" w:rsidRPr="005D4FA1" w:rsidRDefault="0065708D" w:rsidP="001702E5">
            <w:pPr>
              <w:jc w:val="center"/>
              <w:rPr>
                <w:rFonts w:ascii="Tahoma" w:hAnsi="Tahoma" w:cs="Tahoma"/>
                <w:sz w:val="20"/>
                <w:szCs w:val="20"/>
                <w:lang w:val="fr-FR"/>
              </w:rPr>
            </w:pPr>
            <w:r w:rsidRPr="001872B5">
              <w:rPr>
                <w:rFonts w:ascii="Tahoma" w:eastAsia="Calibri" w:hAnsi="Tahoma" w:cs="Tahoma"/>
                <w:b/>
                <w:bCs/>
                <w:sz w:val="20"/>
                <w:szCs w:val="20"/>
                <w:lang w:val="fr-FR" w:eastAsia="en-US"/>
              </w:rPr>
              <w:t xml:space="preserve">Pour le Conseil de l’Europe </w:t>
            </w:r>
            <w:r w:rsidRPr="007D707D">
              <w:rPr>
                <w:rFonts w:ascii="Tahoma" w:hAnsi="Tahoma" w:cs="Tahoma"/>
                <w:b/>
                <w:sz w:val="20"/>
                <w:szCs w:val="20"/>
                <w:vertAlign w:val="superscript"/>
              </w:rPr>
              <w:footnoteReference w:id="4"/>
            </w:r>
            <w:r>
              <w:rPr>
                <w:rFonts w:ascii="Tahoma" w:eastAsia="Calibri" w:hAnsi="Tahoma" w:cs="Tahoma"/>
                <w:b/>
                <w:bCs/>
                <w:sz w:val="20"/>
                <w:szCs w:val="20"/>
                <w:lang w:val="fr-FR" w:eastAsia="en-US"/>
              </w:rPr>
              <w:t xml:space="preserve"> </w:t>
            </w:r>
            <w:r w:rsidRPr="005D4FA1">
              <w:rPr>
                <w:b/>
                <w:sz w:val="24"/>
                <w:szCs w:val="24"/>
                <w:lang w:val="fr-FR"/>
              </w:rPr>
              <w:t>▼</w:t>
            </w:r>
          </w:p>
        </w:tc>
      </w:tr>
      <w:tr w:rsidR="0065708D" w:rsidRPr="003231B6" w14:paraId="149DEF7D" w14:textId="77777777" w:rsidTr="001702E5">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4A9842F" w14:textId="77777777" w:rsidR="0065708D" w:rsidRPr="007D707D" w:rsidRDefault="0065708D" w:rsidP="001702E5">
            <w:pPr>
              <w:ind w:left="113" w:right="113"/>
              <w:jc w:val="center"/>
              <w:rPr>
                <w:rFonts w:ascii="Tahoma" w:hAnsi="Tahoma" w:cs="Tahoma"/>
                <w:sz w:val="18"/>
                <w:szCs w:val="18"/>
              </w:rPr>
            </w:pPr>
            <w:r w:rsidRPr="001872B5">
              <w:rPr>
                <w:rFonts w:ascii="Tahoma" w:eastAsia="Calibri" w:hAnsi="Tahoma" w:cs="Tahoma"/>
                <w:sz w:val="18"/>
                <w:szCs w:val="18"/>
                <w:lang w:val="fr-FR" w:eastAsia="en-US"/>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640CDD4" w14:textId="77777777" w:rsidR="0065708D" w:rsidRPr="00310A24" w:rsidRDefault="0065708D" w:rsidP="001702E5">
            <w:pPr>
              <w:ind w:left="-35"/>
              <w:jc w:val="right"/>
              <w:rPr>
                <w:rFonts w:ascii="Tahoma" w:hAnsi="Tahoma" w:cs="Tahoma"/>
                <w:sz w:val="18"/>
                <w:szCs w:val="18"/>
                <w:lang w:val="fr-FR"/>
              </w:rPr>
            </w:pPr>
            <w:r w:rsidRPr="001872B5">
              <w:rPr>
                <w:rFonts w:ascii="Tahoma" w:eastAsia="Calibri" w:hAnsi="Tahoma" w:cs="Tahoma"/>
                <w:sz w:val="16"/>
                <w:szCs w:val="16"/>
                <w:lang w:val="fr-FR" w:eastAsia="en-US"/>
              </w:rPr>
              <w:t xml:space="preserve">Signataire (Nom, Fonction et Entité) </w:t>
            </w:r>
            <w:r w:rsidRPr="00310A24">
              <w:rPr>
                <w:sz w:val="16"/>
                <w:szCs w:val="16"/>
                <w:lang w:val="fr-FR"/>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24EDD2" w14:textId="77777777" w:rsidR="0065708D" w:rsidRPr="00310A24" w:rsidRDefault="0065708D" w:rsidP="001702E5">
            <w:pPr>
              <w:rPr>
                <w:rFonts w:ascii="Tahoma" w:hAnsi="Tahoma" w:cs="Tahoma"/>
                <w:sz w:val="20"/>
                <w:szCs w:val="20"/>
                <w:lang w:val="fr-FR"/>
              </w:rPr>
            </w:pPr>
          </w:p>
        </w:tc>
        <w:tc>
          <w:tcPr>
            <w:tcW w:w="284" w:type="dxa"/>
            <w:tcBorders>
              <w:top w:val="nil"/>
              <w:left w:val="single" w:sz="2" w:space="0" w:color="FF0000"/>
              <w:bottom w:val="nil"/>
              <w:right w:val="single" w:sz="2" w:space="0" w:color="808080"/>
            </w:tcBorders>
            <w:shd w:val="clear" w:color="auto" w:fill="auto"/>
            <w:vAlign w:val="center"/>
          </w:tcPr>
          <w:p w14:paraId="56C466C8" w14:textId="77777777" w:rsidR="0065708D" w:rsidRPr="00310A24" w:rsidRDefault="0065708D" w:rsidP="001702E5">
            <w:pPr>
              <w:rPr>
                <w:rFonts w:ascii="Tahoma" w:hAnsi="Tahoma" w:cs="Tahoma"/>
                <w:sz w:val="20"/>
                <w:szCs w:val="20"/>
                <w:lang w:val="fr-FR"/>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47A7EA29" w14:textId="77777777" w:rsidR="0065708D" w:rsidRPr="00310A24" w:rsidRDefault="0065708D" w:rsidP="001702E5">
            <w:pPr>
              <w:ind w:left="-38"/>
              <w:jc w:val="right"/>
              <w:rPr>
                <w:rFonts w:ascii="Tahoma" w:hAnsi="Tahoma" w:cs="Tahoma"/>
                <w:sz w:val="18"/>
                <w:szCs w:val="18"/>
                <w:lang w:val="fr-FR"/>
              </w:rPr>
            </w:pPr>
            <w:r w:rsidRPr="001872B5">
              <w:rPr>
                <w:rFonts w:ascii="Tahoma" w:eastAsia="Calibri" w:hAnsi="Tahoma" w:cs="Tahoma"/>
                <w:sz w:val="16"/>
                <w:szCs w:val="16"/>
                <w:lang w:val="fr-FR" w:eastAsia="en-US"/>
              </w:rPr>
              <w:t>Signataire (Nom, Fonction et Entité)</w:t>
            </w:r>
            <w:r>
              <w:rPr>
                <w:rFonts w:ascii="Tahoma" w:eastAsia="Calibri" w:hAnsi="Tahoma" w:cs="Tahoma"/>
                <w:sz w:val="16"/>
                <w:szCs w:val="16"/>
                <w:lang w:val="fr-FR" w:eastAsia="en-US"/>
              </w:rPr>
              <w:t xml:space="preserve"> </w:t>
            </w:r>
            <w:r w:rsidRPr="00310A24">
              <w:rPr>
                <w:sz w:val="16"/>
                <w:szCs w:val="16"/>
                <w:lang w:val="fr-FR"/>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FCF0921" w14:textId="77777777" w:rsidR="0065708D" w:rsidRPr="00310A24" w:rsidRDefault="0065708D" w:rsidP="001702E5">
            <w:pPr>
              <w:rPr>
                <w:rFonts w:ascii="Tahoma" w:hAnsi="Tahoma" w:cs="Tahoma"/>
                <w:sz w:val="20"/>
                <w:szCs w:val="20"/>
                <w:lang w:val="fr-FR"/>
              </w:rPr>
            </w:pPr>
          </w:p>
        </w:tc>
      </w:tr>
      <w:tr w:rsidR="0065708D" w:rsidRPr="007D707D" w14:paraId="35DC43F6" w14:textId="77777777" w:rsidTr="001702E5">
        <w:trPr>
          <w:trHeight w:val="386"/>
          <w:jc w:val="center"/>
        </w:trPr>
        <w:tc>
          <w:tcPr>
            <w:tcW w:w="606" w:type="dxa"/>
            <w:vMerge/>
            <w:tcBorders>
              <w:left w:val="single" w:sz="2" w:space="0" w:color="808080"/>
              <w:right w:val="single" w:sz="2" w:space="0" w:color="808080"/>
            </w:tcBorders>
            <w:shd w:val="clear" w:color="auto" w:fill="F2F2F2"/>
          </w:tcPr>
          <w:p w14:paraId="09F9403E" w14:textId="77777777" w:rsidR="0065708D" w:rsidRPr="0065708D" w:rsidRDefault="0065708D" w:rsidP="001702E5">
            <w:pPr>
              <w:rPr>
                <w:rFonts w:ascii="Tahoma" w:hAnsi="Tahoma" w:cs="Tahoma"/>
                <w:sz w:val="20"/>
                <w:szCs w:val="20"/>
                <w:lang w:val="fr-FR"/>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2235FC" w14:textId="77777777" w:rsidR="0065708D" w:rsidRPr="007D707D" w:rsidRDefault="0065708D" w:rsidP="001702E5">
            <w:pPr>
              <w:ind w:left="-35"/>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D7DC582" w14:textId="77777777" w:rsidR="0065708D" w:rsidRPr="007D707D" w:rsidRDefault="0065708D" w:rsidP="001702E5">
            <w:pPr>
              <w:rPr>
                <w:rFonts w:ascii="Tahoma" w:hAnsi="Tahoma" w:cs="Tahoma"/>
                <w:sz w:val="20"/>
                <w:szCs w:val="20"/>
              </w:rPr>
            </w:pPr>
            <w:r>
              <w:rPr>
                <w:rFonts w:ascii="Tahoma" w:hAnsi="Tahoma" w:cs="Tahoma"/>
                <w:sz w:val="20"/>
                <w:szCs w:val="20"/>
              </w:rPr>
              <w:t>A</w:t>
            </w:r>
          </w:p>
        </w:tc>
        <w:tc>
          <w:tcPr>
            <w:tcW w:w="284" w:type="dxa"/>
            <w:tcBorders>
              <w:top w:val="nil"/>
              <w:left w:val="single" w:sz="2" w:space="0" w:color="FF0000"/>
              <w:bottom w:val="nil"/>
              <w:right w:val="single" w:sz="2" w:space="0" w:color="808080"/>
            </w:tcBorders>
            <w:shd w:val="clear" w:color="auto" w:fill="auto"/>
            <w:vAlign w:val="center"/>
          </w:tcPr>
          <w:p w14:paraId="6D0EF892" w14:textId="77777777" w:rsidR="0065708D" w:rsidRPr="007D707D" w:rsidRDefault="0065708D" w:rsidP="001702E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7262EBE7" w14:textId="77777777" w:rsidR="0065708D" w:rsidRPr="007D707D" w:rsidRDefault="0065708D" w:rsidP="001702E5">
            <w:pPr>
              <w:ind w:left="-38"/>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800E84A" w14:textId="77777777" w:rsidR="0065708D" w:rsidRPr="007D707D" w:rsidRDefault="0065708D" w:rsidP="001702E5">
            <w:pPr>
              <w:rPr>
                <w:rFonts w:ascii="Tahoma" w:hAnsi="Tahoma" w:cs="Tahoma"/>
                <w:sz w:val="20"/>
                <w:szCs w:val="20"/>
              </w:rPr>
            </w:pPr>
            <w:r>
              <w:rPr>
                <w:rFonts w:ascii="Tahoma" w:hAnsi="Tahoma" w:cs="Tahoma"/>
                <w:sz w:val="20"/>
                <w:szCs w:val="20"/>
              </w:rPr>
              <w:t>A</w:t>
            </w:r>
          </w:p>
        </w:tc>
      </w:tr>
      <w:tr w:rsidR="0065708D" w:rsidRPr="007D707D" w14:paraId="33313E0C" w14:textId="77777777" w:rsidTr="001702E5">
        <w:trPr>
          <w:trHeight w:val="406"/>
          <w:jc w:val="center"/>
        </w:trPr>
        <w:tc>
          <w:tcPr>
            <w:tcW w:w="606" w:type="dxa"/>
            <w:vMerge/>
            <w:tcBorders>
              <w:left w:val="single" w:sz="2" w:space="0" w:color="808080"/>
              <w:right w:val="single" w:sz="2" w:space="0" w:color="808080"/>
            </w:tcBorders>
            <w:shd w:val="clear" w:color="auto" w:fill="F2F2F2"/>
          </w:tcPr>
          <w:p w14:paraId="5E280F7A" w14:textId="77777777" w:rsidR="0065708D" w:rsidRPr="007D707D" w:rsidRDefault="0065708D" w:rsidP="001702E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E6B6BA" w14:textId="77777777" w:rsidR="0065708D" w:rsidRPr="007D707D" w:rsidRDefault="0065708D" w:rsidP="001702E5">
            <w:pPr>
              <w:ind w:left="-35"/>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FCDDA1" w14:textId="77777777" w:rsidR="0065708D" w:rsidRPr="007D707D" w:rsidRDefault="0065708D" w:rsidP="001702E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61CF3E15" w14:textId="77777777" w:rsidR="0065708D" w:rsidRPr="007D707D" w:rsidRDefault="0065708D" w:rsidP="001702E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68D883D" w14:textId="77777777" w:rsidR="0065708D" w:rsidRPr="007D707D" w:rsidRDefault="0065708D" w:rsidP="001702E5">
            <w:pPr>
              <w:ind w:left="-38"/>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EB0797B" w14:textId="77777777" w:rsidR="0065708D" w:rsidRPr="007D707D" w:rsidRDefault="0065708D" w:rsidP="001702E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65708D" w:rsidRPr="007D707D" w14:paraId="79E87C1B" w14:textId="77777777" w:rsidTr="001702E5">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03262E73" w14:textId="77777777" w:rsidR="0065708D" w:rsidRPr="007D707D" w:rsidRDefault="0065708D" w:rsidP="001702E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D0AE51" w14:textId="77777777" w:rsidR="0065708D" w:rsidRPr="007D707D" w:rsidRDefault="0065708D" w:rsidP="001702E5">
            <w:pPr>
              <w:ind w:left="-35"/>
              <w:jc w:val="right"/>
              <w:rPr>
                <w:rFonts w:ascii="Tahoma" w:hAnsi="Tahoma" w:cs="Tahoma"/>
                <w:sz w:val="18"/>
                <w:szCs w:val="18"/>
              </w:rPr>
            </w:pPr>
            <w:r w:rsidRPr="001872B5">
              <w:rPr>
                <w:rFonts w:ascii="Tahoma" w:eastAsia="Calibri" w:hAnsi="Tahoma" w:cs="Tahoma"/>
                <w:sz w:val="16"/>
                <w:szCs w:val="16"/>
                <w:lang w:val="fr-FR" w:eastAsia="en-US"/>
              </w:rPr>
              <w:t>Signature</w:t>
            </w:r>
            <w:r>
              <w:rPr>
                <w:rFonts w:ascii="Tahoma" w:eastAsia="Calibri" w:hAnsi="Tahoma" w:cs="Tahoma"/>
                <w:sz w:val="16"/>
                <w:szCs w:val="16"/>
                <w:lang w:val="fr-FR" w:eastAsia="en-US"/>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2BC50A3" w14:textId="77777777" w:rsidR="0065708D" w:rsidRPr="007D707D" w:rsidRDefault="0065708D" w:rsidP="001702E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6D6E6DAE" w14:textId="77777777" w:rsidR="0065708D" w:rsidRPr="007D707D" w:rsidRDefault="0065708D" w:rsidP="001702E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40729EB4" w14:textId="77777777" w:rsidR="0065708D" w:rsidRPr="007D707D" w:rsidRDefault="0065708D" w:rsidP="001702E5">
            <w:pPr>
              <w:ind w:left="-38"/>
              <w:jc w:val="right"/>
              <w:rPr>
                <w:rFonts w:ascii="Tahoma" w:hAnsi="Tahoma" w:cs="Tahoma"/>
                <w:sz w:val="18"/>
                <w:szCs w:val="18"/>
              </w:rPr>
            </w:pPr>
            <w:r w:rsidRPr="007D707D">
              <w:rPr>
                <w:rFonts w:ascii="Tahoma" w:hAnsi="Tahoma" w:cs="Tahoma"/>
                <w:sz w:val="18"/>
                <w:szCs w:val="18"/>
              </w:rPr>
              <w:t>Signature</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83F27DA" w14:textId="77777777" w:rsidR="0065708D" w:rsidRPr="007D707D" w:rsidRDefault="0065708D" w:rsidP="001702E5">
            <w:pPr>
              <w:rPr>
                <w:rFonts w:ascii="Tahoma" w:hAnsi="Tahoma" w:cs="Tahoma"/>
                <w:sz w:val="20"/>
                <w:szCs w:val="20"/>
              </w:rPr>
            </w:pPr>
          </w:p>
        </w:tc>
      </w:tr>
      <w:tr w:rsidR="0065708D" w:rsidRPr="007D707D" w14:paraId="3FA4C058" w14:textId="77777777" w:rsidTr="001702E5">
        <w:trPr>
          <w:trHeight w:val="96"/>
          <w:jc w:val="center"/>
        </w:trPr>
        <w:tc>
          <w:tcPr>
            <w:tcW w:w="606" w:type="dxa"/>
            <w:vMerge w:val="restart"/>
            <w:tcBorders>
              <w:top w:val="nil"/>
              <w:left w:val="nil"/>
              <w:bottom w:val="nil"/>
              <w:right w:val="nil"/>
            </w:tcBorders>
            <w:shd w:val="clear" w:color="auto" w:fill="FFFFFF" w:themeFill="background1"/>
          </w:tcPr>
          <w:p w14:paraId="66EE1490" w14:textId="77777777" w:rsidR="0065708D" w:rsidRPr="007D707D" w:rsidRDefault="0065708D" w:rsidP="001702E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5697C2C9" w14:textId="77777777" w:rsidR="0065708D" w:rsidRPr="007D707D" w:rsidRDefault="0065708D" w:rsidP="001702E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17187722" w14:textId="77777777" w:rsidR="0065708D" w:rsidRPr="007D707D" w:rsidRDefault="0065708D" w:rsidP="001702E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209F0C39" w14:textId="77777777" w:rsidR="0065708D" w:rsidRPr="007D707D" w:rsidRDefault="0065708D" w:rsidP="001702E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10A4BB61" w14:textId="77777777" w:rsidR="0065708D" w:rsidRPr="007D707D" w:rsidRDefault="0065708D" w:rsidP="001702E5">
            <w:pPr>
              <w:ind w:left="-38"/>
              <w:jc w:val="right"/>
              <w:rPr>
                <w:rFonts w:ascii="Tahoma" w:hAnsi="Tahoma" w:cs="Tahoma"/>
                <w:sz w:val="18"/>
                <w:szCs w:val="18"/>
              </w:rPr>
            </w:pPr>
            <w:r w:rsidRPr="00310A24">
              <w:rPr>
                <w:rFonts w:ascii="Tahoma" w:hAnsi="Tahoma" w:cs="Tahoma"/>
                <w:sz w:val="18"/>
                <w:szCs w:val="18"/>
                <w:lang w:val="fr-FR"/>
              </w:rPr>
              <w:t>Sélection</w:t>
            </w:r>
            <w:r w:rsidRPr="007D707D">
              <w:rPr>
                <w:rFonts w:ascii="Tahoma" w:hAnsi="Tahoma" w:cs="Tahoma"/>
                <w:sz w:val="18"/>
                <w:szCs w:val="18"/>
              </w:rPr>
              <w:t xml:space="preserve">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1AB53575" w14:textId="77777777" w:rsidR="0065708D" w:rsidRPr="00B4412B" w:rsidRDefault="0065708D" w:rsidP="001702E5">
            <w:pPr>
              <w:rPr>
                <w:rFonts w:ascii="Tahoma" w:hAnsi="Tahoma" w:cs="Tahoma"/>
                <w:sz w:val="16"/>
                <w:szCs w:val="16"/>
              </w:rPr>
            </w:pPr>
            <w:r w:rsidRPr="00B4412B">
              <w:rPr>
                <w:rFonts w:ascii="Tahoma" w:hAnsi="Tahoma" w:cs="Tahoma"/>
                <w:sz w:val="16"/>
                <w:szCs w:val="16"/>
              </w:rPr>
              <w:t xml:space="preserve">Lot 1 </w:t>
            </w:r>
            <w:r w:rsidRPr="00B4412B">
              <w:rPr>
                <w:sz w:val="16"/>
                <w:szCs w:val="16"/>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34D08C57" w14:textId="77777777" w:rsidR="0065708D" w:rsidRPr="007D707D" w:rsidRDefault="0065708D" w:rsidP="001702E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65708D" w:rsidRPr="007D707D" w14:paraId="772C20B1" w14:textId="77777777" w:rsidTr="001702E5">
        <w:trPr>
          <w:trHeight w:val="100"/>
          <w:jc w:val="center"/>
        </w:trPr>
        <w:tc>
          <w:tcPr>
            <w:tcW w:w="606" w:type="dxa"/>
            <w:vMerge/>
            <w:tcBorders>
              <w:top w:val="nil"/>
              <w:left w:val="nil"/>
              <w:bottom w:val="nil"/>
              <w:right w:val="nil"/>
            </w:tcBorders>
            <w:shd w:val="clear" w:color="auto" w:fill="FFFFFF" w:themeFill="background1"/>
          </w:tcPr>
          <w:p w14:paraId="2E73C889" w14:textId="77777777" w:rsidR="0065708D" w:rsidRPr="007D707D" w:rsidRDefault="0065708D" w:rsidP="001702E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2AE0FE12" w14:textId="77777777" w:rsidR="0065708D" w:rsidRPr="007D707D" w:rsidRDefault="0065708D" w:rsidP="001702E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147FCB43" w14:textId="77777777" w:rsidR="0065708D" w:rsidRPr="007D707D" w:rsidRDefault="0065708D" w:rsidP="001702E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05A59133" w14:textId="77777777" w:rsidR="0065708D" w:rsidRPr="007D707D" w:rsidRDefault="0065708D" w:rsidP="001702E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3BC00C6C" w14:textId="77777777" w:rsidR="0065708D" w:rsidRPr="007D707D" w:rsidRDefault="0065708D" w:rsidP="001702E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1A95C3B" w14:textId="77777777" w:rsidR="0065708D" w:rsidRPr="00B4412B" w:rsidRDefault="0065708D" w:rsidP="001702E5">
            <w:pPr>
              <w:rPr>
                <w:rFonts w:ascii="Tahoma" w:hAnsi="Tahoma" w:cs="Tahoma"/>
                <w:sz w:val="16"/>
                <w:szCs w:val="16"/>
              </w:rPr>
            </w:pPr>
            <w:r w:rsidRPr="00B4412B">
              <w:rPr>
                <w:rFonts w:ascii="Tahoma" w:hAnsi="Tahoma" w:cs="Tahoma"/>
                <w:sz w:val="16"/>
                <w:szCs w:val="16"/>
              </w:rPr>
              <w:t xml:space="preserve">Lot 2 </w:t>
            </w:r>
            <w:r w:rsidRPr="00B4412B">
              <w:rPr>
                <w:sz w:val="16"/>
                <w:szCs w:val="16"/>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69442AD5" w14:textId="77777777" w:rsidR="0065708D" w:rsidRPr="007D707D" w:rsidRDefault="0065708D" w:rsidP="001702E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72EF150B" w14:textId="77777777" w:rsidR="0065708D" w:rsidRDefault="0065708D" w:rsidP="0065708D">
      <w:pPr>
        <w:ind w:left="-142" w:right="-284"/>
        <w:rPr>
          <w:rFonts w:ascii="Tahoma" w:hAnsi="Tahoma" w:cs="Tahoma"/>
          <w:b/>
          <w:sz w:val="10"/>
          <w:szCs w:val="10"/>
          <w:lang w:val="fr-FR"/>
        </w:rPr>
      </w:pPr>
    </w:p>
    <w:p w14:paraId="590732D1" w14:textId="77777777" w:rsidR="0065708D" w:rsidRDefault="0065708D" w:rsidP="0065708D">
      <w:pPr>
        <w:ind w:left="-142" w:right="-284"/>
        <w:rPr>
          <w:rFonts w:ascii="Tahoma" w:hAnsi="Tahoma" w:cs="Tahoma"/>
          <w:b/>
          <w:sz w:val="10"/>
          <w:szCs w:val="10"/>
          <w:lang w:val="fr-FR"/>
        </w:rPr>
      </w:pPr>
    </w:p>
    <w:p w14:paraId="04356474" w14:textId="77777777" w:rsidR="0065708D" w:rsidRDefault="0065708D" w:rsidP="0065708D">
      <w:pPr>
        <w:ind w:left="-142" w:right="-284"/>
        <w:rPr>
          <w:rFonts w:ascii="Tahoma" w:hAnsi="Tahoma" w:cs="Tahoma"/>
          <w:b/>
          <w:sz w:val="10"/>
          <w:szCs w:val="10"/>
          <w:lang w:val="fr-FR"/>
        </w:rPr>
      </w:pPr>
    </w:p>
    <w:p w14:paraId="0F5B7888" w14:textId="77777777" w:rsidR="0065708D" w:rsidRDefault="0065708D" w:rsidP="0065708D">
      <w:pPr>
        <w:ind w:left="-142" w:right="-284"/>
        <w:rPr>
          <w:rFonts w:ascii="Tahoma" w:hAnsi="Tahoma" w:cs="Tahoma"/>
          <w:b/>
          <w:sz w:val="10"/>
          <w:szCs w:val="10"/>
          <w:lang w:val="fr-FR"/>
        </w:rPr>
      </w:pPr>
    </w:p>
    <w:p w14:paraId="432BAA56" w14:textId="77777777" w:rsidR="0065708D" w:rsidRPr="00561E48" w:rsidRDefault="0065708D" w:rsidP="0065708D">
      <w:pPr>
        <w:tabs>
          <w:tab w:val="left" w:pos="284"/>
        </w:tabs>
        <w:spacing w:after="60"/>
        <w:jc w:val="both"/>
        <w:rPr>
          <w:rFonts w:ascii="Tahoma" w:hAnsi="Tahoma" w:cs="Tahoma"/>
          <w:sz w:val="19"/>
          <w:szCs w:val="19"/>
          <w:lang w:val="fr-FR"/>
        </w:rPr>
      </w:pPr>
    </w:p>
    <w:bookmarkEnd w:id="5"/>
    <w:p w14:paraId="7E30A378" w14:textId="26F242A3" w:rsidR="0065708D" w:rsidRDefault="0065708D" w:rsidP="00156A94">
      <w:pPr>
        <w:tabs>
          <w:tab w:val="left" w:pos="284"/>
        </w:tabs>
        <w:spacing w:after="60" w:line="276" w:lineRule="auto"/>
        <w:ind w:right="-142"/>
        <w:jc w:val="both"/>
        <w:rPr>
          <w:rFonts w:ascii="Tahoma" w:hAnsi="Tahoma" w:cs="Tahoma"/>
          <w:sz w:val="20"/>
          <w:szCs w:val="20"/>
          <w:lang w:val="fr-FR"/>
        </w:rPr>
      </w:pPr>
    </w:p>
    <w:p w14:paraId="267801D4" w14:textId="64EAEDFE" w:rsidR="0065708D" w:rsidRDefault="0065708D" w:rsidP="00156A94">
      <w:pPr>
        <w:tabs>
          <w:tab w:val="left" w:pos="284"/>
        </w:tabs>
        <w:spacing w:after="60" w:line="276" w:lineRule="auto"/>
        <w:ind w:right="-142"/>
        <w:jc w:val="both"/>
        <w:rPr>
          <w:rFonts w:ascii="Tahoma" w:hAnsi="Tahoma" w:cs="Tahoma"/>
          <w:sz w:val="20"/>
          <w:szCs w:val="20"/>
          <w:lang w:val="fr-FR"/>
        </w:rPr>
      </w:pPr>
    </w:p>
    <w:p w14:paraId="23B90A28" w14:textId="0CC7750E" w:rsidR="0065708D" w:rsidRDefault="0065708D" w:rsidP="00156A94">
      <w:pPr>
        <w:tabs>
          <w:tab w:val="left" w:pos="284"/>
        </w:tabs>
        <w:spacing w:after="60" w:line="276" w:lineRule="auto"/>
        <w:ind w:right="-142"/>
        <w:jc w:val="both"/>
        <w:rPr>
          <w:rFonts w:ascii="Tahoma" w:hAnsi="Tahoma" w:cs="Tahoma"/>
          <w:sz w:val="20"/>
          <w:szCs w:val="20"/>
          <w:lang w:val="fr-FR"/>
        </w:rPr>
      </w:pPr>
    </w:p>
    <w:p w14:paraId="5AE2495D" w14:textId="3625663A" w:rsidR="0065708D" w:rsidRDefault="0065708D" w:rsidP="00156A94">
      <w:pPr>
        <w:tabs>
          <w:tab w:val="left" w:pos="284"/>
        </w:tabs>
        <w:spacing w:after="60" w:line="276" w:lineRule="auto"/>
        <w:ind w:right="-142"/>
        <w:jc w:val="both"/>
        <w:rPr>
          <w:rFonts w:ascii="Tahoma" w:hAnsi="Tahoma" w:cs="Tahoma"/>
          <w:sz w:val="20"/>
          <w:szCs w:val="20"/>
          <w:lang w:val="fr-FR"/>
        </w:rPr>
      </w:pPr>
    </w:p>
    <w:p w14:paraId="53CF990F" w14:textId="5E2FB40E" w:rsidR="0065708D" w:rsidRDefault="0065708D" w:rsidP="00156A94">
      <w:pPr>
        <w:tabs>
          <w:tab w:val="left" w:pos="284"/>
        </w:tabs>
        <w:spacing w:after="60" w:line="276" w:lineRule="auto"/>
        <w:ind w:right="-142"/>
        <w:jc w:val="both"/>
        <w:rPr>
          <w:rFonts w:ascii="Tahoma" w:hAnsi="Tahoma" w:cs="Tahoma"/>
          <w:sz w:val="20"/>
          <w:szCs w:val="20"/>
          <w:lang w:val="fr-FR"/>
        </w:rPr>
      </w:pPr>
    </w:p>
    <w:p w14:paraId="671B7498" w14:textId="2354E08F" w:rsidR="0065708D" w:rsidRDefault="0065708D" w:rsidP="00156A94">
      <w:pPr>
        <w:tabs>
          <w:tab w:val="left" w:pos="284"/>
        </w:tabs>
        <w:spacing w:after="60" w:line="276" w:lineRule="auto"/>
        <w:ind w:right="-142"/>
        <w:jc w:val="both"/>
        <w:rPr>
          <w:rFonts w:ascii="Tahoma" w:hAnsi="Tahoma" w:cs="Tahoma"/>
          <w:sz w:val="20"/>
          <w:szCs w:val="20"/>
          <w:lang w:val="fr-FR"/>
        </w:rPr>
      </w:pPr>
    </w:p>
    <w:p w14:paraId="0A3792A9" w14:textId="11022687" w:rsidR="0065708D" w:rsidRDefault="0065708D" w:rsidP="00156A94">
      <w:pPr>
        <w:tabs>
          <w:tab w:val="left" w:pos="284"/>
        </w:tabs>
        <w:spacing w:after="60" w:line="276" w:lineRule="auto"/>
        <w:ind w:right="-142"/>
        <w:jc w:val="both"/>
        <w:rPr>
          <w:rFonts w:ascii="Tahoma" w:hAnsi="Tahoma" w:cs="Tahoma"/>
          <w:sz w:val="20"/>
          <w:szCs w:val="20"/>
          <w:lang w:val="fr-FR"/>
        </w:rPr>
      </w:pPr>
    </w:p>
    <w:p w14:paraId="24CF1310" w14:textId="77777777" w:rsidR="007B64ED" w:rsidRDefault="007B64ED" w:rsidP="00156A94">
      <w:pPr>
        <w:ind w:right="-284"/>
        <w:rPr>
          <w:rFonts w:ascii="Tahoma" w:hAnsi="Tahoma" w:cs="Tahoma"/>
          <w:b/>
          <w:sz w:val="10"/>
          <w:szCs w:val="10"/>
          <w:lang w:val="fr-FR"/>
        </w:rPr>
      </w:pPr>
    </w:p>
    <w:p w14:paraId="71BD589B" w14:textId="58196CAE" w:rsidR="00D50F13" w:rsidRPr="00561E48" w:rsidRDefault="0072200B" w:rsidP="009C22B1">
      <w:pPr>
        <w:pBdr>
          <w:bottom w:val="single" w:sz="2" w:space="0" w:color="808080"/>
        </w:pBdr>
        <w:ind w:right="-284"/>
        <w:rPr>
          <w:rFonts w:ascii="Tahoma" w:hAnsi="Tahoma" w:cs="Tahoma"/>
          <w:lang w:val="fr-FR"/>
        </w:rPr>
      </w:pPr>
      <w:r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3"/>
          <w:footerReference w:type="default" r:id="rId14"/>
          <w:headerReference w:type="first" r:id="rId15"/>
          <w:type w:val="continuous"/>
          <w:pgSz w:w="11907" w:h="16840" w:code="9"/>
          <w:pgMar w:top="194" w:right="708" w:bottom="851" w:left="567" w:header="284" w:footer="322" w:gutter="0"/>
          <w:cols w:space="708"/>
          <w:titlePg/>
          <w:docGrid w:linePitch="360"/>
        </w:sectPr>
      </w:pPr>
      <w:bookmarkStart w:id="6"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6"/>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EF46DB">
      <w:pPr>
        <w:pStyle w:val="ListParagraph"/>
        <w:numPr>
          <w:ilvl w:val="0"/>
          <w:numId w:val="18"/>
        </w:numPr>
        <w:ind w:left="709" w:firstLine="0"/>
        <w:jc w:val="both"/>
        <w:rPr>
          <w:rFonts w:ascii="Tahoma" w:eastAsia="Calibri" w:hAnsi="Tahoma" w:cs="Tahoma"/>
          <w:color w:val="000000" w:themeColor="text1"/>
          <w:sz w:val="18"/>
          <w:szCs w:val="18"/>
          <w:lang w:val="fr-FR" w:eastAsia="en-US"/>
        </w:rPr>
      </w:pPr>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EF46DB">
      <w:pPr>
        <w:pStyle w:val="ListParagraph"/>
        <w:numPr>
          <w:ilvl w:val="0"/>
          <w:numId w:val="18"/>
        </w:numPr>
        <w:ind w:left="709" w:firstLine="0"/>
        <w:jc w:val="both"/>
        <w:rPr>
          <w:rFonts w:ascii="Tahoma" w:eastAsia="Calibri" w:hAnsi="Tahoma" w:cs="Tahoma"/>
          <w:color w:val="000000" w:themeColor="text1"/>
          <w:sz w:val="18"/>
          <w:szCs w:val="18"/>
          <w:lang w:val="fr-FR" w:eastAsia="en-US"/>
        </w:rPr>
      </w:pPr>
      <w:r w:rsidRPr="00933961">
        <w:rPr>
          <w:rFonts w:ascii="Tahoma" w:eastAsia="Calibri" w:hAnsi="Tahoma" w:cs="Tahoma"/>
          <w:color w:val="000000" w:themeColor="text1"/>
          <w:sz w:val="18"/>
          <w:szCs w:val="18"/>
          <w:lang w:val="fr-FR" w:eastAsia="en-US"/>
        </w:rPr>
        <w:t>l’offre soumise par le Prestataire.</w:t>
      </w:r>
    </w:p>
    <w:p w14:paraId="48E697B5" w14:textId="3D906B8B" w:rsidR="005A4B59" w:rsidRPr="00561E48" w:rsidRDefault="005A4B59"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4EA30A3F" w:rsidR="003E2D15" w:rsidRPr="00561E48" w:rsidRDefault="003E2D15" w:rsidP="00EF46DB">
      <w:pPr>
        <w:pStyle w:val="ListParagraph"/>
        <w:numPr>
          <w:ilvl w:val="0"/>
          <w:numId w:val="19"/>
        </w:numPr>
        <w:ind w:left="1418"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w:t>
      </w:r>
      <w:r w:rsidR="00EF46DB">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16C0CC12"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7"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EF46DB">
        <w:rPr>
          <w:rFonts w:ascii="Tahoma" w:hAnsi="Tahoma" w:cs="Tahoma"/>
          <w:sz w:val="18"/>
          <w:szCs w:val="18"/>
          <w:lang w:val="fr-FR"/>
        </w:rPr>
        <w:t xml:space="preserve"> </w:t>
      </w:r>
      <w:r w:rsidR="00EF46DB" w:rsidRPr="00EF46DB">
        <w:rPr>
          <w:rFonts w:ascii="Tahoma" w:hAnsi="Tahoma" w:cs="Tahoma"/>
          <w:sz w:val="18"/>
          <w:szCs w:val="18"/>
          <w:lang w:val="fr-FR"/>
        </w:rPr>
        <w:t xml:space="preserve">Le contrat peut être renouvelé conformément aux conditions fixées à la Section A de l'acte d'engagement. </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4421A">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4421A">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194697C1" w14:textId="396DB3D5" w:rsidR="00933961" w:rsidRPr="0074421A" w:rsidRDefault="00B06935" w:rsidP="0093396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 xml:space="preserve">ivrables attendus résultent de la fourniture d’une session de formation, et sous couvert que les matériels de formation ne soient pas la propriété du Conseil, le Prestataire octroie aux participants à la formation une licence non-exclusive pour le </w:t>
      </w:r>
      <w:r w:rsidR="008C09DB" w:rsidRPr="009D264F">
        <w:rPr>
          <w:rFonts w:ascii="Tahoma" w:hAnsi="Tahoma" w:cs="Tahoma"/>
          <w:color w:val="000000" w:themeColor="text1"/>
          <w:sz w:val="18"/>
          <w:szCs w:val="18"/>
          <w:lang w:val="fr-FR"/>
        </w:rPr>
        <w:lastRenderedPageBreak/>
        <w:t>monde entier et pour la durée de validité de tout droit de propriété intellectuelle existant sur lesdits matériels, pour leur usage professionnel des matériels fournis par le formateur.</w:t>
      </w: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8"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8"/>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74421A">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9" w:name="_Toc179868647"/>
    </w:p>
    <w:p w14:paraId="3BBDD45B" w14:textId="6E6A2B78" w:rsidR="008C09DB" w:rsidRPr="009D264F" w:rsidRDefault="008C09DB" w:rsidP="0074421A">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9"/>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296E4574" w:rsidR="008C09DB" w:rsidRPr="00561E48" w:rsidRDefault="008B6BE9" w:rsidP="0074421A">
      <w:pPr>
        <w:ind w:left="709" w:hanging="709"/>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431F9079" w:rsidR="008C09DB" w:rsidRPr="00561E48" w:rsidRDefault="003565A5" w:rsidP="0074421A">
      <w:pPr>
        <w:ind w:left="709" w:hanging="709"/>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7"/>
    <w:p w14:paraId="3C91CD38" w14:textId="360F1382"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1E40141E"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Ne pas traiter ni transférer des données personnelles en dehors de la juridiction d’un État membre du Conseil de l’Europe sans l’autorisation préalable du Conseil et, sous réserve qu’un niveau adéquat de protection soit garanti par la loi ou par </w:t>
      </w:r>
      <w:r w:rsidRPr="009D264F">
        <w:rPr>
          <w:rFonts w:ascii="Tahoma" w:eastAsiaTheme="minorHAnsi" w:hAnsi="Tahoma" w:cs="Tahoma"/>
          <w:bCs/>
          <w:color w:val="000000" w:themeColor="text1"/>
          <w:sz w:val="18"/>
          <w:szCs w:val="18"/>
          <w:lang w:val="fr-FR"/>
        </w:rPr>
        <w:lastRenderedPageBreak/>
        <w:t>des garanties ad hoc ou standardisées agréées (par exemple, des règles contraignantes d’entreprises) dans la juridiction du destinataire ;</w:t>
      </w:r>
    </w:p>
    <w:p w14:paraId="4774CE87"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1DF3BFD5"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3.10.1</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5B8AB1FE"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531E2874" w14:textId="5D95EC9D"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2CA13DE8" w:rsidR="00150458" w:rsidRPr="00561E48" w:rsidRDefault="00150458"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4.1.1</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4CC41E7B"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78ED995D"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4.1.3</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3539579C" w:rsidR="001F4B81" w:rsidRPr="00561E48" w:rsidRDefault="001F4B81"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3F2D6D35"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31E1492D"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01BAFBE"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6F148C5C" w:rsidR="00230B5C" w:rsidRPr="00561E48" w:rsidRDefault="00E2323F"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256BD57B" w:rsidR="00E2323F"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72CB03A8" w:rsidR="007F361D"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4.3.1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2EC2B831" w:rsidR="00FC08DE" w:rsidRPr="00561E48" w:rsidRDefault="00EA6641"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4.3.2</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0A10CD83" w:rsidR="009834FA" w:rsidRPr="00561E48" w:rsidRDefault="009834FA"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700E0DFB" w:rsidR="00FC08DE" w:rsidRPr="00561E48" w:rsidRDefault="00150458" w:rsidP="0074421A">
      <w:pPr>
        <w:ind w:left="709" w:hanging="709"/>
        <w:jc w:val="both"/>
        <w:rPr>
          <w:rFonts w:ascii="Tahoma" w:hAnsi="Tahoma" w:cs="Tahoma"/>
          <w:sz w:val="18"/>
          <w:szCs w:val="18"/>
          <w:lang w:val="fr-FR"/>
        </w:rPr>
      </w:pPr>
      <w:r w:rsidRPr="00561E48">
        <w:rPr>
          <w:rFonts w:ascii="Tahoma" w:hAnsi="Tahoma" w:cs="Tahoma"/>
          <w:sz w:val="18"/>
          <w:szCs w:val="18"/>
          <w:lang w:val="fr-FR"/>
        </w:rPr>
        <w:t>4.3.4</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540A66AB" w:rsidR="009834FA" w:rsidRPr="00561E48" w:rsidRDefault="009834FA" w:rsidP="0074421A">
      <w:pPr>
        <w:ind w:left="709" w:hanging="709"/>
        <w:jc w:val="both"/>
        <w:rPr>
          <w:rFonts w:ascii="Tahoma" w:hAnsi="Tahoma" w:cs="Tahoma"/>
          <w:sz w:val="18"/>
          <w:szCs w:val="18"/>
          <w:lang w:val="fr-FR"/>
        </w:rPr>
      </w:pPr>
      <w:r w:rsidRPr="00561E48">
        <w:rPr>
          <w:rFonts w:ascii="Tahoma" w:hAnsi="Tahoma" w:cs="Tahoma"/>
          <w:sz w:val="18"/>
          <w:szCs w:val="18"/>
          <w:lang w:val="fr-FR"/>
        </w:rPr>
        <w:t>4.3.5</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73E0CCB0" w:rsidR="00E1471B" w:rsidRPr="00561E48" w:rsidRDefault="003565A5" w:rsidP="0074421A">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5"/>
      </w:r>
      <w:r w:rsidR="00E1471B" w:rsidRPr="00561E48">
        <w:rPr>
          <w:rFonts w:ascii="Tahoma" w:hAnsi="Tahoma" w:cs="Tahoma"/>
          <w:sz w:val="18"/>
          <w:szCs w:val="18"/>
          <w:lang w:val="fr-FR"/>
        </w:rPr>
        <w:t>.</w:t>
      </w:r>
    </w:p>
    <w:p w14:paraId="6690DD47" w14:textId="7E5AD621" w:rsidR="004807B7" w:rsidRPr="00561E48" w:rsidRDefault="004807B7" w:rsidP="0074421A">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lastRenderedPageBreak/>
        <w:t>4.4.2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4DD780A8" w:rsidR="00FC08DE" w:rsidRPr="00561E48" w:rsidRDefault="003565A5" w:rsidP="0074421A">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sidR="0074421A">
        <w:rPr>
          <w:rFonts w:ascii="Tahoma" w:hAnsi="Tahoma" w:cs="Tahoma"/>
          <w:b w:val="0"/>
          <w:color w:val="000000"/>
          <w:sz w:val="18"/>
          <w:szCs w:val="18"/>
        </w:rPr>
        <w:t>.</w:t>
      </w:r>
      <w:r w:rsidR="0074421A">
        <w:rPr>
          <w:rFonts w:ascii="Tahoma" w:hAnsi="Tahoma" w:cs="Tahoma"/>
          <w:b w:val="0"/>
          <w:color w:val="000000"/>
          <w:sz w:val="18"/>
          <w:szCs w:val="18"/>
        </w:rPr>
        <w:tab/>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0" w:name="_Toc179868652"/>
      <w:r w:rsidRPr="00561E48">
        <w:rPr>
          <w:rFonts w:ascii="Tahoma" w:hAnsi="Tahoma" w:cs="Tahoma"/>
          <w:b/>
          <w:smallCaps/>
          <w:color w:val="365F91" w:themeColor="accent1" w:themeShade="BF"/>
          <w:sz w:val="18"/>
          <w:szCs w:val="18"/>
          <w:lang w:val="fr-FR" w:eastAsia="fr-FR"/>
        </w:rPr>
        <w:t>Article 5 – Rupture du Contrat</w:t>
      </w:r>
      <w:bookmarkEnd w:id="10"/>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5238C8">
      <w:pPr>
        <w:pStyle w:val="ListParagraph"/>
        <w:numPr>
          <w:ilvl w:val="0"/>
          <w:numId w:val="33"/>
        </w:numPr>
        <w:ind w:left="1134" w:hanging="425"/>
        <w:jc w:val="both"/>
        <w:rPr>
          <w:rFonts w:ascii="Tahoma" w:hAnsi="Tahoma" w:cs="Tahoma"/>
          <w:sz w:val="18"/>
          <w:szCs w:val="18"/>
          <w:lang w:val="fr-FR"/>
        </w:rPr>
      </w:pPr>
      <w:r>
        <w:rPr>
          <w:rFonts w:ascii="Tahoma" w:hAnsi="Tahoma" w:cs="Tahoma"/>
          <w:sz w:val="18"/>
          <w:szCs w:val="18"/>
          <w:lang w:val="fr-FR"/>
        </w:rPr>
        <w:t xml:space="preserve">ne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5238C8">
      <w:pPr>
        <w:pStyle w:val="ListParagraph"/>
        <w:numPr>
          <w:ilvl w:val="0"/>
          <w:numId w:val="33"/>
        </w:numPr>
        <w:ind w:left="1134" w:hanging="425"/>
        <w:jc w:val="both"/>
        <w:rPr>
          <w:rFonts w:ascii="Tahoma" w:hAnsi="Tahoma" w:cs="Tahoma"/>
          <w:sz w:val="18"/>
          <w:szCs w:val="18"/>
          <w:lang w:val="fr-FR"/>
        </w:rPr>
      </w:pPr>
      <w:r>
        <w:rPr>
          <w:rFonts w:ascii="Tahoma" w:hAnsi="Tahoma" w:cs="Tahoma"/>
          <w:sz w:val="18"/>
          <w:szCs w:val="18"/>
          <w:lang w:val="fr-FR"/>
        </w:rPr>
        <w:t>s’il assure une prestation de services d’un niveau non satisfaisant, conformément à l’article 1.1, ou</w:t>
      </w:r>
    </w:p>
    <w:p w14:paraId="2251B4C3" w14:textId="0D8CD5E3" w:rsidR="00AD40F7" w:rsidRDefault="00AD40F7" w:rsidP="005238C8">
      <w:pPr>
        <w:pStyle w:val="ListParagraph"/>
        <w:numPr>
          <w:ilvl w:val="0"/>
          <w:numId w:val="33"/>
        </w:numPr>
        <w:ind w:left="1134" w:hanging="425"/>
        <w:jc w:val="both"/>
        <w:rPr>
          <w:rFonts w:ascii="Tahoma" w:hAnsi="Tahoma" w:cs="Tahoma"/>
          <w:sz w:val="18"/>
          <w:szCs w:val="18"/>
          <w:lang w:val="fr-FR"/>
        </w:rPr>
      </w:pPr>
      <w:r>
        <w:rPr>
          <w:rFonts w:ascii="Tahoma" w:hAnsi="Tahoma" w:cs="Tahoma"/>
          <w:sz w:val="18"/>
          <w:szCs w:val="18"/>
          <w:lang w:val="fr-FR"/>
        </w:rPr>
        <w:t xml:space="preserve">le Prestataire en dans l’une </w:t>
      </w:r>
      <w:r w:rsidR="0073426D">
        <w:rPr>
          <w:rFonts w:ascii="Tahoma" w:hAnsi="Tahoma" w:cs="Tahoma"/>
          <w:sz w:val="18"/>
          <w:szCs w:val="18"/>
          <w:lang w:val="fr-FR"/>
        </w:rPr>
        <w:t>des situations énumérées</w:t>
      </w:r>
      <w:r>
        <w:rPr>
          <w:rFonts w:ascii="Tahoma" w:hAnsi="Tahoma" w:cs="Tahoma"/>
          <w:sz w:val="18"/>
          <w:szCs w:val="18"/>
          <w:lang w:val="fr-FR"/>
        </w:rPr>
        <w:t xml:space="preserve"> à l’article 1</w:t>
      </w:r>
      <w:r w:rsidR="005238C8">
        <w:rPr>
          <w:rFonts w:ascii="Tahoma" w:hAnsi="Tahoma" w:cs="Tahoma"/>
          <w:sz w:val="18"/>
          <w:szCs w:val="18"/>
          <w:lang w:val="fr-FR"/>
        </w:rPr>
        <w:t>1</w:t>
      </w:r>
      <w:r>
        <w:rPr>
          <w:rFonts w:ascii="Tahoma" w:hAnsi="Tahoma" w:cs="Tahoma"/>
          <w:sz w:val="18"/>
          <w:szCs w:val="18"/>
          <w:lang w:val="fr-FR"/>
        </w:rPr>
        <w:t>.2,</w:t>
      </w:r>
    </w:p>
    <w:p w14:paraId="6AA5192C" w14:textId="5AC3A970" w:rsidR="00AD40F7" w:rsidRPr="00AD40F7" w:rsidRDefault="00AD40F7" w:rsidP="005238C8">
      <w:pPr>
        <w:ind w:left="709"/>
        <w:jc w:val="both"/>
        <w:rPr>
          <w:rFonts w:ascii="Tahoma" w:hAnsi="Tahoma" w:cs="Tahoma"/>
          <w:sz w:val="18"/>
          <w:szCs w:val="18"/>
          <w:lang w:val="fr-FR"/>
        </w:rPr>
      </w:pPr>
      <w:r>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p w14:paraId="34CA6EB7" w14:textId="14F76CCA"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B4E05F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5.3</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1" w:name="_Toc179868653"/>
      <w:bookmarkStart w:id="12" w:name="_Toc179868654"/>
      <w:r w:rsidRPr="00561E48">
        <w:rPr>
          <w:rFonts w:ascii="Tahoma" w:hAnsi="Tahoma" w:cs="Tahoma"/>
          <w:b/>
          <w:smallCaps/>
          <w:color w:val="365F91" w:themeColor="accent1" w:themeShade="BF"/>
          <w:sz w:val="18"/>
          <w:szCs w:val="18"/>
          <w:lang w:val="fr-FR" w:eastAsia="fr-FR"/>
        </w:rPr>
        <w:t>Article 6 - Modifications</w:t>
      </w:r>
      <w:bookmarkEnd w:id="11"/>
      <w:r w:rsidRPr="00561E48">
        <w:rPr>
          <w:rFonts w:ascii="Tahoma" w:hAnsi="Tahoma" w:cs="Tahoma"/>
          <w:b/>
          <w:smallCaps/>
          <w:color w:val="365F91" w:themeColor="accent1" w:themeShade="BF"/>
          <w:sz w:val="18"/>
          <w:szCs w:val="18"/>
          <w:lang w:val="fr-FR" w:eastAsia="fr-FR"/>
        </w:rPr>
        <w:t xml:space="preserve"> </w:t>
      </w:r>
    </w:p>
    <w:p w14:paraId="1FF51912" w14:textId="7777B1B5" w:rsidR="00FC08DE" w:rsidRPr="00561E48" w:rsidRDefault="00E308C4" w:rsidP="0084593C">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3592C484"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6.2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02FF37FB" w:rsidR="00256C49" w:rsidRPr="00561E48" w:rsidRDefault="00732180" w:rsidP="0084593C">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sidR="0084593C">
        <w:rPr>
          <w:rFonts w:ascii="Tahoma" w:hAnsi="Tahoma" w:cs="Tahoma"/>
          <w:color w:val="000000"/>
          <w:sz w:val="18"/>
          <w:szCs w:val="18"/>
          <w:lang w:val="fr-FR"/>
        </w:rPr>
        <w:t>.</w:t>
      </w:r>
      <w:r w:rsidR="0084593C">
        <w:rPr>
          <w:rFonts w:ascii="Tahoma" w:hAnsi="Tahoma" w:cs="Tahoma"/>
          <w:color w:val="000000"/>
          <w:sz w:val="18"/>
          <w:szCs w:val="18"/>
          <w:lang w:val="fr-FR"/>
        </w:rPr>
        <w:tab/>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39404" w:rsidR="00FC08DE" w:rsidRPr="00561E48" w:rsidRDefault="00732180" w:rsidP="0084593C">
      <w:pPr>
        <w:ind w:left="709" w:hanging="709"/>
        <w:jc w:val="both"/>
        <w:rPr>
          <w:rFonts w:ascii="Tahoma" w:hAnsi="Tahoma" w:cs="Tahoma"/>
          <w:sz w:val="18"/>
          <w:szCs w:val="18"/>
          <w:lang w:val="fr-FR"/>
        </w:rPr>
      </w:pPr>
      <w:r w:rsidRPr="00561E48">
        <w:rPr>
          <w:rFonts w:ascii="Tahoma" w:hAnsi="Tahoma" w:cs="Tahoma"/>
          <w:sz w:val="18"/>
          <w:szCs w:val="18"/>
          <w:lang w:val="fr-FR"/>
        </w:rPr>
        <w:t>6.4</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 prestataire ne peut sous-traiter tout ou partie des services sans l’autorisation écrite préalable du Conseil.</w:t>
      </w:r>
      <w:r w:rsidR="0084593C" w:rsidRPr="0084593C">
        <w:rPr>
          <w:lang w:val="fr-FR"/>
        </w:rPr>
        <w:t xml:space="preserve"> </w:t>
      </w:r>
      <w:r w:rsidR="0084593C" w:rsidRPr="0084593C">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12"/>
      <w:r w:rsidR="008A7650" w:rsidRPr="00561E48">
        <w:rPr>
          <w:rFonts w:ascii="Tahoma" w:hAnsi="Tahoma" w:cs="Tahoma"/>
          <w:b/>
          <w:smallCaps/>
          <w:color w:val="365F91" w:themeColor="accent1" w:themeShade="BF"/>
          <w:sz w:val="18"/>
          <w:szCs w:val="18"/>
          <w:lang w:val="fr-FR"/>
        </w:rPr>
        <w:t>Cas de force majeure</w:t>
      </w:r>
    </w:p>
    <w:p w14:paraId="7FD1C49F" w14:textId="25D3AF3E" w:rsidR="00FC08DE" w:rsidRPr="00561E48" w:rsidRDefault="00256C49" w:rsidP="0084593C">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sidR="0084593C">
        <w:rPr>
          <w:rFonts w:ascii="Tahoma" w:hAnsi="Tahoma" w:cs="Tahoma"/>
          <w:sz w:val="18"/>
          <w:szCs w:val="18"/>
          <w:lang w:val="fr-FR"/>
        </w:rPr>
        <w:t>.</w:t>
      </w:r>
      <w:r w:rsidR="0084593C">
        <w:rPr>
          <w:rFonts w:ascii="Tahoma" w:hAnsi="Tahoma" w:cs="Tahoma"/>
          <w:sz w:val="18"/>
          <w:szCs w:val="18"/>
          <w:lang w:val="fr-FR"/>
        </w:rPr>
        <w:tab/>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544AFF63"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7.2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artie devra le notifier à l’autre par écrit, dans un délai de 7 jours calendaires.</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3"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62B83112" w:rsidR="008E0AD9"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5007A5E7" w14:textId="402FEE43" w:rsidR="001849D2"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4419191A" w14:textId="5D789807" w:rsidR="00FC08DE" w:rsidRPr="00561E48" w:rsidRDefault="001849D2"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1EF7602B"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 xml:space="preserve">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02B5C0E"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44BC30" w14:textId="542FC886"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76711DE9" w14:textId="77777777" w:rsidR="0073426D" w:rsidRPr="00AC04FE" w:rsidRDefault="0073426D" w:rsidP="0073426D">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C04FE">
        <w:rPr>
          <w:rFonts w:ascii="Tahoma" w:hAnsi="Tahoma" w:cs="Tahoma"/>
          <w:b/>
          <w:smallCaps/>
          <w:color w:val="365F91" w:themeColor="accent1" w:themeShade="BF"/>
          <w:sz w:val="18"/>
          <w:szCs w:val="18"/>
          <w:lang w:val="fr-FR" w:eastAsia="fr-FR"/>
        </w:rPr>
        <w:t>Article 10 – Consortium</w:t>
      </w:r>
    </w:p>
    <w:p w14:paraId="6C956EF9" w14:textId="77777777" w:rsidR="0073426D" w:rsidRPr="00AC04FE" w:rsidRDefault="0073426D" w:rsidP="0073426D">
      <w:pPr>
        <w:pStyle w:val="ListParagraph"/>
        <w:numPr>
          <w:ilvl w:val="0"/>
          <w:numId w:val="35"/>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3BCF460F" w14:textId="77777777"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19BF942E" w14:textId="536F4FFD"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65A45D4F" w14:textId="77777777"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6D9C8D2B"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Les prestataires doivent désigner un coordonnateur.</w:t>
      </w:r>
    </w:p>
    <w:p w14:paraId="29E092EC"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27713B95" w14:textId="66287AE8"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informer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3E07806C" w14:textId="77777777"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40D6790A" w14:textId="1EBD12C2" w:rsidR="0073426D" w:rsidRPr="00AC04FE" w:rsidRDefault="0073426D" w:rsidP="0073426D">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7EEE4B3F" w14:textId="77777777"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donner aux autres prestataires l'accès à tous droits de propriété industrielle et intellectuelle préexistants nécessaires à l'exécution du contrat et au respect des obligations découlant du Contrat.</w:t>
      </w:r>
    </w:p>
    <w:p w14:paraId="16C9AF31"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5252B5A7" w14:textId="4105F060"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4A0FB31D"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agir en tant qu'intermédiaire pour toutes les communications entre les prestataires et le Conseil (en particulier, en fournissant immédiatement au Conseil les informations décrites à l'article 10.4.2 (ii)), sauf accord contraire des Parties ;</w:t>
      </w:r>
    </w:p>
    <w:p w14:paraId="57574B81"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demander et examiner tous les documents ou informations requis par le Conseil et vérifier leur exhaustivité et leur exactitude avant de les transmettre au Conseil ;</w:t>
      </w:r>
    </w:p>
    <w:p w14:paraId="4AF88A40"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avant de commencer l'exécution du contrat, soumettre la liste de droits préexistants (article 10.4.2 (iii)) au Conseil ;</w:t>
      </w:r>
    </w:p>
    <w:p w14:paraId="3BDC92CA"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les livrables au Conseil conformément au calendrier et aux conditions du contrat ;</w:t>
      </w:r>
    </w:p>
    <w:p w14:paraId="17F82B8C"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26AB5D5F" w14:textId="77777777" w:rsidR="0073426D" w:rsidRPr="00AC04FE" w:rsidRDefault="0073426D" w:rsidP="0073426D">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1729D23E" w14:textId="5D595E0D" w:rsidR="0073426D" w:rsidRPr="00AC04FE" w:rsidRDefault="0073426D" w:rsidP="0073426D">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doivent être définis dans un « 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3A734800"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739DF9AB"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0E8014E1"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62ADA3AC"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3A6CF692"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100CA0FA" w14:textId="4F88589B" w:rsidR="0073426D" w:rsidRDefault="0073426D" w:rsidP="0073426D">
      <w:pPr>
        <w:tabs>
          <w:tab w:val="left" w:pos="284"/>
        </w:tabs>
        <w:autoSpaceDE w:val="0"/>
        <w:autoSpaceDN w:val="0"/>
        <w:spacing w:before="40"/>
        <w:jc w:val="both"/>
        <w:rPr>
          <w:rFonts w:ascii="Tahoma" w:hAnsi="Tahoma" w:cs="Tahoma"/>
          <w:color w:val="000000"/>
          <w:sz w:val="18"/>
          <w:szCs w:val="18"/>
          <w:lang w:val="fr-FR"/>
        </w:rPr>
      </w:pPr>
      <w:r w:rsidRPr="00AC04FE">
        <w:rPr>
          <w:rFonts w:ascii="Tahoma" w:hAnsi="Tahoma" w:cs="Tahoma"/>
          <w:color w:val="000000"/>
          <w:sz w:val="18"/>
          <w:szCs w:val="18"/>
          <w:lang w:val="fr-FR"/>
        </w:rPr>
        <w:t>L'accord de consortium ne doit contenir aucune disposition contraire au contrat</w:t>
      </w:r>
      <w:r>
        <w:rPr>
          <w:rFonts w:ascii="Tahoma" w:hAnsi="Tahoma" w:cs="Tahoma"/>
          <w:color w:val="000000"/>
          <w:sz w:val="18"/>
          <w:szCs w:val="18"/>
          <w:lang w:val="fr-FR"/>
        </w:rPr>
        <w:t>.</w:t>
      </w:r>
    </w:p>
    <w:p w14:paraId="168FB1A0" w14:textId="07BA4599" w:rsidR="003A0F5F" w:rsidRPr="00561E48" w:rsidRDefault="003A0F5F" w:rsidP="0073426D">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4593C">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78E7D8C7" w:rsidR="008A7650" w:rsidRPr="00561E48" w:rsidRDefault="008A7650" w:rsidP="0084593C">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1.1.</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2032F6EF" w:rsidR="008A7650" w:rsidRPr="00561E48" w:rsidRDefault="008A7650" w:rsidP="0084593C">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1.2.</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également sans tarder le Conseil</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16667278" w14:textId="5E37F7BA"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14ED052" w14:textId="350E5E73" w:rsidR="008A7650" w:rsidRPr="00561E48" w:rsidRDefault="002F6A7C" w:rsidP="0084593C">
      <w:pPr>
        <w:pStyle w:val="ListParagraph"/>
        <w:numPr>
          <w:ilvl w:val="0"/>
          <w:numId w:val="13"/>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w:t>
      </w:r>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3146033B"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participation à une organisation criminelle, corruption, fraude, blanchiment de capitaux</w:t>
      </w:r>
      <w:r w:rsidR="004F1C84" w:rsidRPr="004F1C84">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4F1C84">
        <w:rPr>
          <w:rFonts w:ascii="Tahoma" w:hAnsi="Tahoma" w:cs="Tahoma"/>
          <w:color w:val="000000" w:themeColor="text1"/>
          <w:sz w:val="18"/>
          <w:szCs w:val="18"/>
          <w:lang w:val="fr-FR"/>
        </w:rPr>
        <w:t> ;</w:t>
      </w:r>
    </w:p>
    <w:p w14:paraId="4DA56CB9" w14:textId="17D1A619"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5E48D065" w14:textId="36565DF1"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A6F8EB4" w14:textId="0562FC3F" w:rsidR="008A7650" w:rsidRPr="00561E48" w:rsidRDefault="00F7148B" w:rsidP="0084593C">
      <w:pPr>
        <w:pStyle w:val="ListParagraph"/>
        <w:numPr>
          <w:ilvl w:val="0"/>
          <w:numId w:val="13"/>
        </w:numPr>
        <w:ind w:left="1134"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r w:rsidR="004F1C84">
        <w:rPr>
          <w:rFonts w:ascii="Tahoma" w:hAnsi="Tahoma" w:cs="Tahoma"/>
          <w:color w:val="000000" w:themeColor="text1"/>
          <w:sz w:val="18"/>
          <w:szCs w:val="18"/>
          <w:lang w:val="fr-FR"/>
        </w:rPr>
        <w:t> ;</w:t>
      </w:r>
    </w:p>
    <w:p w14:paraId="4086FAF8" w14:textId="38D8E223" w:rsidR="00C534F4" w:rsidRPr="00C534F4" w:rsidRDefault="008A7650" w:rsidP="0084593C">
      <w:pPr>
        <w:pStyle w:val="ListParagraph"/>
        <w:numPr>
          <w:ilvl w:val="0"/>
          <w:numId w:val="13"/>
        </w:numPr>
        <w:ind w:left="1134" w:hanging="425"/>
        <w:jc w:val="both"/>
        <w:divId w:val="1530409426"/>
        <w:rPr>
          <w:rFonts w:ascii="Tahoma" w:hAnsi="Tahoma" w:cs="Tahoma"/>
          <w:color w:val="000000"/>
          <w:sz w:val="20"/>
          <w:szCs w:val="18"/>
          <w:lang w:val="fr-FR"/>
        </w:rPr>
      </w:pPr>
      <w:r w:rsidRPr="00561E48">
        <w:rPr>
          <w:rFonts w:ascii="Tahoma" w:hAnsi="Tahoma" w:cs="Tahoma"/>
          <w:color w:val="000000" w:themeColor="text1"/>
          <w:sz w:val="18"/>
          <w:szCs w:val="18"/>
          <w:lang w:val="fr-FR"/>
        </w:rPr>
        <w:t>s’il est ou est susceptible d’être en situation de conflit d’intérêts</w:t>
      </w:r>
      <w:r w:rsidR="004F1C84">
        <w:rPr>
          <w:rFonts w:ascii="Tahoma" w:hAnsi="Tahoma" w:cs="Tahoma"/>
          <w:color w:val="000000" w:themeColor="text1"/>
          <w:sz w:val="18"/>
          <w:szCs w:val="18"/>
          <w:lang w:val="fr-FR"/>
        </w:rPr>
        <w:t> ;</w:t>
      </w:r>
    </w:p>
    <w:p w14:paraId="0312961C" w14:textId="59580FEE" w:rsidR="00C534F4" w:rsidRPr="00C534F4" w:rsidRDefault="00DF1F31"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283123E5" w14:textId="0160AD49"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13"/>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2DE2E22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bookmarkStart w:id="14" w:name="_Hlk62826214"/>
      <w:bookmarkStart w:id="15" w:name="_Hlk62829077"/>
      <w:bookmarkStart w:id="16" w:name="_Toc179868656"/>
      <w:r>
        <w:rPr>
          <w:rFonts w:ascii="Tahoma" w:hAnsi="Tahoma" w:cs="Tahoma"/>
          <w:sz w:val="18"/>
          <w:szCs w:val="18"/>
          <w:lang w:val="fr-FR"/>
        </w:rPr>
        <w:t xml:space="preserve">12.1. </w:t>
      </w:r>
      <w:bookmarkEnd w:id="14"/>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740AE1E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608894A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72BAFCAA" w14:textId="77777777" w:rsidR="004F1C84" w:rsidRPr="00BF5581" w:rsidRDefault="004F1C84" w:rsidP="004F1C84">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0A7C029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ex aequo et bono</w:t>
      </w:r>
      <w:r w:rsidRPr="00BF5581">
        <w:rPr>
          <w:rFonts w:ascii="Tahoma" w:hAnsi="Tahoma" w:cs="Tahoma"/>
          <w:sz w:val="18"/>
          <w:szCs w:val="18"/>
          <w:lang w:val="fr-FR"/>
        </w:rPr>
        <w:t>, compte tenu des principes généraux du droit ainsi que des usages du commerce.</w:t>
      </w:r>
    </w:p>
    <w:p w14:paraId="527C2602" w14:textId="77777777" w:rsidR="004F1C84" w:rsidRPr="00BF5581" w:rsidRDefault="004F1C84" w:rsidP="004F1C84">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5"/>
    <w:p w14:paraId="3E3BDC0A" w14:textId="77777777" w:rsidR="006B0269" w:rsidRDefault="006B0269"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275C174" w14:textId="77777777" w:rsidR="006B0269" w:rsidRDefault="006B0269"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0C800247" w14:textId="77777777" w:rsidR="006B0269" w:rsidRDefault="006B0269"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3818A584" w14:textId="77777777" w:rsidR="006B0269" w:rsidRDefault="006B0269"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41C7A329" w14:textId="25E408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lastRenderedPageBreak/>
        <w:t>Article 1</w:t>
      </w:r>
      <w:r w:rsidR="004F1C84">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16"/>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906F9" w14:textId="77777777" w:rsidR="00DF1F31" w:rsidRDefault="00DF1F31" w:rsidP="00D50F13">
      <w:r>
        <w:separator/>
      </w:r>
    </w:p>
  </w:endnote>
  <w:endnote w:type="continuationSeparator" w:id="0">
    <w:p w14:paraId="13A00AEB" w14:textId="77777777" w:rsidR="00DF1F31" w:rsidRDefault="00DF1F31" w:rsidP="00D50F13">
      <w:r>
        <w:continuationSeparator/>
      </w:r>
    </w:p>
  </w:endnote>
  <w:endnote w:type="continuationNotice" w:id="1">
    <w:p w14:paraId="1D024207" w14:textId="77777777" w:rsidR="00DF1F31" w:rsidRDefault="00DF1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0E12AF"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0E12AF" w:rsidRPr="00AE2D2B" w:rsidRDefault="000E12AF"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0E12AF" w:rsidRPr="00AE2D2B" w:rsidRDefault="000E12AF"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E12AF" w:rsidRPr="00B47508" w:rsidRDefault="000E12A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1C707" w14:textId="77777777" w:rsidR="00DF1F31" w:rsidRDefault="00DF1F31" w:rsidP="00D50F13">
      <w:r>
        <w:separator/>
      </w:r>
    </w:p>
  </w:footnote>
  <w:footnote w:type="continuationSeparator" w:id="0">
    <w:p w14:paraId="2A566D6D" w14:textId="77777777" w:rsidR="00DF1F31" w:rsidRDefault="00DF1F31" w:rsidP="00D50F13">
      <w:r>
        <w:continuationSeparator/>
      </w:r>
    </w:p>
  </w:footnote>
  <w:footnote w:type="continuationNotice" w:id="1">
    <w:p w14:paraId="27515605" w14:textId="77777777" w:rsidR="00DF1F31" w:rsidRDefault="00DF1F31"/>
  </w:footnote>
  <w:footnote w:id="2">
    <w:p w14:paraId="1A7997FD" w14:textId="0DBCC309" w:rsidR="000E12AF" w:rsidRPr="00F47065" w:rsidRDefault="000E12AF">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0E12AF" w:rsidRPr="00F47065" w:rsidRDefault="000E12AF">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6B3B8531" w14:textId="77777777" w:rsidR="0065708D" w:rsidRPr="006B487B" w:rsidRDefault="0065708D" w:rsidP="0065708D">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Au nom de la Secrétaire Générale du Conseil de l’Europe.</w:t>
      </w:r>
    </w:p>
  </w:footnote>
  <w:footnote w:id="5">
    <w:p w14:paraId="64B0BCA4" w14:textId="77777777" w:rsidR="000E12AF" w:rsidRPr="00F47065" w:rsidRDefault="000E12AF"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9120EEA" w14:textId="17A6ED9C" w:rsidR="000E12AF" w:rsidRPr="009C22B1" w:rsidRDefault="000E12AF"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0E12AF" w:rsidRDefault="000E12AF">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47F09"/>
    <w:multiLevelType w:val="hybridMultilevel"/>
    <w:tmpl w:val="B95C8DF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50C32"/>
    <w:multiLevelType w:val="hybridMultilevel"/>
    <w:tmpl w:val="2F067A9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3"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5865088"/>
    <w:multiLevelType w:val="hybridMultilevel"/>
    <w:tmpl w:val="E03AB23A"/>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6"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8"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8385B0A"/>
    <w:multiLevelType w:val="hybridMultilevel"/>
    <w:tmpl w:val="04C205FE"/>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22"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23"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B0897"/>
    <w:multiLevelType w:val="hybridMultilevel"/>
    <w:tmpl w:val="9AF8811C"/>
    <w:lvl w:ilvl="0" w:tplc="F0A0C7F6">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6"/>
  </w:num>
  <w:num w:numId="2">
    <w:abstractNumId w:val="20"/>
  </w:num>
  <w:num w:numId="3">
    <w:abstractNumId w:val="34"/>
  </w:num>
  <w:num w:numId="4">
    <w:abstractNumId w:val="35"/>
  </w:num>
  <w:num w:numId="5">
    <w:abstractNumId w:val="3"/>
  </w:num>
  <w:num w:numId="6">
    <w:abstractNumId w:val="2"/>
  </w:num>
  <w:num w:numId="7">
    <w:abstractNumId w:val="17"/>
  </w:num>
  <w:num w:numId="8">
    <w:abstractNumId w:val="5"/>
  </w:num>
  <w:num w:numId="9">
    <w:abstractNumId w:val="40"/>
  </w:num>
  <w:num w:numId="10">
    <w:abstractNumId w:val="38"/>
  </w:num>
  <w:num w:numId="11">
    <w:abstractNumId w:val="31"/>
  </w:num>
  <w:num w:numId="12">
    <w:abstractNumId w:val="13"/>
  </w:num>
  <w:num w:numId="13">
    <w:abstractNumId w:val="41"/>
  </w:num>
  <w:num w:numId="14">
    <w:abstractNumId w:val="23"/>
  </w:num>
  <w:num w:numId="15">
    <w:abstractNumId w:val="39"/>
  </w:num>
  <w:num w:numId="16">
    <w:abstractNumId w:val="1"/>
  </w:num>
  <w:num w:numId="17">
    <w:abstractNumId w:val="0"/>
  </w:num>
  <w:num w:numId="18">
    <w:abstractNumId w:val="15"/>
  </w:num>
  <w:num w:numId="19">
    <w:abstractNumId w:val="19"/>
  </w:num>
  <w:num w:numId="20">
    <w:abstractNumId w:val="28"/>
  </w:num>
  <w:num w:numId="21">
    <w:abstractNumId w:val="18"/>
  </w:num>
  <w:num w:numId="22">
    <w:abstractNumId w:val="8"/>
  </w:num>
  <w:num w:numId="23">
    <w:abstractNumId w:val="4"/>
  </w:num>
  <w:num w:numId="24">
    <w:abstractNumId w:val="33"/>
  </w:num>
  <w:num w:numId="25">
    <w:abstractNumId w:val="7"/>
  </w:num>
  <w:num w:numId="26">
    <w:abstractNumId w:val="36"/>
  </w:num>
  <w:num w:numId="27">
    <w:abstractNumId w:val="32"/>
  </w:num>
  <w:num w:numId="28">
    <w:abstractNumId w:val="9"/>
  </w:num>
  <w:num w:numId="29">
    <w:abstractNumId w:val="30"/>
  </w:num>
  <w:num w:numId="30">
    <w:abstractNumId w:val="22"/>
  </w:num>
  <w:num w:numId="31">
    <w:abstractNumId w:val="2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1"/>
  </w:num>
  <w:num w:numId="36">
    <w:abstractNumId w:val="6"/>
  </w:num>
  <w:num w:numId="37">
    <w:abstractNumId w:val="29"/>
  </w:num>
  <w:num w:numId="38">
    <w:abstractNumId w:val="27"/>
  </w:num>
  <w:num w:numId="39">
    <w:abstractNumId w:val="12"/>
  </w:num>
  <w:num w:numId="40">
    <w:abstractNumId w:val="10"/>
  </w:num>
  <w:num w:numId="41">
    <w:abstractNumId w:val="21"/>
  </w:num>
  <w:num w:numId="42">
    <w:abstractNumId w:val="14"/>
  </w:num>
  <w:num w:numId="4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179C"/>
    <w:rsid w:val="000478B8"/>
    <w:rsid w:val="00066AC3"/>
    <w:rsid w:val="00072FB8"/>
    <w:rsid w:val="0008106F"/>
    <w:rsid w:val="0008205C"/>
    <w:rsid w:val="000837E6"/>
    <w:rsid w:val="000841B9"/>
    <w:rsid w:val="00084509"/>
    <w:rsid w:val="000852FE"/>
    <w:rsid w:val="00093155"/>
    <w:rsid w:val="000966F4"/>
    <w:rsid w:val="000A0798"/>
    <w:rsid w:val="000A0D8A"/>
    <w:rsid w:val="000A19C2"/>
    <w:rsid w:val="000B26A2"/>
    <w:rsid w:val="000B4274"/>
    <w:rsid w:val="000B452B"/>
    <w:rsid w:val="000B57B2"/>
    <w:rsid w:val="000C3F9A"/>
    <w:rsid w:val="000C4D6D"/>
    <w:rsid w:val="000D3674"/>
    <w:rsid w:val="000E0285"/>
    <w:rsid w:val="000E12AF"/>
    <w:rsid w:val="000E2440"/>
    <w:rsid w:val="000E3E9A"/>
    <w:rsid w:val="000E53B5"/>
    <w:rsid w:val="000E59DC"/>
    <w:rsid w:val="000E5DF5"/>
    <w:rsid w:val="000F1520"/>
    <w:rsid w:val="000F18A2"/>
    <w:rsid w:val="000F3067"/>
    <w:rsid w:val="000F3CB2"/>
    <w:rsid w:val="000F448F"/>
    <w:rsid w:val="000F5561"/>
    <w:rsid w:val="00102B70"/>
    <w:rsid w:val="00103895"/>
    <w:rsid w:val="00112287"/>
    <w:rsid w:val="00113108"/>
    <w:rsid w:val="0011556A"/>
    <w:rsid w:val="00124371"/>
    <w:rsid w:val="001253AD"/>
    <w:rsid w:val="00126183"/>
    <w:rsid w:val="0012667B"/>
    <w:rsid w:val="00127842"/>
    <w:rsid w:val="00127AB4"/>
    <w:rsid w:val="00135199"/>
    <w:rsid w:val="001359BE"/>
    <w:rsid w:val="0014098C"/>
    <w:rsid w:val="00150458"/>
    <w:rsid w:val="00150C0F"/>
    <w:rsid w:val="00156A94"/>
    <w:rsid w:val="00160002"/>
    <w:rsid w:val="00160CE8"/>
    <w:rsid w:val="0016172B"/>
    <w:rsid w:val="00162598"/>
    <w:rsid w:val="00162743"/>
    <w:rsid w:val="0017018D"/>
    <w:rsid w:val="001813A0"/>
    <w:rsid w:val="00183E4D"/>
    <w:rsid w:val="001849D2"/>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4B81"/>
    <w:rsid w:val="001F5A87"/>
    <w:rsid w:val="002019A5"/>
    <w:rsid w:val="002111B3"/>
    <w:rsid w:val="002133FA"/>
    <w:rsid w:val="00213A16"/>
    <w:rsid w:val="00213BF9"/>
    <w:rsid w:val="002229B8"/>
    <w:rsid w:val="00223781"/>
    <w:rsid w:val="00225B0D"/>
    <w:rsid w:val="00225FA7"/>
    <w:rsid w:val="00230B5C"/>
    <w:rsid w:val="00231DB6"/>
    <w:rsid w:val="00232F39"/>
    <w:rsid w:val="002336A0"/>
    <w:rsid w:val="00233894"/>
    <w:rsid w:val="00240827"/>
    <w:rsid w:val="00251355"/>
    <w:rsid w:val="00256C49"/>
    <w:rsid w:val="00266619"/>
    <w:rsid w:val="00273F07"/>
    <w:rsid w:val="002818A7"/>
    <w:rsid w:val="00290EAC"/>
    <w:rsid w:val="002921E8"/>
    <w:rsid w:val="00293CBB"/>
    <w:rsid w:val="00294937"/>
    <w:rsid w:val="00297D2E"/>
    <w:rsid w:val="002A2C42"/>
    <w:rsid w:val="002A56A1"/>
    <w:rsid w:val="002B4786"/>
    <w:rsid w:val="002B4CD4"/>
    <w:rsid w:val="002B52CC"/>
    <w:rsid w:val="002B7D3D"/>
    <w:rsid w:val="002C2A36"/>
    <w:rsid w:val="002C6F98"/>
    <w:rsid w:val="002C75F4"/>
    <w:rsid w:val="002D471E"/>
    <w:rsid w:val="002D5425"/>
    <w:rsid w:val="002D5DC0"/>
    <w:rsid w:val="002E0260"/>
    <w:rsid w:val="002E5606"/>
    <w:rsid w:val="002F5A8E"/>
    <w:rsid w:val="002F631F"/>
    <w:rsid w:val="002F6A7C"/>
    <w:rsid w:val="00300098"/>
    <w:rsid w:val="00304E39"/>
    <w:rsid w:val="00306EAE"/>
    <w:rsid w:val="00310426"/>
    <w:rsid w:val="00311B46"/>
    <w:rsid w:val="00320711"/>
    <w:rsid w:val="003225BB"/>
    <w:rsid w:val="003231B6"/>
    <w:rsid w:val="0032345F"/>
    <w:rsid w:val="00332AF4"/>
    <w:rsid w:val="003347E8"/>
    <w:rsid w:val="00342DEE"/>
    <w:rsid w:val="0034681E"/>
    <w:rsid w:val="00350F4E"/>
    <w:rsid w:val="0035108E"/>
    <w:rsid w:val="003565A5"/>
    <w:rsid w:val="00361219"/>
    <w:rsid w:val="00362CA7"/>
    <w:rsid w:val="00366A14"/>
    <w:rsid w:val="003705A6"/>
    <w:rsid w:val="003712F2"/>
    <w:rsid w:val="003714EB"/>
    <w:rsid w:val="00371509"/>
    <w:rsid w:val="003840F5"/>
    <w:rsid w:val="00386026"/>
    <w:rsid w:val="0039258A"/>
    <w:rsid w:val="00394B2C"/>
    <w:rsid w:val="003A0F5F"/>
    <w:rsid w:val="003A5835"/>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6407"/>
    <w:rsid w:val="0046282E"/>
    <w:rsid w:val="0046469D"/>
    <w:rsid w:val="00467698"/>
    <w:rsid w:val="004702E7"/>
    <w:rsid w:val="004720A6"/>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1C84"/>
    <w:rsid w:val="004F2CFB"/>
    <w:rsid w:val="004F6499"/>
    <w:rsid w:val="004F71A4"/>
    <w:rsid w:val="0050684E"/>
    <w:rsid w:val="005144E0"/>
    <w:rsid w:val="00523268"/>
    <w:rsid w:val="005238C8"/>
    <w:rsid w:val="00527592"/>
    <w:rsid w:val="0053184A"/>
    <w:rsid w:val="00531A42"/>
    <w:rsid w:val="0053377B"/>
    <w:rsid w:val="00542FEE"/>
    <w:rsid w:val="005456B4"/>
    <w:rsid w:val="00550849"/>
    <w:rsid w:val="00561E48"/>
    <w:rsid w:val="00566A81"/>
    <w:rsid w:val="00567F3E"/>
    <w:rsid w:val="00574BCC"/>
    <w:rsid w:val="00580486"/>
    <w:rsid w:val="005840ED"/>
    <w:rsid w:val="005845C2"/>
    <w:rsid w:val="005851F4"/>
    <w:rsid w:val="00590EDA"/>
    <w:rsid w:val="005A4B59"/>
    <w:rsid w:val="005A6974"/>
    <w:rsid w:val="005B0752"/>
    <w:rsid w:val="005B17CB"/>
    <w:rsid w:val="005C5D6E"/>
    <w:rsid w:val="005C5D80"/>
    <w:rsid w:val="005D7825"/>
    <w:rsid w:val="005E2710"/>
    <w:rsid w:val="005E569B"/>
    <w:rsid w:val="005F0F4C"/>
    <w:rsid w:val="005F4D6F"/>
    <w:rsid w:val="005F65E7"/>
    <w:rsid w:val="00607796"/>
    <w:rsid w:val="00611175"/>
    <w:rsid w:val="00613313"/>
    <w:rsid w:val="00621397"/>
    <w:rsid w:val="006232B4"/>
    <w:rsid w:val="006266B6"/>
    <w:rsid w:val="006426F7"/>
    <w:rsid w:val="00647C28"/>
    <w:rsid w:val="00653BB6"/>
    <w:rsid w:val="006558F9"/>
    <w:rsid w:val="0065708D"/>
    <w:rsid w:val="00660256"/>
    <w:rsid w:val="00662182"/>
    <w:rsid w:val="00662FF0"/>
    <w:rsid w:val="00665490"/>
    <w:rsid w:val="006717A7"/>
    <w:rsid w:val="0067529C"/>
    <w:rsid w:val="006768AE"/>
    <w:rsid w:val="006771B6"/>
    <w:rsid w:val="00680325"/>
    <w:rsid w:val="006827E9"/>
    <w:rsid w:val="006832F7"/>
    <w:rsid w:val="00687A2D"/>
    <w:rsid w:val="00687D63"/>
    <w:rsid w:val="006912CB"/>
    <w:rsid w:val="006A07AE"/>
    <w:rsid w:val="006A2AD4"/>
    <w:rsid w:val="006A51F8"/>
    <w:rsid w:val="006A750B"/>
    <w:rsid w:val="006A7F07"/>
    <w:rsid w:val="006B0269"/>
    <w:rsid w:val="006B14F0"/>
    <w:rsid w:val="006B2D7D"/>
    <w:rsid w:val="006B5CAE"/>
    <w:rsid w:val="006B71A1"/>
    <w:rsid w:val="006C7D58"/>
    <w:rsid w:val="006D00AF"/>
    <w:rsid w:val="006D3613"/>
    <w:rsid w:val="006D78F7"/>
    <w:rsid w:val="006E09FC"/>
    <w:rsid w:val="006F040B"/>
    <w:rsid w:val="006F044B"/>
    <w:rsid w:val="006F4BD3"/>
    <w:rsid w:val="00707908"/>
    <w:rsid w:val="00711683"/>
    <w:rsid w:val="00711B7F"/>
    <w:rsid w:val="00714678"/>
    <w:rsid w:val="00714D53"/>
    <w:rsid w:val="0072200B"/>
    <w:rsid w:val="00732180"/>
    <w:rsid w:val="007328DB"/>
    <w:rsid w:val="007332D8"/>
    <w:rsid w:val="0073426D"/>
    <w:rsid w:val="00743F00"/>
    <w:rsid w:val="0074421A"/>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B64ED"/>
    <w:rsid w:val="007C267B"/>
    <w:rsid w:val="007C4BED"/>
    <w:rsid w:val="007D3B9C"/>
    <w:rsid w:val="007D46B2"/>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134E"/>
    <w:rsid w:val="0083377F"/>
    <w:rsid w:val="00840C1E"/>
    <w:rsid w:val="00844F82"/>
    <w:rsid w:val="0084593C"/>
    <w:rsid w:val="00847F47"/>
    <w:rsid w:val="008539A2"/>
    <w:rsid w:val="0085784E"/>
    <w:rsid w:val="00860FEB"/>
    <w:rsid w:val="008628C7"/>
    <w:rsid w:val="008713A9"/>
    <w:rsid w:val="00873212"/>
    <w:rsid w:val="00883877"/>
    <w:rsid w:val="00883C2D"/>
    <w:rsid w:val="008871ED"/>
    <w:rsid w:val="00887B2A"/>
    <w:rsid w:val="00890F8A"/>
    <w:rsid w:val="00892D73"/>
    <w:rsid w:val="00893E70"/>
    <w:rsid w:val="008A486B"/>
    <w:rsid w:val="008A7650"/>
    <w:rsid w:val="008B37A2"/>
    <w:rsid w:val="008B3EEE"/>
    <w:rsid w:val="008B6BE9"/>
    <w:rsid w:val="008B6FDD"/>
    <w:rsid w:val="008C09DB"/>
    <w:rsid w:val="008C754F"/>
    <w:rsid w:val="008D113B"/>
    <w:rsid w:val="008D3220"/>
    <w:rsid w:val="008D446D"/>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C7430"/>
    <w:rsid w:val="009D264F"/>
    <w:rsid w:val="009D290D"/>
    <w:rsid w:val="009E0C9B"/>
    <w:rsid w:val="009E4346"/>
    <w:rsid w:val="009E55DF"/>
    <w:rsid w:val="009F3171"/>
    <w:rsid w:val="009F32D6"/>
    <w:rsid w:val="009F49A6"/>
    <w:rsid w:val="009F5764"/>
    <w:rsid w:val="009F6493"/>
    <w:rsid w:val="00A00374"/>
    <w:rsid w:val="00A01BC9"/>
    <w:rsid w:val="00A02699"/>
    <w:rsid w:val="00A0376A"/>
    <w:rsid w:val="00A06007"/>
    <w:rsid w:val="00A12241"/>
    <w:rsid w:val="00A15943"/>
    <w:rsid w:val="00A220B0"/>
    <w:rsid w:val="00A30FC9"/>
    <w:rsid w:val="00A34538"/>
    <w:rsid w:val="00A40899"/>
    <w:rsid w:val="00A45212"/>
    <w:rsid w:val="00A50002"/>
    <w:rsid w:val="00A50802"/>
    <w:rsid w:val="00A51EDA"/>
    <w:rsid w:val="00A535BA"/>
    <w:rsid w:val="00A53BF2"/>
    <w:rsid w:val="00A65785"/>
    <w:rsid w:val="00A675CC"/>
    <w:rsid w:val="00A6780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412B"/>
    <w:rsid w:val="00B4569A"/>
    <w:rsid w:val="00B4675F"/>
    <w:rsid w:val="00B47508"/>
    <w:rsid w:val="00B50164"/>
    <w:rsid w:val="00B5712C"/>
    <w:rsid w:val="00B60F30"/>
    <w:rsid w:val="00B653B9"/>
    <w:rsid w:val="00B72357"/>
    <w:rsid w:val="00B74DC5"/>
    <w:rsid w:val="00B74E97"/>
    <w:rsid w:val="00B82B21"/>
    <w:rsid w:val="00BA18E5"/>
    <w:rsid w:val="00BA355F"/>
    <w:rsid w:val="00BA535D"/>
    <w:rsid w:val="00BB11AE"/>
    <w:rsid w:val="00BB66CF"/>
    <w:rsid w:val="00BB699F"/>
    <w:rsid w:val="00BC3EF7"/>
    <w:rsid w:val="00BC4242"/>
    <w:rsid w:val="00BC5D10"/>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4493"/>
    <w:rsid w:val="00C16967"/>
    <w:rsid w:val="00C2026A"/>
    <w:rsid w:val="00C20349"/>
    <w:rsid w:val="00C20832"/>
    <w:rsid w:val="00C228B0"/>
    <w:rsid w:val="00C22B8E"/>
    <w:rsid w:val="00C30B4D"/>
    <w:rsid w:val="00C31D1B"/>
    <w:rsid w:val="00C32676"/>
    <w:rsid w:val="00C35F97"/>
    <w:rsid w:val="00C4103C"/>
    <w:rsid w:val="00C5327B"/>
    <w:rsid w:val="00C534F4"/>
    <w:rsid w:val="00C53AF9"/>
    <w:rsid w:val="00C57EAD"/>
    <w:rsid w:val="00C63C98"/>
    <w:rsid w:val="00C674A5"/>
    <w:rsid w:val="00C73C2F"/>
    <w:rsid w:val="00C73ED8"/>
    <w:rsid w:val="00C7426B"/>
    <w:rsid w:val="00C7643B"/>
    <w:rsid w:val="00C8161F"/>
    <w:rsid w:val="00C81B85"/>
    <w:rsid w:val="00C8260C"/>
    <w:rsid w:val="00C8316F"/>
    <w:rsid w:val="00CA067E"/>
    <w:rsid w:val="00CA4416"/>
    <w:rsid w:val="00CA5DE0"/>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C3F97"/>
    <w:rsid w:val="00DD4C16"/>
    <w:rsid w:val="00DE0239"/>
    <w:rsid w:val="00DE34D9"/>
    <w:rsid w:val="00DE64EF"/>
    <w:rsid w:val="00DF1F31"/>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81D73"/>
    <w:rsid w:val="00E90DC4"/>
    <w:rsid w:val="00E9309D"/>
    <w:rsid w:val="00E94437"/>
    <w:rsid w:val="00EA6641"/>
    <w:rsid w:val="00EB550D"/>
    <w:rsid w:val="00EB6C90"/>
    <w:rsid w:val="00EC08A1"/>
    <w:rsid w:val="00EC479D"/>
    <w:rsid w:val="00EE02C3"/>
    <w:rsid w:val="00EE1D09"/>
    <w:rsid w:val="00EE2417"/>
    <w:rsid w:val="00EE2E04"/>
    <w:rsid w:val="00EE7240"/>
    <w:rsid w:val="00EF46DB"/>
    <w:rsid w:val="00EF66B8"/>
    <w:rsid w:val="00F00AEC"/>
    <w:rsid w:val="00F02592"/>
    <w:rsid w:val="00F130D7"/>
    <w:rsid w:val="00F17C76"/>
    <w:rsid w:val="00F21225"/>
    <w:rsid w:val="00F21315"/>
    <w:rsid w:val="00F23365"/>
    <w:rsid w:val="00F24E0D"/>
    <w:rsid w:val="00F25459"/>
    <w:rsid w:val="00F26952"/>
    <w:rsid w:val="00F270C4"/>
    <w:rsid w:val="00F30E47"/>
    <w:rsid w:val="00F47065"/>
    <w:rsid w:val="00F50F2D"/>
    <w:rsid w:val="00F56682"/>
    <w:rsid w:val="00F57BB6"/>
    <w:rsid w:val="00F57EC4"/>
    <w:rsid w:val="00F7148B"/>
    <w:rsid w:val="00F742F2"/>
    <w:rsid w:val="00F7456D"/>
    <w:rsid w:val="00F77E7D"/>
    <w:rsid w:val="00F84B26"/>
    <w:rsid w:val="00FA0F06"/>
    <w:rsid w:val="00FA7021"/>
    <w:rsid w:val="00FA70E6"/>
    <w:rsid w:val="00FB168A"/>
    <w:rsid w:val="00FB73C1"/>
    <w:rsid w:val="00FC08DE"/>
    <w:rsid w:val="00FC3F2E"/>
    <w:rsid w:val="00FC453F"/>
    <w:rsid w:val="00FC6ECA"/>
    <w:rsid w:val="00FC72C5"/>
    <w:rsid w:val="00FC7A03"/>
    <w:rsid w:val="00FC7E0E"/>
    <w:rsid w:val="00FD1B25"/>
    <w:rsid w:val="00FD4486"/>
    <w:rsid w:val="00FD6A3F"/>
    <w:rsid w:val="00FE1164"/>
    <w:rsid w:val="00FE4C32"/>
    <w:rsid w:val="00FE4FEF"/>
    <w:rsid w:val="00FF2EAD"/>
    <w:rsid w:val="00FF40AA"/>
    <w:rsid w:val="00FF60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E0"/>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A6780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432371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165629484">
      <w:bodyDiv w:val="1"/>
      <w:marLeft w:val="0"/>
      <w:marRight w:val="0"/>
      <w:marTop w:val="0"/>
      <w:marBottom w:val="0"/>
      <w:divBdr>
        <w:top w:val="none" w:sz="0" w:space="0" w:color="auto"/>
        <w:left w:val="none" w:sz="0" w:space="0" w:color="auto"/>
        <w:bottom w:val="none" w:sz="0" w:space="0" w:color="auto"/>
        <w:right w:val="none" w:sz="0" w:space="0" w:color="auto"/>
      </w:divBdr>
    </w:div>
    <w:div w:id="1226179620">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a.rezoug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
      <w:docPartPr>
        <w:name w:val="572836329F1F4B56AC97F5830D78C096"/>
        <w:category>
          <w:name w:val="General"/>
          <w:gallery w:val="placeholder"/>
        </w:category>
        <w:types>
          <w:type w:val="bbPlcHdr"/>
        </w:types>
        <w:behaviors>
          <w:behavior w:val="content"/>
        </w:behaviors>
        <w:guid w:val="{3861D7A5-38F5-444F-B609-2BF44AD0AF1C}"/>
      </w:docPartPr>
      <w:docPartBody>
        <w:p w:rsidR="00055902" w:rsidRDefault="00055902" w:rsidP="00055902">
          <w:pPr>
            <w:pStyle w:val="572836329F1F4B56AC97F5830D78C096"/>
          </w:pPr>
          <w:r w:rsidRPr="008F7BB1">
            <w:rPr>
              <w:rStyle w:val="PlaceholderText"/>
              <w:rFonts w:ascii="Tahoma" w:hAnsi="Tahoma" w:cs="Tahoma"/>
              <w:sz w:val="20"/>
              <w:szCs w:val="20"/>
            </w:rPr>
            <w:t>date</w:t>
          </w:r>
        </w:p>
      </w:docPartBody>
    </w:docPart>
    <w:docPart>
      <w:docPartPr>
        <w:name w:val="479D410D30E842AE9435DB38B93B8023"/>
        <w:category>
          <w:name w:val="General"/>
          <w:gallery w:val="placeholder"/>
        </w:category>
        <w:types>
          <w:type w:val="bbPlcHdr"/>
        </w:types>
        <w:behaviors>
          <w:behavior w:val="content"/>
        </w:behaviors>
        <w:guid w:val="{F31F71C0-43F0-4E6E-8253-715ADE656FD6}"/>
      </w:docPartPr>
      <w:docPartBody>
        <w:p w:rsidR="00055902" w:rsidRDefault="00055902" w:rsidP="00055902">
          <w:pPr>
            <w:pStyle w:val="479D410D30E842AE9435DB38B93B8023"/>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55902"/>
    <w:rsid w:val="001B0EDB"/>
    <w:rsid w:val="00282F38"/>
    <w:rsid w:val="00355E49"/>
    <w:rsid w:val="004E534F"/>
    <w:rsid w:val="00573294"/>
    <w:rsid w:val="005D3DB3"/>
    <w:rsid w:val="005F7938"/>
    <w:rsid w:val="006538C0"/>
    <w:rsid w:val="00A30AC7"/>
    <w:rsid w:val="00BF6FC4"/>
    <w:rsid w:val="00C70C9E"/>
    <w:rsid w:val="00CA1A63"/>
    <w:rsid w:val="00D473A5"/>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55902"/>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F756D715DB5C412DAA1E159ABD267655">
    <w:name w:val="F756D715DB5C412DAA1E159ABD267655"/>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 w:type="paragraph" w:customStyle="1" w:styleId="2F6B59634CC84C509823D9EA41949E752">
    <w:name w:val="2F6B59634CC84C509823D9EA41949E752"/>
    <w:rsid w:val="00A30AC7"/>
    <w:pPr>
      <w:spacing w:after="0" w:line="240" w:lineRule="auto"/>
    </w:pPr>
    <w:rPr>
      <w:rFonts w:ascii="Arial" w:eastAsia="Times New Roman" w:hAnsi="Arial" w:cs="Arial"/>
      <w:lang w:val="en-GB" w:eastAsia="en-GB"/>
    </w:rPr>
  </w:style>
  <w:style w:type="paragraph" w:customStyle="1" w:styleId="D5979677EF234DED910477F315F729E3">
    <w:name w:val="D5979677EF234DED910477F315F729E3"/>
    <w:rsid w:val="00D473A5"/>
    <w:pPr>
      <w:spacing w:after="160" w:line="259" w:lineRule="auto"/>
    </w:pPr>
    <w:rPr>
      <w:lang w:val="fr-FR" w:eastAsia="fr-FR"/>
    </w:rPr>
  </w:style>
  <w:style w:type="paragraph" w:customStyle="1" w:styleId="48997624E2DE4C9CAE9F2A1F1864BFD9">
    <w:name w:val="48997624E2DE4C9CAE9F2A1F1864BFD9"/>
    <w:rsid w:val="00D473A5"/>
    <w:pPr>
      <w:spacing w:after="160" w:line="259" w:lineRule="auto"/>
    </w:pPr>
    <w:rPr>
      <w:lang w:val="fr-FR" w:eastAsia="fr-FR"/>
    </w:rPr>
  </w:style>
  <w:style w:type="paragraph" w:customStyle="1" w:styleId="7FF07E10C5BC4A219CB0A02A7072AA5E">
    <w:name w:val="7FF07E10C5BC4A219CB0A02A7072AA5E"/>
    <w:rsid w:val="00D473A5"/>
    <w:pPr>
      <w:spacing w:after="160" w:line="259" w:lineRule="auto"/>
    </w:pPr>
    <w:rPr>
      <w:lang w:val="fr-FR" w:eastAsia="fr-FR"/>
    </w:rPr>
  </w:style>
  <w:style w:type="paragraph" w:customStyle="1" w:styleId="86CBA69DB83D45EC8EAE7E4102E36AEA">
    <w:name w:val="86CBA69DB83D45EC8EAE7E4102E36AEA"/>
    <w:rsid w:val="00D473A5"/>
    <w:pPr>
      <w:spacing w:after="160" w:line="259" w:lineRule="auto"/>
    </w:pPr>
    <w:rPr>
      <w:lang w:val="fr-FR" w:eastAsia="fr-FR"/>
    </w:rPr>
  </w:style>
  <w:style w:type="paragraph" w:customStyle="1" w:styleId="D5979677EF234DED910477F315F729E31">
    <w:name w:val="D5979677EF234DED910477F315F729E31"/>
    <w:rsid w:val="00D473A5"/>
    <w:pPr>
      <w:spacing w:after="0" w:line="240" w:lineRule="auto"/>
    </w:pPr>
    <w:rPr>
      <w:rFonts w:ascii="Arial" w:eastAsia="Times New Roman" w:hAnsi="Arial" w:cs="Arial"/>
      <w:lang w:val="en-GB" w:eastAsia="en-GB"/>
    </w:rPr>
  </w:style>
  <w:style w:type="paragraph" w:customStyle="1" w:styleId="48997624E2DE4C9CAE9F2A1F1864BFD91">
    <w:name w:val="48997624E2DE4C9CAE9F2A1F1864BFD91"/>
    <w:rsid w:val="00D473A5"/>
    <w:pPr>
      <w:spacing w:after="0" w:line="240" w:lineRule="auto"/>
    </w:pPr>
    <w:rPr>
      <w:rFonts w:ascii="Arial" w:eastAsia="Times New Roman" w:hAnsi="Arial" w:cs="Arial"/>
      <w:lang w:val="en-GB" w:eastAsia="en-GB"/>
    </w:rPr>
  </w:style>
  <w:style w:type="paragraph" w:customStyle="1" w:styleId="7FF07E10C5BC4A219CB0A02A7072AA5E1">
    <w:name w:val="7FF07E10C5BC4A219CB0A02A7072AA5E1"/>
    <w:rsid w:val="00D473A5"/>
    <w:pPr>
      <w:spacing w:after="0" w:line="240" w:lineRule="auto"/>
    </w:pPr>
    <w:rPr>
      <w:rFonts w:ascii="Arial" w:eastAsia="Times New Roman" w:hAnsi="Arial" w:cs="Arial"/>
      <w:lang w:val="en-GB" w:eastAsia="en-GB"/>
    </w:rPr>
  </w:style>
  <w:style w:type="paragraph" w:customStyle="1" w:styleId="86CBA69DB83D45EC8EAE7E4102E36AEA1">
    <w:name w:val="86CBA69DB83D45EC8EAE7E4102E36AEA1"/>
    <w:rsid w:val="00D473A5"/>
    <w:pPr>
      <w:spacing w:after="0" w:line="240" w:lineRule="auto"/>
    </w:pPr>
    <w:rPr>
      <w:rFonts w:ascii="Arial" w:eastAsia="Times New Roman" w:hAnsi="Arial" w:cs="Arial"/>
      <w:lang w:val="en-GB" w:eastAsia="en-GB"/>
    </w:rPr>
  </w:style>
  <w:style w:type="paragraph" w:customStyle="1" w:styleId="73EB90B980394ED58F8B116E6591D6D4">
    <w:name w:val="73EB90B980394ED58F8B116E6591D6D4"/>
    <w:rsid w:val="00573294"/>
    <w:pPr>
      <w:spacing w:after="160" w:line="259" w:lineRule="auto"/>
    </w:pPr>
    <w:rPr>
      <w:lang w:val="fr-FR" w:eastAsia="fr-FR"/>
    </w:rPr>
  </w:style>
  <w:style w:type="paragraph" w:customStyle="1" w:styleId="A19C2CFE481446C7AF1DA96F564FA566">
    <w:name w:val="A19C2CFE481446C7AF1DA96F564FA566"/>
    <w:rsid w:val="00573294"/>
    <w:pPr>
      <w:spacing w:after="160" w:line="259" w:lineRule="auto"/>
    </w:pPr>
    <w:rPr>
      <w:lang w:val="fr-FR" w:eastAsia="fr-FR"/>
    </w:rPr>
  </w:style>
  <w:style w:type="paragraph" w:customStyle="1" w:styleId="2C934CCAAEE4478781E97CF39B18C28E">
    <w:name w:val="2C934CCAAEE4478781E97CF39B18C28E"/>
    <w:rsid w:val="00573294"/>
    <w:pPr>
      <w:spacing w:after="160" w:line="259" w:lineRule="auto"/>
    </w:pPr>
    <w:rPr>
      <w:lang w:val="fr-FR" w:eastAsia="fr-FR"/>
    </w:rPr>
  </w:style>
  <w:style w:type="paragraph" w:customStyle="1" w:styleId="6502375AE6B34BC19D4A821F50629DB2">
    <w:name w:val="6502375AE6B34BC19D4A821F50629DB2"/>
    <w:rsid w:val="00573294"/>
    <w:pPr>
      <w:spacing w:after="160" w:line="259" w:lineRule="auto"/>
    </w:pPr>
    <w:rPr>
      <w:lang w:val="fr-FR" w:eastAsia="fr-FR"/>
    </w:rPr>
  </w:style>
  <w:style w:type="paragraph" w:customStyle="1" w:styleId="572836329F1F4B56AC97F5830D78C096">
    <w:name w:val="572836329F1F4B56AC97F5830D78C096"/>
    <w:rsid w:val="00055902"/>
    <w:pPr>
      <w:spacing w:after="160" w:line="259" w:lineRule="auto"/>
    </w:pPr>
    <w:rPr>
      <w:lang w:val="fr-FR" w:eastAsia="fr-FR"/>
    </w:rPr>
  </w:style>
  <w:style w:type="paragraph" w:customStyle="1" w:styleId="F0C0AD3875E844E897D4B027154A6E4A">
    <w:name w:val="F0C0AD3875E844E897D4B027154A6E4A"/>
    <w:rsid w:val="00055902"/>
    <w:pPr>
      <w:spacing w:after="160" w:line="259" w:lineRule="auto"/>
    </w:pPr>
    <w:rPr>
      <w:lang w:val="fr-FR" w:eastAsia="fr-FR"/>
    </w:rPr>
  </w:style>
  <w:style w:type="paragraph" w:customStyle="1" w:styleId="8A741A87AB584900BAECDD2962842CE5">
    <w:name w:val="8A741A87AB584900BAECDD2962842CE5"/>
    <w:rsid w:val="00055902"/>
    <w:pPr>
      <w:spacing w:after="160" w:line="259" w:lineRule="auto"/>
    </w:pPr>
    <w:rPr>
      <w:lang w:val="fr-FR" w:eastAsia="fr-FR"/>
    </w:rPr>
  </w:style>
  <w:style w:type="paragraph" w:customStyle="1" w:styleId="4D22BC4C80294ADA98F83AAFF252E92F">
    <w:name w:val="4D22BC4C80294ADA98F83AAFF252E92F"/>
    <w:rsid w:val="00055902"/>
    <w:pPr>
      <w:spacing w:after="160" w:line="259" w:lineRule="auto"/>
    </w:pPr>
    <w:rPr>
      <w:lang w:val="fr-FR" w:eastAsia="fr-FR"/>
    </w:rPr>
  </w:style>
  <w:style w:type="paragraph" w:customStyle="1" w:styleId="479D410D30E842AE9435DB38B93B8023">
    <w:name w:val="479D410D30E842AE9435DB38B93B8023"/>
    <w:rsid w:val="00055902"/>
    <w:pPr>
      <w:spacing w:after="160" w:line="259" w:lineRule="auto"/>
    </w:pPr>
    <w:rPr>
      <w:lang w:val="fr-FR" w:eastAsia="fr-FR"/>
    </w:rPr>
  </w:style>
  <w:style w:type="paragraph" w:customStyle="1" w:styleId="83E7EA4DA4E34BC9A15681E560FE1B75">
    <w:name w:val="83E7EA4DA4E34BC9A15681E560FE1B75"/>
    <w:rsid w:val="00055902"/>
    <w:pPr>
      <w:spacing w:after="160" w:line="259" w:lineRule="auto"/>
    </w:pPr>
    <w:rPr>
      <w:lang w:val="fr-FR" w:eastAsia="fr-FR"/>
    </w:rPr>
  </w:style>
  <w:style w:type="paragraph" w:customStyle="1" w:styleId="8900383A4E13440280B04026B706842C">
    <w:name w:val="8900383A4E13440280B04026B706842C"/>
    <w:rsid w:val="00055902"/>
    <w:pPr>
      <w:spacing w:after="160" w:line="259" w:lineRule="auto"/>
    </w:pPr>
    <w:rPr>
      <w:lang w:val="fr-FR" w:eastAsia="fr-FR"/>
    </w:rPr>
  </w:style>
  <w:style w:type="paragraph" w:customStyle="1" w:styleId="813BBC28ED62448DA2E310ACC1C6A6D1">
    <w:name w:val="813BBC28ED62448DA2E310ACC1C6A6D1"/>
    <w:rsid w:val="00055902"/>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33B6BA6F-48DE-4573-B597-9D94478616B3}">
  <ds:schemaRefs>
    <ds:schemaRef ds:uri="http://schemas.openxmlformats.org/officeDocument/2006/bibliography"/>
  </ds:schemaRefs>
</ds:datastoreItem>
</file>

<file path=customXml/itemProps4.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7108</Words>
  <Characters>39097</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AE.FC.RC.FR</vt:lpstr>
    </vt:vector>
  </TitlesOfParts>
  <Company>Council of Europe</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BEN-SASSI Ikram</cp:lastModifiedBy>
  <cp:revision>3</cp:revision>
  <cp:lastPrinted>2021-02-17T13:31:00Z</cp:lastPrinted>
  <dcterms:created xsi:type="dcterms:W3CDTF">2021-02-23T09:21:00Z</dcterms:created>
  <dcterms:modified xsi:type="dcterms:W3CDTF">2021-02-23T09:22:00Z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