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882A06"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882A06" w:rsidRDefault="00E6464C" w:rsidP="00844F82">
            <w:pPr>
              <w:jc w:val="right"/>
              <w:rPr>
                <w:rFonts w:ascii="Tahoma" w:hAnsi="Tahoma" w:cs="Tahoma"/>
                <w:b/>
                <w:caps/>
                <w:sz w:val="16"/>
                <w:szCs w:val="16"/>
                <w:lang w:val="fr-FR"/>
              </w:rPr>
            </w:pPr>
            <w:bookmarkStart w:id="0" w:name="_GoBack"/>
            <w:bookmarkEnd w:id="0"/>
            <w:r w:rsidRPr="00882A06">
              <w:rPr>
                <w:rFonts w:ascii="Tahoma" w:hAnsi="Tahoma" w:cs="Tahoma"/>
                <w:sz w:val="16"/>
                <w:szCs w:val="16"/>
                <w:lang w:val="fr-FR"/>
              </w:rPr>
              <w:t>N°</w:t>
            </w:r>
            <w:r w:rsidR="001D6688" w:rsidRPr="00882A06">
              <w:rPr>
                <w:rFonts w:ascii="Tahoma" w:hAnsi="Tahoma" w:cs="Tahoma"/>
                <w:sz w:val="16"/>
                <w:szCs w:val="16"/>
                <w:lang w:val="fr-FR"/>
              </w:rPr>
              <w:t xml:space="preserve"> </w:t>
            </w:r>
            <w:r w:rsidRPr="00882A06">
              <w:rPr>
                <w:rFonts w:ascii="Tahoma" w:hAnsi="Tahoma" w:cs="Tahoma"/>
                <w:sz w:val="16"/>
                <w:szCs w:val="16"/>
                <w:lang w:val="fr-FR"/>
              </w:rPr>
              <w:t>d</w:t>
            </w:r>
            <w:r w:rsidR="001D6688" w:rsidRPr="00882A06">
              <w:rPr>
                <w:rFonts w:ascii="Tahoma" w:hAnsi="Tahoma" w:cs="Tahoma"/>
                <w:sz w:val="16"/>
                <w:szCs w:val="16"/>
                <w:lang w:val="fr-FR"/>
              </w:rPr>
              <w:t xml:space="preserve">e </w:t>
            </w:r>
            <w:r w:rsidR="00B017DB" w:rsidRPr="00882A06">
              <w:rPr>
                <w:rFonts w:ascii="Tahoma" w:hAnsi="Tahoma" w:cs="Tahoma"/>
                <w:sz w:val="16"/>
                <w:szCs w:val="16"/>
                <w:lang w:val="fr-FR"/>
              </w:rPr>
              <w:t>C</w:t>
            </w:r>
            <w:r w:rsidRPr="00882A06">
              <w:rPr>
                <w:rFonts w:ascii="Tahoma" w:hAnsi="Tahoma" w:cs="Tahoma"/>
                <w:sz w:val="16"/>
                <w:szCs w:val="16"/>
                <w:lang w:val="fr-FR"/>
              </w:rPr>
              <w:t>ontra</w:t>
            </w:r>
            <w:r w:rsidR="001D6688" w:rsidRPr="00882A06">
              <w:rPr>
                <w:rFonts w:ascii="Tahoma" w:hAnsi="Tahoma" w:cs="Tahoma"/>
                <w:sz w:val="16"/>
                <w:szCs w:val="16"/>
                <w:lang w:val="fr-FR"/>
              </w:rPr>
              <w:t xml:space="preserve">t </w:t>
            </w:r>
            <w:r w:rsidR="008713A9"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321FC16D" w:rsidR="008713A9" w:rsidRPr="00882A06" w:rsidRDefault="008713A9" w:rsidP="00C029E4">
            <w:pPr>
              <w:rPr>
                <w:rFonts w:ascii="Tahoma" w:hAnsi="Tahoma" w:cs="Tahoma"/>
                <w:b/>
                <w:caps/>
                <w:sz w:val="18"/>
                <w:szCs w:val="18"/>
                <w:highlight w:val="cyan"/>
                <w:lang w:val="fr-FR"/>
              </w:rPr>
            </w:pPr>
          </w:p>
        </w:tc>
      </w:tr>
      <w:tr w:rsidR="008713A9" w:rsidRPr="00944EBF"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882A06" w:rsidRDefault="00844F82" w:rsidP="00C029E4">
            <w:pPr>
              <w:jc w:val="right"/>
              <w:rPr>
                <w:rFonts w:ascii="Tahoma" w:hAnsi="Tahoma" w:cs="Tahoma"/>
                <w:b/>
                <w:caps/>
                <w:sz w:val="16"/>
                <w:szCs w:val="16"/>
                <w:lang w:val="fr-FR"/>
              </w:rPr>
            </w:pPr>
            <w:r w:rsidRPr="00882A06">
              <w:rPr>
                <w:rFonts w:ascii="Tahoma" w:hAnsi="Tahoma" w:cs="Tahoma"/>
                <w:sz w:val="16"/>
                <w:szCs w:val="16"/>
                <w:lang w:val="fr-FR"/>
              </w:rPr>
              <w:t>Projet ID / Secteur</w:t>
            </w:r>
            <w:r w:rsidR="008713A9" w:rsidRPr="00882A06">
              <w:rPr>
                <w:rFonts w:ascii="Tahoma" w:hAnsi="Tahoma" w:cs="Tahoma"/>
                <w:sz w:val="16"/>
                <w:szCs w:val="16"/>
                <w:lang w:val="fr-FR"/>
              </w:rPr>
              <w:t xml:space="preserve"> </w:t>
            </w:r>
            <w:r w:rsidR="008713A9"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573552BD" w:rsidR="008713A9" w:rsidRPr="00882A06" w:rsidRDefault="00826768" w:rsidP="00C029E4">
            <w:pPr>
              <w:rPr>
                <w:rFonts w:ascii="Tahoma" w:hAnsi="Tahoma" w:cs="Tahoma"/>
                <w:b/>
                <w:caps/>
                <w:sz w:val="18"/>
                <w:szCs w:val="18"/>
                <w:highlight w:val="cyan"/>
                <w:lang w:val="fr-FR"/>
              </w:rPr>
            </w:pPr>
            <w:r w:rsidRPr="00826768">
              <w:rPr>
                <w:rFonts w:ascii="Tahoma" w:hAnsi="Tahoma" w:cs="Tahoma"/>
                <w:b/>
                <w:caps/>
                <w:sz w:val="18"/>
                <w:szCs w:val="18"/>
                <w:lang w:val="fr-FR"/>
              </w:rPr>
              <w:t>2333 – TUNISIE - AP-JUST C4– APPUI AUX ACTEURS NON-ÉTATIQUES</w:t>
            </w:r>
          </w:p>
        </w:tc>
      </w:tr>
      <w:tr w:rsidR="00826768" w:rsidRPr="00882A06"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26768" w:rsidRPr="00882A06" w:rsidRDefault="00826768" w:rsidP="00826768">
            <w:pPr>
              <w:jc w:val="right"/>
              <w:rPr>
                <w:rFonts w:ascii="Tahoma" w:hAnsi="Tahoma" w:cs="Tahoma"/>
                <w:sz w:val="16"/>
                <w:szCs w:val="16"/>
                <w:highlight w:val="red"/>
                <w:lang w:val="fr-FR"/>
              </w:rPr>
            </w:pPr>
            <w:r w:rsidRPr="00882A06">
              <w:rPr>
                <w:rFonts w:ascii="Tahoma" w:hAnsi="Tahoma" w:cs="Tahoma"/>
                <w:sz w:val="16"/>
                <w:szCs w:val="16"/>
                <w:lang w:val="fr-FR"/>
              </w:rPr>
              <w:t xml:space="preserve">Point de contact </w:t>
            </w:r>
            <w:proofErr w:type="spellStart"/>
            <w:r w:rsidRPr="00882A06">
              <w:rPr>
                <w:rFonts w:ascii="Tahoma" w:hAnsi="Tahoma" w:cs="Tahoma"/>
                <w:sz w:val="16"/>
                <w:szCs w:val="16"/>
                <w:lang w:val="fr-FR"/>
              </w:rPr>
              <w:t>CoE</w:t>
            </w:r>
            <w:proofErr w:type="spellEnd"/>
            <w:r w:rsidRPr="00882A06">
              <w:rPr>
                <w:rFonts w:ascii="Tahoma" w:hAnsi="Tahoma" w:cs="Tahoma"/>
                <w:sz w:val="16"/>
                <w:szCs w:val="16"/>
                <w:lang w:val="fr-FR"/>
              </w:rPr>
              <w:t xml:space="preserve"> </w:t>
            </w:r>
            <w:r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15BAB6B9" w:rsidR="00826768" w:rsidRPr="00882A06" w:rsidRDefault="00826768" w:rsidP="00826768">
            <w:pPr>
              <w:rPr>
                <w:rFonts w:ascii="Tahoma" w:hAnsi="Tahoma" w:cs="Tahoma"/>
                <w:b/>
                <w:caps/>
                <w:sz w:val="18"/>
                <w:szCs w:val="18"/>
                <w:highlight w:val="cyan"/>
                <w:lang w:val="fr-FR"/>
              </w:rPr>
            </w:pPr>
            <w:proofErr w:type="spellStart"/>
            <w:r w:rsidRPr="0046597C">
              <w:rPr>
                <w:rFonts w:ascii="Tahoma" w:hAnsi="Tahoma" w:cs="Tahoma"/>
                <w:sz w:val="18"/>
                <w:szCs w:val="18"/>
                <w:lang w:val="fr-FR"/>
              </w:rPr>
              <w:t>Lilit</w:t>
            </w:r>
            <w:proofErr w:type="spellEnd"/>
            <w:r w:rsidRPr="0046597C">
              <w:rPr>
                <w:rFonts w:ascii="Tahoma" w:hAnsi="Tahoma" w:cs="Tahoma"/>
                <w:sz w:val="18"/>
                <w:szCs w:val="18"/>
                <w:lang w:val="fr-FR"/>
              </w:rPr>
              <w:t xml:space="preserve"> </w:t>
            </w:r>
            <w:proofErr w:type="spellStart"/>
            <w:r w:rsidRPr="0046597C">
              <w:rPr>
                <w:rFonts w:ascii="Tahoma" w:hAnsi="Tahoma" w:cs="Tahoma"/>
                <w:sz w:val="18"/>
                <w:szCs w:val="18"/>
                <w:lang w:val="fr-FR"/>
              </w:rPr>
              <w:t>Daneghian</w:t>
            </w:r>
            <w:proofErr w:type="spellEnd"/>
            <w:r w:rsidRPr="00C64FE4">
              <w:rPr>
                <w:rFonts w:ascii="Tahoma" w:hAnsi="Tahoma" w:cs="Tahoma"/>
                <w:sz w:val="18"/>
                <w:szCs w:val="18"/>
                <w:lang w:val="fr-FR"/>
              </w:rPr>
              <w:t xml:space="preserve"> - </w:t>
            </w:r>
            <w:hyperlink r:id="rId11" w:history="1">
              <w:r w:rsidRPr="00C64FE4">
                <w:rPr>
                  <w:rStyle w:val="Hyperlink"/>
                  <w:rFonts w:ascii="Tahoma" w:hAnsi="Tahoma" w:cs="Tahoma"/>
                  <w:sz w:val="18"/>
                  <w:szCs w:val="18"/>
                  <w:lang w:val="fr-FR"/>
                </w:rPr>
                <w:t>DGI.Justice.Reform.Unit1@coe.int</w:t>
              </w:r>
            </w:hyperlink>
            <w:r w:rsidRPr="00C64FE4">
              <w:rPr>
                <w:rFonts w:ascii="Tahoma" w:hAnsi="Tahoma" w:cs="Tahoma"/>
                <w:sz w:val="18"/>
                <w:szCs w:val="18"/>
                <w:lang w:val="fr-FR"/>
              </w:rPr>
              <w:t xml:space="preserve"> </w:t>
            </w:r>
          </w:p>
        </w:tc>
      </w:tr>
    </w:tbl>
    <w:p w14:paraId="2002E72B" w14:textId="77777777" w:rsidR="000013DF" w:rsidRPr="00882A06" w:rsidRDefault="000013DF" w:rsidP="00E17F6A">
      <w:pPr>
        <w:rPr>
          <w:rFonts w:ascii="Tahoma" w:hAnsi="Tahoma" w:cs="Tahoma"/>
          <w:b/>
          <w:caps/>
          <w:sz w:val="28"/>
          <w:szCs w:val="28"/>
          <w:lang w:val="fr-FR"/>
        </w:rPr>
      </w:pPr>
    </w:p>
    <w:p w14:paraId="2A6B2F1E" w14:textId="7A69261A" w:rsidR="00C20349" w:rsidRPr="00882A06" w:rsidRDefault="00C20832" w:rsidP="00E17F6A">
      <w:pPr>
        <w:rPr>
          <w:rFonts w:ascii="Tahoma" w:hAnsi="Tahoma" w:cs="Tahoma"/>
          <w:b/>
          <w:caps/>
          <w:sz w:val="28"/>
          <w:szCs w:val="28"/>
          <w:lang w:val="fr-FR"/>
        </w:rPr>
      </w:pPr>
      <w:r w:rsidRPr="00882A06">
        <w:rPr>
          <w:rFonts w:ascii="Tahoma" w:hAnsi="Tahoma" w:cs="Tahoma"/>
          <w:b/>
          <w:caps/>
          <w:sz w:val="28"/>
          <w:szCs w:val="28"/>
          <w:lang w:val="fr-FR"/>
        </w:rPr>
        <w:t>Acte D’</w:t>
      </w:r>
      <w:r w:rsidR="00C20349" w:rsidRPr="00882A06">
        <w:rPr>
          <w:rFonts w:ascii="Tahoma" w:hAnsi="Tahoma" w:cs="Tahoma"/>
          <w:b/>
          <w:caps/>
          <w:sz w:val="28"/>
          <w:szCs w:val="28"/>
          <w:lang w:val="fr-FR"/>
        </w:rPr>
        <w:t>Engagement</w:t>
      </w:r>
    </w:p>
    <w:p w14:paraId="6CFB6B36" w14:textId="586A6E1C" w:rsidR="00C20349" w:rsidRPr="00882A06" w:rsidRDefault="00C20349" w:rsidP="00E17F6A">
      <w:pPr>
        <w:rPr>
          <w:rFonts w:ascii="Tahoma" w:hAnsi="Tahoma" w:cs="Tahoma"/>
          <w:b/>
          <w:lang w:val="fr-FR"/>
        </w:rPr>
      </w:pPr>
      <w:r w:rsidRPr="00882A06">
        <w:rPr>
          <w:rFonts w:ascii="Tahoma" w:hAnsi="Tahoma" w:cs="Tahoma"/>
          <w:b/>
          <w:lang w:val="fr-FR"/>
        </w:rPr>
        <w:t>(</w:t>
      </w:r>
      <w:r w:rsidR="00F92F28" w:rsidRPr="00882A06">
        <w:rPr>
          <w:rFonts w:ascii="Tahoma" w:hAnsi="Tahoma" w:cs="Tahoma"/>
          <w:b/>
          <w:bCs/>
          <w:sz w:val="20"/>
          <w:szCs w:val="20"/>
          <w:lang w:val="fr-FR"/>
        </w:rPr>
        <w:t>Appel d’offres public international</w:t>
      </w:r>
      <w:r w:rsidR="00BC3EF7" w:rsidRPr="00882A06">
        <w:rPr>
          <w:rFonts w:ascii="Tahoma" w:hAnsi="Tahoma" w:cs="Tahoma"/>
          <w:b/>
          <w:bCs/>
          <w:sz w:val="20"/>
          <w:szCs w:val="20"/>
          <w:lang w:val="fr-FR"/>
        </w:rPr>
        <w:t xml:space="preserve"> </w:t>
      </w:r>
      <w:r w:rsidR="0085784E" w:rsidRPr="00882A06">
        <w:rPr>
          <w:rFonts w:ascii="Tahoma" w:hAnsi="Tahoma" w:cs="Tahoma"/>
          <w:b/>
          <w:lang w:val="fr-FR"/>
        </w:rPr>
        <w:t xml:space="preserve">/ </w:t>
      </w:r>
      <w:r w:rsidR="00C20832" w:rsidRPr="00882A06">
        <w:rPr>
          <w:rFonts w:ascii="Tahoma" w:hAnsi="Tahoma" w:cs="Tahoma"/>
          <w:b/>
          <w:u w:val="single"/>
          <w:lang w:val="fr-FR"/>
        </w:rPr>
        <w:t>Contrat cadre</w:t>
      </w:r>
      <w:r w:rsidR="0085784E" w:rsidRPr="00882A06">
        <w:rPr>
          <w:rFonts w:ascii="Tahoma" w:hAnsi="Tahoma" w:cs="Tahoma"/>
          <w:b/>
          <w:lang w:val="fr-FR"/>
        </w:rPr>
        <w:t>)</w:t>
      </w:r>
    </w:p>
    <w:p w14:paraId="044CE43E" w14:textId="77777777" w:rsidR="00BD6B89" w:rsidRPr="00882A06" w:rsidRDefault="00BD6B89" w:rsidP="00C20349">
      <w:pPr>
        <w:jc w:val="center"/>
        <w:rPr>
          <w:rFonts w:ascii="Tahoma" w:hAnsi="Tahoma" w:cs="Tahoma"/>
          <w:b/>
          <w:sz w:val="16"/>
          <w:szCs w:val="16"/>
          <w:lang w:val="fr-FR"/>
        </w:rPr>
      </w:pPr>
    </w:p>
    <w:p w14:paraId="44B97024" w14:textId="726E6CDA" w:rsidR="001D6688" w:rsidRPr="00882A06" w:rsidRDefault="005F4D6F" w:rsidP="00BD6B89">
      <w:pPr>
        <w:spacing w:before="60" w:after="120"/>
        <w:rPr>
          <w:rFonts w:ascii="Tahoma" w:hAnsi="Tahoma" w:cs="Tahoma"/>
          <w:b/>
          <w:lang w:val="fr-FR"/>
        </w:rPr>
      </w:pPr>
      <w:r w:rsidRPr="00882A06">
        <w:rPr>
          <w:rFonts w:ascii="Tahoma" w:hAnsi="Tahoma" w:cs="Tahoma"/>
          <w:b/>
          <w:lang w:val="fr-FR"/>
        </w:rPr>
        <w:t>Le présent Acte d’E</w:t>
      </w:r>
      <w:r w:rsidR="001D6688" w:rsidRPr="00882A06">
        <w:rPr>
          <w:rFonts w:ascii="Tahoma" w:hAnsi="Tahoma" w:cs="Tahoma"/>
          <w:b/>
          <w:lang w:val="fr-FR"/>
        </w:rPr>
        <w:t xml:space="preserve">ngagement </w:t>
      </w:r>
      <w:r w:rsidRPr="00882A06">
        <w:rPr>
          <w:rFonts w:ascii="Tahoma" w:hAnsi="Tahoma" w:cs="Tahoma"/>
          <w:b/>
          <w:lang w:val="fr-FR"/>
        </w:rPr>
        <w:t>régit les termes et conditions applicables a</w:t>
      </w:r>
      <w:r w:rsidR="001D6688" w:rsidRPr="00882A06">
        <w:rPr>
          <w:rFonts w:ascii="Tahoma" w:hAnsi="Tahoma" w:cs="Tahoma"/>
          <w:b/>
          <w:lang w:val="fr-FR"/>
        </w:rPr>
        <w:t>u contr</w:t>
      </w:r>
      <w:r w:rsidRPr="00882A06">
        <w:rPr>
          <w:rFonts w:ascii="Tahoma" w:hAnsi="Tahoma" w:cs="Tahoma"/>
          <w:b/>
          <w:lang w:val="fr-FR"/>
        </w:rPr>
        <w:t>at-</w:t>
      </w:r>
      <w:r w:rsidR="001D6688" w:rsidRPr="00882A06">
        <w:rPr>
          <w:rFonts w:ascii="Tahoma" w:hAnsi="Tahoma" w:cs="Tahoma"/>
          <w:b/>
          <w:lang w:val="fr-FR"/>
        </w:rPr>
        <w:t>cadre entre le Prestataire (voir détails ci-dessous) et le Conseil de l’Europe</w:t>
      </w:r>
      <w:r w:rsidR="001D6688" w:rsidRPr="00882A06">
        <w:rPr>
          <w:rStyle w:val="FootnoteReference"/>
          <w:rFonts w:ascii="Tahoma" w:hAnsi="Tahoma" w:cs="Tahoma"/>
          <w:b/>
          <w:lang w:val="fr-FR"/>
        </w:rPr>
        <w:footnoteReference w:id="2"/>
      </w:r>
      <w:r w:rsidR="001D6688" w:rsidRPr="00882A06">
        <w:rPr>
          <w:rFonts w:ascii="Tahoma" w:hAnsi="Tahoma" w:cs="Tahoma"/>
          <w:b/>
          <w:lang w:val="fr-FR"/>
        </w:rPr>
        <w:t xml:space="preserve"> pour la </w:t>
      </w:r>
      <w:r w:rsidRPr="00882A06">
        <w:rPr>
          <w:rFonts w:ascii="Tahoma" w:hAnsi="Tahoma" w:cs="Tahoma"/>
          <w:b/>
          <w:lang w:val="fr-FR"/>
        </w:rPr>
        <w:t>fourniture</w:t>
      </w:r>
      <w:r w:rsidR="00844F82" w:rsidRPr="00882A06">
        <w:rPr>
          <w:rFonts w:ascii="Tahoma" w:hAnsi="Tahoma" w:cs="Tahoma"/>
          <w:b/>
          <w:lang w:val="fr-FR"/>
        </w:rPr>
        <w:t xml:space="preserve"> de</w:t>
      </w:r>
      <w:r w:rsidR="001D6688" w:rsidRPr="00882A06">
        <w:rPr>
          <w:rFonts w:ascii="Tahoma" w:hAnsi="Tahoma" w:cs="Tahoma"/>
          <w:b/>
          <w:lang w:val="fr-FR"/>
        </w:rPr>
        <w:t xml:space="preserve"> </w:t>
      </w:r>
      <w:r w:rsidR="00826768">
        <w:rPr>
          <w:rFonts w:ascii="Tahoma" w:hAnsi="Tahoma" w:cs="Tahoma"/>
          <w:b/>
          <w:lang w:val="fr-FR"/>
        </w:rPr>
        <w:t xml:space="preserve">services de </w:t>
      </w:r>
      <w:r w:rsidR="009E0F2B">
        <w:rPr>
          <w:rFonts w:ascii="Tahoma" w:hAnsi="Tahoma" w:cs="Tahoma"/>
          <w:b/>
          <w:lang w:val="fr-FR"/>
        </w:rPr>
        <w:t xml:space="preserve">formation et </w:t>
      </w:r>
      <w:r w:rsidR="00755343">
        <w:rPr>
          <w:rFonts w:ascii="Tahoma" w:hAnsi="Tahoma" w:cs="Tahoma"/>
          <w:b/>
          <w:lang w:val="fr-FR"/>
        </w:rPr>
        <w:t xml:space="preserve">d’accompagnement </w:t>
      </w:r>
      <w:r w:rsidR="00826768">
        <w:rPr>
          <w:rFonts w:ascii="Tahoma" w:hAnsi="Tahoma" w:cs="Tahoma"/>
          <w:b/>
          <w:lang w:val="fr-FR"/>
        </w:rPr>
        <w:t>en Tunisie.</w:t>
      </w:r>
    </w:p>
    <w:p w14:paraId="7BDB500D" w14:textId="45924A70" w:rsidR="001D6688" w:rsidRPr="00882A06"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882A06">
        <w:rPr>
          <w:rFonts w:ascii="Tahoma" w:hAnsi="Tahoma" w:cs="Tahoma"/>
          <w:sz w:val="20"/>
          <w:szCs w:val="20"/>
          <w:lang w:val="fr-FR"/>
        </w:rPr>
        <w:t xml:space="preserve">La signature de cet Acte d’engagement </w:t>
      </w:r>
      <w:r w:rsidR="00AE797E" w:rsidRPr="00882A06">
        <w:rPr>
          <w:rFonts w:ascii="Tahoma" w:hAnsi="Tahoma" w:cs="Tahoma"/>
          <w:sz w:val="20"/>
          <w:szCs w:val="20"/>
          <w:lang w:val="fr-FR"/>
        </w:rPr>
        <w:t xml:space="preserve">seulement </w:t>
      </w:r>
      <w:r w:rsidRPr="00882A06">
        <w:rPr>
          <w:rFonts w:ascii="Tahoma" w:hAnsi="Tahoma" w:cs="Tahoma"/>
          <w:sz w:val="20"/>
          <w:szCs w:val="20"/>
          <w:lang w:val="fr-FR"/>
        </w:rPr>
        <w:t>par le Prestataire</w:t>
      </w:r>
      <w:r w:rsidR="00AE797E" w:rsidRPr="00882A06">
        <w:rPr>
          <w:rFonts w:ascii="Tahoma" w:hAnsi="Tahoma" w:cs="Tahoma"/>
          <w:sz w:val="20"/>
          <w:szCs w:val="20"/>
          <w:lang w:val="fr-FR"/>
        </w:rPr>
        <w:t xml:space="preserve"> ne constitue ni n’implique aucun engagement contractuel de la </w:t>
      </w:r>
      <w:r w:rsidR="005F4D6F" w:rsidRPr="00882A06">
        <w:rPr>
          <w:rFonts w:ascii="Tahoma" w:hAnsi="Tahoma" w:cs="Tahoma"/>
          <w:sz w:val="20"/>
          <w:szCs w:val="20"/>
          <w:lang w:val="fr-FR"/>
        </w:rPr>
        <w:t>part du Conseil de l’Europe. Le présent</w:t>
      </w:r>
      <w:r w:rsidR="00AE797E" w:rsidRPr="00882A06">
        <w:rPr>
          <w:rFonts w:ascii="Tahoma" w:hAnsi="Tahoma" w:cs="Tahoma"/>
          <w:sz w:val="20"/>
          <w:szCs w:val="20"/>
          <w:lang w:val="fr-FR"/>
        </w:rPr>
        <w:t xml:space="preserve"> Acte </w:t>
      </w:r>
      <w:r w:rsidR="005F4D6F" w:rsidRPr="00882A06">
        <w:rPr>
          <w:rFonts w:ascii="Tahoma" w:hAnsi="Tahoma" w:cs="Tahoma"/>
          <w:sz w:val="20"/>
          <w:szCs w:val="20"/>
          <w:lang w:val="fr-FR"/>
        </w:rPr>
        <w:t>n’a valeur contraignante que s’il est contresigné</w:t>
      </w:r>
      <w:r w:rsidR="00AE797E" w:rsidRPr="00882A06">
        <w:rPr>
          <w:rFonts w:ascii="Tahoma" w:hAnsi="Tahoma" w:cs="Tahoma"/>
          <w:sz w:val="20"/>
          <w:szCs w:val="20"/>
          <w:lang w:val="fr-FR"/>
        </w:rPr>
        <w:t xml:space="preserve"> par un responsable du Conseil de l’</w:t>
      </w:r>
      <w:r w:rsidR="00C63C98" w:rsidRPr="00882A06">
        <w:rPr>
          <w:rFonts w:ascii="Tahoma" w:hAnsi="Tahoma" w:cs="Tahoma"/>
          <w:sz w:val="20"/>
          <w:szCs w:val="20"/>
          <w:lang w:val="fr-FR"/>
        </w:rPr>
        <w:t>Europe d</w:t>
      </w:r>
      <w:r w:rsidR="00BC4332" w:rsidRPr="00882A06">
        <w:rPr>
          <w:rFonts w:ascii="Tahoma" w:hAnsi="Tahoma" w:cs="Tahoma"/>
          <w:sz w:val="20"/>
          <w:szCs w:val="20"/>
          <w:lang w:val="fr-FR"/>
        </w:rPr>
        <w:t>û</w:t>
      </w:r>
      <w:r w:rsidR="00C63C98" w:rsidRPr="00882A06">
        <w:rPr>
          <w:rFonts w:ascii="Tahoma" w:hAnsi="Tahoma" w:cs="Tahoma"/>
          <w:sz w:val="20"/>
          <w:szCs w:val="20"/>
          <w:lang w:val="fr-FR"/>
        </w:rPr>
        <w:t>ment autorisé (Voir P</w:t>
      </w:r>
      <w:r w:rsidR="005F4D6F" w:rsidRPr="00882A06">
        <w:rPr>
          <w:rFonts w:ascii="Tahoma" w:hAnsi="Tahoma" w:cs="Tahoma"/>
          <w:sz w:val="20"/>
          <w:szCs w:val="20"/>
          <w:lang w:val="fr-FR"/>
        </w:rPr>
        <w:t>artie</w:t>
      </w:r>
      <w:r w:rsidR="00C31D1B" w:rsidRPr="00882A06">
        <w:rPr>
          <w:rFonts w:ascii="Tahoma" w:hAnsi="Tahoma" w:cs="Tahoma"/>
          <w:sz w:val="20"/>
          <w:szCs w:val="20"/>
          <w:lang w:val="fr-FR"/>
        </w:rPr>
        <w:t xml:space="preserve"> B</w:t>
      </w:r>
      <w:r w:rsidR="00AE797E" w:rsidRPr="00882A06">
        <w:rPr>
          <w:rFonts w:ascii="Tahoma" w:hAnsi="Tahoma" w:cs="Tahoma"/>
          <w:sz w:val="20"/>
          <w:szCs w:val="20"/>
          <w:lang w:val="fr-FR"/>
        </w:rPr>
        <w:t>).</w:t>
      </w:r>
    </w:p>
    <w:p w14:paraId="0FF0D54F" w14:textId="77777777" w:rsidR="00371509" w:rsidRPr="00882A06" w:rsidRDefault="00371509" w:rsidP="00371509">
      <w:pPr>
        <w:rPr>
          <w:rFonts w:ascii="Tahoma" w:hAnsi="Tahoma" w:cs="Tahoma"/>
          <w:b/>
          <w:sz w:val="16"/>
          <w:szCs w:val="16"/>
          <w:lang w:val="fr-FR"/>
        </w:rPr>
      </w:pPr>
    </w:p>
    <w:p w14:paraId="11316CD4" w14:textId="77777777" w:rsidR="00F92F28" w:rsidRPr="00882A06" w:rsidRDefault="00F92F28" w:rsidP="00F92F28">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Les soumissionnaires doivent :</w:t>
      </w:r>
    </w:p>
    <w:p w14:paraId="3028CA86" w14:textId="77777777" w:rsidR="00F92F28" w:rsidRPr="00882A06" w:rsidRDefault="00F92F28" w:rsidP="00F92F28">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 xml:space="preserve">1. Remplir les Parties </w:t>
      </w:r>
      <w:r w:rsidRPr="00882A06">
        <w:rPr>
          <w:rFonts w:ascii="Tahoma" w:hAnsi="Tahoma" w:cs="Tahoma"/>
          <w:b/>
          <w:i/>
          <w:color w:val="FF0000"/>
          <w:sz w:val="18"/>
          <w:szCs w:val="18"/>
          <w:lang w:val="fr-FR"/>
        </w:rPr>
        <w:t>Coordonnées personnelles</w:t>
      </w:r>
      <w:r w:rsidRPr="00882A06">
        <w:rPr>
          <w:rFonts w:ascii="Tahoma" w:hAnsi="Tahoma" w:cs="Tahoma"/>
          <w:color w:val="FF0000"/>
          <w:sz w:val="18"/>
          <w:szCs w:val="18"/>
          <w:lang w:val="fr-FR"/>
        </w:rPr>
        <w:t xml:space="preserve"> et </w:t>
      </w:r>
      <w:r w:rsidRPr="00882A06">
        <w:rPr>
          <w:rFonts w:ascii="Tahoma" w:hAnsi="Tahoma" w:cs="Tahoma"/>
          <w:b/>
          <w:i/>
          <w:color w:val="FF0000"/>
          <w:sz w:val="18"/>
          <w:szCs w:val="18"/>
          <w:lang w:val="fr-FR"/>
        </w:rPr>
        <w:t>Coordonnées bancaires</w:t>
      </w:r>
      <w:r w:rsidRPr="00882A06">
        <w:rPr>
          <w:rFonts w:ascii="Tahoma" w:hAnsi="Tahoma" w:cs="Tahoma"/>
          <w:color w:val="FF0000"/>
          <w:sz w:val="18"/>
          <w:szCs w:val="18"/>
          <w:lang w:val="fr-FR"/>
        </w:rPr>
        <w:t>, ci-dessous.  Assurez-vous que le ‘Nom’ du prestataire et le ‘Titulaire du compte’ soient identiques.</w:t>
      </w:r>
    </w:p>
    <w:p w14:paraId="27EE316D" w14:textId="77777777" w:rsidR="00F92F28" w:rsidRPr="00882A06" w:rsidRDefault="00F92F28" w:rsidP="00F92F28">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2. Remplir la colonne « Prix unitaire » du Tableau des honoraires (voir Partie A, Page 2) ;</w:t>
      </w:r>
    </w:p>
    <w:p w14:paraId="77EAE5A8" w14:textId="0303104B" w:rsidR="00F92F28" w:rsidRPr="00882A06" w:rsidRDefault="00F92F28" w:rsidP="00F92F28">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 xml:space="preserve">3.  Signer l’Acte d’engagement (voir Partie B, Page 3) et envoyer une copie signée et scannée au Conseil, accompagnée de toutes les autres pièces justificatives (si besoin – voir Dossier de consultation, Partie F). </w:t>
      </w:r>
    </w:p>
    <w:p w14:paraId="0623E212" w14:textId="77777777" w:rsidR="00711B7F" w:rsidRPr="00882A06"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882A06"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882A06"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882A06" w:rsidRDefault="00C63C98" w:rsidP="00FC3F2E">
            <w:pPr>
              <w:ind w:left="113" w:right="113"/>
              <w:jc w:val="center"/>
              <w:rPr>
                <w:rFonts w:ascii="Tahoma" w:hAnsi="Tahoma" w:cs="Tahoma"/>
                <w:b/>
                <w:sz w:val="18"/>
                <w:szCs w:val="18"/>
                <w:lang w:val="fr-FR"/>
              </w:rPr>
            </w:pPr>
            <w:r w:rsidRPr="00882A06">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882A06" w:rsidRDefault="00FC3F2E" w:rsidP="00135199">
            <w:pPr>
              <w:jc w:val="right"/>
              <w:rPr>
                <w:rFonts w:ascii="Tahoma" w:hAnsi="Tahoma" w:cs="Tahoma"/>
                <w:sz w:val="18"/>
                <w:szCs w:val="18"/>
                <w:lang w:val="fr-FR"/>
              </w:rPr>
            </w:pPr>
            <w:r w:rsidRPr="00882A06">
              <w:rPr>
                <w:rFonts w:ascii="Tahoma" w:hAnsi="Tahoma" w:cs="Tahoma"/>
                <w:sz w:val="18"/>
                <w:szCs w:val="18"/>
                <w:lang w:val="fr-FR"/>
              </w:rPr>
              <w:t>Nom et adresse</w:t>
            </w:r>
          </w:p>
          <w:p w14:paraId="4B2134F3"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882A06" w:rsidRDefault="008713A9" w:rsidP="00135199">
            <w:pPr>
              <w:rPr>
                <w:rFonts w:ascii="Tahoma" w:hAnsi="Tahoma" w:cs="Tahoma"/>
                <w:color w:val="000000"/>
                <w:sz w:val="20"/>
                <w:szCs w:val="20"/>
                <w:lang w:val="fr-FR"/>
              </w:rPr>
            </w:pPr>
          </w:p>
        </w:tc>
      </w:tr>
      <w:tr w:rsidR="008713A9" w:rsidRPr="00882A06"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882A06" w:rsidRDefault="00C63C98" w:rsidP="00135199">
            <w:pPr>
              <w:jc w:val="right"/>
              <w:rPr>
                <w:rFonts w:ascii="Tahoma" w:hAnsi="Tahoma" w:cs="Tahoma"/>
                <w:sz w:val="18"/>
                <w:szCs w:val="18"/>
                <w:lang w:val="fr-FR"/>
              </w:rPr>
            </w:pPr>
            <w:r w:rsidRPr="00882A06">
              <w:rPr>
                <w:rFonts w:ascii="Tahoma" w:hAnsi="Tahoma" w:cs="Tahoma"/>
                <w:sz w:val="18"/>
                <w:szCs w:val="18"/>
                <w:lang w:val="fr-FR"/>
              </w:rPr>
              <w:t>Représentant</w:t>
            </w:r>
          </w:p>
          <w:p w14:paraId="54C2292B"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882A06" w:rsidRDefault="008713A9" w:rsidP="00135199">
            <w:pPr>
              <w:rPr>
                <w:rFonts w:ascii="Tahoma" w:hAnsi="Tahoma" w:cs="Tahoma"/>
                <w:sz w:val="20"/>
                <w:szCs w:val="20"/>
                <w:lang w:val="fr-FR"/>
              </w:rPr>
            </w:pPr>
          </w:p>
        </w:tc>
      </w:tr>
      <w:tr w:rsidR="008713A9" w:rsidRPr="00882A06"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882A06" w:rsidRDefault="00FC3F2E" w:rsidP="00135199">
            <w:pPr>
              <w:jc w:val="right"/>
              <w:rPr>
                <w:rFonts w:ascii="Tahoma" w:hAnsi="Tahoma" w:cs="Tahoma"/>
                <w:sz w:val="18"/>
                <w:szCs w:val="18"/>
                <w:lang w:val="fr-FR"/>
              </w:rPr>
            </w:pPr>
            <w:r w:rsidRPr="00882A06">
              <w:rPr>
                <w:rFonts w:ascii="Tahoma" w:hAnsi="Tahoma" w:cs="Tahoma"/>
                <w:sz w:val="18"/>
                <w:szCs w:val="18"/>
                <w:lang w:val="fr-FR"/>
              </w:rPr>
              <w:t>Point de contact</w:t>
            </w:r>
          </w:p>
          <w:p w14:paraId="49C26142"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882A06" w:rsidRDefault="008713A9" w:rsidP="00135199">
            <w:pPr>
              <w:rPr>
                <w:rFonts w:ascii="Tahoma" w:hAnsi="Tahoma" w:cs="Tahoma"/>
                <w:sz w:val="20"/>
                <w:szCs w:val="20"/>
                <w:lang w:val="fr-FR"/>
              </w:rPr>
            </w:pPr>
          </w:p>
        </w:tc>
      </w:tr>
      <w:tr w:rsidR="008713A9" w:rsidRPr="00882A06"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882A06" w:rsidRDefault="00E6464C" w:rsidP="00135199">
            <w:pPr>
              <w:jc w:val="right"/>
              <w:rPr>
                <w:rFonts w:ascii="Tahoma" w:hAnsi="Tahoma" w:cs="Tahoma"/>
                <w:sz w:val="18"/>
                <w:szCs w:val="18"/>
                <w:lang w:val="fr-FR"/>
              </w:rPr>
            </w:pPr>
            <w:r w:rsidRPr="00882A06">
              <w:rPr>
                <w:rFonts w:ascii="Tahoma" w:hAnsi="Tahoma" w:cs="Tahoma"/>
                <w:sz w:val="18"/>
                <w:szCs w:val="18"/>
                <w:lang w:val="fr-FR"/>
              </w:rPr>
              <w:t>N</w:t>
            </w:r>
            <w:r w:rsidR="008713A9" w:rsidRPr="00882A06">
              <w:rPr>
                <w:rFonts w:ascii="Tahoma" w:hAnsi="Tahoma" w:cs="Tahoma"/>
                <w:sz w:val="18"/>
                <w:szCs w:val="18"/>
                <w:lang w:val="fr-FR"/>
              </w:rPr>
              <w:t>°</w:t>
            </w:r>
            <w:r w:rsidR="006A2AD4" w:rsidRPr="00882A06">
              <w:rPr>
                <w:rFonts w:ascii="Tahoma" w:hAnsi="Tahoma" w:cs="Tahoma"/>
                <w:sz w:val="18"/>
                <w:szCs w:val="18"/>
                <w:lang w:val="fr-FR"/>
              </w:rPr>
              <w:t xml:space="preserve"> TVA</w:t>
            </w:r>
            <w:r w:rsidR="00FC3F2E" w:rsidRPr="00882A06">
              <w:rPr>
                <w:rFonts w:ascii="Tahoma" w:hAnsi="Tahoma" w:cs="Tahoma"/>
                <w:sz w:val="18"/>
                <w:szCs w:val="18"/>
                <w:lang w:val="fr-FR"/>
              </w:rPr>
              <w:t xml:space="preserve"> (le cas échéant</w:t>
            </w:r>
            <w:r w:rsidR="008713A9" w:rsidRPr="00882A06">
              <w:rPr>
                <w:rFonts w:ascii="Tahoma" w:hAnsi="Tahoma" w:cs="Tahoma"/>
                <w:sz w:val="18"/>
                <w:szCs w:val="18"/>
                <w:lang w:val="fr-FR"/>
              </w:rPr>
              <w:t>)</w:t>
            </w:r>
          </w:p>
          <w:p w14:paraId="60EF062D"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882A06" w:rsidRDefault="008713A9" w:rsidP="00135199">
            <w:pPr>
              <w:rPr>
                <w:rFonts w:ascii="Tahoma" w:hAnsi="Tahoma" w:cs="Tahoma"/>
                <w:sz w:val="20"/>
                <w:szCs w:val="20"/>
                <w:lang w:val="fr-FR"/>
              </w:rPr>
            </w:pPr>
          </w:p>
        </w:tc>
      </w:tr>
      <w:tr w:rsidR="008713A9" w:rsidRPr="00882A06"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882A06" w:rsidRDefault="00FC3F2E" w:rsidP="00135199">
            <w:pPr>
              <w:jc w:val="right"/>
              <w:rPr>
                <w:rFonts w:ascii="Tahoma" w:hAnsi="Tahoma" w:cs="Tahoma"/>
                <w:sz w:val="18"/>
                <w:szCs w:val="18"/>
                <w:lang w:val="fr-FR"/>
              </w:rPr>
            </w:pPr>
            <w:r w:rsidRPr="00882A06">
              <w:rPr>
                <w:rFonts w:ascii="Tahoma" w:hAnsi="Tahoma" w:cs="Tahoma"/>
                <w:sz w:val="18"/>
                <w:szCs w:val="18"/>
                <w:lang w:val="fr-FR"/>
              </w:rPr>
              <w:t>Pays et</w:t>
            </w:r>
            <w:r w:rsidR="008713A9" w:rsidRPr="00882A06">
              <w:rPr>
                <w:rFonts w:ascii="Tahoma" w:hAnsi="Tahoma" w:cs="Tahoma"/>
                <w:sz w:val="18"/>
                <w:szCs w:val="18"/>
                <w:lang w:val="fr-FR"/>
              </w:rPr>
              <w:t xml:space="preserve"> n° </w:t>
            </w:r>
            <w:r w:rsidRPr="00882A06">
              <w:rPr>
                <w:rFonts w:ascii="Tahoma" w:hAnsi="Tahoma" w:cs="Tahoma"/>
                <w:sz w:val="18"/>
                <w:szCs w:val="18"/>
                <w:lang w:val="fr-FR"/>
              </w:rPr>
              <w:t xml:space="preserve">d’enregistrement </w:t>
            </w:r>
            <w:r w:rsidR="008713A9" w:rsidRPr="00882A06">
              <w:rPr>
                <w:rFonts w:ascii="Tahoma" w:hAnsi="Tahoma" w:cs="Tahoma"/>
                <w:sz w:val="18"/>
                <w:szCs w:val="18"/>
                <w:lang w:val="fr-FR"/>
              </w:rPr>
              <w:t>(</w:t>
            </w:r>
            <w:r w:rsidRPr="00882A06">
              <w:rPr>
                <w:rFonts w:ascii="Tahoma" w:hAnsi="Tahoma" w:cs="Tahoma"/>
                <w:sz w:val="18"/>
                <w:szCs w:val="18"/>
                <w:lang w:val="fr-FR"/>
              </w:rPr>
              <w:t>le cas échéant</w:t>
            </w:r>
            <w:r w:rsidR="008713A9" w:rsidRPr="00882A06">
              <w:rPr>
                <w:rFonts w:ascii="Tahoma" w:hAnsi="Tahoma" w:cs="Tahoma"/>
                <w:sz w:val="18"/>
                <w:szCs w:val="18"/>
                <w:lang w:val="fr-FR"/>
              </w:rPr>
              <w:t>)</w:t>
            </w:r>
          </w:p>
          <w:p w14:paraId="722F2811"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882A06" w:rsidRDefault="008713A9" w:rsidP="00135199">
            <w:pPr>
              <w:rPr>
                <w:rFonts w:ascii="Tahoma" w:hAnsi="Tahoma" w:cs="Tahoma"/>
                <w:sz w:val="20"/>
                <w:szCs w:val="20"/>
                <w:lang w:val="fr-FR"/>
              </w:rPr>
            </w:pPr>
          </w:p>
        </w:tc>
      </w:tr>
      <w:tr w:rsidR="008713A9" w:rsidRPr="00882A06"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882A06" w:rsidRDefault="00C63C98" w:rsidP="00135199">
            <w:pPr>
              <w:jc w:val="right"/>
              <w:rPr>
                <w:rFonts w:ascii="Tahoma" w:hAnsi="Tahoma" w:cs="Tahoma"/>
                <w:sz w:val="18"/>
                <w:szCs w:val="18"/>
                <w:lang w:val="fr-FR"/>
              </w:rPr>
            </w:pPr>
            <w:r w:rsidRPr="00882A06">
              <w:rPr>
                <w:rFonts w:ascii="Tahoma" w:hAnsi="Tahoma" w:cs="Tahoma"/>
                <w:sz w:val="18"/>
                <w:szCs w:val="18"/>
                <w:lang w:val="fr-FR"/>
              </w:rPr>
              <w:t>Email</w:t>
            </w:r>
            <w:r w:rsidR="00E6464C" w:rsidRPr="00882A06">
              <w:rPr>
                <w:rFonts w:ascii="Tahoma" w:hAnsi="Tahoma" w:cs="Tahoma"/>
                <w:sz w:val="18"/>
                <w:szCs w:val="18"/>
                <w:lang w:val="fr-FR"/>
              </w:rPr>
              <w:t xml:space="preserve"> (</w:t>
            </w:r>
            <w:r w:rsidR="00FC3F2E" w:rsidRPr="00882A06">
              <w:rPr>
                <w:rFonts w:ascii="Tahoma" w:hAnsi="Tahoma" w:cs="Tahoma"/>
                <w:sz w:val="18"/>
                <w:szCs w:val="18"/>
                <w:lang w:val="fr-FR"/>
              </w:rPr>
              <w:t>point de contact</w:t>
            </w:r>
            <w:r w:rsidR="00E6464C" w:rsidRPr="00882A06">
              <w:rPr>
                <w:rFonts w:ascii="Tahoma" w:hAnsi="Tahoma" w:cs="Tahoma"/>
                <w:sz w:val="18"/>
                <w:szCs w:val="18"/>
                <w:lang w:val="fr-FR"/>
              </w:rPr>
              <w:t>)</w:t>
            </w:r>
          </w:p>
          <w:p w14:paraId="5D76E7DF"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882A06" w:rsidRDefault="008713A9" w:rsidP="00135199">
            <w:pPr>
              <w:rPr>
                <w:rFonts w:ascii="Tahoma" w:hAnsi="Tahoma" w:cs="Tahoma"/>
                <w:sz w:val="20"/>
                <w:szCs w:val="20"/>
                <w:lang w:val="fr-FR"/>
              </w:rPr>
            </w:pPr>
          </w:p>
        </w:tc>
      </w:tr>
      <w:tr w:rsidR="008713A9" w:rsidRPr="00882A06"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882A06" w:rsidRDefault="00E6464C" w:rsidP="00135199">
            <w:pPr>
              <w:jc w:val="right"/>
              <w:rPr>
                <w:rFonts w:ascii="Tahoma" w:hAnsi="Tahoma" w:cs="Tahoma"/>
                <w:sz w:val="18"/>
                <w:szCs w:val="18"/>
                <w:lang w:val="fr-FR"/>
              </w:rPr>
            </w:pPr>
            <w:r w:rsidRPr="00882A06">
              <w:rPr>
                <w:rFonts w:ascii="Tahoma" w:hAnsi="Tahoma" w:cs="Tahoma"/>
                <w:sz w:val="18"/>
                <w:szCs w:val="18"/>
                <w:lang w:val="fr-FR"/>
              </w:rPr>
              <w:t>N°</w:t>
            </w:r>
            <w:r w:rsidR="00FC3F2E" w:rsidRPr="00882A06">
              <w:rPr>
                <w:rFonts w:ascii="Tahoma" w:hAnsi="Tahoma" w:cs="Tahoma"/>
                <w:sz w:val="18"/>
                <w:szCs w:val="18"/>
                <w:lang w:val="fr-FR"/>
              </w:rPr>
              <w:t xml:space="preserve"> de Téléphone (Point de contact)</w:t>
            </w:r>
          </w:p>
          <w:p w14:paraId="679F12EB"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882A06" w:rsidRDefault="008713A9" w:rsidP="00135199">
            <w:pPr>
              <w:rPr>
                <w:rFonts w:ascii="Tahoma" w:hAnsi="Tahoma" w:cs="Tahoma"/>
                <w:sz w:val="20"/>
                <w:szCs w:val="20"/>
                <w:lang w:val="fr-FR"/>
              </w:rPr>
            </w:pPr>
          </w:p>
        </w:tc>
      </w:tr>
      <w:tr w:rsidR="00B017DB" w:rsidRPr="00882A06"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882A06" w:rsidRDefault="00B017DB" w:rsidP="00297D2E">
            <w:pPr>
              <w:ind w:left="113" w:right="113"/>
              <w:jc w:val="center"/>
              <w:rPr>
                <w:rFonts w:ascii="Tahoma" w:hAnsi="Tahoma" w:cs="Tahoma"/>
                <w:b/>
                <w:sz w:val="18"/>
                <w:szCs w:val="18"/>
                <w:lang w:val="fr-FR"/>
              </w:rPr>
            </w:pPr>
            <w:r w:rsidRPr="00882A06">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Titulaire du compte</w:t>
            </w:r>
          </w:p>
          <w:p w14:paraId="627F23EB" w14:textId="0058C5F7" w:rsidR="00B017DB" w:rsidRPr="00882A06" w:rsidRDefault="00B017DB" w:rsidP="00B017DB">
            <w:pPr>
              <w:jc w:val="right"/>
              <w:rPr>
                <w:rFonts w:ascii="Tahoma" w:hAnsi="Tahoma" w:cs="Tahoma"/>
                <w:sz w:val="18"/>
                <w:szCs w:val="18"/>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882A06" w:rsidRDefault="00B017DB" w:rsidP="00135199">
            <w:pPr>
              <w:rPr>
                <w:rFonts w:ascii="Tahoma" w:hAnsi="Tahoma" w:cs="Tahoma"/>
                <w:sz w:val="20"/>
                <w:szCs w:val="20"/>
                <w:lang w:val="fr-FR"/>
              </w:rPr>
            </w:pPr>
          </w:p>
        </w:tc>
      </w:tr>
      <w:tr w:rsidR="00B017DB" w:rsidRPr="00944EBF"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882A06"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882A06" w:rsidRDefault="00B017DB" w:rsidP="00B017DB">
            <w:pPr>
              <w:jc w:val="right"/>
              <w:rPr>
                <w:rFonts w:ascii="Tahoma" w:hAnsi="Tahoma" w:cs="Tahoma"/>
                <w:sz w:val="18"/>
                <w:szCs w:val="18"/>
                <w:lang w:val="fr-FR"/>
              </w:rPr>
            </w:pPr>
            <w:r w:rsidRPr="00882A06">
              <w:rPr>
                <w:rFonts w:ascii="Tahoma" w:hAnsi="Tahoma" w:cs="Tahoma"/>
                <w:sz w:val="16"/>
                <w:szCs w:val="16"/>
                <w:lang w:val="fr-FR"/>
              </w:rPr>
              <w:t xml:space="preserve">N° </w:t>
            </w:r>
            <w:r w:rsidRPr="00882A06">
              <w:rPr>
                <w:rFonts w:ascii="Tahoma" w:hAnsi="Tahoma" w:cs="Tahoma"/>
                <w:sz w:val="18"/>
                <w:szCs w:val="18"/>
                <w:lang w:val="fr-FR"/>
              </w:rPr>
              <w:t>IBAN</w:t>
            </w:r>
          </w:p>
          <w:p w14:paraId="59E49BD5"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w:t>
            </w:r>
            <w:proofErr w:type="gramStart"/>
            <w:r w:rsidRPr="00882A06">
              <w:rPr>
                <w:rFonts w:ascii="Tahoma" w:hAnsi="Tahoma" w:cs="Tahoma"/>
                <w:sz w:val="18"/>
                <w:szCs w:val="18"/>
                <w:lang w:val="fr-FR"/>
              </w:rPr>
              <w:t>si</w:t>
            </w:r>
            <w:proofErr w:type="gramEnd"/>
            <w:r w:rsidRPr="00882A06">
              <w:rPr>
                <w:rFonts w:ascii="Tahoma" w:hAnsi="Tahoma" w:cs="Tahoma"/>
                <w:sz w:val="18"/>
                <w:szCs w:val="18"/>
                <w:lang w:val="fr-FR"/>
              </w:rPr>
              <w:t xml:space="preserve"> possible)</w:t>
            </w:r>
          </w:p>
          <w:p w14:paraId="3343E8E9" w14:textId="323B11AC" w:rsidR="00B017DB" w:rsidRPr="00882A06" w:rsidRDefault="00B017DB" w:rsidP="00B017DB">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882A06"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882A06" w:rsidRDefault="00B017DB" w:rsidP="00A220B0">
            <w:pPr>
              <w:jc w:val="right"/>
              <w:rPr>
                <w:rFonts w:ascii="Tahoma" w:hAnsi="Tahoma" w:cs="Tahoma"/>
                <w:sz w:val="18"/>
                <w:szCs w:val="18"/>
                <w:lang w:val="fr-FR"/>
              </w:rPr>
            </w:pPr>
            <w:r w:rsidRPr="00882A06">
              <w:rPr>
                <w:rFonts w:ascii="Tahoma" w:hAnsi="Tahoma" w:cs="Tahoma"/>
                <w:sz w:val="18"/>
                <w:szCs w:val="18"/>
                <w:lang w:val="fr-FR"/>
              </w:rPr>
              <w:t xml:space="preserve">N° du compte (pour les personnes non-munis d’un IBAN) </w:t>
            </w:r>
            <w:r w:rsidRPr="00882A06">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882A06" w:rsidRDefault="00B017DB" w:rsidP="00135199">
            <w:pPr>
              <w:rPr>
                <w:rFonts w:ascii="Tahoma" w:hAnsi="Tahoma" w:cs="Tahoma"/>
                <w:sz w:val="20"/>
                <w:szCs w:val="20"/>
                <w:lang w:val="fr-FR"/>
              </w:rPr>
            </w:pPr>
          </w:p>
        </w:tc>
      </w:tr>
      <w:tr w:rsidR="00B017DB" w:rsidRPr="00882A06"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882A06"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Nom de la banque</w:t>
            </w:r>
          </w:p>
          <w:p w14:paraId="3CBBFB7E" w14:textId="6E59CF7B" w:rsidR="00AF694E" w:rsidRPr="00882A06" w:rsidRDefault="00AF694E" w:rsidP="00B017DB">
            <w:pPr>
              <w:jc w:val="right"/>
              <w:rPr>
                <w:rFonts w:ascii="Tahoma" w:hAnsi="Tahoma" w:cs="Tahoma"/>
                <w:sz w:val="18"/>
                <w:szCs w:val="18"/>
                <w:lang w:val="fr-FR"/>
              </w:rPr>
            </w:pPr>
            <w:proofErr w:type="gramStart"/>
            <w:r w:rsidRPr="00882A06">
              <w:rPr>
                <w:rFonts w:ascii="Tahoma" w:hAnsi="Tahoma" w:cs="Tahoma"/>
                <w:sz w:val="18"/>
                <w:szCs w:val="18"/>
                <w:lang w:val="fr-FR"/>
              </w:rPr>
              <w:t>et</w:t>
            </w:r>
            <w:proofErr w:type="gramEnd"/>
            <w:r w:rsidRPr="00882A06">
              <w:rPr>
                <w:rFonts w:ascii="Tahoma" w:hAnsi="Tahoma" w:cs="Tahoma"/>
                <w:sz w:val="18"/>
                <w:szCs w:val="18"/>
                <w:lang w:val="fr-FR"/>
              </w:rPr>
              <w:t xml:space="preserve"> Agence</w:t>
            </w:r>
          </w:p>
          <w:p w14:paraId="0E458B57" w14:textId="619C7DB1" w:rsidR="00B017DB" w:rsidRPr="00882A06" w:rsidRDefault="00B017DB" w:rsidP="00B017DB">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882A06"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882A06" w:rsidRDefault="00B017DB" w:rsidP="00135199">
            <w:pPr>
              <w:jc w:val="right"/>
              <w:rPr>
                <w:rFonts w:ascii="Tahoma" w:hAnsi="Tahoma" w:cs="Tahoma"/>
                <w:sz w:val="18"/>
                <w:szCs w:val="18"/>
                <w:lang w:val="fr-FR"/>
              </w:rPr>
            </w:pPr>
            <w:r w:rsidRPr="00882A06">
              <w:rPr>
                <w:rFonts w:ascii="Tahoma" w:hAnsi="Tahoma" w:cs="Tahoma"/>
                <w:sz w:val="18"/>
                <w:szCs w:val="18"/>
                <w:lang w:val="fr-FR"/>
              </w:rPr>
              <w:t xml:space="preserve">Code BIC/SWIFT </w:t>
            </w:r>
          </w:p>
          <w:p w14:paraId="7CD86C53" w14:textId="77777777" w:rsidR="00B017DB" w:rsidRPr="00882A06" w:rsidRDefault="00B017DB" w:rsidP="00135199">
            <w:pPr>
              <w:jc w:val="right"/>
              <w:rPr>
                <w:rFonts w:ascii="Tahoma" w:hAnsi="Tahoma" w:cs="Tahoma"/>
                <w:sz w:val="18"/>
                <w:szCs w:val="18"/>
                <w:lang w:val="fr-FR"/>
              </w:rPr>
            </w:pPr>
            <w:r w:rsidRPr="00882A06">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882A06" w:rsidRDefault="00B017DB" w:rsidP="00135199">
            <w:pPr>
              <w:rPr>
                <w:rFonts w:ascii="Tahoma" w:hAnsi="Tahoma" w:cs="Tahoma"/>
                <w:sz w:val="20"/>
                <w:szCs w:val="20"/>
                <w:lang w:val="fr-FR"/>
              </w:rPr>
            </w:pPr>
          </w:p>
        </w:tc>
      </w:tr>
      <w:tr w:rsidR="00B017DB" w:rsidRPr="00882A06"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882A06"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Adresse de la banque</w:t>
            </w:r>
          </w:p>
          <w:p w14:paraId="5227D0CD" w14:textId="21F63745" w:rsidR="00B017DB" w:rsidRPr="00882A06" w:rsidRDefault="00B017DB" w:rsidP="00B017DB">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882A06"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882A06" w:rsidRDefault="00B017DB" w:rsidP="00135199">
            <w:pPr>
              <w:jc w:val="right"/>
              <w:rPr>
                <w:rFonts w:ascii="Tahoma" w:hAnsi="Tahoma" w:cs="Tahoma"/>
                <w:sz w:val="18"/>
                <w:szCs w:val="18"/>
                <w:lang w:val="fr-FR"/>
              </w:rPr>
            </w:pPr>
            <w:r w:rsidRPr="00882A06">
              <w:rPr>
                <w:rFonts w:ascii="Tahoma" w:hAnsi="Tahoma" w:cs="Tahoma"/>
                <w:sz w:val="18"/>
                <w:szCs w:val="18"/>
                <w:lang w:val="fr-FR"/>
              </w:rPr>
              <w:t>Devise du compte</w:t>
            </w:r>
          </w:p>
          <w:p w14:paraId="0FAC7D68" w14:textId="7CF4B5A8" w:rsidR="00B017DB" w:rsidRPr="00882A06" w:rsidRDefault="00B017DB" w:rsidP="00135199">
            <w:pPr>
              <w:jc w:val="right"/>
              <w:rPr>
                <w:rFonts w:ascii="Tahoma" w:hAnsi="Tahoma" w:cs="Tahoma"/>
                <w:sz w:val="18"/>
                <w:szCs w:val="18"/>
                <w:lang w:val="fr-FR"/>
              </w:rPr>
            </w:pPr>
            <w:r w:rsidRPr="00882A06">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882A06" w:rsidRDefault="00B017DB" w:rsidP="00135199">
            <w:pPr>
              <w:rPr>
                <w:rFonts w:ascii="Tahoma" w:hAnsi="Tahoma" w:cs="Tahoma"/>
                <w:sz w:val="20"/>
                <w:szCs w:val="20"/>
                <w:lang w:val="fr-FR"/>
              </w:rPr>
            </w:pPr>
          </w:p>
        </w:tc>
      </w:tr>
    </w:tbl>
    <w:p w14:paraId="17D39640" w14:textId="189FEB93" w:rsidR="0072200B" w:rsidRPr="00882A06"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882A06">
        <w:rPr>
          <w:rFonts w:ascii="Tahoma" w:hAnsi="Tahoma" w:cs="Tahoma"/>
          <w:b/>
          <w:lang w:val="fr-FR"/>
        </w:rPr>
        <w:br w:type="page"/>
      </w:r>
      <w:r w:rsidR="0072200B" w:rsidRPr="00882A06">
        <w:rPr>
          <w:rFonts w:ascii="Tahoma" w:hAnsi="Tahoma" w:cs="Tahoma"/>
          <w:b/>
          <w:lang w:val="fr-FR" w:eastAsia="en-US"/>
        </w:rPr>
        <w:lastRenderedPageBreak/>
        <w:t xml:space="preserve">A. </w:t>
      </w:r>
      <w:r w:rsidR="00240827" w:rsidRPr="00882A06">
        <w:rPr>
          <w:rFonts w:ascii="Tahoma" w:hAnsi="Tahoma" w:cs="Tahoma"/>
          <w:b/>
          <w:lang w:val="fr-FR" w:eastAsia="en-US"/>
        </w:rPr>
        <w:t xml:space="preserve"> Termes</w:t>
      </w:r>
      <w:r w:rsidR="00CF64A3" w:rsidRPr="00882A06">
        <w:rPr>
          <w:rFonts w:ascii="Tahoma" w:hAnsi="Tahoma" w:cs="Tahoma"/>
          <w:b/>
          <w:lang w:val="fr-FR" w:eastAsia="en-US"/>
        </w:rPr>
        <w:t xml:space="preserve"> de réfé</w:t>
      </w:r>
      <w:r w:rsidR="00240827" w:rsidRPr="00882A06">
        <w:rPr>
          <w:rFonts w:ascii="Tahoma" w:hAnsi="Tahoma" w:cs="Tahoma"/>
          <w:b/>
          <w:lang w:val="fr-FR" w:eastAsia="en-US"/>
        </w:rPr>
        <w:t>rence/Tableau des honoraires</w:t>
      </w:r>
    </w:p>
    <w:p w14:paraId="3B0A7E65" w14:textId="090506B0" w:rsidR="00297D2E" w:rsidRDefault="00F84541" w:rsidP="002B4CD4">
      <w:pPr>
        <w:spacing w:line="276" w:lineRule="auto"/>
        <w:ind w:left="142" w:right="142"/>
        <w:jc w:val="both"/>
        <w:rPr>
          <w:rFonts w:ascii="Tahoma" w:hAnsi="Tahoma" w:cs="Tahoma"/>
          <w:sz w:val="20"/>
          <w:szCs w:val="20"/>
          <w:lang w:val="fr-FR"/>
        </w:rPr>
      </w:pPr>
      <w:r w:rsidRPr="00831A7C">
        <w:rPr>
          <w:rFonts w:ascii="Tahoma" w:hAnsi="Tahoma" w:cs="Tahoma"/>
          <w:sz w:val="20"/>
          <w:szCs w:val="20"/>
          <w:lang w:val="fr-FR"/>
        </w:rPr>
        <w:t xml:space="preserve">Dans le cadre du programme conjoint </w:t>
      </w:r>
      <w:r w:rsidRPr="00831A7C">
        <w:rPr>
          <w:rFonts w:ascii="Tahoma" w:hAnsi="Tahoma" w:cs="Tahoma"/>
          <w:i/>
          <w:iCs/>
          <w:sz w:val="20"/>
          <w:szCs w:val="20"/>
          <w:lang w:val="fr-FR"/>
        </w:rPr>
        <w:t>« </w:t>
      </w:r>
      <w:r w:rsidRPr="00831A7C">
        <w:rPr>
          <w:rFonts w:ascii="Tahoma" w:hAnsi="Tahoma" w:cs="Tahoma"/>
          <w:b/>
          <w:bCs/>
          <w:i/>
          <w:iCs/>
          <w:sz w:val="20"/>
          <w:szCs w:val="20"/>
          <w:lang w:val="fr-FR"/>
        </w:rPr>
        <w:t>Amélioration du fonctionnement, de la performance et de l’accès à la justice en Tunisie (AP-JUST)</w:t>
      </w:r>
      <w:r w:rsidRPr="00831A7C">
        <w:rPr>
          <w:rFonts w:ascii="Tahoma" w:hAnsi="Tahoma" w:cs="Tahoma"/>
          <w:i/>
          <w:iCs/>
          <w:sz w:val="20"/>
          <w:szCs w:val="20"/>
          <w:lang w:val="fr-FR"/>
        </w:rPr>
        <w:t> »</w:t>
      </w:r>
      <w:r w:rsidRPr="00831A7C">
        <w:rPr>
          <w:rFonts w:ascii="Tahoma" w:hAnsi="Tahoma" w:cs="Tahoma"/>
          <w:sz w:val="20"/>
          <w:szCs w:val="20"/>
          <w:lang w:val="fr-FR"/>
        </w:rPr>
        <w:t>, cofinancé par l’Union européenne et le Conseil de l’Europe, et mis en œuvre par ce dernier jusqu’au 31 Décembre 2021.</w:t>
      </w:r>
      <w:r w:rsidRPr="00831A7C">
        <w:rPr>
          <w:rFonts w:ascii="Tahoma" w:hAnsi="Tahoma" w:cs="Tahoma"/>
          <w:sz w:val="20"/>
          <w:lang w:val="fr-FR"/>
        </w:rPr>
        <w:t xml:space="preserve"> </w:t>
      </w:r>
      <w:r w:rsidR="00297D2E" w:rsidRPr="00882A06">
        <w:rPr>
          <w:rFonts w:ascii="Tahoma" w:hAnsi="Tahoma" w:cs="Tahoma"/>
          <w:sz w:val="20"/>
          <w:szCs w:val="20"/>
          <w:lang w:val="fr-FR"/>
        </w:rPr>
        <w:t>Le Conseil de l’Europe met en œuvre actuellement un Projet</w:t>
      </w:r>
      <w:r w:rsidR="00826768">
        <w:rPr>
          <w:rFonts w:ascii="Tahoma" w:hAnsi="Tahoma" w:cs="Tahoma"/>
          <w:sz w:val="20"/>
          <w:szCs w:val="20"/>
          <w:lang w:val="fr-FR"/>
        </w:rPr>
        <w:t xml:space="preserve"> d’appui à l’information juridique des populations tunisiennes</w:t>
      </w:r>
      <w:r w:rsidR="00297D2E" w:rsidRPr="00882A06">
        <w:rPr>
          <w:rFonts w:ascii="Tahoma" w:hAnsi="Tahoma" w:cs="Tahoma"/>
          <w:sz w:val="20"/>
          <w:szCs w:val="20"/>
          <w:lang w:val="fr-FR"/>
        </w:rPr>
        <w:t xml:space="preserve">. Dans ce contexte, le Conseil souhaite faire </w:t>
      </w:r>
      <w:r w:rsidR="00297D2E" w:rsidRPr="0049280C">
        <w:rPr>
          <w:rFonts w:ascii="Tahoma" w:eastAsiaTheme="minorHAnsi" w:hAnsi="Tahoma" w:cs="Tahoma"/>
          <w:sz w:val="20"/>
          <w:lang w:val="fr-FR" w:eastAsia="en-US"/>
        </w:rPr>
        <w:t xml:space="preserve">appel à </w:t>
      </w:r>
      <w:r w:rsidR="00665490" w:rsidRPr="0049280C">
        <w:rPr>
          <w:rFonts w:ascii="Tahoma" w:eastAsiaTheme="minorHAnsi" w:hAnsi="Tahoma" w:cs="Tahoma"/>
          <w:sz w:val="20"/>
          <w:lang w:val="fr-FR" w:eastAsia="en-US"/>
        </w:rPr>
        <w:t xml:space="preserve">un </w:t>
      </w:r>
      <w:r w:rsidR="00755343">
        <w:rPr>
          <w:rFonts w:ascii="Tahoma" w:eastAsiaTheme="minorHAnsi" w:hAnsi="Tahoma" w:cs="Tahoma"/>
          <w:sz w:val="20"/>
          <w:lang w:val="fr-FR" w:eastAsia="en-US"/>
        </w:rPr>
        <w:t>Prestataire</w:t>
      </w:r>
      <w:r w:rsidR="00297D2E" w:rsidRPr="00882A06">
        <w:rPr>
          <w:rFonts w:ascii="Tahoma" w:hAnsi="Tahoma" w:cs="Tahoma"/>
          <w:sz w:val="20"/>
          <w:szCs w:val="20"/>
          <w:lang w:val="fr-FR"/>
        </w:rPr>
        <w:t xml:space="preserve"> pour la fourniture de </w:t>
      </w:r>
      <w:r w:rsidR="00826768">
        <w:rPr>
          <w:rFonts w:ascii="Tahoma" w:hAnsi="Tahoma" w:cs="Tahoma"/>
          <w:sz w:val="20"/>
          <w:szCs w:val="20"/>
          <w:lang w:val="fr-FR"/>
        </w:rPr>
        <w:t xml:space="preserve">services </w:t>
      </w:r>
      <w:r w:rsidR="00C8330B">
        <w:rPr>
          <w:rFonts w:ascii="Tahoma" w:hAnsi="Tahoma" w:cs="Tahoma"/>
          <w:sz w:val="20"/>
          <w:szCs w:val="20"/>
          <w:lang w:val="fr-FR"/>
        </w:rPr>
        <w:t xml:space="preserve">de formation et </w:t>
      </w:r>
      <w:r w:rsidR="00826768">
        <w:rPr>
          <w:rFonts w:ascii="Tahoma" w:hAnsi="Tahoma" w:cs="Tahoma"/>
          <w:sz w:val="20"/>
          <w:szCs w:val="20"/>
          <w:lang w:val="fr-FR"/>
        </w:rPr>
        <w:t>d</w:t>
      </w:r>
      <w:r w:rsidR="00512116">
        <w:rPr>
          <w:rFonts w:ascii="Tahoma" w:hAnsi="Tahoma" w:cs="Tahoma"/>
          <w:sz w:val="20"/>
          <w:szCs w:val="20"/>
          <w:lang w:val="fr-FR"/>
        </w:rPr>
        <w:t>’accompagnement</w:t>
      </w:r>
      <w:r w:rsidR="00826768">
        <w:rPr>
          <w:rFonts w:ascii="Tahoma" w:hAnsi="Tahoma" w:cs="Tahoma"/>
          <w:sz w:val="20"/>
          <w:szCs w:val="20"/>
          <w:lang w:val="fr-FR"/>
        </w:rPr>
        <w:t xml:space="preserve"> </w:t>
      </w:r>
      <w:r w:rsidR="00826768" w:rsidRPr="00826768">
        <w:rPr>
          <w:rFonts w:ascii="Tahoma" w:hAnsi="Tahoma" w:cs="Tahoma"/>
          <w:sz w:val="20"/>
          <w:szCs w:val="20"/>
          <w:lang w:val="fr-FR"/>
        </w:rPr>
        <w:t xml:space="preserve">auprès </w:t>
      </w:r>
      <w:r w:rsidR="00512116">
        <w:rPr>
          <w:rFonts w:ascii="Tahoma" w:hAnsi="Tahoma" w:cs="Tahoma"/>
          <w:sz w:val="20"/>
          <w:szCs w:val="20"/>
          <w:lang w:val="fr-FR"/>
        </w:rPr>
        <w:t>des</w:t>
      </w:r>
      <w:r w:rsidR="00826768" w:rsidRPr="00826768">
        <w:rPr>
          <w:rFonts w:ascii="Tahoma" w:hAnsi="Tahoma" w:cs="Tahoma"/>
          <w:sz w:val="20"/>
          <w:szCs w:val="20"/>
          <w:lang w:val="fr-FR"/>
        </w:rPr>
        <w:t xml:space="preserve"> points </w:t>
      </w:r>
      <w:r w:rsidR="00512116">
        <w:rPr>
          <w:rFonts w:ascii="Tahoma" w:hAnsi="Tahoma" w:cs="Tahoma"/>
          <w:sz w:val="20"/>
          <w:szCs w:val="20"/>
          <w:lang w:val="fr-FR"/>
        </w:rPr>
        <w:t xml:space="preserve">(fixes et mobiles) </w:t>
      </w:r>
      <w:r w:rsidR="00826768" w:rsidRPr="00826768">
        <w:rPr>
          <w:rFonts w:ascii="Tahoma" w:hAnsi="Tahoma" w:cs="Tahoma"/>
          <w:sz w:val="20"/>
          <w:szCs w:val="20"/>
          <w:lang w:val="fr-FR"/>
        </w:rPr>
        <w:t>d’information juridique</w:t>
      </w:r>
      <w:r w:rsidR="0049280C">
        <w:rPr>
          <w:rFonts w:ascii="Tahoma" w:hAnsi="Tahoma" w:cs="Tahoma"/>
          <w:sz w:val="20"/>
          <w:szCs w:val="20"/>
          <w:lang w:val="fr-FR"/>
        </w:rPr>
        <w:t xml:space="preserve"> en Tunisie et, le cas échéant, aux </w:t>
      </w:r>
      <w:r w:rsidR="0049280C" w:rsidRPr="0049280C">
        <w:rPr>
          <w:rFonts w:ascii="Tahoma" w:hAnsi="Tahoma" w:cs="Tahoma"/>
          <w:sz w:val="20"/>
          <w:szCs w:val="20"/>
          <w:lang w:val="fr-FR"/>
        </w:rPr>
        <w:t xml:space="preserve">autres différentes structures et acteurs pertinents (étatiques </w:t>
      </w:r>
      <w:r w:rsidR="00564D69">
        <w:rPr>
          <w:rFonts w:ascii="Tahoma" w:hAnsi="Tahoma" w:cs="Tahoma"/>
          <w:sz w:val="20"/>
          <w:szCs w:val="20"/>
          <w:lang w:val="fr-FR"/>
        </w:rPr>
        <w:t>ou</w:t>
      </w:r>
      <w:r w:rsidR="0049280C" w:rsidRPr="0049280C">
        <w:rPr>
          <w:rFonts w:ascii="Tahoma" w:hAnsi="Tahoma" w:cs="Tahoma"/>
          <w:sz w:val="20"/>
          <w:szCs w:val="20"/>
          <w:lang w:val="fr-FR"/>
        </w:rPr>
        <w:t xml:space="preserve"> non) qui contribuent à fournir aux populations tunisiennes l’information juridique et l’accès au droit.</w:t>
      </w:r>
    </w:p>
    <w:p w14:paraId="0D38A732" w14:textId="77777777" w:rsidR="0049280C" w:rsidRDefault="0049280C" w:rsidP="0049280C">
      <w:pPr>
        <w:spacing w:line="276" w:lineRule="auto"/>
        <w:ind w:right="142"/>
        <w:jc w:val="both"/>
        <w:rPr>
          <w:rFonts w:ascii="Tahoma" w:hAnsi="Tahoma" w:cs="Tahoma"/>
          <w:sz w:val="20"/>
          <w:szCs w:val="20"/>
          <w:lang w:val="fr-FR"/>
        </w:rPr>
      </w:pPr>
    </w:p>
    <w:p w14:paraId="1306847F" w14:textId="6382FD38" w:rsidR="002B6809" w:rsidRDefault="00FE0278" w:rsidP="003343BE">
      <w:pPr>
        <w:ind w:left="142"/>
        <w:jc w:val="both"/>
        <w:rPr>
          <w:rFonts w:ascii="Tahoma" w:eastAsiaTheme="minorHAnsi" w:hAnsi="Tahoma" w:cs="Tahoma"/>
          <w:color w:val="000000" w:themeColor="text1"/>
          <w:sz w:val="20"/>
          <w:lang w:val="fr-FR" w:eastAsia="en-US"/>
        </w:rPr>
      </w:pPr>
      <w:r>
        <w:rPr>
          <w:rFonts w:ascii="Tahoma" w:eastAsiaTheme="minorHAnsi" w:hAnsi="Tahoma" w:cs="Tahoma"/>
          <w:color w:val="000000" w:themeColor="text1"/>
          <w:sz w:val="20"/>
          <w:lang w:val="fr-FR" w:eastAsia="en-US"/>
        </w:rPr>
        <w:t>Dans le cadre d’</w:t>
      </w:r>
      <w:r w:rsidR="00512116" w:rsidRPr="00512116">
        <w:rPr>
          <w:rFonts w:ascii="Tahoma" w:eastAsiaTheme="minorHAnsi" w:hAnsi="Tahoma" w:cs="Tahoma"/>
          <w:b/>
          <w:bCs/>
          <w:color w:val="000000" w:themeColor="text1"/>
          <w:sz w:val="20"/>
          <w:lang w:val="fr-FR" w:eastAsia="en-US"/>
        </w:rPr>
        <w:t xml:space="preserve">une stratégie visant à inciter </w:t>
      </w:r>
      <w:r w:rsidR="00512116">
        <w:rPr>
          <w:rFonts w:ascii="Tahoma" w:eastAsiaTheme="minorHAnsi" w:hAnsi="Tahoma" w:cs="Tahoma"/>
          <w:b/>
          <w:bCs/>
          <w:color w:val="000000" w:themeColor="text1"/>
          <w:sz w:val="20"/>
          <w:lang w:val="fr-FR" w:eastAsia="en-US"/>
        </w:rPr>
        <w:t>c</w:t>
      </w:r>
      <w:r w:rsidR="00512116" w:rsidRPr="00512116">
        <w:rPr>
          <w:rFonts w:ascii="Tahoma" w:eastAsiaTheme="minorHAnsi" w:hAnsi="Tahoma" w:cs="Tahoma"/>
          <w:b/>
          <w:bCs/>
          <w:color w:val="000000" w:themeColor="text1"/>
          <w:sz w:val="20"/>
          <w:lang w:val="fr-FR" w:eastAsia="en-US"/>
        </w:rPr>
        <w:t>es différents acteurs et structures à veiller sur la qualité des services</w:t>
      </w:r>
      <w:r w:rsidR="00512116" w:rsidRPr="00512116">
        <w:rPr>
          <w:rFonts w:ascii="Tahoma" w:eastAsiaTheme="minorHAnsi" w:hAnsi="Tahoma" w:cs="Tahoma"/>
          <w:color w:val="000000" w:themeColor="text1"/>
          <w:sz w:val="20"/>
          <w:lang w:val="fr-FR" w:eastAsia="en-US"/>
        </w:rPr>
        <w:t xml:space="preserve"> qui seront offerts au sein des points d’information juridique</w:t>
      </w:r>
      <w:r>
        <w:rPr>
          <w:rFonts w:ascii="Tahoma" w:eastAsiaTheme="minorHAnsi" w:hAnsi="Tahoma" w:cs="Tahoma"/>
          <w:color w:val="000000" w:themeColor="text1"/>
          <w:sz w:val="20"/>
          <w:lang w:val="fr-FR" w:eastAsia="en-US"/>
        </w:rPr>
        <w:t>, l</w:t>
      </w:r>
      <w:r w:rsidRPr="00512116">
        <w:rPr>
          <w:rFonts w:ascii="Tahoma" w:eastAsiaTheme="minorHAnsi" w:hAnsi="Tahoma" w:cs="Tahoma"/>
          <w:color w:val="000000" w:themeColor="text1"/>
          <w:sz w:val="20"/>
          <w:lang w:val="fr-FR" w:eastAsia="en-US"/>
        </w:rPr>
        <w:t>e prestataire</w:t>
      </w:r>
      <w:r>
        <w:rPr>
          <w:rFonts w:ascii="Tahoma" w:eastAsiaTheme="minorHAnsi" w:hAnsi="Tahoma" w:cs="Tahoma"/>
          <w:color w:val="000000" w:themeColor="text1"/>
          <w:sz w:val="20"/>
          <w:lang w:val="fr-FR" w:eastAsia="en-US"/>
        </w:rPr>
        <w:t xml:space="preserve"> </w:t>
      </w:r>
      <w:r w:rsidR="00512116" w:rsidRPr="00512116">
        <w:rPr>
          <w:rFonts w:ascii="Tahoma" w:eastAsiaTheme="minorHAnsi" w:hAnsi="Tahoma" w:cs="Tahoma"/>
          <w:color w:val="000000" w:themeColor="text1"/>
          <w:sz w:val="20"/>
          <w:lang w:val="fr-FR" w:eastAsia="en-US"/>
        </w:rPr>
        <w:t xml:space="preserve">sera invité à fournir les types suivants de livrables </w:t>
      </w:r>
      <w:r w:rsidR="003343BE">
        <w:rPr>
          <w:rFonts w:ascii="Tahoma" w:eastAsiaTheme="minorHAnsi" w:hAnsi="Tahoma" w:cs="Tahoma"/>
          <w:color w:val="000000" w:themeColor="text1"/>
          <w:sz w:val="20"/>
          <w:lang w:val="fr-FR" w:eastAsia="en-US"/>
        </w:rPr>
        <w:t>(</w:t>
      </w:r>
      <w:r w:rsidR="00C00DF2">
        <w:rPr>
          <w:rFonts w:ascii="Tahoma" w:eastAsiaTheme="minorHAnsi" w:hAnsi="Tahoma" w:cs="Tahoma"/>
          <w:color w:val="000000" w:themeColor="text1"/>
          <w:sz w:val="20"/>
          <w:lang w:val="fr-FR" w:eastAsia="en-US"/>
        </w:rPr>
        <w:t>d’</w:t>
      </w:r>
      <w:r w:rsidR="003343BE">
        <w:rPr>
          <w:rFonts w:ascii="Tahoma" w:eastAsiaTheme="minorHAnsi" w:hAnsi="Tahoma" w:cs="Tahoma"/>
          <w:color w:val="000000" w:themeColor="text1"/>
          <w:sz w:val="20"/>
          <w:lang w:val="fr-FR" w:eastAsia="en-US"/>
        </w:rPr>
        <w:t xml:space="preserve">accompagnement et formation) </w:t>
      </w:r>
      <w:r w:rsidR="00512116" w:rsidRPr="00512116">
        <w:rPr>
          <w:rFonts w:ascii="Tahoma" w:eastAsiaTheme="minorHAnsi" w:hAnsi="Tahoma" w:cs="Tahoma"/>
          <w:color w:val="000000" w:themeColor="text1"/>
          <w:sz w:val="20"/>
          <w:lang w:val="fr-FR" w:eastAsia="en-US"/>
        </w:rPr>
        <w:t>pendant toute la durée du contrat-cadre</w:t>
      </w:r>
      <w:r w:rsidR="002B6809">
        <w:rPr>
          <w:rFonts w:ascii="Tahoma" w:eastAsiaTheme="minorHAnsi" w:hAnsi="Tahoma" w:cs="Tahoma"/>
          <w:color w:val="000000" w:themeColor="text1"/>
          <w:sz w:val="20"/>
          <w:lang w:val="fr-FR" w:eastAsia="en-US"/>
        </w:rPr>
        <w:t>.</w:t>
      </w:r>
    </w:p>
    <w:p w14:paraId="4B6FEE26" w14:textId="20101162" w:rsidR="002B6809" w:rsidRDefault="002B6809" w:rsidP="00C00DF2">
      <w:pPr>
        <w:jc w:val="both"/>
        <w:rPr>
          <w:rFonts w:ascii="Tahoma" w:eastAsiaTheme="minorHAnsi" w:hAnsi="Tahoma" w:cs="Tahoma"/>
          <w:color w:val="000000" w:themeColor="text1"/>
          <w:sz w:val="20"/>
          <w:lang w:val="fr-FR" w:eastAsia="en-US"/>
        </w:rPr>
      </w:pPr>
    </w:p>
    <w:p w14:paraId="34A2FA32" w14:textId="77777777" w:rsidR="00ED6EE5" w:rsidRPr="00512116" w:rsidRDefault="00ED6EE5" w:rsidP="00ED6EE5">
      <w:pPr>
        <w:numPr>
          <w:ilvl w:val="0"/>
          <w:numId w:val="31"/>
        </w:numPr>
        <w:spacing w:after="200" w:line="276" w:lineRule="auto"/>
        <w:ind w:left="993" w:hanging="426"/>
        <w:contextualSpacing/>
        <w:jc w:val="both"/>
        <w:rPr>
          <w:rFonts w:ascii="Tahoma" w:eastAsiaTheme="minorHAnsi" w:hAnsi="Tahoma" w:cs="Tahoma"/>
          <w:color w:val="000000" w:themeColor="text1"/>
          <w:sz w:val="20"/>
          <w:lang w:val="fr-FR" w:eastAsia="en-US"/>
        </w:rPr>
      </w:pPr>
      <w:r w:rsidRPr="00512116">
        <w:rPr>
          <w:rFonts w:ascii="Tahoma" w:eastAsiaTheme="minorHAnsi" w:hAnsi="Tahoma" w:cs="Tahoma"/>
          <w:color w:val="000000" w:themeColor="text1"/>
          <w:sz w:val="20"/>
          <w:lang w:val="fr-FR" w:eastAsia="en-US"/>
        </w:rPr>
        <w:t xml:space="preserve">Organisation d’activités de formation/ateliers auprès </w:t>
      </w:r>
      <w:r>
        <w:rPr>
          <w:rFonts w:ascii="Tahoma" w:eastAsiaTheme="minorHAnsi" w:hAnsi="Tahoma" w:cs="Tahoma"/>
          <w:color w:val="000000" w:themeColor="text1"/>
          <w:sz w:val="20"/>
          <w:lang w:val="fr-FR" w:eastAsia="en-US"/>
        </w:rPr>
        <w:t>du personnel et des</w:t>
      </w:r>
      <w:r w:rsidRPr="00512116">
        <w:rPr>
          <w:rFonts w:ascii="Tahoma" w:eastAsiaTheme="minorHAnsi" w:hAnsi="Tahoma" w:cs="Tahoma"/>
          <w:color w:val="000000" w:themeColor="text1"/>
          <w:sz w:val="20"/>
          <w:lang w:val="fr-FR" w:eastAsia="en-US"/>
        </w:rPr>
        <w:t xml:space="preserve"> intervenants œuvrant dans ces points d’information juridique</w:t>
      </w:r>
      <w:r>
        <w:rPr>
          <w:rFonts w:ascii="Tahoma" w:eastAsiaTheme="minorHAnsi" w:hAnsi="Tahoma" w:cs="Tahoma"/>
          <w:color w:val="000000" w:themeColor="text1"/>
          <w:sz w:val="20"/>
          <w:lang w:val="fr-FR" w:eastAsia="en-US"/>
        </w:rPr>
        <w:t>,</w:t>
      </w:r>
      <w:r w:rsidRPr="00512116">
        <w:rPr>
          <w:rFonts w:ascii="Tahoma" w:eastAsiaTheme="minorHAnsi" w:hAnsi="Tahoma" w:cs="Tahoma"/>
          <w:color w:val="000000" w:themeColor="text1"/>
          <w:sz w:val="20"/>
          <w:lang w:val="fr-FR" w:eastAsia="en-US"/>
        </w:rPr>
        <w:t xml:space="preserve"> qui porteraient notamment sur les relations humaines entre les usagers et les intervenants (l’accueil des personnes, les techniques de communication, d’écoute et d’analyse juridique des situations des usagers) et sur les besoins spécifiques des catégories de personnes vulnérables ;</w:t>
      </w:r>
    </w:p>
    <w:p w14:paraId="6B651FA9" w14:textId="77777777" w:rsidR="00ED6EE5" w:rsidRDefault="00ED6EE5" w:rsidP="00ED6EE5">
      <w:pPr>
        <w:numPr>
          <w:ilvl w:val="0"/>
          <w:numId w:val="31"/>
        </w:numPr>
        <w:spacing w:after="200" w:line="276" w:lineRule="auto"/>
        <w:ind w:left="993" w:hanging="426"/>
        <w:contextualSpacing/>
        <w:jc w:val="both"/>
        <w:rPr>
          <w:rFonts w:ascii="Tahoma" w:eastAsiaTheme="minorHAnsi" w:hAnsi="Tahoma" w:cs="Tahoma"/>
          <w:color w:val="000000" w:themeColor="text1"/>
          <w:sz w:val="20"/>
          <w:lang w:val="fr-FR" w:eastAsia="en-US"/>
        </w:rPr>
      </w:pPr>
      <w:r w:rsidRPr="00512116">
        <w:rPr>
          <w:rFonts w:ascii="Tahoma" w:eastAsiaTheme="minorHAnsi" w:hAnsi="Tahoma" w:cs="Tahoma"/>
          <w:color w:val="000000" w:themeColor="text1"/>
          <w:sz w:val="20"/>
          <w:lang w:val="fr-FR" w:eastAsia="en-US"/>
        </w:rPr>
        <w:t xml:space="preserve">Organisation </w:t>
      </w:r>
      <w:r>
        <w:rPr>
          <w:rFonts w:ascii="Tahoma" w:eastAsiaTheme="minorHAnsi" w:hAnsi="Tahoma" w:cs="Tahoma"/>
          <w:color w:val="000000" w:themeColor="text1"/>
          <w:sz w:val="20"/>
          <w:lang w:val="fr-FR" w:eastAsia="en-US"/>
        </w:rPr>
        <w:t xml:space="preserve">de </w:t>
      </w:r>
      <w:r w:rsidRPr="00512116">
        <w:rPr>
          <w:rFonts w:ascii="Tahoma" w:eastAsiaTheme="minorHAnsi" w:hAnsi="Tahoma" w:cs="Tahoma"/>
          <w:color w:val="000000" w:themeColor="text1"/>
          <w:sz w:val="20"/>
          <w:lang w:val="fr-FR" w:eastAsia="en-US"/>
        </w:rPr>
        <w:t>séminaires visant à améliorer les connaissances du personnel</w:t>
      </w:r>
      <w:r w:rsidRPr="00865842">
        <w:rPr>
          <w:rFonts w:ascii="Tahoma" w:eastAsiaTheme="minorHAnsi" w:hAnsi="Tahoma" w:cs="Tahoma"/>
          <w:color w:val="000000" w:themeColor="text1"/>
          <w:sz w:val="20"/>
          <w:lang w:val="fr-FR" w:eastAsia="en-US"/>
        </w:rPr>
        <w:t xml:space="preserve"> et intervenants </w:t>
      </w:r>
      <w:r w:rsidRPr="00512116">
        <w:rPr>
          <w:rFonts w:ascii="Tahoma" w:eastAsiaTheme="minorHAnsi" w:hAnsi="Tahoma" w:cs="Tahoma"/>
          <w:color w:val="000000" w:themeColor="text1"/>
          <w:sz w:val="20"/>
          <w:lang w:val="fr-FR" w:eastAsia="en-US"/>
        </w:rPr>
        <w:t>des points d’information juridique sur le système administratif et judicaire tunisien, les procédures et réseaux d’accès à la justice afin qu’il puisse, le cas échéant, réorienter de manière efficace les usagers vers les administrations, les services et les associations compétentes ;</w:t>
      </w:r>
    </w:p>
    <w:p w14:paraId="0D467966" w14:textId="3833D2C1" w:rsidR="00512116" w:rsidRPr="00512116" w:rsidRDefault="00512116" w:rsidP="00512116">
      <w:pPr>
        <w:numPr>
          <w:ilvl w:val="0"/>
          <w:numId w:val="31"/>
        </w:numPr>
        <w:spacing w:after="200" w:line="276" w:lineRule="auto"/>
        <w:ind w:left="993" w:hanging="426"/>
        <w:contextualSpacing/>
        <w:jc w:val="both"/>
        <w:rPr>
          <w:rFonts w:ascii="Tahoma" w:eastAsiaTheme="minorHAnsi" w:hAnsi="Tahoma" w:cs="Tahoma"/>
          <w:color w:val="000000" w:themeColor="text1"/>
          <w:sz w:val="20"/>
          <w:lang w:val="fr-FR" w:eastAsia="en-US"/>
        </w:rPr>
      </w:pPr>
      <w:r w:rsidRPr="00512116">
        <w:rPr>
          <w:rFonts w:ascii="Tahoma" w:eastAsiaTheme="minorHAnsi" w:hAnsi="Tahoma" w:cs="Tahoma"/>
          <w:color w:val="000000" w:themeColor="text1"/>
          <w:sz w:val="20"/>
          <w:lang w:val="fr-FR" w:eastAsia="en-US"/>
        </w:rPr>
        <w:t xml:space="preserve">Fourniture </w:t>
      </w:r>
      <w:r w:rsidR="009E0F2B" w:rsidRPr="00512116">
        <w:rPr>
          <w:rFonts w:ascii="Tahoma" w:eastAsiaTheme="minorHAnsi" w:hAnsi="Tahoma" w:cs="Tahoma"/>
          <w:color w:val="000000" w:themeColor="text1"/>
          <w:sz w:val="20"/>
          <w:lang w:val="fr-FR" w:eastAsia="en-US"/>
        </w:rPr>
        <w:t xml:space="preserve">d’outils sur la bonne gestion de projet </w:t>
      </w:r>
      <w:r w:rsidR="009E0F2B">
        <w:rPr>
          <w:rFonts w:ascii="Tahoma" w:eastAsiaTheme="minorHAnsi" w:hAnsi="Tahoma" w:cs="Tahoma"/>
          <w:color w:val="000000" w:themeColor="text1"/>
          <w:sz w:val="20"/>
          <w:lang w:val="fr-FR" w:eastAsia="en-US"/>
        </w:rPr>
        <w:t xml:space="preserve">et </w:t>
      </w:r>
      <w:r w:rsidRPr="00512116">
        <w:rPr>
          <w:rFonts w:ascii="Tahoma" w:eastAsiaTheme="minorHAnsi" w:hAnsi="Tahoma" w:cs="Tahoma"/>
          <w:color w:val="000000" w:themeColor="text1"/>
          <w:sz w:val="20"/>
          <w:lang w:val="fr-FR" w:eastAsia="en-US"/>
        </w:rPr>
        <w:t>de conseil</w:t>
      </w:r>
      <w:r>
        <w:rPr>
          <w:rFonts w:ascii="Tahoma" w:eastAsiaTheme="minorHAnsi" w:hAnsi="Tahoma" w:cs="Tahoma"/>
          <w:color w:val="000000" w:themeColor="text1"/>
          <w:sz w:val="20"/>
          <w:lang w:val="fr-FR" w:eastAsia="en-US"/>
        </w:rPr>
        <w:t xml:space="preserve">s </w:t>
      </w:r>
      <w:bookmarkStart w:id="1" w:name="_Hlk31356289"/>
      <w:r w:rsidR="009E0F2B">
        <w:rPr>
          <w:rFonts w:ascii="Tahoma" w:eastAsiaTheme="minorHAnsi" w:hAnsi="Tahoma" w:cs="Tahoma"/>
          <w:color w:val="000000" w:themeColor="text1"/>
          <w:sz w:val="20"/>
          <w:lang w:val="fr-FR" w:eastAsia="en-US"/>
        </w:rPr>
        <w:t>(aide à la rédaction et commentaires sur les rapports par exemple</w:t>
      </w:r>
      <w:proofErr w:type="gramStart"/>
      <w:r w:rsidR="009E0F2B">
        <w:rPr>
          <w:rFonts w:ascii="Tahoma" w:eastAsiaTheme="minorHAnsi" w:hAnsi="Tahoma" w:cs="Tahoma"/>
          <w:color w:val="000000" w:themeColor="text1"/>
          <w:sz w:val="20"/>
          <w:lang w:val="fr-FR" w:eastAsia="en-US"/>
        </w:rPr>
        <w:t>)</w:t>
      </w:r>
      <w:bookmarkEnd w:id="1"/>
      <w:r w:rsidRPr="00512116">
        <w:rPr>
          <w:rFonts w:ascii="Tahoma" w:eastAsiaTheme="minorHAnsi" w:hAnsi="Tahoma" w:cs="Tahoma"/>
          <w:color w:val="000000" w:themeColor="text1"/>
          <w:sz w:val="20"/>
          <w:lang w:val="fr-FR" w:eastAsia="en-US"/>
        </w:rPr>
        <w:t>;</w:t>
      </w:r>
      <w:proofErr w:type="gramEnd"/>
    </w:p>
    <w:p w14:paraId="63ABFBA5" w14:textId="2F34BC88" w:rsidR="00512116" w:rsidRPr="00512116" w:rsidRDefault="00512116" w:rsidP="00512116">
      <w:pPr>
        <w:numPr>
          <w:ilvl w:val="0"/>
          <w:numId w:val="31"/>
        </w:numPr>
        <w:spacing w:after="200" w:line="276" w:lineRule="auto"/>
        <w:ind w:left="993" w:hanging="426"/>
        <w:contextualSpacing/>
        <w:jc w:val="both"/>
        <w:rPr>
          <w:rFonts w:ascii="Tahoma" w:eastAsiaTheme="minorHAnsi" w:hAnsi="Tahoma" w:cs="Tahoma"/>
          <w:color w:val="000000" w:themeColor="text1"/>
          <w:sz w:val="20"/>
          <w:lang w:val="fr-FR" w:eastAsia="en-US"/>
        </w:rPr>
      </w:pPr>
      <w:r w:rsidRPr="00512116">
        <w:rPr>
          <w:rFonts w:ascii="Tahoma" w:eastAsiaTheme="minorHAnsi" w:hAnsi="Tahoma" w:cs="Tahoma"/>
          <w:color w:val="000000" w:themeColor="text1"/>
          <w:sz w:val="20"/>
          <w:lang w:val="fr-FR" w:eastAsia="en-US"/>
        </w:rPr>
        <w:t>Fourniture de méthodes et outils à l’auto-évaluation sur la qualité des actions et services prodigués et</w:t>
      </w:r>
      <w:r>
        <w:rPr>
          <w:rFonts w:ascii="Tahoma" w:eastAsiaTheme="minorHAnsi" w:hAnsi="Tahoma" w:cs="Tahoma"/>
          <w:color w:val="000000" w:themeColor="text1"/>
          <w:sz w:val="20"/>
          <w:lang w:val="fr-FR" w:eastAsia="en-US"/>
        </w:rPr>
        <w:t xml:space="preserve"> </w:t>
      </w:r>
      <w:r w:rsidRPr="00512116">
        <w:rPr>
          <w:rFonts w:ascii="Tahoma" w:eastAsiaTheme="minorHAnsi" w:hAnsi="Tahoma" w:cs="Tahoma"/>
          <w:color w:val="000000" w:themeColor="text1"/>
          <w:sz w:val="20"/>
          <w:lang w:val="fr-FR" w:eastAsia="en-US"/>
        </w:rPr>
        <w:t xml:space="preserve">soutien à la réalisation de ces </w:t>
      </w:r>
      <w:r w:rsidRPr="00512116">
        <w:rPr>
          <w:rFonts w:ascii="Tahoma" w:eastAsiaTheme="minorHAnsi" w:hAnsi="Tahoma" w:cs="Tahoma"/>
          <w:sz w:val="20"/>
          <w:lang w:val="fr-FR" w:eastAsia="en-US"/>
        </w:rPr>
        <w:t>auto-évaluations </w:t>
      </w:r>
      <w:r w:rsidRPr="00512116">
        <w:rPr>
          <w:rFonts w:ascii="Tahoma" w:eastAsiaTheme="minorHAnsi" w:hAnsi="Tahoma" w:cs="Tahoma"/>
          <w:color w:val="000000" w:themeColor="text1"/>
          <w:sz w:val="20"/>
          <w:lang w:val="fr-FR" w:eastAsia="en-US"/>
        </w:rPr>
        <w:t>;</w:t>
      </w:r>
    </w:p>
    <w:p w14:paraId="4D917EA1" w14:textId="44315507" w:rsidR="00512116" w:rsidRDefault="00512116" w:rsidP="00512116">
      <w:pPr>
        <w:numPr>
          <w:ilvl w:val="0"/>
          <w:numId w:val="31"/>
        </w:numPr>
        <w:spacing w:after="200" w:line="276" w:lineRule="auto"/>
        <w:ind w:left="993" w:hanging="426"/>
        <w:contextualSpacing/>
        <w:jc w:val="both"/>
        <w:rPr>
          <w:rFonts w:ascii="Tahoma" w:eastAsiaTheme="minorHAnsi" w:hAnsi="Tahoma" w:cs="Tahoma"/>
          <w:color w:val="000000" w:themeColor="text1"/>
          <w:sz w:val="20"/>
          <w:lang w:val="fr-FR" w:eastAsia="en-US"/>
        </w:rPr>
      </w:pPr>
      <w:r w:rsidRPr="00512116">
        <w:rPr>
          <w:rFonts w:ascii="Tahoma" w:eastAsiaTheme="minorHAnsi" w:hAnsi="Tahoma" w:cs="Tahoma"/>
          <w:color w:val="000000" w:themeColor="text1"/>
          <w:sz w:val="20"/>
          <w:lang w:val="fr-FR" w:eastAsia="en-US"/>
        </w:rPr>
        <w:t>Fourniture</w:t>
      </w:r>
      <w:r w:rsidR="004B2BE1">
        <w:rPr>
          <w:rFonts w:ascii="Tahoma" w:eastAsiaTheme="minorHAnsi" w:hAnsi="Tahoma" w:cs="Tahoma"/>
          <w:color w:val="000000" w:themeColor="text1"/>
          <w:sz w:val="20"/>
          <w:lang w:val="fr-FR" w:eastAsia="en-US"/>
        </w:rPr>
        <w:t>/organisation</w:t>
      </w:r>
      <w:r w:rsidRPr="00512116">
        <w:rPr>
          <w:rFonts w:ascii="Tahoma" w:eastAsiaTheme="minorHAnsi" w:hAnsi="Tahoma" w:cs="Tahoma"/>
          <w:color w:val="000000" w:themeColor="text1"/>
          <w:sz w:val="20"/>
          <w:lang w:val="fr-FR" w:eastAsia="en-US"/>
        </w:rPr>
        <w:t xml:space="preserve"> des ressources nécessaires en termes de matériels adéquats pour la tenue des </w:t>
      </w:r>
      <w:bookmarkStart w:id="2" w:name="_Hlk30669917"/>
      <w:r>
        <w:rPr>
          <w:rFonts w:ascii="Tahoma" w:eastAsiaTheme="minorHAnsi" w:hAnsi="Tahoma" w:cs="Tahoma"/>
          <w:color w:val="000000" w:themeColor="text1"/>
          <w:sz w:val="20"/>
          <w:lang w:val="fr-FR" w:eastAsia="en-US"/>
        </w:rPr>
        <w:t>évènements</w:t>
      </w:r>
      <w:r w:rsidRPr="00512116">
        <w:rPr>
          <w:rFonts w:ascii="Tahoma" w:eastAsiaTheme="minorHAnsi" w:hAnsi="Tahoma" w:cs="Tahoma"/>
          <w:color w:val="000000" w:themeColor="text1"/>
          <w:sz w:val="20"/>
          <w:lang w:val="fr-FR" w:eastAsia="en-US"/>
        </w:rPr>
        <w:t xml:space="preserve"> mentionnés ci-dessus. </w:t>
      </w:r>
    </w:p>
    <w:p w14:paraId="24D876DC" w14:textId="77777777" w:rsidR="002B6809" w:rsidRDefault="002B6809" w:rsidP="002B6809">
      <w:pPr>
        <w:spacing w:after="200" w:line="276" w:lineRule="auto"/>
        <w:ind w:left="993"/>
        <w:contextualSpacing/>
        <w:jc w:val="both"/>
        <w:rPr>
          <w:rFonts w:ascii="Tahoma" w:eastAsiaTheme="minorHAnsi" w:hAnsi="Tahoma" w:cs="Tahoma"/>
          <w:color w:val="000000" w:themeColor="text1"/>
          <w:sz w:val="20"/>
          <w:lang w:val="fr-FR" w:eastAsia="en-US"/>
        </w:rPr>
      </w:pPr>
    </w:p>
    <w:p w14:paraId="7A100422" w14:textId="77777777" w:rsidR="002B6809" w:rsidRPr="00512116" w:rsidRDefault="002B6809" w:rsidP="002B6809">
      <w:pPr>
        <w:spacing w:after="200" w:line="276" w:lineRule="auto"/>
        <w:contextualSpacing/>
        <w:jc w:val="both"/>
        <w:rPr>
          <w:rFonts w:ascii="Tahoma" w:eastAsiaTheme="minorHAnsi" w:hAnsi="Tahoma" w:cs="Tahoma"/>
          <w:color w:val="000000" w:themeColor="text1"/>
          <w:sz w:val="20"/>
          <w:lang w:val="fr-FR" w:eastAsia="en-US"/>
        </w:rPr>
      </w:pPr>
    </w:p>
    <w:p w14:paraId="5F086072" w14:textId="472FD099" w:rsidR="002B6809" w:rsidRDefault="002B6809" w:rsidP="00087C17">
      <w:pPr>
        <w:ind w:left="142"/>
        <w:jc w:val="both"/>
        <w:rPr>
          <w:rFonts w:ascii="Tahoma" w:hAnsi="Tahoma" w:cs="Tahoma"/>
          <w:sz w:val="20"/>
          <w:lang w:val="fr-FR"/>
        </w:rPr>
      </w:pPr>
      <w:r w:rsidRPr="002B6809">
        <w:rPr>
          <w:rFonts w:ascii="Tahoma" w:hAnsi="Tahoma" w:cs="Tahoma"/>
          <w:sz w:val="20"/>
          <w:u w:val="single"/>
          <w:lang w:val="fr-FR"/>
        </w:rPr>
        <w:t>Général</w:t>
      </w:r>
    </w:p>
    <w:p w14:paraId="649D3DD5" w14:textId="3397BBB2" w:rsidR="004B2BE1" w:rsidRPr="00865842" w:rsidRDefault="004B2BE1" w:rsidP="00087C17">
      <w:pPr>
        <w:ind w:left="142"/>
        <w:jc w:val="both"/>
        <w:rPr>
          <w:rFonts w:ascii="Tahoma" w:hAnsi="Tahoma" w:cs="Tahoma"/>
          <w:sz w:val="20"/>
          <w:lang w:val="fr-FR"/>
        </w:rPr>
      </w:pPr>
      <w:r w:rsidRPr="00865842">
        <w:rPr>
          <w:rFonts w:ascii="Tahoma" w:hAnsi="Tahoma" w:cs="Tahoma"/>
          <w:sz w:val="20"/>
          <w:lang w:val="fr-FR"/>
        </w:rPr>
        <w:t>Le prestataire devra accompagner les bénéficiaires du projet pour la durée du programme conjoint. Des réunions de suivi avec les bénéficiaires et le Conseil de l’Europe seront organisés pour assurer le bon fonctionnement de l’accompagnement.</w:t>
      </w:r>
    </w:p>
    <w:p w14:paraId="39034148" w14:textId="77777777" w:rsidR="004B2BE1" w:rsidRPr="00512116" w:rsidRDefault="004B2BE1" w:rsidP="00087C17">
      <w:pPr>
        <w:tabs>
          <w:tab w:val="left" w:pos="720"/>
          <w:tab w:val="left" w:pos="3828"/>
        </w:tabs>
        <w:ind w:left="142"/>
        <w:contextualSpacing/>
        <w:jc w:val="both"/>
        <w:rPr>
          <w:rFonts w:ascii="Tahoma" w:eastAsiaTheme="minorHAnsi" w:hAnsi="Tahoma" w:cs="Tahoma"/>
          <w:sz w:val="20"/>
          <w:lang w:val="fr-FR" w:eastAsia="en-US"/>
        </w:rPr>
      </w:pPr>
    </w:p>
    <w:p w14:paraId="4947B848" w14:textId="2F3FEEAB" w:rsidR="00512116" w:rsidRPr="00512116" w:rsidRDefault="00512116" w:rsidP="00087C17">
      <w:pPr>
        <w:ind w:left="142"/>
        <w:jc w:val="both"/>
        <w:rPr>
          <w:rFonts w:ascii="Tahoma" w:eastAsiaTheme="minorHAnsi" w:hAnsi="Tahoma" w:cs="Tahoma"/>
          <w:sz w:val="20"/>
          <w:lang w:val="fr-FR" w:eastAsia="en-US"/>
        </w:rPr>
      </w:pPr>
      <w:r w:rsidRPr="00512116">
        <w:rPr>
          <w:rFonts w:ascii="Tahoma" w:eastAsiaTheme="minorHAnsi" w:hAnsi="Tahoma" w:cs="Tahoma"/>
          <w:sz w:val="20"/>
          <w:lang w:val="fr-FR" w:eastAsia="en-US"/>
        </w:rPr>
        <w:t xml:space="preserve">La liste ci-dessus n’est pas exhaustive. Le Conseil se réserve le droit de requérir des livrables qui n’apparaissent pas expressément </w:t>
      </w:r>
      <w:r w:rsidR="004B2BE1">
        <w:rPr>
          <w:rFonts w:ascii="Tahoma" w:eastAsiaTheme="minorHAnsi" w:hAnsi="Tahoma" w:cs="Tahoma"/>
          <w:sz w:val="20"/>
          <w:lang w:val="fr-FR" w:eastAsia="en-US"/>
        </w:rPr>
        <w:t>dans la liste</w:t>
      </w:r>
      <w:r w:rsidRPr="00512116">
        <w:rPr>
          <w:rFonts w:ascii="Tahoma" w:eastAsiaTheme="minorHAnsi" w:hAnsi="Tahoma" w:cs="Tahoma"/>
          <w:sz w:val="20"/>
          <w:lang w:val="fr-FR" w:eastAsia="en-US"/>
        </w:rPr>
        <w:t xml:space="preserve"> des services attendus, mais qui y sont liés. Le cas échéant, le prestataire pourra, sous réserve d’une autorisation écrite préalable du Conseil, conclure une convention (ou contrat de sous-traitance) avec un partenaire spécialisé</w:t>
      </w:r>
      <w:r w:rsidR="004B2BE1" w:rsidRPr="00865842">
        <w:rPr>
          <w:rFonts w:ascii="Tahoma" w:hAnsi="Tahoma" w:cs="Tahoma"/>
          <w:sz w:val="20"/>
          <w:lang w:val="fr-FR"/>
        </w:rPr>
        <w:t xml:space="preserve"> pour la fourniture des services demandés. Dans ce cas, le prestataire informera le Conseil de l’Europe avant d’engager les services du tiers</w:t>
      </w:r>
      <w:r w:rsidRPr="00512116">
        <w:rPr>
          <w:rFonts w:ascii="Tahoma" w:eastAsiaTheme="minorHAnsi" w:hAnsi="Tahoma" w:cs="Tahoma"/>
          <w:sz w:val="20"/>
          <w:lang w:val="fr-FR" w:eastAsia="en-US"/>
        </w:rPr>
        <w:t>.</w:t>
      </w:r>
    </w:p>
    <w:p w14:paraId="5F757360" w14:textId="77777777" w:rsidR="00512116" w:rsidRPr="00512116" w:rsidRDefault="00512116" w:rsidP="00087C17">
      <w:pPr>
        <w:tabs>
          <w:tab w:val="left" w:pos="720"/>
          <w:tab w:val="left" w:pos="3828"/>
        </w:tabs>
        <w:ind w:left="142"/>
        <w:jc w:val="both"/>
        <w:rPr>
          <w:rFonts w:ascii="Tahoma" w:eastAsiaTheme="minorHAnsi" w:hAnsi="Tahoma" w:cs="Tahoma"/>
          <w:sz w:val="20"/>
          <w:lang w:val="fr-FR" w:eastAsia="en-US"/>
        </w:rPr>
      </w:pPr>
    </w:p>
    <w:p w14:paraId="37D8262F" w14:textId="77777777" w:rsidR="00512116" w:rsidRPr="00512116" w:rsidRDefault="00512116" w:rsidP="00087C17">
      <w:pPr>
        <w:ind w:left="142"/>
        <w:jc w:val="both"/>
        <w:rPr>
          <w:rFonts w:ascii="Tahoma" w:hAnsi="Tahoma" w:cs="Tahoma"/>
          <w:color w:val="000000" w:themeColor="text1"/>
          <w:spacing w:val="-4"/>
          <w:sz w:val="20"/>
          <w:lang w:val="fr-FR" w:eastAsia="en-US"/>
        </w:rPr>
      </w:pPr>
      <w:r w:rsidRPr="00512116">
        <w:rPr>
          <w:rFonts w:ascii="Tahoma" w:eastAsiaTheme="minorHAnsi" w:hAnsi="Tahoma" w:cs="Tahoma"/>
          <w:color w:val="000000" w:themeColor="text1"/>
          <w:sz w:val="20"/>
          <w:lang w:val="fr-FR" w:eastAsia="en-US"/>
        </w:rPr>
        <w:t>En matière d’</w:t>
      </w:r>
      <w:r w:rsidRPr="00512116">
        <w:rPr>
          <w:rFonts w:ascii="Tahoma" w:eastAsiaTheme="minorHAnsi" w:hAnsi="Tahoma" w:cs="Tahoma"/>
          <w:b/>
          <w:color w:val="000000" w:themeColor="text1"/>
          <w:sz w:val="20"/>
          <w:lang w:val="fr-FR" w:eastAsia="en-US"/>
        </w:rPr>
        <w:t>exigences de qualité</w:t>
      </w:r>
      <w:r w:rsidRPr="00512116">
        <w:rPr>
          <w:rFonts w:ascii="Tahoma" w:eastAsiaTheme="minorHAnsi" w:hAnsi="Tahoma" w:cs="Tahoma"/>
          <w:color w:val="000000" w:themeColor="text1"/>
          <w:sz w:val="20"/>
          <w:lang w:val="fr-FR" w:eastAsia="en-US"/>
        </w:rPr>
        <w:t>, le prestataire devra veiller</w:t>
      </w:r>
      <w:r w:rsidRPr="00512116">
        <w:rPr>
          <w:rFonts w:ascii="Tahoma" w:eastAsiaTheme="minorHAnsi" w:hAnsi="Tahoma" w:cs="Tahoma"/>
          <w:i/>
          <w:color w:val="000000" w:themeColor="text1"/>
          <w:sz w:val="20"/>
          <w:lang w:val="fr-FR" w:eastAsia="en-US"/>
        </w:rPr>
        <w:t>, entre autres</w:t>
      </w:r>
      <w:r w:rsidRPr="00512116">
        <w:rPr>
          <w:rFonts w:ascii="Tahoma" w:eastAsiaTheme="minorHAnsi" w:hAnsi="Tahoma" w:cs="Tahoma"/>
          <w:color w:val="000000" w:themeColor="text1"/>
          <w:sz w:val="20"/>
          <w:lang w:val="fr-FR" w:eastAsia="en-US"/>
        </w:rPr>
        <w:t>, à ce que :</w:t>
      </w:r>
    </w:p>
    <w:p w14:paraId="7A3D99A9" w14:textId="77777777" w:rsidR="00512116" w:rsidRPr="00512116" w:rsidRDefault="00512116" w:rsidP="00087C17">
      <w:pPr>
        <w:numPr>
          <w:ilvl w:val="0"/>
          <w:numId w:val="31"/>
        </w:numPr>
        <w:spacing w:after="200" w:line="276" w:lineRule="auto"/>
        <w:ind w:left="993" w:hanging="426"/>
        <w:contextualSpacing/>
        <w:jc w:val="both"/>
        <w:rPr>
          <w:rFonts w:ascii="Tahoma" w:hAnsi="Tahoma" w:cs="Tahoma"/>
          <w:color w:val="000000" w:themeColor="text1"/>
          <w:spacing w:val="-4"/>
          <w:sz w:val="20"/>
          <w:lang w:val="fr-FR" w:eastAsia="en-US"/>
        </w:rPr>
      </w:pPr>
      <w:proofErr w:type="gramStart"/>
      <w:r w:rsidRPr="00512116">
        <w:rPr>
          <w:rFonts w:ascii="Tahoma" w:eastAsiaTheme="minorHAnsi" w:hAnsi="Tahoma" w:cs="Tahoma"/>
          <w:color w:val="000000" w:themeColor="text1"/>
          <w:sz w:val="20"/>
          <w:lang w:val="fr-FR" w:eastAsia="en-US"/>
        </w:rPr>
        <w:t>les</w:t>
      </w:r>
      <w:proofErr w:type="gramEnd"/>
      <w:r w:rsidRPr="00512116">
        <w:rPr>
          <w:rFonts w:ascii="Tahoma" w:eastAsiaTheme="minorHAnsi" w:hAnsi="Tahoma" w:cs="Tahoma"/>
          <w:color w:val="000000" w:themeColor="text1"/>
          <w:sz w:val="20"/>
          <w:lang w:val="fr-FR" w:eastAsia="en-US"/>
        </w:rPr>
        <w:t xml:space="preserve"> services soient fournis conformément aux plus hauts standards de qualité en usage dans le monde professionnel et universitaire ;</w:t>
      </w:r>
    </w:p>
    <w:p w14:paraId="283CD844" w14:textId="77777777" w:rsidR="00512116" w:rsidRPr="00512116" w:rsidRDefault="00512116" w:rsidP="00087C17">
      <w:pPr>
        <w:numPr>
          <w:ilvl w:val="0"/>
          <w:numId w:val="31"/>
        </w:numPr>
        <w:spacing w:after="200" w:line="276" w:lineRule="auto"/>
        <w:ind w:left="993" w:hanging="426"/>
        <w:contextualSpacing/>
        <w:jc w:val="both"/>
        <w:rPr>
          <w:rFonts w:ascii="Tahoma" w:hAnsi="Tahoma" w:cs="Tahoma"/>
          <w:color w:val="000000" w:themeColor="text1"/>
          <w:spacing w:val="-4"/>
          <w:sz w:val="20"/>
          <w:lang w:val="fr-FR" w:eastAsia="en-US"/>
        </w:rPr>
      </w:pPr>
      <w:proofErr w:type="gramStart"/>
      <w:r w:rsidRPr="00512116">
        <w:rPr>
          <w:rFonts w:ascii="Tahoma" w:eastAsiaTheme="minorHAnsi" w:hAnsi="Tahoma" w:cs="Tahoma"/>
          <w:color w:val="000000" w:themeColor="text1"/>
          <w:sz w:val="20"/>
          <w:lang w:val="fr-FR" w:eastAsia="en-US"/>
        </w:rPr>
        <w:t>les</w:t>
      </w:r>
      <w:proofErr w:type="gramEnd"/>
      <w:r w:rsidRPr="00512116">
        <w:rPr>
          <w:rFonts w:ascii="Tahoma" w:eastAsiaTheme="minorHAnsi" w:hAnsi="Tahoma" w:cs="Tahoma"/>
          <w:color w:val="000000" w:themeColor="text1"/>
          <w:sz w:val="20"/>
          <w:lang w:val="fr-FR" w:eastAsia="en-US"/>
        </w:rPr>
        <w:t xml:space="preserve"> instructions spécifiques transmises par le Conseil, quelles qu’elles soient, soient suivies le cas échéant.</w:t>
      </w:r>
      <w:bookmarkEnd w:id="2"/>
    </w:p>
    <w:p w14:paraId="41416386" w14:textId="77777777" w:rsidR="00512116" w:rsidRPr="00512116" w:rsidRDefault="00512116" w:rsidP="00087C17">
      <w:pPr>
        <w:tabs>
          <w:tab w:val="left" w:pos="720"/>
          <w:tab w:val="left" w:pos="3828"/>
        </w:tabs>
        <w:ind w:left="142"/>
        <w:jc w:val="both"/>
        <w:rPr>
          <w:rFonts w:ascii="Tahoma" w:hAnsi="Tahoma" w:cs="Tahoma"/>
          <w:spacing w:val="-4"/>
          <w:sz w:val="20"/>
          <w:lang w:val="fr-FR" w:eastAsia="en-US"/>
        </w:rPr>
      </w:pPr>
    </w:p>
    <w:p w14:paraId="0493D5B6" w14:textId="77777777" w:rsidR="00512116" w:rsidRPr="00512116" w:rsidRDefault="00512116" w:rsidP="00087C17">
      <w:pPr>
        <w:tabs>
          <w:tab w:val="left" w:pos="720"/>
          <w:tab w:val="left" w:pos="3828"/>
        </w:tabs>
        <w:ind w:left="142"/>
        <w:jc w:val="both"/>
        <w:rPr>
          <w:rFonts w:ascii="Tahoma" w:hAnsi="Tahoma" w:cs="Tahoma"/>
          <w:spacing w:val="-4"/>
          <w:sz w:val="20"/>
          <w:lang w:val="fr-FR" w:eastAsia="en-US"/>
        </w:rPr>
      </w:pPr>
      <w:r w:rsidRPr="00512116">
        <w:rPr>
          <w:rFonts w:ascii="Tahoma" w:hAnsi="Tahoma" w:cs="Tahoma"/>
          <w:spacing w:val="-4"/>
          <w:sz w:val="20"/>
          <w:lang w:val="fr-FR" w:eastAsia="en-US"/>
        </w:rPr>
        <w:t>L’ensemble des actions menées seront entreprises en étroite collaboration avec l’équipe du projet du Conseil de l’Europe.</w:t>
      </w:r>
    </w:p>
    <w:p w14:paraId="692A86B1" w14:textId="77777777" w:rsidR="0049280C" w:rsidRPr="00882A06" w:rsidRDefault="0049280C" w:rsidP="00087C17">
      <w:pPr>
        <w:spacing w:line="276" w:lineRule="auto"/>
        <w:ind w:left="142" w:right="142"/>
        <w:jc w:val="both"/>
        <w:rPr>
          <w:rFonts w:ascii="Tahoma" w:hAnsi="Tahoma" w:cs="Tahoma"/>
          <w:sz w:val="20"/>
          <w:szCs w:val="20"/>
          <w:lang w:val="fr-FR"/>
        </w:rPr>
      </w:pPr>
    </w:p>
    <w:p w14:paraId="2416E55D" w14:textId="6978BAE8" w:rsidR="005456B4" w:rsidRDefault="0079079F" w:rsidP="00087C17">
      <w:pPr>
        <w:spacing w:line="276" w:lineRule="auto"/>
        <w:ind w:left="142" w:right="142"/>
        <w:jc w:val="both"/>
        <w:rPr>
          <w:rFonts w:ascii="Tahoma" w:hAnsi="Tahoma" w:cs="Tahoma"/>
          <w:sz w:val="20"/>
          <w:szCs w:val="20"/>
          <w:lang w:val="fr-FR"/>
        </w:rPr>
      </w:pPr>
      <w:r w:rsidRPr="00882A06">
        <w:rPr>
          <w:rFonts w:ascii="Tahoma" w:hAnsi="Tahoma" w:cs="Tahoma"/>
          <w:sz w:val="20"/>
          <w:szCs w:val="20"/>
          <w:lang w:val="fr-FR"/>
        </w:rPr>
        <w:t xml:space="preserve">Chaque fois qu’un bon de commande est envoyé, le </w:t>
      </w:r>
      <w:r w:rsidR="00C32676" w:rsidRPr="00882A06">
        <w:rPr>
          <w:rFonts w:ascii="Tahoma" w:hAnsi="Tahoma" w:cs="Tahoma"/>
          <w:sz w:val="20"/>
          <w:szCs w:val="20"/>
          <w:lang w:val="fr-FR"/>
        </w:rPr>
        <w:t>Prestataire</w:t>
      </w:r>
      <w:r w:rsidRPr="00882A06">
        <w:rPr>
          <w:rFonts w:ascii="Tahoma" w:hAnsi="Tahoma" w:cs="Tahoma"/>
          <w:sz w:val="20"/>
          <w:szCs w:val="20"/>
          <w:lang w:val="fr-FR"/>
        </w:rPr>
        <w:t xml:space="preserve"> sélectionné </w:t>
      </w:r>
      <w:r w:rsidR="00C32676" w:rsidRPr="00882A06">
        <w:rPr>
          <w:rFonts w:ascii="Tahoma" w:hAnsi="Tahoma" w:cs="Tahoma"/>
          <w:sz w:val="20"/>
          <w:szCs w:val="20"/>
          <w:lang w:val="fr-FR"/>
        </w:rPr>
        <w:t>prend toutes les mesures nécessaires afin de</w:t>
      </w:r>
      <w:r w:rsidRPr="00882A06">
        <w:rPr>
          <w:rFonts w:ascii="Tahoma" w:hAnsi="Tahoma" w:cs="Tahoma"/>
          <w:sz w:val="20"/>
          <w:szCs w:val="20"/>
          <w:lang w:val="fr-FR"/>
        </w:rPr>
        <w:t xml:space="preserve"> le renvoyer au Conseil signé </w:t>
      </w:r>
      <w:r w:rsidR="00C32676" w:rsidRPr="00882A06">
        <w:rPr>
          <w:rFonts w:ascii="Tahoma" w:hAnsi="Tahoma" w:cs="Tahoma"/>
          <w:sz w:val="20"/>
          <w:szCs w:val="20"/>
          <w:lang w:val="fr-FR"/>
        </w:rPr>
        <w:t xml:space="preserve">dans les </w:t>
      </w:r>
      <w:r w:rsidR="00755343">
        <w:rPr>
          <w:rFonts w:ascii="Tahoma" w:hAnsi="Tahoma" w:cs="Tahoma"/>
          <w:sz w:val="20"/>
          <w:szCs w:val="20"/>
          <w:lang w:val="fr-FR"/>
        </w:rPr>
        <w:t>5</w:t>
      </w:r>
      <w:r w:rsidR="00C32676" w:rsidRPr="00882A06">
        <w:rPr>
          <w:rFonts w:ascii="Tahoma" w:hAnsi="Tahoma" w:cs="Tahoma"/>
          <w:sz w:val="20"/>
          <w:szCs w:val="20"/>
          <w:lang w:val="fr-FR"/>
        </w:rPr>
        <w:t xml:space="preserve"> (</w:t>
      </w:r>
      <w:r w:rsidR="00755343">
        <w:rPr>
          <w:rFonts w:ascii="Tahoma" w:hAnsi="Tahoma" w:cs="Tahoma"/>
          <w:sz w:val="20"/>
          <w:szCs w:val="20"/>
          <w:lang w:val="fr-FR"/>
        </w:rPr>
        <w:t>cinq</w:t>
      </w:r>
      <w:r w:rsidR="00C32676" w:rsidRPr="00882A06">
        <w:rPr>
          <w:rFonts w:ascii="Tahoma" w:hAnsi="Tahoma" w:cs="Tahoma"/>
          <w:sz w:val="20"/>
          <w:szCs w:val="20"/>
          <w:lang w:val="fr-FR"/>
        </w:rPr>
        <w:t>) jours ouvrés à compter de</w:t>
      </w:r>
      <w:r w:rsidRPr="00882A06">
        <w:rPr>
          <w:rFonts w:ascii="Tahoma" w:hAnsi="Tahoma" w:cs="Tahoma"/>
          <w:sz w:val="20"/>
          <w:szCs w:val="20"/>
          <w:lang w:val="fr-FR"/>
        </w:rPr>
        <w:t xml:space="preserve"> sa réception.</w:t>
      </w:r>
    </w:p>
    <w:p w14:paraId="375967DC" w14:textId="77777777" w:rsidR="002236AE" w:rsidRPr="00826768" w:rsidRDefault="002236AE" w:rsidP="00087C17">
      <w:pPr>
        <w:spacing w:line="276" w:lineRule="auto"/>
        <w:ind w:left="142" w:right="142"/>
        <w:jc w:val="both"/>
        <w:rPr>
          <w:rFonts w:ascii="Tahoma" w:hAnsi="Tahoma" w:cs="Tahoma"/>
          <w:sz w:val="20"/>
          <w:szCs w:val="20"/>
          <w:lang w:val="fr-FR"/>
        </w:rPr>
      </w:pPr>
    </w:p>
    <w:p w14:paraId="7AF516F6" w14:textId="77777777" w:rsidR="00CA067E" w:rsidRPr="00826768" w:rsidRDefault="004D634B" w:rsidP="002B4CD4">
      <w:pPr>
        <w:spacing w:line="276" w:lineRule="auto"/>
        <w:ind w:left="142" w:right="142"/>
        <w:jc w:val="both"/>
        <w:rPr>
          <w:rFonts w:ascii="Tahoma" w:hAnsi="Tahoma" w:cs="Tahoma"/>
          <w:b/>
          <w:sz w:val="20"/>
          <w:szCs w:val="20"/>
          <w:lang w:val="fr-FR"/>
        </w:rPr>
      </w:pPr>
      <w:r w:rsidRPr="00826768">
        <w:rPr>
          <w:rFonts w:ascii="Tahoma" w:hAnsi="Tahoma" w:cs="Tahoma"/>
          <w:b/>
          <w:sz w:val="20"/>
          <w:szCs w:val="20"/>
          <w:lang w:val="fr-FR"/>
        </w:rPr>
        <w:t>Honoraires</w:t>
      </w:r>
    </w:p>
    <w:p w14:paraId="170936E7" w14:textId="75B51D9B" w:rsidR="002236AE" w:rsidRPr="00512116" w:rsidRDefault="00CA067E" w:rsidP="00512116">
      <w:pPr>
        <w:spacing w:line="276" w:lineRule="auto"/>
        <w:ind w:left="142" w:right="142"/>
        <w:jc w:val="both"/>
        <w:rPr>
          <w:rFonts w:ascii="Tahoma" w:hAnsi="Tahoma" w:cs="Tahoma"/>
          <w:sz w:val="20"/>
          <w:szCs w:val="20"/>
          <w:lang w:val="fr-FR"/>
        </w:rPr>
      </w:pPr>
      <w:r w:rsidRPr="00826768">
        <w:rPr>
          <w:rFonts w:ascii="Tahoma" w:hAnsi="Tahoma" w:cs="Tahoma"/>
          <w:sz w:val="20"/>
          <w:szCs w:val="20"/>
          <w:lang w:val="fr-FR"/>
        </w:rPr>
        <w:t>Les prix indiqués dans le tableau ci-dessous sont fixes et non susceptibles de révision, pour toute la durée du contrat-cadre.</w:t>
      </w:r>
    </w:p>
    <w:p w14:paraId="43A426CF" w14:textId="7578329B" w:rsidR="0049280C" w:rsidRDefault="00240827" w:rsidP="00512116">
      <w:pPr>
        <w:spacing w:line="276" w:lineRule="auto"/>
        <w:ind w:left="142" w:right="142"/>
        <w:jc w:val="both"/>
        <w:rPr>
          <w:rFonts w:ascii="Tahoma" w:hAnsi="Tahoma" w:cs="Tahoma"/>
          <w:color w:val="000000"/>
          <w:sz w:val="20"/>
          <w:szCs w:val="20"/>
          <w:lang w:val="fr-FR" w:eastAsia="en-US"/>
        </w:rPr>
      </w:pPr>
      <w:r w:rsidRPr="00826768">
        <w:rPr>
          <w:rFonts w:ascii="Tahoma" w:hAnsi="Tahoma" w:cs="Tahoma"/>
          <w:color w:val="000000"/>
          <w:sz w:val="20"/>
          <w:szCs w:val="20"/>
          <w:lang w:val="fr-FR" w:eastAsia="en-US"/>
        </w:rPr>
        <w:t xml:space="preserve">Les prix sont indiqués en </w:t>
      </w:r>
      <w:r w:rsidR="002F5A8E" w:rsidRPr="00826768">
        <w:rPr>
          <w:rFonts w:ascii="Tahoma" w:hAnsi="Tahoma" w:cs="Tahoma"/>
          <w:color w:val="000000"/>
          <w:sz w:val="20"/>
          <w:szCs w:val="20"/>
          <w:lang w:val="fr-FR" w:eastAsia="en-US"/>
        </w:rPr>
        <w:t>Euros</w:t>
      </w:r>
      <w:r w:rsidR="00D2316C" w:rsidRPr="00826768">
        <w:rPr>
          <w:rFonts w:ascii="Tahoma" w:hAnsi="Tahoma" w:cs="Tahoma"/>
          <w:color w:val="000000"/>
          <w:sz w:val="20"/>
          <w:szCs w:val="20"/>
          <w:lang w:val="fr-FR" w:eastAsia="en-US"/>
        </w:rPr>
        <w:t xml:space="preserve"> </w:t>
      </w:r>
      <w:r w:rsidR="00CF64A3" w:rsidRPr="00826768">
        <w:rPr>
          <w:rFonts w:ascii="Tahoma" w:hAnsi="Tahoma" w:cs="Tahoma"/>
          <w:color w:val="000000"/>
          <w:sz w:val="20"/>
          <w:szCs w:val="20"/>
          <w:lang w:val="fr-FR" w:eastAsia="en-US"/>
        </w:rPr>
        <w:t>hors taxes</w:t>
      </w:r>
      <w:r w:rsidR="00B017DB" w:rsidRPr="00826768">
        <w:rPr>
          <w:rFonts w:ascii="Tahoma" w:hAnsi="Tahoma" w:cs="Tahoma"/>
          <w:color w:val="000000"/>
          <w:sz w:val="20"/>
          <w:szCs w:val="20"/>
          <w:lang w:val="fr-FR" w:eastAsia="en-US"/>
        </w:rPr>
        <w:t>.</w:t>
      </w:r>
    </w:p>
    <w:p w14:paraId="1F3A4F4F" w14:textId="77777777" w:rsidR="00C00DF2" w:rsidRDefault="00C00DF2" w:rsidP="00512116">
      <w:pPr>
        <w:spacing w:line="276" w:lineRule="auto"/>
        <w:ind w:left="142" w:right="142"/>
        <w:jc w:val="both"/>
        <w:rPr>
          <w:rFonts w:ascii="Tahoma" w:hAnsi="Tahoma" w:cs="Tahoma"/>
          <w:color w:val="000000"/>
          <w:sz w:val="20"/>
          <w:szCs w:val="20"/>
          <w:lang w:val="fr-FR" w:eastAsia="en-US"/>
        </w:rPr>
      </w:pPr>
    </w:p>
    <w:p w14:paraId="60476D93" w14:textId="79E6C683" w:rsidR="00512116" w:rsidRDefault="00512116">
      <w:pPr>
        <w:rPr>
          <w:rFonts w:ascii="Tahoma" w:hAnsi="Tahoma" w:cs="Tahoma"/>
          <w:b/>
          <w:color w:val="000000"/>
          <w:sz w:val="20"/>
          <w:szCs w:val="20"/>
          <w:lang w:val="fr-FR" w:eastAsia="en-US"/>
        </w:rPr>
      </w:pPr>
    </w:p>
    <w:p w14:paraId="162BC8CD" w14:textId="77777777" w:rsidR="003A0F5F" w:rsidRPr="00882A06"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882A06" w:rsidRDefault="00FC6ECA" w:rsidP="009E0F2B">
      <w:pPr>
        <w:pBdr>
          <w:top w:val="single" w:sz="2" w:space="1" w:color="FF0000"/>
          <w:left w:val="single" w:sz="2" w:space="18" w:color="FF0000"/>
          <w:bottom w:val="single" w:sz="2" w:space="1" w:color="FF0000"/>
          <w:right w:val="single" w:sz="2" w:space="4" w:color="FF0000"/>
        </w:pBdr>
        <w:spacing w:line="276" w:lineRule="auto"/>
        <w:ind w:left="2552" w:hanging="284"/>
        <w:jc w:val="right"/>
        <w:rPr>
          <w:rFonts w:ascii="Tahoma" w:hAnsi="Tahoma" w:cs="Tahoma"/>
          <w:color w:val="FF0000"/>
          <w:sz w:val="20"/>
          <w:szCs w:val="20"/>
          <w:lang w:val="fr-FR" w:eastAsia="en-US"/>
        </w:rPr>
      </w:pPr>
      <w:r w:rsidRPr="00882A06">
        <w:rPr>
          <w:rFonts w:ascii="Tahoma" w:hAnsi="Tahoma" w:cs="Tahoma"/>
          <w:color w:val="FF0000"/>
          <w:sz w:val="20"/>
          <w:szCs w:val="20"/>
          <w:lang w:val="fr-FR" w:eastAsia="en-US"/>
        </w:rPr>
        <w:lastRenderedPageBreak/>
        <w:t xml:space="preserve">Le soumissionnaire </w:t>
      </w:r>
      <w:r w:rsidR="00CF64A3" w:rsidRPr="00882A06">
        <w:rPr>
          <w:rFonts w:ascii="Tahoma" w:hAnsi="Tahoma" w:cs="Tahoma"/>
          <w:color w:val="FF0000"/>
          <w:sz w:val="20"/>
          <w:szCs w:val="20"/>
          <w:lang w:val="fr-FR" w:eastAsia="en-US"/>
        </w:rPr>
        <w:t xml:space="preserve">doit </w:t>
      </w:r>
      <w:r w:rsidRPr="00882A06">
        <w:rPr>
          <w:rFonts w:ascii="Tahoma" w:hAnsi="Tahoma" w:cs="Tahoma"/>
          <w:color w:val="FF0000"/>
          <w:sz w:val="20"/>
          <w:szCs w:val="20"/>
          <w:lang w:val="fr-FR" w:eastAsia="en-US"/>
        </w:rPr>
        <w:t>indique</w:t>
      </w:r>
      <w:r w:rsidR="00CF64A3" w:rsidRPr="00882A06">
        <w:rPr>
          <w:rFonts w:ascii="Tahoma" w:hAnsi="Tahoma" w:cs="Tahoma"/>
          <w:color w:val="FF0000"/>
          <w:sz w:val="20"/>
          <w:szCs w:val="20"/>
          <w:lang w:val="fr-FR" w:eastAsia="en-US"/>
        </w:rPr>
        <w:t>r le</w:t>
      </w:r>
      <w:r w:rsidR="00C31D1B" w:rsidRPr="00882A06">
        <w:rPr>
          <w:rFonts w:ascii="Tahoma" w:hAnsi="Tahoma" w:cs="Tahoma"/>
          <w:color w:val="FF0000"/>
          <w:sz w:val="20"/>
          <w:szCs w:val="20"/>
          <w:lang w:val="fr-FR" w:eastAsia="en-US"/>
        </w:rPr>
        <w:t>(s)</w:t>
      </w:r>
      <w:r w:rsidRPr="00882A06">
        <w:rPr>
          <w:rFonts w:ascii="Tahoma" w:hAnsi="Tahoma" w:cs="Tahoma"/>
          <w:color w:val="FF0000"/>
          <w:sz w:val="20"/>
          <w:szCs w:val="20"/>
          <w:lang w:val="fr-FR" w:eastAsia="en-US"/>
        </w:rPr>
        <w:t xml:space="preserve"> prix </w:t>
      </w:r>
      <w:r w:rsidR="00C63C98" w:rsidRPr="00882A06">
        <w:rPr>
          <w:rFonts w:ascii="Tahoma" w:hAnsi="Tahoma" w:cs="Tahoma"/>
          <w:color w:val="FF0000"/>
          <w:sz w:val="20"/>
          <w:szCs w:val="20"/>
          <w:lang w:val="fr-FR" w:eastAsia="en-US"/>
        </w:rPr>
        <w:t>unitaire</w:t>
      </w:r>
      <w:r w:rsidR="00C31D1B" w:rsidRPr="00882A06">
        <w:rPr>
          <w:rFonts w:ascii="Tahoma" w:hAnsi="Tahoma" w:cs="Tahoma"/>
          <w:color w:val="FF0000"/>
          <w:sz w:val="20"/>
          <w:szCs w:val="20"/>
          <w:lang w:val="fr-FR" w:eastAsia="en-US"/>
        </w:rPr>
        <w:t>(s)</w:t>
      </w:r>
      <w:r w:rsidRPr="00882A06">
        <w:rPr>
          <w:rFonts w:ascii="Tahoma" w:hAnsi="Tahoma" w:cs="Tahoma"/>
          <w:color w:val="FF0000"/>
          <w:sz w:val="20"/>
          <w:szCs w:val="20"/>
          <w:lang w:val="fr-FR" w:eastAsia="en-US"/>
        </w:rPr>
        <w:t xml:space="preserve"> </w:t>
      </w:r>
      <w:r w:rsidR="00CF64A3" w:rsidRPr="00882A06">
        <w:rPr>
          <w:rFonts w:ascii="Tahoma" w:hAnsi="Tahoma" w:cs="Tahoma"/>
          <w:color w:val="FF0000"/>
          <w:sz w:val="20"/>
          <w:szCs w:val="20"/>
          <w:lang w:val="fr-FR" w:eastAsia="en-US"/>
        </w:rPr>
        <w:t xml:space="preserve">qu’il propose </w:t>
      </w:r>
      <w:r w:rsidRPr="00882A06">
        <w:rPr>
          <w:rFonts w:ascii="Tahoma" w:hAnsi="Tahoma" w:cs="Tahoma"/>
          <w:color w:val="FF0000"/>
          <w:sz w:val="20"/>
          <w:szCs w:val="20"/>
          <w:lang w:val="fr-FR" w:eastAsia="en-US"/>
        </w:rPr>
        <w:t xml:space="preserve">dans la </w:t>
      </w:r>
      <w:r w:rsidR="00C31D1B" w:rsidRPr="00882A06">
        <w:rPr>
          <w:rFonts w:ascii="Tahoma" w:hAnsi="Tahoma" w:cs="Tahoma"/>
          <w:color w:val="FF0000"/>
          <w:sz w:val="20"/>
          <w:szCs w:val="20"/>
          <w:lang w:val="fr-FR" w:eastAsia="en-US"/>
        </w:rPr>
        <w:t>colonne</w:t>
      </w:r>
      <w:r w:rsidR="00CF64A3" w:rsidRPr="00882A06">
        <w:rPr>
          <w:rFonts w:ascii="Tahoma" w:hAnsi="Tahoma" w:cs="Tahoma"/>
          <w:color w:val="FF0000"/>
          <w:sz w:val="20"/>
          <w:szCs w:val="20"/>
          <w:lang w:val="fr-FR" w:eastAsia="en-US"/>
        </w:rPr>
        <w:t xml:space="preserve"> ci-dessous</w:t>
      </w:r>
      <w:r w:rsidRPr="00882A06">
        <w:rPr>
          <w:rFonts w:ascii="Tahoma" w:hAnsi="Tahoma" w:cs="Tahoma"/>
          <w:color w:val="FF0000"/>
          <w:sz w:val="20"/>
          <w:szCs w:val="20"/>
          <w:lang w:val="fr-FR" w:eastAsia="en-US"/>
        </w:rPr>
        <w:t>.</w:t>
      </w:r>
    </w:p>
    <w:p w14:paraId="312AB9FE" w14:textId="77777777" w:rsidR="00755343" w:rsidRDefault="00755343" w:rsidP="004F2CFB">
      <w:pPr>
        <w:spacing w:line="276" w:lineRule="auto"/>
        <w:ind w:left="-426"/>
        <w:jc w:val="both"/>
        <w:rPr>
          <w:rFonts w:ascii="Tahoma" w:hAnsi="Tahoma" w:cs="Tahoma"/>
          <w:sz w:val="18"/>
          <w:szCs w:val="18"/>
          <w:lang w:val="fr-FR" w:eastAsia="en-US"/>
        </w:rPr>
      </w:pPr>
    </w:p>
    <w:p w14:paraId="33281E5A" w14:textId="77777777" w:rsidR="00755343" w:rsidRDefault="00755343" w:rsidP="004F2CFB">
      <w:pPr>
        <w:spacing w:line="276" w:lineRule="auto"/>
        <w:ind w:left="-426"/>
        <w:jc w:val="both"/>
        <w:rPr>
          <w:rFonts w:ascii="Tahoma" w:hAnsi="Tahoma" w:cs="Tahoma"/>
          <w:sz w:val="18"/>
          <w:szCs w:val="18"/>
          <w:lang w:val="fr-FR" w:eastAsia="en-US"/>
        </w:rPr>
      </w:pPr>
    </w:p>
    <w:p w14:paraId="4AE36C20" w14:textId="4F2E02A4" w:rsidR="004F2CFB" w:rsidRPr="00882A06" w:rsidRDefault="004F2CFB" w:rsidP="004F2CFB">
      <w:pPr>
        <w:spacing w:line="276" w:lineRule="auto"/>
        <w:ind w:left="-426"/>
        <w:jc w:val="both"/>
        <w:rPr>
          <w:rFonts w:ascii="Tahoma" w:hAnsi="Tahoma" w:cs="Tahoma"/>
          <w:sz w:val="18"/>
          <w:szCs w:val="18"/>
          <w:highlight w:val="yellow"/>
          <w:lang w:val="fr-FR" w:eastAsia="en-US"/>
        </w:rPr>
      </w:pPr>
      <w:r w:rsidRPr="00882A06">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19B7721E">
                <wp:simplePos x="0" y="0"/>
                <wp:positionH relativeFrom="column">
                  <wp:posOffset>5043170</wp:posOffset>
                </wp:positionH>
                <wp:positionV relativeFrom="paragraph">
                  <wp:posOffset>-331470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384E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7.1pt;margin-top:-26.1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" adj="4782" strokecolor="red">
                <o:lock v:ext="edit" aspectratio="t"/>
                <v:textbox style="layout-flow:vertical-ideographic"/>
                <w10:anchorlock/>
              </v:shape>
            </w:pict>
          </mc:Fallback>
        </mc:AlternateContent>
      </w:r>
    </w:p>
    <w:tbl>
      <w:tblPr>
        <w:tblW w:w="1062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557"/>
        <w:gridCol w:w="6520"/>
        <w:gridCol w:w="2549"/>
      </w:tblGrid>
      <w:tr w:rsidR="002B6809" w:rsidRPr="00882A06" w14:paraId="4B2D2543" w14:textId="77777777" w:rsidTr="002B6809">
        <w:trPr>
          <w:trHeight w:val="688"/>
          <w:jc w:val="center"/>
        </w:trPr>
        <w:tc>
          <w:tcPr>
            <w:tcW w:w="1557" w:type="dxa"/>
            <w:shd w:val="clear" w:color="auto" w:fill="DBE5F1" w:themeFill="accent1" w:themeFillTint="33"/>
          </w:tcPr>
          <w:p w14:paraId="512216E1" w14:textId="5E971A34" w:rsidR="002B6809" w:rsidRPr="00882A06" w:rsidRDefault="002B6809" w:rsidP="001849D2">
            <w:pPr>
              <w:tabs>
                <w:tab w:val="left" w:pos="0"/>
              </w:tabs>
              <w:spacing w:line="276" w:lineRule="auto"/>
              <w:ind w:left="-426"/>
              <w:jc w:val="center"/>
              <w:rPr>
                <w:rFonts w:ascii="Tahoma" w:hAnsi="Tahoma" w:cs="Tahoma"/>
                <w:b/>
                <w:sz w:val="18"/>
                <w:szCs w:val="18"/>
                <w:lang w:val="fr-FR" w:eastAsia="en-US"/>
              </w:rPr>
            </w:pPr>
          </w:p>
        </w:tc>
        <w:tc>
          <w:tcPr>
            <w:tcW w:w="6520" w:type="dxa"/>
            <w:shd w:val="clear" w:color="auto" w:fill="DBE5F1" w:themeFill="accent1" w:themeFillTint="33"/>
            <w:vAlign w:val="center"/>
          </w:tcPr>
          <w:p w14:paraId="11B7EBCF" w14:textId="151E940B" w:rsidR="002B6809" w:rsidRPr="00882A06" w:rsidRDefault="002B6809" w:rsidP="001849D2">
            <w:pPr>
              <w:tabs>
                <w:tab w:val="left" w:pos="0"/>
              </w:tabs>
              <w:spacing w:line="276" w:lineRule="auto"/>
              <w:ind w:left="-426"/>
              <w:jc w:val="center"/>
              <w:rPr>
                <w:rFonts w:ascii="Tahoma" w:hAnsi="Tahoma" w:cs="Tahoma"/>
                <w:b/>
                <w:sz w:val="18"/>
                <w:szCs w:val="18"/>
                <w:lang w:val="fr-FR" w:eastAsia="en-US"/>
              </w:rPr>
            </w:pPr>
            <w:r w:rsidRPr="00882A06">
              <w:rPr>
                <w:rFonts w:ascii="Tahoma" w:hAnsi="Tahoma" w:cs="Tahoma"/>
                <w:b/>
                <w:sz w:val="18"/>
                <w:szCs w:val="18"/>
                <w:lang w:val="fr-FR" w:eastAsia="en-US"/>
              </w:rPr>
              <w:t xml:space="preserve">Unité </w:t>
            </w:r>
            <w:r w:rsidRPr="00882A06">
              <w:rPr>
                <w:b/>
                <w:sz w:val="18"/>
                <w:szCs w:val="18"/>
                <w:lang w:val="fr-FR" w:eastAsia="en-US"/>
              </w:rPr>
              <w:t>▼</w:t>
            </w:r>
          </w:p>
        </w:tc>
        <w:tc>
          <w:tcPr>
            <w:tcW w:w="2549" w:type="dxa"/>
            <w:tcBorders>
              <w:bottom w:val="single" w:sz="2" w:space="0" w:color="FF0000"/>
            </w:tcBorders>
            <w:shd w:val="clear" w:color="auto" w:fill="DBE5F1" w:themeFill="accent1" w:themeFillTint="33"/>
            <w:vAlign w:val="center"/>
          </w:tcPr>
          <w:p w14:paraId="1B278C23" w14:textId="12766AB3" w:rsidR="002B6809" w:rsidRPr="00882A06" w:rsidRDefault="002B6809" w:rsidP="007E3BF6">
            <w:pPr>
              <w:spacing w:line="276" w:lineRule="auto"/>
              <w:ind w:left="-426" w:right="-490"/>
              <w:jc w:val="center"/>
              <w:rPr>
                <w:rFonts w:ascii="Tahoma" w:hAnsi="Tahoma" w:cs="Tahoma"/>
                <w:b/>
                <w:sz w:val="18"/>
                <w:szCs w:val="18"/>
                <w:lang w:val="fr-FR" w:eastAsia="en-US"/>
              </w:rPr>
            </w:pPr>
            <w:r w:rsidRPr="00882A06">
              <w:rPr>
                <w:rFonts w:ascii="Tahoma" w:hAnsi="Tahoma" w:cs="Tahoma"/>
                <w:b/>
                <w:sz w:val="18"/>
                <w:szCs w:val="18"/>
                <w:lang w:val="fr-FR" w:eastAsia="en-US"/>
              </w:rPr>
              <w:t>Prix unitaire</w:t>
            </w:r>
          </w:p>
          <w:p w14:paraId="7D678337" w14:textId="5737E8A4" w:rsidR="002B6809" w:rsidRPr="00882A06" w:rsidRDefault="002B6809" w:rsidP="007E3BF6">
            <w:pPr>
              <w:spacing w:line="276" w:lineRule="auto"/>
              <w:ind w:left="-426" w:right="-490"/>
              <w:jc w:val="center"/>
              <w:rPr>
                <w:rFonts w:ascii="Tahoma" w:hAnsi="Tahoma" w:cs="Tahoma"/>
                <w:b/>
                <w:sz w:val="18"/>
                <w:szCs w:val="18"/>
                <w:lang w:val="fr-FR" w:eastAsia="en-US"/>
              </w:rPr>
            </w:pPr>
            <w:r w:rsidRPr="00882A06">
              <w:rPr>
                <w:b/>
                <w:sz w:val="18"/>
                <w:szCs w:val="18"/>
                <w:lang w:val="fr-FR" w:eastAsia="en-US"/>
              </w:rPr>
              <w:t>▼</w:t>
            </w:r>
          </w:p>
        </w:tc>
      </w:tr>
      <w:tr w:rsidR="002B6809" w:rsidRPr="00944EBF" w14:paraId="1F9F4D64" w14:textId="77777777" w:rsidTr="002B6809">
        <w:trPr>
          <w:trHeight w:val="780"/>
          <w:jc w:val="center"/>
        </w:trPr>
        <w:tc>
          <w:tcPr>
            <w:tcW w:w="1557" w:type="dxa"/>
            <w:tcBorders>
              <w:right w:val="single" w:sz="2" w:space="0" w:color="FF0000"/>
            </w:tcBorders>
            <w:shd w:val="clear" w:color="auto" w:fill="F2F2F2" w:themeFill="background1" w:themeFillShade="F2"/>
          </w:tcPr>
          <w:p w14:paraId="2B729F80" w14:textId="65D5251D" w:rsidR="002B6809" w:rsidRPr="0049280C" w:rsidRDefault="002B6809" w:rsidP="00D2316C">
            <w:pPr>
              <w:spacing w:line="276" w:lineRule="auto"/>
              <w:jc w:val="center"/>
              <w:rPr>
                <w:rFonts w:ascii="Tahoma" w:hAnsi="Tahoma" w:cs="Tahoma"/>
                <w:sz w:val="18"/>
                <w:szCs w:val="18"/>
                <w:lang w:val="fr-FR" w:eastAsia="en-US"/>
              </w:rPr>
            </w:pPr>
          </w:p>
        </w:tc>
        <w:tc>
          <w:tcPr>
            <w:tcW w:w="6520" w:type="dxa"/>
            <w:tcBorders>
              <w:right w:val="single" w:sz="2" w:space="0" w:color="FF0000"/>
            </w:tcBorders>
            <w:shd w:val="clear" w:color="auto" w:fill="F2F2F2" w:themeFill="background1" w:themeFillShade="F2"/>
            <w:vAlign w:val="center"/>
          </w:tcPr>
          <w:p w14:paraId="05C15602" w14:textId="6971A7F7" w:rsidR="002B6809" w:rsidRDefault="00F045DA" w:rsidP="00D2316C">
            <w:pPr>
              <w:spacing w:line="276" w:lineRule="auto"/>
              <w:jc w:val="center"/>
              <w:rPr>
                <w:rFonts w:ascii="Tahoma" w:hAnsi="Tahoma" w:cs="Tahoma"/>
                <w:sz w:val="18"/>
                <w:szCs w:val="18"/>
                <w:lang w:val="fr-FR" w:eastAsia="en-US"/>
              </w:rPr>
            </w:pPr>
            <w:r>
              <w:rPr>
                <w:rFonts w:ascii="Tahoma" w:hAnsi="Tahoma" w:cs="Tahoma"/>
                <w:sz w:val="18"/>
                <w:szCs w:val="18"/>
                <w:lang w:val="fr-FR" w:eastAsia="en-US"/>
              </w:rPr>
              <w:t xml:space="preserve">Les </w:t>
            </w:r>
            <w:r w:rsidR="002B6809">
              <w:rPr>
                <w:rFonts w:ascii="Tahoma" w:hAnsi="Tahoma" w:cs="Tahoma"/>
                <w:sz w:val="18"/>
                <w:szCs w:val="18"/>
                <w:lang w:val="fr-FR" w:eastAsia="en-US"/>
              </w:rPr>
              <w:t>services intellectuels</w:t>
            </w:r>
            <w:r>
              <w:rPr>
                <w:rFonts w:ascii="Tahoma" w:hAnsi="Tahoma" w:cs="Tahoma"/>
                <w:sz w:val="18"/>
                <w:szCs w:val="18"/>
                <w:lang w:val="fr-FR" w:eastAsia="en-US"/>
              </w:rPr>
              <w:t> :</w:t>
            </w:r>
            <w:r w:rsidR="002B6809">
              <w:rPr>
                <w:rFonts w:ascii="Tahoma" w:hAnsi="Tahoma" w:cs="Tahoma"/>
                <w:sz w:val="18"/>
                <w:szCs w:val="18"/>
                <w:lang w:val="fr-FR" w:eastAsia="en-US"/>
              </w:rPr>
              <w:t xml:space="preserve"> </w:t>
            </w:r>
          </w:p>
          <w:p w14:paraId="1DFB522F" w14:textId="318BF892" w:rsidR="002B6809" w:rsidRPr="00882A06" w:rsidRDefault="002B6809" w:rsidP="00D2316C">
            <w:pPr>
              <w:spacing w:line="276" w:lineRule="auto"/>
              <w:jc w:val="center"/>
              <w:rPr>
                <w:rFonts w:ascii="Tahoma" w:hAnsi="Tahoma" w:cs="Tahoma"/>
                <w:sz w:val="18"/>
                <w:szCs w:val="18"/>
                <w:highlight w:val="yellow"/>
                <w:lang w:val="fr-FR" w:eastAsia="en-US"/>
              </w:rPr>
            </w:pPr>
            <w:r>
              <w:rPr>
                <w:rFonts w:ascii="Tahoma" w:hAnsi="Tahoma" w:cs="Tahoma"/>
                <w:sz w:val="18"/>
                <w:szCs w:val="18"/>
                <w:lang w:val="fr-FR" w:eastAsia="en-US"/>
              </w:rPr>
              <w:t>Prestation de conseils et de soutien ; animation de formations et séminaires avec matériel inclus</w:t>
            </w:r>
          </w:p>
        </w:tc>
        <w:tc>
          <w:tcPr>
            <w:tcW w:w="254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2B6809" w:rsidRPr="00882A06" w:rsidRDefault="002B6809" w:rsidP="00A0376A">
            <w:pPr>
              <w:spacing w:line="276" w:lineRule="auto"/>
              <w:ind w:left="-135" w:right="-91"/>
              <w:jc w:val="center"/>
              <w:rPr>
                <w:rFonts w:ascii="Tahoma" w:hAnsi="Tahoma" w:cs="Tahoma"/>
                <w:sz w:val="18"/>
                <w:szCs w:val="18"/>
                <w:highlight w:val="yellow"/>
                <w:lang w:val="fr-FR" w:eastAsia="en-US"/>
              </w:rPr>
            </w:pPr>
          </w:p>
        </w:tc>
      </w:tr>
    </w:tbl>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160"/>
        <w:gridCol w:w="1466"/>
      </w:tblGrid>
      <w:tr w:rsidR="009822ED" w:rsidRPr="00456161" w14:paraId="0736609D" w14:textId="77777777" w:rsidTr="0051648D">
        <w:trPr>
          <w:jc w:val="center"/>
        </w:trPr>
        <w:tc>
          <w:tcPr>
            <w:tcW w:w="9371" w:type="dxa"/>
            <w:shd w:val="clear" w:color="auto" w:fill="DBE5F1" w:themeFill="accent1" w:themeFillTint="33"/>
            <w:vAlign w:val="center"/>
          </w:tcPr>
          <w:p w14:paraId="2ADBF910" w14:textId="77777777" w:rsidR="009822ED" w:rsidRPr="00456161" w:rsidRDefault="009822ED" w:rsidP="0051648D">
            <w:pPr>
              <w:rPr>
                <w:rFonts w:ascii="Tahoma" w:hAnsi="Tahoma" w:cs="Tahoma"/>
                <w:lang w:val="fr-FR"/>
              </w:rPr>
            </w:pPr>
            <w:r w:rsidRPr="003B017D">
              <w:rPr>
                <w:rFonts w:ascii="Tahoma" w:hAnsi="Tahoma" w:cs="Tahoma"/>
                <w:sz w:val="20"/>
                <w:szCs w:val="20"/>
                <w:lang w:val="fr-FR"/>
              </w:rPr>
              <w:t>Ce contrat-cadre prend effet à compter de sa signature par les deux parties et est conclu jusqu’au</w:t>
            </w:r>
          </w:p>
        </w:tc>
        <w:tc>
          <w:tcPr>
            <w:tcW w:w="1383" w:type="dxa"/>
            <w:shd w:val="clear" w:color="auto" w:fill="F2F2F2" w:themeFill="background1" w:themeFillShade="F2"/>
          </w:tcPr>
          <w:sdt>
            <w:sdtPr>
              <w:rPr>
                <w:rStyle w:val="Style71"/>
                <w:rFonts w:ascii="Tahoma" w:hAnsi="Tahoma" w:cs="Tahoma"/>
                <w:b/>
                <w:bCs/>
                <w:szCs w:val="20"/>
                <w:lang w:val="fr-FR"/>
              </w:rPr>
              <w:id w:val="-383871118"/>
              <w:placeholder>
                <w:docPart w:val="09A6F6C20D974E6EBA3AE620ED45FD12"/>
              </w:placeholder>
              <w:date w:fullDate="2021-12-31T00:00:00Z">
                <w:dateFormat w:val="dd/MM/yyyy"/>
                <w:lid w:val="fr-FR"/>
                <w:storeMappedDataAs w:val="dateTime"/>
                <w:calendar w:val="gregorian"/>
              </w:date>
            </w:sdtPr>
            <w:sdtEndPr>
              <w:rPr>
                <w:rStyle w:val="Style71"/>
              </w:rPr>
            </w:sdtEndPr>
            <w:sdtContent>
              <w:p w14:paraId="53EEB22E" w14:textId="300EBA4B" w:rsidR="009822ED" w:rsidRPr="00456161" w:rsidRDefault="00D2316C" w:rsidP="0051648D">
                <w:pPr>
                  <w:spacing w:before="120" w:after="120"/>
                  <w:rPr>
                    <w:rFonts w:ascii="Tahoma" w:hAnsi="Tahoma" w:cs="Tahoma"/>
                    <w:sz w:val="20"/>
                    <w:szCs w:val="20"/>
                    <w:lang w:val="fr-FR"/>
                  </w:rPr>
                </w:pPr>
                <w:r w:rsidRPr="00564D69">
                  <w:rPr>
                    <w:rStyle w:val="Style71"/>
                    <w:rFonts w:ascii="Tahoma" w:hAnsi="Tahoma" w:cs="Tahoma"/>
                    <w:b/>
                    <w:bCs/>
                    <w:szCs w:val="20"/>
                    <w:lang w:val="fr-FR"/>
                  </w:rPr>
                  <w:t>3</w:t>
                </w:r>
                <w:r w:rsidRPr="00564D69">
                  <w:rPr>
                    <w:rStyle w:val="Style71"/>
                    <w:rFonts w:ascii="Tahoma" w:hAnsi="Tahoma" w:cs="Tahoma"/>
                    <w:b/>
                    <w:bCs/>
                    <w:lang w:val="fr-FR"/>
                  </w:rPr>
                  <w:t>1/12/2021</w:t>
                </w:r>
              </w:p>
            </w:sdtContent>
          </w:sdt>
        </w:tc>
      </w:tr>
      <w:tr w:rsidR="002236AE" w:rsidRPr="002236AE" w14:paraId="65118FE6" w14:textId="77777777" w:rsidTr="0051648D">
        <w:trPr>
          <w:jc w:val="center"/>
        </w:trPr>
        <w:tc>
          <w:tcPr>
            <w:tcW w:w="9371" w:type="dxa"/>
            <w:shd w:val="clear" w:color="auto" w:fill="DBE5F1" w:themeFill="accent1" w:themeFillTint="33"/>
            <w:vAlign w:val="center"/>
          </w:tcPr>
          <w:p w14:paraId="4B64DA91" w14:textId="3C2879F2" w:rsidR="002236AE" w:rsidRPr="003B017D" w:rsidRDefault="002236AE" w:rsidP="0051648D">
            <w:pPr>
              <w:rPr>
                <w:rFonts w:ascii="Tahoma" w:hAnsi="Tahoma" w:cs="Tahoma"/>
                <w:sz w:val="20"/>
                <w:szCs w:val="20"/>
                <w:lang w:val="fr-FR"/>
              </w:rPr>
            </w:pPr>
            <w:r w:rsidRPr="002236AE">
              <w:rPr>
                <w:rFonts w:ascii="Tahoma" w:hAnsi="Tahoma" w:cs="Tahoma"/>
                <w:sz w:val="20"/>
                <w:szCs w:val="20"/>
                <w:lang w:val="fr-FR"/>
              </w:rPr>
              <w:t xml:space="preserve">Ce contrat-cadre </w:t>
            </w:r>
            <w:proofErr w:type="gramStart"/>
            <w:r w:rsidR="0004081C">
              <w:rPr>
                <w:rFonts w:ascii="Tahoma" w:hAnsi="Tahoma" w:cs="Tahoma"/>
                <w:sz w:val="20"/>
                <w:szCs w:val="20"/>
                <w:lang w:val="fr-FR"/>
              </w:rPr>
              <w:t>peut-être</w:t>
            </w:r>
            <w:proofErr w:type="gramEnd"/>
            <w:r w:rsidR="0004081C">
              <w:rPr>
                <w:rFonts w:ascii="Tahoma" w:hAnsi="Tahoma" w:cs="Tahoma"/>
                <w:sz w:val="20"/>
                <w:szCs w:val="20"/>
                <w:lang w:val="fr-FR"/>
              </w:rPr>
              <w:t xml:space="preserve"> renouvelé </w:t>
            </w:r>
            <w:r w:rsidRPr="002236AE">
              <w:rPr>
                <w:rFonts w:ascii="Tahoma" w:hAnsi="Tahoma" w:cs="Tahoma"/>
                <w:sz w:val="20"/>
                <w:szCs w:val="20"/>
                <w:lang w:val="fr-FR"/>
              </w:rPr>
              <w:t>tous les mois jusqu’au</w:t>
            </w:r>
            <w:r w:rsidRPr="002236AE">
              <w:rPr>
                <w:rFonts w:ascii="Tahoma" w:hAnsi="Tahoma" w:cs="Tahoma"/>
                <w:sz w:val="20"/>
                <w:szCs w:val="20"/>
                <w:lang w:val="fr-FR"/>
              </w:rPr>
              <w:tab/>
            </w:r>
          </w:p>
        </w:tc>
        <w:tc>
          <w:tcPr>
            <w:tcW w:w="1383" w:type="dxa"/>
            <w:shd w:val="clear" w:color="auto" w:fill="F2F2F2" w:themeFill="background1" w:themeFillShade="F2"/>
          </w:tcPr>
          <w:p w14:paraId="7721C1B7" w14:textId="74F98520" w:rsidR="002236AE" w:rsidRPr="002236AE" w:rsidRDefault="002236AE" w:rsidP="0051648D">
            <w:pPr>
              <w:spacing w:before="120" w:after="120"/>
              <w:rPr>
                <w:rStyle w:val="Style71"/>
                <w:rFonts w:ascii="Tahoma" w:hAnsi="Tahoma" w:cs="Tahoma"/>
                <w:b/>
                <w:bCs/>
                <w:szCs w:val="20"/>
                <w:lang w:val="fr-FR"/>
              </w:rPr>
            </w:pPr>
            <w:r w:rsidRPr="002236AE">
              <w:rPr>
                <w:rFonts w:ascii="Tahoma" w:hAnsi="Tahoma" w:cs="Tahoma"/>
                <w:b/>
                <w:bCs/>
                <w:sz w:val="20"/>
                <w:szCs w:val="20"/>
                <w:lang w:val="fr-FR"/>
              </w:rPr>
              <w:t>31/0</w:t>
            </w:r>
            <w:r w:rsidR="00C20074">
              <w:rPr>
                <w:rFonts w:ascii="Tahoma" w:hAnsi="Tahoma" w:cs="Tahoma"/>
                <w:b/>
                <w:bCs/>
                <w:sz w:val="20"/>
                <w:szCs w:val="20"/>
                <w:lang w:val="fr-FR"/>
              </w:rPr>
              <w:t>5</w:t>
            </w:r>
            <w:r w:rsidRPr="002236AE">
              <w:rPr>
                <w:rFonts w:ascii="Tahoma" w:hAnsi="Tahoma" w:cs="Tahoma"/>
                <w:b/>
                <w:bCs/>
                <w:sz w:val="20"/>
                <w:szCs w:val="20"/>
                <w:lang w:val="fr-FR"/>
              </w:rPr>
              <w:t>/202</w:t>
            </w:r>
            <w:r w:rsidR="009E0F2B">
              <w:rPr>
                <w:rFonts w:ascii="Tahoma" w:hAnsi="Tahoma" w:cs="Tahoma"/>
                <w:b/>
                <w:bCs/>
                <w:sz w:val="20"/>
                <w:szCs w:val="20"/>
                <w:lang w:val="fr-FR"/>
              </w:rPr>
              <w:t>2</w:t>
            </w:r>
          </w:p>
        </w:tc>
      </w:tr>
    </w:tbl>
    <w:p w14:paraId="3D68B47E" w14:textId="762BCD82" w:rsidR="002133FA" w:rsidRPr="00882A06" w:rsidRDefault="00812B47" w:rsidP="002B4CD4">
      <w:pPr>
        <w:pBdr>
          <w:bottom w:val="single" w:sz="4" w:space="1" w:color="auto"/>
        </w:pBdr>
        <w:rPr>
          <w:rFonts w:ascii="Tahoma" w:hAnsi="Tahoma" w:cs="Tahoma"/>
          <w:b/>
          <w:lang w:val="fr-FR"/>
        </w:rPr>
      </w:pPr>
      <w:r w:rsidRPr="00882A06">
        <w:rPr>
          <w:rFonts w:ascii="Tahoma" w:hAnsi="Tahoma" w:cs="Tahoma"/>
          <w:b/>
          <w:lang w:val="fr-FR"/>
        </w:rPr>
        <w:br w:type="page"/>
      </w:r>
      <w:r w:rsidR="0072200B" w:rsidRPr="00882A06">
        <w:rPr>
          <w:rFonts w:ascii="Tahoma" w:hAnsi="Tahoma" w:cs="Tahoma"/>
          <w:b/>
          <w:lang w:val="fr-FR"/>
        </w:rPr>
        <w:lastRenderedPageBreak/>
        <w:t>B</w:t>
      </w:r>
      <w:r w:rsidR="002133FA" w:rsidRPr="00882A06">
        <w:rPr>
          <w:rFonts w:ascii="Tahoma" w:hAnsi="Tahoma" w:cs="Tahoma"/>
          <w:b/>
          <w:lang w:val="fr-FR"/>
        </w:rPr>
        <w:t xml:space="preserve">. </w:t>
      </w:r>
      <w:r w:rsidR="007E3BF6" w:rsidRPr="00882A06">
        <w:rPr>
          <w:rFonts w:ascii="Tahoma" w:hAnsi="Tahoma" w:cs="Tahoma"/>
          <w:b/>
          <w:lang w:val="fr-FR"/>
        </w:rPr>
        <w:t>Déclaration</w:t>
      </w:r>
      <w:r w:rsidR="002F631F" w:rsidRPr="00882A06">
        <w:rPr>
          <w:rFonts w:ascii="Tahoma" w:hAnsi="Tahoma" w:cs="Tahoma"/>
          <w:b/>
          <w:lang w:val="fr-FR"/>
        </w:rPr>
        <w:t xml:space="preserve"> </w:t>
      </w:r>
      <w:proofErr w:type="gramStart"/>
      <w:r w:rsidR="002F631F" w:rsidRPr="00882A06">
        <w:rPr>
          <w:rFonts w:ascii="Tahoma" w:hAnsi="Tahoma" w:cs="Tahoma"/>
          <w:b/>
          <w:lang w:val="fr-FR"/>
        </w:rPr>
        <w:t>d’</w:t>
      </w:r>
      <w:r w:rsidR="007E3BF6" w:rsidRPr="00882A06">
        <w:rPr>
          <w:rFonts w:ascii="Tahoma" w:hAnsi="Tahoma" w:cs="Tahoma"/>
          <w:b/>
          <w:lang w:val="fr-FR"/>
        </w:rPr>
        <w:t xml:space="preserve"> </w:t>
      </w:r>
      <w:r w:rsidR="002F631F" w:rsidRPr="00882A06">
        <w:rPr>
          <w:rFonts w:ascii="Tahoma" w:hAnsi="Tahoma" w:cs="Tahoma"/>
          <w:b/>
          <w:lang w:val="fr-FR"/>
        </w:rPr>
        <w:t>accord</w:t>
      </w:r>
      <w:proofErr w:type="gramEnd"/>
      <w:r w:rsidR="007E3BF6" w:rsidRPr="00882A06">
        <w:rPr>
          <w:rFonts w:ascii="Tahoma" w:hAnsi="Tahoma" w:cs="Tahoma"/>
          <w:b/>
          <w:lang w:val="fr-FR"/>
        </w:rPr>
        <w:t xml:space="preserve"> et signature</w:t>
      </w:r>
    </w:p>
    <w:p w14:paraId="458B96F3" w14:textId="77777777" w:rsidR="00A91754" w:rsidRPr="00882A06" w:rsidRDefault="00A91754" w:rsidP="002B4CD4">
      <w:pPr>
        <w:tabs>
          <w:tab w:val="left" w:pos="284"/>
          <w:tab w:val="left" w:pos="426"/>
        </w:tabs>
        <w:spacing w:before="60"/>
        <w:jc w:val="both"/>
        <w:rPr>
          <w:rFonts w:ascii="Tahoma" w:hAnsi="Tahoma" w:cs="Tahoma"/>
          <w:sz w:val="19"/>
          <w:szCs w:val="19"/>
          <w:lang w:val="fr-FR"/>
        </w:rPr>
      </w:pPr>
      <w:r w:rsidRPr="00882A06">
        <w:rPr>
          <w:rFonts w:ascii="Tahoma" w:hAnsi="Tahoma" w:cs="Tahoma"/>
          <w:sz w:val="19"/>
          <w:szCs w:val="19"/>
          <w:lang w:val="fr-FR"/>
        </w:rPr>
        <w:t>Je, soussigné, agissant pour mon propre compte ou représentant du Prestataire indiqué ci-dessous, par la présente :</w:t>
      </w:r>
    </w:p>
    <w:p w14:paraId="172AC56B" w14:textId="5761AB5C"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être d</w:t>
      </w:r>
      <w:r w:rsidR="00BC4332" w:rsidRPr="00882A06">
        <w:rPr>
          <w:rFonts w:ascii="Tahoma" w:hAnsi="Tahoma" w:cs="Tahoma"/>
          <w:sz w:val="19"/>
          <w:szCs w:val="19"/>
          <w:lang w:val="fr-FR"/>
        </w:rPr>
        <w:t>û</w:t>
      </w:r>
      <w:r w:rsidRPr="00882A06">
        <w:rPr>
          <w:rFonts w:ascii="Tahoma" w:hAnsi="Tahoma" w:cs="Tahoma"/>
          <w:sz w:val="19"/>
          <w:szCs w:val="19"/>
          <w:lang w:val="fr-FR"/>
        </w:rPr>
        <w:t xml:space="preserve">ment autorisé à représenter le </w:t>
      </w:r>
      <w:proofErr w:type="gramStart"/>
      <w:r w:rsidRPr="00882A06">
        <w:rPr>
          <w:rFonts w:ascii="Tahoma" w:hAnsi="Tahoma" w:cs="Tahoma"/>
          <w:sz w:val="19"/>
          <w:szCs w:val="19"/>
          <w:lang w:val="fr-FR"/>
        </w:rPr>
        <w:t>Prestataire;</w:t>
      </w:r>
      <w:proofErr w:type="gramEnd"/>
    </w:p>
    <w:p w14:paraId="5EE444E1" w14:textId="77777777"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que les informations soumises au Conseil dans le cadre de cette procédure sont complètes, exactes et véridiques ;</w:t>
      </w:r>
    </w:p>
    <w:p w14:paraId="76334F9D" w14:textId="47D19E1B"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Reconnai</w:t>
      </w:r>
      <w:r w:rsidR="00BC4332" w:rsidRPr="00882A06">
        <w:rPr>
          <w:rFonts w:ascii="Tahoma" w:hAnsi="Tahoma" w:cs="Tahoma"/>
          <w:sz w:val="19"/>
          <w:szCs w:val="19"/>
          <w:lang w:val="fr-FR"/>
        </w:rPr>
        <w:t>s</w:t>
      </w:r>
      <w:r w:rsidRPr="00882A06">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67A51D73" w14:textId="34979CA6" w:rsidR="00095906" w:rsidRPr="00882A06" w:rsidRDefault="00095906" w:rsidP="00095906">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w:t>
      </w:r>
      <w:r>
        <w:rPr>
          <w:rFonts w:ascii="Tahoma" w:hAnsi="Tahoma" w:cs="Tahoma"/>
          <w:sz w:val="19"/>
          <w:szCs w:val="19"/>
          <w:lang w:val="fr-FR"/>
        </w:rPr>
        <w:t xml:space="preserve">, inscription sur les listes des personnes ou entités sujettes aux mesures restrictives appliquées par l’Union Européenne (disponibles sur </w:t>
      </w:r>
      <w:hyperlink r:id="rId12" w:history="1">
        <w:r w:rsidRPr="001274A5">
          <w:rPr>
            <w:sz w:val="19"/>
            <w:szCs w:val="19"/>
            <w:u w:val="single"/>
            <w:lang w:val="fr-FR"/>
          </w:rPr>
          <w:t>www.sanctionsmap.eu</w:t>
        </w:r>
      </w:hyperlink>
      <w:r w:rsidR="00831A7C">
        <w:rPr>
          <w:rFonts w:ascii="Tahoma" w:hAnsi="Tahoma" w:cs="Tahoma"/>
          <w:sz w:val="18"/>
          <w:szCs w:val="19"/>
          <w:lang w:val="fr-FR"/>
        </w:rPr>
        <w:t>)</w:t>
      </w:r>
      <w:r w:rsidRPr="001274A5">
        <w:rPr>
          <w:rFonts w:ascii="Tahoma" w:hAnsi="Tahoma" w:cs="Tahoma"/>
          <w:sz w:val="18"/>
          <w:szCs w:val="19"/>
          <w:lang w:val="fr-FR"/>
        </w:rPr>
        <w:t> </w:t>
      </w:r>
      <w:r w:rsidRPr="00882A06">
        <w:rPr>
          <w:rFonts w:ascii="Tahoma" w:hAnsi="Tahoma" w:cs="Tahoma"/>
          <w:sz w:val="19"/>
          <w:szCs w:val="19"/>
          <w:lang w:val="fr-FR"/>
        </w:rPr>
        <w:t xml:space="preserve">; </w:t>
      </w:r>
    </w:p>
    <w:p w14:paraId="0C428795" w14:textId="733F2E66" w:rsidR="00E81D73" w:rsidRPr="00882A06"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882A06">
        <w:rPr>
          <w:rFonts w:ascii="Tahoma" w:hAnsi="Tahoma" w:cs="Tahoma"/>
          <w:sz w:val="19"/>
          <w:szCs w:val="19"/>
          <w:lang w:val="fr-FR"/>
        </w:rPr>
        <w:t xml:space="preserve">Accepte, sans dérogation, tous les termes des conditions contractuelles telles que reproduites dans ce document et comprend que sa signature </w:t>
      </w:r>
      <w:r w:rsidRPr="00882A06">
        <w:rPr>
          <w:rFonts w:ascii="Tahoma" w:hAnsi="Tahoma" w:cs="Tahoma"/>
          <w:b/>
          <w:sz w:val="19"/>
          <w:szCs w:val="19"/>
          <w:u w:val="single"/>
          <w:lang w:val="fr-FR"/>
        </w:rPr>
        <w:t>constitue la signature du contrat</w:t>
      </w:r>
      <w:r w:rsidRPr="00882A06">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882A06" w:rsidRDefault="009C22B1" w:rsidP="009C22B1">
      <w:pPr>
        <w:tabs>
          <w:tab w:val="left" w:pos="284"/>
        </w:tabs>
        <w:spacing w:after="60"/>
        <w:ind w:left="-142" w:right="-142"/>
        <w:jc w:val="both"/>
        <w:rPr>
          <w:rFonts w:ascii="Tahoma" w:hAnsi="Tahoma" w:cs="Tahoma"/>
          <w:sz w:val="19"/>
          <w:szCs w:val="19"/>
          <w:lang w:val="fr-FR"/>
        </w:rPr>
      </w:pPr>
    </w:p>
    <w:p w14:paraId="0D03879A" w14:textId="1820CE50" w:rsidR="005144E0" w:rsidRPr="00882A06" w:rsidRDefault="0052279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882A06">
        <w:rPr>
          <w:rFonts w:ascii="Tahoma" w:hAnsi="Tahoma" w:cs="Tahoma"/>
          <w:color w:val="FF0000"/>
          <w:sz w:val="18"/>
          <w:szCs w:val="18"/>
          <w:lang w:val="fr-FR"/>
        </w:rPr>
        <w:t>Complétez cette partie, imprimez deux copies du document et signez les deux dans la cellule indiquée ci-dessous. Envoyer les au Conseil accompagnées des autres documents justificatifs (Voir Dossier de consultation, Section VI).</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944EBF"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882A06" w:rsidRDefault="004F2CFB" w:rsidP="0091516C">
            <w:pPr>
              <w:jc w:val="center"/>
              <w:rPr>
                <w:rFonts w:ascii="Tahoma" w:eastAsia="Calibri" w:hAnsi="Tahoma" w:cs="Tahoma"/>
                <w:color w:val="FF0000"/>
                <w:sz w:val="10"/>
                <w:szCs w:val="10"/>
                <w:lang w:val="fr-FR" w:eastAsia="en-US"/>
              </w:rPr>
            </w:pPr>
            <w:r w:rsidRPr="00882A06">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7A5233AE">
                      <wp:simplePos x="0" y="0"/>
                      <wp:positionH relativeFrom="column">
                        <wp:posOffset>3035300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95884" id="AutoShape 2" o:spid="_x0000_s1026" type="#_x0000_t68" style="position:absolute;margin-left:239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944EBF"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882A06"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882A06" w:rsidRDefault="009454DB" w:rsidP="0091516C">
            <w:pPr>
              <w:jc w:val="center"/>
              <w:rPr>
                <w:rFonts w:ascii="Tahoma" w:eastAsia="Calibri" w:hAnsi="Tahoma" w:cs="Tahoma"/>
                <w:b/>
                <w:bCs/>
                <w:sz w:val="20"/>
                <w:szCs w:val="20"/>
                <w:lang w:val="fr-FR" w:eastAsia="en-US"/>
              </w:rPr>
            </w:pPr>
            <w:r w:rsidRPr="00882A06">
              <w:rPr>
                <w:rFonts w:ascii="Tahoma" w:eastAsia="Calibri" w:hAnsi="Tahoma" w:cs="Tahoma"/>
                <w:b/>
                <w:bCs/>
                <w:sz w:val="20"/>
                <w:szCs w:val="20"/>
                <w:lang w:val="fr-FR" w:eastAsia="en-US"/>
              </w:rPr>
              <w:t xml:space="preserve">Pour le Prestataire </w:t>
            </w:r>
            <w:r w:rsidRPr="00882A06">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882A06"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882A06" w:rsidRDefault="009454DB" w:rsidP="0091516C">
            <w:pPr>
              <w:jc w:val="center"/>
              <w:rPr>
                <w:rFonts w:ascii="Tahoma" w:eastAsia="Calibri" w:hAnsi="Tahoma" w:cs="Tahoma"/>
                <w:b/>
                <w:bCs/>
                <w:sz w:val="20"/>
                <w:szCs w:val="20"/>
                <w:lang w:val="fr-FR" w:eastAsia="en-US"/>
              </w:rPr>
            </w:pPr>
            <w:r w:rsidRPr="00882A06">
              <w:rPr>
                <w:rFonts w:ascii="Tahoma" w:eastAsia="Calibri" w:hAnsi="Tahoma" w:cs="Tahoma"/>
                <w:b/>
                <w:bCs/>
                <w:sz w:val="20"/>
                <w:szCs w:val="20"/>
                <w:lang w:val="fr-FR" w:eastAsia="en-US"/>
              </w:rPr>
              <w:t xml:space="preserve">Pour le Conseil de l’Europe </w:t>
            </w:r>
            <w:r w:rsidRPr="00882A06">
              <w:rPr>
                <w:rFonts w:eastAsia="Calibri"/>
                <w:b/>
                <w:bCs/>
                <w:sz w:val="24"/>
                <w:szCs w:val="24"/>
                <w:lang w:val="fr-FR" w:eastAsia="en-US"/>
              </w:rPr>
              <w:t>▼</w:t>
            </w:r>
          </w:p>
          <w:p w14:paraId="44798C8B" w14:textId="77777777" w:rsidR="009454DB" w:rsidRPr="00882A06" w:rsidRDefault="009454DB" w:rsidP="0091516C">
            <w:pPr>
              <w:jc w:val="center"/>
              <w:rPr>
                <w:rFonts w:ascii="Tahoma" w:eastAsia="Calibri" w:hAnsi="Tahoma" w:cs="Tahoma"/>
                <w:sz w:val="20"/>
                <w:szCs w:val="20"/>
                <w:lang w:val="fr-FR" w:eastAsia="en-US"/>
              </w:rPr>
            </w:pPr>
            <w:r w:rsidRPr="00882A06">
              <w:rPr>
                <w:rFonts w:ascii="Tahoma" w:eastAsia="Calibri" w:hAnsi="Tahoma" w:cs="Tahoma"/>
                <w:sz w:val="18"/>
                <w:szCs w:val="18"/>
                <w:lang w:val="fr-FR" w:eastAsia="en-US"/>
              </w:rPr>
              <w:t>Au nom du Secrétaire Général du Conseil de l’Europe</w:t>
            </w:r>
            <w:r w:rsidRPr="00882A06">
              <w:rPr>
                <w:rFonts w:ascii="Tahoma" w:eastAsia="Calibri" w:hAnsi="Tahoma" w:cs="Tahoma"/>
                <w:b/>
                <w:bCs/>
                <w:sz w:val="20"/>
                <w:szCs w:val="20"/>
                <w:lang w:val="fr-FR" w:eastAsia="en-US"/>
              </w:rPr>
              <w:t xml:space="preserve"> </w:t>
            </w:r>
          </w:p>
        </w:tc>
      </w:tr>
      <w:tr w:rsidR="003B12BF" w:rsidRPr="00944EBF"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882A06" w:rsidRDefault="003B12BF" w:rsidP="0091516C">
            <w:pPr>
              <w:ind w:left="113" w:right="113"/>
              <w:jc w:val="center"/>
              <w:rPr>
                <w:rFonts w:ascii="Tahoma" w:eastAsia="Calibri" w:hAnsi="Tahoma" w:cs="Tahoma"/>
                <w:sz w:val="18"/>
                <w:szCs w:val="18"/>
                <w:lang w:val="fr-FR" w:eastAsia="en-US"/>
              </w:rPr>
            </w:pPr>
            <w:r w:rsidRPr="00882A06">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882A06" w:rsidRDefault="003B12BF"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Signataire (Nom, Fonction et Entité)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882A06"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882A06"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882A06" w:rsidRDefault="003B12BF"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Signataire (Nom, Fonction et Entité) </w:t>
            </w:r>
            <w:r w:rsidRPr="00882A06">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882A06" w:rsidRDefault="003B12BF" w:rsidP="0091516C">
            <w:pPr>
              <w:rPr>
                <w:rFonts w:ascii="Tahoma" w:eastAsia="Calibri" w:hAnsi="Tahoma" w:cs="Tahoma"/>
                <w:sz w:val="20"/>
                <w:szCs w:val="20"/>
                <w:lang w:val="fr-FR" w:eastAsia="en-US"/>
              </w:rPr>
            </w:pPr>
          </w:p>
        </w:tc>
      </w:tr>
      <w:tr w:rsidR="003B12BF" w:rsidRPr="00882A06"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882A06"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882A06" w:rsidRDefault="003B12BF"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Prestataire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882A06"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882A06"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882A06"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882A06" w:rsidRDefault="003B12BF" w:rsidP="0091516C">
            <w:pPr>
              <w:rPr>
                <w:rFonts w:ascii="Tahoma" w:eastAsia="Calibri" w:hAnsi="Tahoma" w:cs="Tahoma"/>
                <w:sz w:val="20"/>
                <w:szCs w:val="20"/>
                <w:lang w:val="fr-FR" w:eastAsia="en-US"/>
              </w:rPr>
            </w:pPr>
          </w:p>
        </w:tc>
      </w:tr>
      <w:tr w:rsidR="009454DB" w:rsidRPr="00882A06"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882A06"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Lieu de signature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882A06" w:rsidRDefault="009454DB" w:rsidP="0091516C">
            <w:pPr>
              <w:rPr>
                <w:rFonts w:ascii="Tahoma" w:eastAsia="Calibri" w:hAnsi="Tahoma" w:cs="Tahoma"/>
                <w:sz w:val="16"/>
                <w:szCs w:val="16"/>
                <w:lang w:val="fr-FR" w:eastAsia="en-US"/>
              </w:rPr>
            </w:pPr>
            <w:r w:rsidRPr="00882A06">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882A06"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882A06" w:rsidRDefault="009454DB"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Lieu de signature </w:t>
            </w:r>
            <w:r w:rsidRPr="00882A0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882A06" w:rsidRDefault="009454DB" w:rsidP="0091516C">
            <w:pPr>
              <w:rPr>
                <w:rFonts w:ascii="Tahoma" w:eastAsia="Calibri" w:hAnsi="Tahoma" w:cs="Tahoma"/>
                <w:sz w:val="20"/>
                <w:szCs w:val="20"/>
                <w:lang w:val="fr-FR" w:eastAsia="en-US"/>
              </w:rPr>
            </w:pPr>
            <w:r w:rsidRPr="00882A06">
              <w:rPr>
                <w:rFonts w:ascii="Tahoma" w:eastAsia="Calibri" w:hAnsi="Tahoma" w:cs="Tahoma"/>
                <w:sz w:val="20"/>
                <w:szCs w:val="20"/>
                <w:lang w:val="fr-FR" w:eastAsia="en-US"/>
              </w:rPr>
              <w:t>A</w:t>
            </w:r>
          </w:p>
        </w:tc>
      </w:tr>
      <w:tr w:rsidR="009454DB" w:rsidRPr="00882A06"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882A06"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Date de signature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882A06" w:rsidRDefault="009454DB" w:rsidP="0091516C">
            <w:pPr>
              <w:jc w:val="center"/>
              <w:rPr>
                <w:rFonts w:ascii="Tahoma" w:eastAsia="Calibri" w:hAnsi="Tahoma" w:cs="Tahoma"/>
                <w:sz w:val="16"/>
                <w:szCs w:val="16"/>
                <w:lang w:val="fr-FR" w:eastAsia="en-US"/>
              </w:rPr>
            </w:pPr>
            <w:r w:rsidRPr="00882A06">
              <w:rPr>
                <w:rFonts w:ascii="Tahoma" w:eastAsia="Calibri" w:hAnsi="Tahoma" w:cs="Tahoma"/>
                <w:color w:val="BFBFBF"/>
                <w:sz w:val="16"/>
                <w:szCs w:val="16"/>
                <w:lang w:val="fr-FR" w:eastAsia="en-US"/>
              </w:rPr>
              <w:t>___</w:t>
            </w:r>
            <w:r w:rsidRPr="00882A06">
              <w:rPr>
                <w:rFonts w:ascii="Tahoma" w:eastAsia="Calibri" w:hAnsi="Tahoma" w:cs="Tahoma"/>
                <w:sz w:val="16"/>
                <w:szCs w:val="16"/>
                <w:lang w:val="fr-FR" w:eastAsia="en-US"/>
              </w:rPr>
              <w:t xml:space="preserve"> / </w:t>
            </w:r>
            <w:r w:rsidRPr="00882A06">
              <w:rPr>
                <w:rFonts w:ascii="Tahoma" w:eastAsia="Calibri" w:hAnsi="Tahoma" w:cs="Tahoma"/>
                <w:color w:val="BFBFBF"/>
                <w:sz w:val="16"/>
                <w:szCs w:val="16"/>
                <w:lang w:val="fr-FR" w:eastAsia="en-US"/>
              </w:rPr>
              <w:t>___</w:t>
            </w:r>
            <w:r w:rsidRPr="00882A06">
              <w:rPr>
                <w:rFonts w:ascii="Tahoma" w:eastAsia="Calibri" w:hAnsi="Tahoma" w:cs="Tahoma"/>
                <w:sz w:val="16"/>
                <w:szCs w:val="16"/>
                <w:lang w:val="fr-FR" w:eastAsia="en-US"/>
              </w:rPr>
              <w:t xml:space="preserve"> / </w:t>
            </w:r>
            <w:r w:rsidRPr="00882A06">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882A06"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882A06" w:rsidRDefault="009454DB"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Date de signature </w:t>
            </w:r>
            <w:r w:rsidRPr="00882A0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882A06" w:rsidRDefault="009454DB" w:rsidP="0091516C">
            <w:pPr>
              <w:jc w:val="center"/>
              <w:rPr>
                <w:rFonts w:ascii="Tahoma" w:eastAsia="Calibri" w:hAnsi="Tahoma" w:cs="Tahoma"/>
                <w:sz w:val="20"/>
                <w:szCs w:val="20"/>
                <w:lang w:val="fr-FR" w:eastAsia="en-US"/>
              </w:rPr>
            </w:pPr>
            <w:r w:rsidRPr="00882A06">
              <w:rPr>
                <w:rFonts w:ascii="Tahoma" w:eastAsia="Calibri" w:hAnsi="Tahoma" w:cs="Tahoma"/>
                <w:color w:val="BFBFBF"/>
                <w:sz w:val="20"/>
                <w:szCs w:val="20"/>
                <w:lang w:val="fr-FR" w:eastAsia="en-US"/>
              </w:rPr>
              <w:t>___</w:t>
            </w:r>
            <w:r w:rsidRPr="00882A06">
              <w:rPr>
                <w:rFonts w:ascii="Tahoma" w:eastAsia="Calibri" w:hAnsi="Tahoma" w:cs="Tahoma"/>
                <w:sz w:val="20"/>
                <w:szCs w:val="20"/>
                <w:lang w:val="fr-FR" w:eastAsia="en-US"/>
              </w:rPr>
              <w:t xml:space="preserve"> / </w:t>
            </w:r>
            <w:r w:rsidRPr="00882A06">
              <w:rPr>
                <w:rFonts w:ascii="Tahoma" w:eastAsia="Calibri" w:hAnsi="Tahoma" w:cs="Tahoma"/>
                <w:color w:val="BFBFBF"/>
                <w:sz w:val="20"/>
                <w:szCs w:val="20"/>
                <w:lang w:val="fr-FR" w:eastAsia="en-US"/>
              </w:rPr>
              <w:t>___</w:t>
            </w:r>
            <w:r w:rsidRPr="00882A06">
              <w:rPr>
                <w:rFonts w:ascii="Tahoma" w:eastAsia="Calibri" w:hAnsi="Tahoma" w:cs="Tahoma"/>
                <w:sz w:val="20"/>
                <w:szCs w:val="20"/>
                <w:lang w:val="fr-FR" w:eastAsia="en-US"/>
              </w:rPr>
              <w:t xml:space="preserve"> / </w:t>
            </w:r>
            <w:r w:rsidRPr="00882A06">
              <w:rPr>
                <w:rFonts w:ascii="Tahoma" w:eastAsia="Calibri" w:hAnsi="Tahoma" w:cs="Tahoma"/>
                <w:color w:val="BFBFBF"/>
                <w:sz w:val="20"/>
                <w:szCs w:val="20"/>
                <w:lang w:val="fr-FR" w:eastAsia="en-US"/>
              </w:rPr>
              <w:t>______</w:t>
            </w:r>
          </w:p>
        </w:tc>
      </w:tr>
      <w:tr w:rsidR="009454DB" w:rsidRPr="00882A06"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882A06"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Signature</w:t>
            </w:r>
          </w:p>
          <w:p w14:paraId="12CA07AC"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882A06"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882A06"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882A06" w:rsidRDefault="009454DB"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Signature</w:t>
            </w:r>
            <w:r w:rsidRPr="00882A0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882A06" w:rsidRDefault="009454DB" w:rsidP="0091516C">
            <w:pPr>
              <w:rPr>
                <w:rFonts w:ascii="Tahoma" w:eastAsia="Calibri" w:hAnsi="Tahoma" w:cs="Tahoma"/>
                <w:sz w:val="20"/>
                <w:szCs w:val="20"/>
                <w:lang w:val="fr-FR" w:eastAsia="en-US"/>
              </w:rPr>
            </w:pPr>
          </w:p>
        </w:tc>
      </w:tr>
    </w:tbl>
    <w:p w14:paraId="0985EC0D" w14:textId="77777777" w:rsidR="003A0F5F" w:rsidRPr="00882A06" w:rsidRDefault="003A0F5F" w:rsidP="003A0F5F">
      <w:pPr>
        <w:jc w:val="center"/>
        <w:rPr>
          <w:rFonts w:ascii="Tahoma" w:hAnsi="Tahoma" w:cs="Tahoma"/>
          <w:sz w:val="14"/>
          <w:szCs w:val="20"/>
          <w:lang w:val="fr-FR"/>
        </w:rPr>
      </w:pPr>
    </w:p>
    <w:p w14:paraId="71BD589B" w14:textId="5FC4CB29" w:rsidR="00D50F13" w:rsidRPr="00882A06" w:rsidRDefault="003A0F5F" w:rsidP="009C22B1">
      <w:pPr>
        <w:pBdr>
          <w:bottom w:val="single" w:sz="2" w:space="0" w:color="808080"/>
        </w:pBdr>
        <w:ind w:right="-284"/>
        <w:rPr>
          <w:rFonts w:ascii="Tahoma" w:hAnsi="Tahoma" w:cs="Tahoma"/>
          <w:lang w:val="fr-FR"/>
        </w:rPr>
      </w:pPr>
      <w:r w:rsidRPr="00882A06">
        <w:rPr>
          <w:rFonts w:ascii="Tahoma" w:hAnsi="Tahoma" w:cs="Tahoma"/>
          <w:b/>
          <w:lang w:val="fr-FR"/>
        </w:rPr>
        <w:br w:type="page"/>
      </w:r>
      <w:r w:rsidR="0072200B" w:rsidRPr="00882A06">
        <w:rPr>
          <w:rFonts w:ascii="Tahoma" w:hAnsi="Tahoma" w:cs="Tahoma"/>
          <w:b/>
          <w:lang w:val="fr-FR"/>
        </w:rPr>
        <w:lastRenderedPageBreak/>
        <w:t>C</w:t>
      </w:r>
      <w:r w:rsidR="002133FA" w:rsidRPr="00882A06">
        <w:rPr>
          <w:rFonts w:ascii="Tahoma" w:hAnsi="Tahoma" w:cs="Tahoma"/>
          <w:b/>
          <w:lang w:val="fr-FR"/>
        </w:rPr>
        <w:t xml:space="preserve">. </w:t>
      </w:r>
      <w:r w:rsidR="007B0925" w:rsidRPr="00882A06">
        <w:rPr>
          <w:rFonts w:ascii="Tahoma" w:hAnsi="Tahoma" w:cs="Tahoma"/>
          <w:b/>
          <w:lang w:val="fr-FR"/>
        </w:rPr>
        <w:t>C</w:t>
      </w:r>
      <w:r w:rsidR="00D50F13" w:rsidRPr="00882A06">
        <w:rPr>
          <w:rFonts w:ascii="Tahoma" w:hAnsi="Tahoma" w:cs="Tahoma"/>
          <w:b/>
          <w:lang w:val="fr-FR"/>
        </w:rPr>
        <w:t>onditions</w:t>
      </w:r>
      <w:r w:rsidR="00C30B4D" w:rsidRPr="00882A06">
        <w:rPr>
          <w:rFonts w:ascii="Tahoma" w:hAnsi="Tahoma" w:cs="Tahoma"/>
          <w:b/>
          <w:lang w:val="fr-FR"/>
        </w:rPr>
        <w:t xml:space="preserve"> juridiques</w:t>
      </w:r>
    </w:p>
    <w:p w14:paraId="148DE269" w14:textId="77777777" w:rsidR="009C22B1" w:rsidRPr="00882A06"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882A06" w:rsidSect="00162743">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3" w:name="_Toc179868643"/>
    </w:p>
    <w:bookmarkEnd w:id="3"/>
    <w:p w14:paraId="39579550" w14:textId="77777777" w:rsidR="00882A06" w:rsidRPr="00561E48" w:rsidRDefault="00882A06" w:rsidP="00882A06">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7007F9EC" w14:textId="77777777" w:rsidR="00882A06" w:rsidRDefault="00882A06" w:rsidP="00882A06">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7D0BC718" w14:textId="77777777" w:rsidR="00882A06" w:rsidRPr="000B57B2" w:rsidRDefault="00882A06" w:rsidP="00882A06">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47E1E75E" w14:textId="77777777" w:rsidR="00882A06" w:rsidRDefault="00882A06" w:rsidP="00882A06">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proofErr w:type="gramStart"/>
      <w:r w:rsidRPr="00561E48">
        <w:rPr>
          <w:rFonts w:ascii="Tahoma" w:eastAsia="Calibri" w:hAnsi="Tahoma" w:cs="Tahoma"/>
          <w:color w:val="000000" w:themeColor="text1"/>
          <w:sz w:val="18"/>
          <w:szCs w:val="18"/>
          <w:lang w:val="fr-FR" w:eastAsia="en-US"/>
        </w:rPr>
        <w:t>l’Acte</w:t>
      </w:r>
      <w:proofErr w:type="gramEnd"/>
      <w:r w:rsidRPr="00561E48">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 et</w:t>
      </w:r>
    </w:p>
    <w:p w14:paraId="4075E088" w14:textId="77777777" w:rsidR="00882A06" w:rsidRPr="000B57B2" w:rsidRDefault="00882A06" w:rsidP="00882A06">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proofErr w:type="gramStart"/>
      <w:r w:rsidRPr="000B57B2">
        <w:rPr>
          <w:rFonts w:ascii="Tahoma" w:eastAsia="Calibri" w:hAnsi="Tahoma" w:cs="Tahoma"/>
          <w:color w:val="000000" w:themeColor="text1"/>
          <w:sz w:val="18"/>
          <w:szCs w:val="18"/>
          <w:lang w:val="fr-FR" w:eastAsia="en-US"/>
        </w:rPr>
        <w:t>l’offre</w:t>
      </w:r>
      <w:proofErr w:type="gramEnd"/>
      <w:r w:rsidRPr="000B57B2">
        <w:rPr>
          <w:rFonts w:ascii="Tahoma" w:eastAsia="Calibri" w:hAnsi="Tahoma" w:cs="Tahoma"/>
          <w:color w:val="000000" w:themeColor="text1"/>
          <w:sz w:val="18"/>
          <w:szCs w:val="18"/>
          <w:lang w:val="fr-FR" w:eastAsia="en-US"/>
        </w:rPr>
        <w:t xml:space="preserve"> soumise par le Prestataire.</w:t>
      </w:r>
    </w:p>
    <w:p w14:paraId="0533A404" w14:textId="77777777" w:rsidR="00882A06" w:rsidRPr="00561E48" w:rsidRDefault="00882A06" w:rsidP="00882A06">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927E26E" w14:textId="77777777" w:rsidR="00882A06" w:rsidRPr="00561E48" w:rsidRDefault="00882A06" w:rsidP="00882A06">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7A26598B" w14:textId="77777777" w:rsidR="00882A06" w:rsidRPr="00561E48" w:rsidRDefault="00882A06" w:rsidP="00882A06">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2C46238E" w14:textId="77777777" w:rsidR="00882A06" w:rsidRPr="00561E48" w:rsidRDefault="00882A06" w:rsidP="00882A06">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19CED462" w14:textId="6C67125A" w:rsidR="00882A06" w:rsidRPr="002236AE" w:rsidRDefault="002236AE" w:rsidP="002236AE">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Pr>
          <w:rFonts w:ascii="Tahoma" w:eastAsia="Calibri" w:hAnsi="Tahoma" w:cs="Tahoma"/>
          <w:color w:val="000000" w:themeColor="text1"/>
          <w:sz w:val="18"/>
          <w:szCs w:val="18"/>
          <w:lang w:val="fr-FR" w:eastAsia="en-US"/>
        </w:rPr>
        <w:tab/>
      </w:r>
      <w:r w:rsidR="00882A06" w:rsidRPr="002236AE">
        <w:rPr>
          <w:rFonts w:ascii="Tahoma" w:eastAsia="Calibri" w:hAnsi="Tahoma" w:cs="Tahoma"/>
          <w:color w:val="000000" w:themeColor="text1"/>
          <w:sz w:val="18"/>
          <w:szCs w:val="18"/>
          <w:lang w:val="fr-FR" w:eastAsia="en-US"/>
        </w:rPr>
        <w:t>« Livrables » fait référence aux services et biens décrits dans les Termes de référence ;</w:t>
      </w:r>
    </w:p>
    <w:p w14:paraId="2EB66641" w14:textId="77777777" w:rsidR="00882A06" w:rsidRPr="00561E48" w:rsidRDefault="00882A06" w:rsidP="00882A06">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67D9D5D" w14:textId="77777777" w:rsidR="00882A06" w:rsidRPr="00561E48" w:rsidRDefault="00882A06" w:rsidP="00882A06">
      <w:pPr>
        <w:pStyle w:val="ListParagraph"/>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3C0AB2C8"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01796CC4" w14:textId="5EE7BF11" w:rsidR="00882A06" w:rsidRDefault="002B6809" w:rsidP="00882A06">
      <w:pPr>
        <w:tabs>
          <w:tab w:val="left" w:pos="284"/>
        </w:tabs>
        <w:jc w:val="both"/>
        <w:rPr>
          <w:rFonts w:ascii="Tahoma" w:hAnsi="Tahoma" w:cs="Tahoma"/>
          <w:sz w:val="18"/>
          <w:szCs w:val="18"/>
          <w:lang w:val="fr-FR"/>
        </w:rPr>
      </w:pPr>
      <w:bookmarkStart w:id="4" w:name="_Toc179868644"/>
      <w:r>
        <w:rPr>
          <w:rFonts w:ascii="Tahoma" w:hAnsi="Tahoma" w:cs="Tahoma"/>
          <w:sz w:val="18"/>
          <w:szCs w:val="18"/>
          <w:lang w:val="fr-FR"/>
        </w:rPr>
        <w:t xml:space="preserve">2.1 </w:t>
      </w:r>
      <w:r w:rsidR="00882A06" w:rsidRPr="00561E48">
        <w:rPr>
          <w:rFonts w:ascii="Tahoma" w:hAnsi="Tahoma" w:cs="Tahoma"/>
          <w:sz w:val="18"/>
          <w:szCs w:val="18"/>
          <w:lang w:val="fr-FR"/>
        </w:rPr>
        <w:t>Le contrat est conclu jusqu’à la date stipulée à la Partie A du dossier de consultation</w:t>
      </w:r>
      <w:r w:rsidR="00882A06" w:rsidRPr="00561E48">
        <w:rPr>
          <w:rFonts w:ascii="Tahoma" w:hAnsi="Tahoma" w:cs="Tahoma"/>
          <w:color w:val="FF0000"/>
          <w:sz w:val="18"/>
          <w:szCs w:val="18"/>
          <w:lang w:val="fr-FR"/>
        </w:rPr>
        <w:t xml:space="preserve"> </w:t>
      </w:r>
      <w:r w:rsidR="00882A06"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w:t>
      </w:r>
      <w:r>
        <w:rPr>
          <w:rFonts w:ascii="Tahoma" w:hAnsi="Tahoma" w:cs="Tahoma"/>
          <w:sz w:val="18"/>
          <w:szCs w:val="18"/>
          <w:lang w:val="fr-FR"/>
        </w:rPr>
        <w:t xml:space="preserve">, </w:t>
      </w:r>
      <w:r w:rsidR="005E77CF">
        <w:rPr>
          <w:rFonts w:ascii="Tahoma" w:hAnsi="Tahoma" w:cs="Tahoma"/>
          <w:sz w:val="18"/>
          <w:szCs w:val="18"/>
          <w:lang w:val="fr-FR"/>
        </w:rPr>
        <w:t xml:space="preserve">le bon de commande pertinent, </w:t>
      </w:r>
      <w:r w:rsidR="00882A06" w:rsidRPr="00561E48">
        <w:rPr>
          <w:rFonts w:ascii="Tahoma" w:hAnsi="Tahoma" w:cs="Tahoma"/>
          <w:sz w:val="18"/>
          <w:szCs w:val="18"/>
          <w:lang w:val="fr-FR"/>
        </w:rPr>
        <w:t>ou, par défaut, dans l’offre soumise par le Prestataire.</w:t>
      </w:r>
    </w:p>
    <w:p w14:paraId="3354FE19" w14:textId="55377C89" w:rsidR="005E77CF" w:rsidRDefault="005E77CF" w:rsidP="005E77CF">
      <w:pPr>
        <w:tabs>
          <w:tab w:val="left" w:pos="284"/>
        </w:tabs>
        <w:jc w:val="both"/>
        <w:rPr>
          <w:rFonts w:ascii="Tahoma" w:hAnsi="Tahoma" w:cs="Tahoma"/>
          <w:sz w:val="18"/>
          <w:szCs w:val="18"/>
          <w:lang w:val="fr-FR"/>
        </w:rPr>
      </w:pPr>
      <w:r>
        <w:rPr>
          <w:rFonts w:ascii="Tahoma" w:hAnsi="Tahoma" w:cs="Tahoma"/>
          <w:sz w:val="18"/>
          <w:szCs w:val="18"/>
          <w:lang w:val="fr-FR"/>
        </w:rPr>
        <w:t>2.2 Le contrat</w:t>
      </w:r>
      <w:r w:rsidR="003872B5">
        <w:rPr>
          <w:rFonts w:ascii="Tahoma" w:hAnsi="Tahoma" w:cs="Tahoma"/>
          <w:sz w:val="18"/>
          <w:szCs w:val="18"/>
          <w:lang w:val="fr-FR"/>
        </w:rPr>
        <w:t xml:space="preserve"> </w:t>
      </w:r>
      <w:r w:rsidR="0004081C">
        <w:rPr>
          <w:rFonts w:ascii="Tahoma" w:hAnsi="Tahoma" w:cs="Tahoma"/>
          <w:sz w:val="18"/>
          <w:szCs w:val="18"/>
          <w:lang w:val="fr-FR"/>
        </w:rPr>
        <w:t xml:space="preserve">pourra être renouvelé, par notification du Conseil de l’Europe, </w:t>
      </w:r>
      <w:r>
        <w:rPr>
          <w:rFonts w:ascii="Tahoma" w:hAnsi="Tahoma" w:cs="Tahoma"/>
          <w:sz w:val="18"/>
          <w:szCs w:val="18"/>
          <w:lang w:val="fr-FR"/>
        </w:rPr>
        <w:t>à la fin de sa période de validité initiale pour une période d’un mois, et ainsi de suite tous les mois jusqu’à la date stipulé</w:t>
      </w:r>
      <w:r w:rsidR="00CD3051">
        <w:rPr>
          <w:rFonts w:ascii="Tahoma" w:hAnsi="Tahoma" w:cs="Tahoma"/>
          <w:sz w:val="18"/>
          <w:szCs w:val="18"/>
          <w:lang w:val="fr-FR"/>
        </w:rPr>
        <w:t>e</w:t>
      </w:r>
      <w:r>
        <w:rPr>
          <w:rFonts w:ascii="Tahoma" w:hAnsi="Tahoma" w:cs="Tahoma"/>
          <w:sz w:val="18"/>
          <w:szCs w:val="18"/>
          <w:lang w:val="fr-FR"/>
        </w:rPr>
        <w:t xml:space="preserve"> à la Partie A du dossier de consultation.</w:t>
      </w:r>
    </w:p>
    <w:p w14:paraId="211EBD68" w14:textId="77777777" w:rsidR="005E77CF" w:rsidRDefault="005E77CF" w:rsidP="00882A06">
      <w:pPr>
        <w:tabs>
          <w:tab w:val="left" w:pos="284"/>
        </w:tabs>
        <w:jc w:val="both"/>
        <w:rPr>
          <w:rFonts w:ascii="Tahoma" w:hAnsi="Tahoma" w:cs="Tahoma"/>
          <w:sz w:val="18"/>
          <w:szCs w:val="18"/>
          <w:lang w:val="fr-FR"/>
        </w:rPr>
      </w:pPr>
    </w:p>
    <w:p w14:paraId="2A4E40F8"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171F328E" w14:textId="77777777" w:rsidR="00882A06" w:rsidRPr="007B0447" w:rsidRDefault="00882A06" w:rsidP="00882A0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22E32301" w14:textId="77777777" w:rsidR="00882A06" w:rsidRDefault="00882A06" w:rsidP="00882A06">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EC29C0A" w14:textId="77777777" w:rsidR="00882A06" w:rsidRPr="007B0447" w:rsidRDefault="00882A06" w:rsidP="00882A06">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0AE91672" w14:textId="675EE125" w:rsidR="00882A06" w:rsidRPr="00F75554" w:rsidRDefault="00F75554" w:rsidP="00F75554">
      <w:pPr>
        <w:tabs>
          <w:tab w:val="left" w:pos="284"/>
        </w:tabs>
        <w:autoSpaceDE w:val="0"/>
        <w:autoSpaceDN w:val="0"/>
        <w:spacing w:before="40"/>
        <w:jc w:val="both"/>
        <w:rPr>
          <w:rFonts w:ascii="Tahoma" w:hAnsi="Tahoma" w:cs="Tahoma"/>
          <w:b/>
          <w:color w:val="365F91" w:themeColor="accent1" w:themeShade="BF"/>
          <w:sz w:val="18"/>
          <w:szCs w:val="18"/>
          <w:u w:val="single"/>
          <w:lang w:val="fr-FR"/>
        </w:rPr>
      </w:pPr>
      <w:r>
        <w:rPr>
          <w:rFonts w:ascii="Tahoma" w:hAnsi="Tahoma" w:cs="Tahoma"/>
          <w:b/>
          <w:color w:val="365F91" w:themeColor="accent1" w:themeShade="BF"/>
          <w:sz w:val="18"/>
          <w:szCs w:val="18"/>
          <w:u w:val="single"/>
          <w:lang w:val="fr-FR"/>
        </w:rPr>
        <w:t>3.2. S</w:t>
      </w:r>
      <w:r w:rsidR="00882A06" w:rsidRPr="00F75554">
        <w:rPr>
          <w:rFonts w:ascii="Tahoma" w:hAnsi="Tahoma" w:cs="Tahoma"/>
          <w:b/>
          <w:color w:val="365F91" w:themeColor="accent1" w:themeShade="BF"/>
          <w:sz w:val="18"/>
          <w:szCs w:val="18"/>
          <w:u w:val="single"/>
          <w:lang w:val="fr-FR"/>
        </w:rPr>
        <w:t>ervices intellectuels</w:t>
      </w:r>
    </w:p>
    <w:p w14:paraId="2B0ED760" w14:textId="26477EAF"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E3548A">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73694E0C"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29E409D6"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2C5A2ABD"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A265FE4"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4D396F64"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2F7326B2"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des Livrables.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6FA04C8F"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73A5F83E"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41314AC0"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Si les Livrables attendus résultent de la fourniture d’une session de formation, et sous couvert que les matériels de formation ne soient pas la propriété du Conseil, le Prestataire octroie aux participants à la formation une licence non-exclusive pour le </w:t>
      </w:r>
      <w:r w:rsidRPr="009D264F">
        <w:rPr>
          <w:rFonts w:ascii="Tahoma" w:hAnsi="Tahoma" w:cs="Tahoma"/>
          <w:color w:val="000000" w:themeColor="text1"/>
          <w:sz w:val="18"/>
          <w:szCs w:val="18"/>
          <w:lang w:val="fr-FR"/>
        </w:rPr>
        <w:lastRenderedPageBreak/>
        <w:t>monde entier et pour la durée de validité de tout droit de propriété intellectuelle existant sur lesdits matériels, pour leur usage professionnel des matériels fournis par le formateur.</w:t>
      </w:r>
    </w:p>
    <w:p w14:paraId="1B0D74B4" w14:textId="77777777" w:rsidR="00882A06" w:rsidRPr="009D264F" w:rsidRDefault="00882A06" w:rsidP="00882A0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6E42E5C5" w14:textId="77777777" w:rsidR="00882A06" w:rsidRPr="00561E48" w:rsidRDefault="00882A06" w:rsidP="00882A06">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1775A23E" w14:textId="77777777" w:rsidR="00882A06" w:rsidRPr="009D264F" w:rsidRDefault="00882A06" w:rsidP="00882A0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16DDD8C0" w14:textId="77777777" w:rsidR="00882A06" w:rsidRPr="00561E48" w:rsidRDefault="00882A06" w:rsidP="00882A06">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57D10861" w14:textId="77777777" w:rsidR="00882A06" w:rsidRPr="00561E48" w:rsidRDefault="00882A06" w:rsidP="00512116">
      <w:pPr>
        <w:pStyle w:val="COEBullet"/>
        <w:numPr>
          <w:ilvl w:val="0"/>
          <w:numId w:val="16"/>
        </w:numPr>
        <w:tabs>
          <w:tab w:val="left" w:pos="284"/>
        </w:tabs>
        <w:spacing w:before="0" w:after="0"/>
        <w:ind w:left="851" w:hanging="425"/>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093B47C9" w14:textId="77777777" w:rsidR="00882A06" w:rsidRPr="00561E48" w:rsidRDefault="00882A06" w:rsidP="00512116">
      <w:pPr>
        <w:pStyle w:val="COEBullet"/>
        <w:numPr>
          <w:ilvl w:val="0"/>
          <w:numId w:val="16"/>
        </w:numPr>
        <w:tabs>
          <w:tab w:val="left" w:pos="284"/>
        </w:tabs>
        <w:spacing w:before="0" w:after="0"/>
        <w:ind w:left="851" w:hanging="425"/>
        <w:rPr>
          <w:rFonts w:ascii="Tahoma" w:hAnsi="Tahoma" w:cs="Tahoma"/>
          <w:sz w:val="18"/>
          <w:szCs w:val="18"/>
        </w:rPr>
      </w:pPr>
      <w:bookmarkStart w:id="5"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5"/>
    <w:p w14:paraId="423D95A1" w14:textId="77777777" w:rsidR="00882A06" w:rsidRPr="009D264F" w:rsidRDefault="00882A06" w:rsidP="00882A0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4FA21063" w14:textId="77777777" w:rsidR="00882A06" w:rsidRDefault="00882A06" w:rsidP="00882A06">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6" w:name="_Toc179868647"/>
    </w:p>
    <w:p w14:paraId="175B8A12" w14:textId="77777777" w:rsidR="00882A06" w:rsidRPr="009D264F" w:rsidRDefault="00882A06" w:rsidP="00882A06">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6"/>
    <w:p w14:paraId="2DCCA1CB" w14:textId="77777777" w:rsidR="00882A06" w:rsidRPr="009D264F" w:rsidRDefault="00882A06" w:rsidP="00882A0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1E67A6A4" w14:textId="77777777" w:rsidR="00882A06" w:rsidRPr="00561E48" w:rsidRDefault="00882A06" w:rsidP="00882A06">
      <w:pPr>
        <w:ind w:left="567" w:hanging="567"/>
        <w:jc w:val="both"/>
        <w:rPr>
          <w:rFonts w:ascii="Tahoma" w:hAnsi="Tahoma" w:cs="Tahoma"/>
          <w:sz w:val="18"/>
          <w:szCs w:val="18"/>
          <w:lang w:val="fr-FR"/>
        </w:rPr>
      </w:pPr>
      <w:proofErr w:type="gramStart"/>
      <w:r w:rsidRPr="00561E48">
        <w:rPr>
          <w:rFonts w:ascii="Tahoma" w:hAnsi="Tahoma" w:cs="Tahoma"/>
          <w:sz w:val="18"/>
          <w:szCs w:val="18"/>
          <w:lang w:val="fr-FR"/>
        </w:rPr>
        <w:t xml:space="preserve">3.6.1 </w:t>
      </w:r>
      <w:r>
        <w:rPr>
          <w:rFonts w:ascii="Tahoma" w:hAnsi="Tahoma" w:cs="Tahoma"/>
          <w:sz w:val="18"/>
          <w:szCs w:val="18"/>
          <w:lang w:val="fr-FR"/>
        </w:rPr>
        <w:t xml:space="preserve"> </w:t>
      </w:r>
      <w:r w:rsidRPr="00561E48">
        <w:rPr>
          <w:rFonts w:ascii="Tahoma" w:hAnsi="Tahoma" w:cs="Tahoma"/>
          <w:sz w:val="18"/>
          <w:szCs w:val="18"/>
          <w:lang w:val="fr-FR"/>
        </w:rPr>
        <w:t>Le</w:t>
      </w:r>
      <w:proofErr w:type="gramEnd"/>
      <w:r w:rsidRPr="00561E48">
        <w:rPr>
          <w:rFonts w:ascii="Tahoma" w:hAnsi="Tahoma" w:cs="Tahoma"/>
          <w:sz w:val="18"/>
          <w:szCs w:val="18"/>
          <w:lang w:val="fr-FR"/>
        </w:rPr>
        <w:t xml:space="preserv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09709668" w14:textId="77777777" w:rsidR="00882A06" w:rsidRPr="00561E48" w:rsidRDefault="00882A06" w:rsidP="00882A06">
      <w:pPr>
        <w:ind w:left="567" w:hanging="567"/>
        <w:jc w:val="both"/>
        <w:rPr>
          <w:rFonts w:ascii="Tahoma" w:hAnsi="Tahoma" w:cs="Tahoma"/>
          <w:sz w:val="18"/>
          <w:szCs w:val="18"/>
          <w:lang w:val="fr-FR"/>
        </w:rPr>
      </w:pPr>
      <w:proofErr w:type="gramStart"/>
      <w:r w:rsidRPr="00561E48">
        <w:rPr>
          <w:rFonts w:ascii="Tahoma" w:hAnsi="Tahoma" w:cs="Tahoma"/>
          <w:sz w:val="18"/>
          <w:szCs w:val="18"/>
          <w:lang w:val="fr-FR"/>
        </w:rPr>
        <w:t xml:space="preserve">3.6.2 </w:t>
      </w:r>
      <w:r>
        <w:rPr>
          <w:rFonts w:ascii="Tahoma" w:hAnsi="Tahoma" w:cs="Tahoma"/>
          <w:sz w:val="18"/>
          <w:szCs w:val="18"/>
          <w:lang w:val="fr-FR"/>
        </w:rPr>
        <w:t xml:space="preserve"> </w:t>
      </w:r>
      <w:r w:rsidRPr="00561E48">
        <w:rPr>
          <w:rFonts w:ascii="Tahoma" w:hAnsi="Tahoma" w:cs="Tahoma"/>
          <w:sz w:val="18"/>
          <w:szCs w:val="18"/>
          <w:lang w:val="fr-FR"/>
        </w:rPr>
        <w:t>En</w:t>
      </w:r>
      <w:proofErr w:type="gramEnd"/>
      <w:r w:rsidRPr="00561E48">
        <w:rPr>
          <w:rFonts w:ascii="Tahoma" w:hAnsi="Tahoma" w:cs="Tahoma"/>
          <w:sz w:val="18"/>
          <w:szCs w:val="18"/>
          <w:lang w:val="fr-FR"/>
        </w:rPr>
        <w:t xml:space="preserve"> tant que de besoin, le Conseil prendra les mesures spécifiques de confidentialité nécessaires pour préserver les intérêts vitaux du Prestataire.</w:t>
      </w:r>
    </w:p>
    <w:p w14:paraId="3F46C96E" w14:textId="77777777" w:rsidR="00882A06" w:rsidRPr="009D264F" w:rsidRDefault="00882A06" w:rsidP="00882A06">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19AA5CE7" w14:textId="77777777" w:rsidR="00882A06" w:rsidRPr="00561E48" w:rsidRDefault="00882A06" w:rsidP="00882A06">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37BAB886" w14:textId="77777777" w:rsidR="00882A06" w:rsidRPr="009D264F" w:rsidRDefault="00882A06" w:rsidP="00882A06">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4"/>
    <w:p w14:paraId="1145C5C6" w14:textId="77777777" w:rsidR="00882A06" w:rsidRPr="00561E48" w:rsidRDefault="00882A06" w:rsidP="00882A0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C0EF48" w14:textId="77777777" w:rsidR="00882A06" w:rsidRPr="00561E48" w:rsidRDefault="00882A06" w:rsidP="00882A0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50A87964" w14:textId="77777777" w:rsidR="00882A06" w:rsidRPr="009D264F"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A45E22B"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16027A98"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7825CD11"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5D38F9B0"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6DCFC028"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60BBBF6"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B36A8C2"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1AF4CC88"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Ne pas traiter ni transférer des données personnelles en dehors de la juridiction d’un État membre du Conseil de l’Europe sans l’autorisation préalable du Conseil et, sous réserve qu’un niveau adéquat de protection soit garanti par la loi ou par </w:t>
      </w:r>
      <w:r w:rsidRPr="009D264F">
        <w:rPr>
          <w:rFonts w:ascii="Tahoma" w:eastAsiaTheme="minorHAnsi" w:hAnsi="Tahoma" w:cs="Tahoma"/>
          <w:bCs/>
          <w:color w:val="000000" w:themeColor="text1"/>
          <w:sz w:val="18"/>
          <w:szCs w:val="18"/>
          <w:lang w:val="fr-FR"/>
        </w:rPr>
        <w:lastRenderedPageBreak/>
        <w:t>des garanties ad hoc ou standardisées agréées (par exemple, des règles contraignantes d’entreprises) dans la juridiction du destinataire ;</w:t>
      </w:r>
    </w:p>
    <w:p w14:paraId="3C573DC5"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79E98987" w14:textId="77777777" w:rsidR="00882A06" w:rsidRPr="009D264F"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0F4DED84" w14:textId="77777777" w:rsidR="00882A06" w:rsidRPr="009D264F" w:rsidRDefault="00882A06" w:rsidP="00882A06">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3B9DA2F7" w14:textId="77777777" w:rsidR="00882A06" w:rsidRPr="00561E48" w:rsidRDefault="00882A06" w:rsidP="00882A06">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2981B88C" w14:textId="77777777" w:rsidR="00882A06" w:rsidRPr="00561E48" w:rsidRDefault="00882A06" w:rsidP="00882A06">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70918C07" w14:textId="77777777" w:rsidR="00882A06" w:rsidRPr="00561E48" w:rsidRDefault="00882A06" w:rsidP="00882A06">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1AB5D916" w14:textId="77777777" w:rsidR="00882A06" w:rsidRPr="009D264F" w:rsidRDefault="00882A06" w:rsidP="00882A06">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4D55F416" w14:textId="77777777"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7581DAB0" w14:textId="77777777"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158C5797" w14:textId="2A4B8759" w:rsidR="00882A06" w:rsidRPr="00512116" w:rsidRDefault="00882A06" w:rsidP="00512116">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4408F241"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6427C82" w14:textId="77777777" w:rsidR="00882A06" w:rsidRPr="009D264F" w:rsidRDefault="00882A06" w:rsidP="00882A06">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5FAF5959" w14:textId="106FC0FE"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512116">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6503882B" w14:textId="7DFDE60F"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4.1.2 </w:t>
      </w:r>
      <w:r w:rsidR="00512116">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538BB57B" w14:textId="43826F8A"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w:t>
      </w:r>
      <w:r w:rsidR="00512116">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En contrepartie de l’exécution par le Prestataire de ses obligations au titre du bon de commande, le Conseil s’engage à lui verser les honoraires indiqués en Euros (sauf accord contraire entre les parties) tels qu’indiqués sur le bon de commande pertinent.</w:t>
      </w:r>
    </w:p>
    <w:p w14:paraId="31BE240C" w14:textId="7BF6BB75"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4.1.4 </w:t>
      </w:r>
      <w:r w:rsidR="00512116">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Les montants indiqués dans le présent Contrat et dans chaque bon de commande sont finaux et ne sont pas sujet à révision.</w:t>
      </w:r>
    </w:p>
    <w:p w14:paraId="6679BD91" w14:textId="77777777" w:rsidR="00882A06" w:rsidRPr="009D264F" w:rsidRDefault="00882A06" w:rsidP="00882A06">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676A6261" w14:textId="015A302C"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w:t>
      </w:r>
      <w:r w:rsidR="00512116">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74D02FE" w14:textId="79E5D646"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w:t>
      </w:r>
      <w:r w:rsidR="00512116">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6078CFB8" w14:textId="3AD0DE1D"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512116">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15C5B304" w14:textId="6BBFDEBD"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w:t>
      </w:r>
      <w:r w:rsidR="00512116">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5C716CE1" w14:textId="69F4B490"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w:t>
      </w:r>
      <w:r w:rsidR="00512116">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066AD812" w14:textId="77777777" w:rsidR="00882A06" w:rsidRPr="009D264F" w:rsidRDefault="00882A06" w:rsidP="00882A06">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BEFE655" w14:textId="6FB0BAA1" w:rsidR="00882A06" w:rsidRPr="00561E48" w:rsidRDefault="00882A06" w:rsidP="00882A06">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w:t>
      </w:r>
      <w:r w:rsidR="00512116">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Pour chaque bon de commande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4D6422C5" w14:textId="77777777" w:rsidR="00882A06" w:rsidRPr="00561E48" w:rsidRDefault="00882A06" w:rsidP="00882A06">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4.3.2 Avant d’accepter les livrable(s) ou service(s), le Conseil se réserve le droit de demander au Prestataire de soumettre tout document ou toute information pouvant permettre d’établir que le Contrat a été dûment exécuté.</w:t>
      </w:r>
    </w:p>
    <w:p w14:paraId="1596BBE2" w14:textId="77777777" w:rsidR="00882A06" w:rsidRPr="00561E48" w:rsidRDefault="00882A06" w:rsidP="00882A06">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52B2782F" w14:textId="45447E5E"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512116">
        <w:rPr>
          <w:rFonts w:ascii="Tahoma" w:hAnsi="Tahoma" w:cs="Tahoma"/>
          <w:sz w:val="18"/>
          <w:szCs w:val="18"/>
          <w:lang w:val="fr-FR"/>
        </w:rPr>
        <w:tab/>
      </w:r>
      <w:r w:rsidRPr="00561E48">
        <w:rPr>
          <w:rFonts w:ascii="Tahoma" w:hAnsi="Tahoma" w:cs="Tahoma"/>
          <w:sz w:val="18"/>
          <w:szCs w:val="18"/>
          <w:lang w:val="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23B98DED" w14:textId="4CF3EFD4"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 xml:space="preserve">4.3.5 </w:t>
      </w:r>
      <w:r w:rsidR="00512116">
        <w:rPr>
          <w:rFonts w:ascii="Tahoma" w:hAnsi="Tahoma" w:cs="Tahoma"/>
          <w:sz w:val="18"/>
          <w:szCs w:val="18"/>
          <w:lang w:val="fr-FR"/>
        </w:rPr>
        <w:tab/>
      </w:r>
      <w:r w:rsidRPr="00561E48">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20867153" w14:textId="77777777" w:rsidR="00882A06" w:rsidRPr="009D264F" w:rsidRDefault="00882A06" w:rsidP="00882A06">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0B647C7" w14:textId="03B835C8" w:rsidR="00882A06" w:rsidRPr="00561E48" w:rsidRDefault="00882A06" w:rsidP="00882A06">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512116">
        <w:rPr>
          <w:rFonts w:ascii="Tahoma" w:hAnsi="Tahoma" w:cs="Tahoma"/>
          <w:sz w:val="18"/>
          <w:szCs w:val="18"/>
          <w:lang w:val="fr-FR"/>
        </w:rPr>
        <w:tab/>
      </w:r>
      <w:r w:rsidRPr="00561E48">
        <w:rPr>
          <w:rFonts w:ascii="Tahoma" w:hAnsi="Tahoma" w:cs="Tahoma"/>
          <w:sz w:val="18"/>
          <w:szCs w:val="18"/>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Pr>
          <w:rFonts w:ascii="Tahoma" w:hAnsi="Tahoma" w:cs="Tahoma"/>
          <w:sz w:val="18"/>
          <w:szCs w:val="18"/>
          <w:lang w:val="fr-FR"/>
        </w:rPr>
        <w:t>.</w:t>
      </w:r>
      <w:r w:rsidRPr="00561E48">
        <w:rPr>
          <w:rStyle w:val="FootnoteReference"/>
          <w:rFonts w:ascii="Tahoma" w:hAnsi="Tahoma" w:cs="Tahoma"/>
          <w:sz w:val="18"/>
          <w:szCs w:val="18"/>
          <w:lang w:val="fr-FR"/>
        </w:rPr>
        <w:footnoteReference w:id="3"/>
      </w:r>
    </w:p>
    <w:p w14:paraId="4BEC9A33" w14:textId="7FE4B31C" w:rsidR="00882A06" w:rsidRPr="00561E48" w:rsidRDefault="00882A06" w:rsidP="00882A06">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 xml:space="preserve">4.4.2 </w:t>
      </w:r>
      <w:r w:rsidR="00512116">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4EE46880" w14:textId="62A8C6EF" w:rsidR="00882A06" w:rsidRPr="00561E48" w:rsidRDefault="00882A06" w:rsidP="00882A06">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lastRenderedPageBreak/>
        <w:t xml:space="preserve">4.4.3 </w:t>
      </w:r>
      <w:r w:rsidR="00512116">
        <w:rPr>
          <w:rFonts w:ascii="Tahoma" w:hAnsi="Tahoma" w:cs="Tahoma"/>
          <w:b w:val="0"/>
          <w:color w:val="000000"/>
          <w:sz w:val="18"/>
          <w:szCs w:val="18"/>
        </w:rPr>
        <w:tab/>
      </w:r>
      <w:r w:rsidRPr="00561E48">
        <w:rPr>
          <w:rFonts w:ascii="Tahoma" w:hAnsi="Tahoma" w:cs="Tahoma"/>
          <w:b w:val="0"/>
          <w:color w:val="000000"/>
          <w:sz w:val="18"/>
          <w:szCs w:val="18"/>
        </w:rPr>
        <w:t xml:space="preserve">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B89C567"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2"/>
      <w:r w:rsidRPr="00561E48">
        <w:rPr>
          <w:rFonts w:ascii="Tahoma" w:hAnsi="Tahoma" w:cs="Tahoma"/>
          <w:b/>
          <w:smallCaps/>
          <w:color w:val="365F91" w:themeColor="accent1" w:themeShade="BF"/>
          <w:sz w:val="18"/>
          <w:szCs w:val="18"/>
          <w:lang w:val="fr-FR" w:eastAsia="fr-FR"/>
        </w:rPr>
        <w:t>Article 5 – Rupture du Contrat</w:t>
      </w:r>
      <w:bookmarkEnd w:id="7"/>
    </w:p>
    <w:p w14:paraId="5F66BE28" w14:textId="43B06F40"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 xml:space="preserve">5.1 </w:t>
      </w:r>
      <w:r w:rsidR="00512116">
        <w:rPr>
          <w:rFonts w:ascii="Tahoma" w:hAnsi="Tahoma" w:cs="Tahoma"/>
          <w:sz w:val="18"/>
          <w:szCs w:val="18"/>
          <w:lang w:val="fr-FR"/>
        </w:rPr>
        <w:tab/>
      </w:r>
      <w:r w:rsidRPr="00561E48">
        <w:rPr>
          <w:rFonts w:ascii="Tahoma" w:hAnsi="Tahoma" w:cs="Tahoma"/>
          <w:sz w:val="18"/>
          <w:szCs w:val="18"/>
          <w:lang w:val="fr-FR"/>
        </w:rPr>
        <w:t>Si le Prestataire ne satisfait pas aux conditions stipulées dans le présent Contrat ou à celles découlant de tout avenant écrit accepté par les deux parties, conformément aux dispositions de l’article 6 ci-après, ou s’il assure une prestation de services d’un niveau non satisfaisant, le Conseil estimera qu’il s’agit d’une rupture de contrat et pourra en conséquence refuser de verser en tout ou partie les honoraires et de régler les frais stipulés à l’article 4.1 ci-dessus.</w:t>
      </w:r>
    </w:p>
    <w:p w14:paraId="0399F826" w14:textId="29E7FBB7" w:rsidR="00882A06" w:rsidRPr="00561E48" w:rsidRDefault="00882A06" w:rsidP="00882A0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512116">
        <w:rPr>
          <w:rFonts w:ascii="Tahoma" w:hAnsi="Tahoma" w:cs="Tahoma"/>
          <w:sz w:val="18"/>
          <w:szCs w:val="18"/>
          <w:lang w:val="fr-FR"/>
        </w:rPr>
        <w:tab/>
      </w:r>
      <w:r w:rsidRPr="00561E48">
        <w:rPr>
          <w:rFonts w:ascii="Tahoma" w:hAnsi="Tahoma" w:cs="Tahoma"/>
          <w:sz w:val="18"/>
          <w:szCs w:val="18"/>
          <w:lang w:val="fr-FR"/>
        </w:rPr>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44D187B2" w14:textId="226C2584"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512116">
        <w:rPr>
          <w:rFonts w:ascii="Tahoma" w:hAnsi="Tahoma" w:cs="Tahoma"/>
          <w:sz w:val="18"/>
          <w:szCs w:val="18"/>
          <w:lang w:val="fr-FR"/>
        </w:rPr>
        <w:tab/>
      </w:r>
      <w:r w:rsidRPr="00561E48">
        <w:rPr>
          <w:rFonts w:ascii="Tahoma" w:hAnsi="Tahoma" w:cs="Tahoma"/>
          <w:sz w:val="18"/>
          <w:szCs w:val="18"/>
          <w:lang w:val="fr-FR"/>
        </w:rPr>
        <w:t>Les montants restant dus doivent être versés sur le compte bancaire du Conseil dans les 60 (soixante) jours calendaires suivant l’envoi par le Conseil d’une notification écrite au Prestataire concernant ces montants.</w:t>
      </w:r>
    </w:p>
    <w:p w14:paraId="354F92DA"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3"/>
      <w:bookmarkStart w:id="9" w:name="_Toc179868654"/>
      <w:r w:rsidRPr="00561E48">
        <w:rPr>
          <w:rFonts w:ascii="Tahoma" w:hAnsi="Tahoma" w:cs="Tahoma"/>
          <w:b/>
          <w:smallCaps/>
          <w:color w:val="365F91" w:themeColor="accent1" w:themeShade="BF"/>
          <w:sz w:val="18"/>
          <w:szCs w:val="18"/>
          <w:lang w:val="fr-FR" w:eastAsia="fr-FR"/>
        </w:rPr>
        <w:t>Article 6 - Modifications</w:t>
      </w:r>
      <w:bookmarkEnd w:id="8"/>
      <w:r w:rsidRPr="00561E48">
        <w:rPr>
          <w:rFonts w:ascii="Tahoma" w:hAnsi="Tahoma" w:cs="Tahoma"/>
          <w:b/>
          <w:smallCaps/>
          <w:color w:val="365F91" w:themeColor="accent1" w:themeShade="BF"/>
          <w:sz w:val="18"/>
          <w:szCs w:val="18"/>
          <w:lang w:val="fr-FR" w:eastAsia="fr-FR"/>
        </w:rPr>
        <w:t xml:space="preserve"> </w:t>
      </w:r>
    </w:p>
    <w:p w14:paraId="48C19135" w14:textId="16FA7BCD" w:rsidR="00882A06" w:rsidRPr="00561E48" w:rsidRDefault="00882A06" w:rsidP="002236AE">
      <w:pPr>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512116">
        <w:rPr>
          <w:rFonts w:ascii="Tahoma" w:hAnsi="Tahoma" w:cs="Tahoma"/>
          <w:sz w:val="18"/>
          <w:szCs w:val="18"/>
          <w:lang w:val="fr-FR"/>
        </w:rPr>
        <w:tab/>
      </w:r>
      <w:r w:rsidRPr="00561E48">
        <w:rPr>
          <w:rFonts w:ascii="Tahoma" w:hAnsi="Tahoma" w:cs="Tahoma"/>
          <w:sz w:val="18"/>
          <w:szCs w:val="18"/>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44EC7A31" w14:textId="5D86C9D9" w:rsidR="00882A06" w:rsidRPr="00561E48" w:rsidRDefault="00882A06" w:rsidP="002236AE">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512116">
        <w:rPr>
          <w:rFonts w:ascii="Tahoma" w:hAnsi="Tahoma" w:cs="Tahoma"/>
          <w:sz w:val="18"/>
          <w:szCs w:val="18"/>
          <w:lang w:val="fr-FR"/>
        </w:rPr>
        <w:tab/>
      </w:r>
      <w:r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3F187EC5" w14:textId="253CF300"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512116">
        <w:rPr>
          <w:rFonts w:ascii="Tahoma" w:hAnsi="Tahoma" w:cs="Tahoma"/>
          <w:color w:val="000000"/>
          <w:sz w:val="18"/>
          <w:szCs w:val="18"/>
          <w:lang w:val="fr-FR"/>
        </w:rPr>
        <w:tab/>
      </w:r>
      <w:r w:rsidRPr="00561E48">
        <w:rPr>
          <w:rFonts w:ascii="Tahoma" w:hAnsi="Tahoma" w:cs="Tahoma"/>
          <w:color w:val="000000"/>
          <w:sz w:val="18"/>
          <w:szCs w:val="18"/>
          <w:lang w:val="fr-FR"/>
        </w:rPr>
        <w:t>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9C424A8" w14:textId="2E430E42"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bookmarkStart w:id="10" w:name="_Hlk31293851"/>
      <w:r w:rsidR="00512116">
        <w:rPr>
          <w:rFonts w:ascii="Tahoma" w:hAnsi="Tahoma" w:cs="Tahoma"/>
          <w:sz w:val="18"/>
          <w:szCs w:val="18"/>
          <w:lang w:val="fr-FR"/>
        </w:rPr>
        <w:tab/>
      </w:r>
      <w:r w:rsidRPr="00561E48">
        <w:rPr>
          <w:rFonts w:ascii="Tahoma" w:hAnsi="Tahoma" w:cs="Tahoma"/>
          <w:sz w:val="18"/>
          <w:szCs w:val="18"/>
          <w:lang w:val="fr-FR"/>
        </w:rPr>
        <w:t>Le prestataire ne peut sous-traiter tout ou partie des services sans l’autorisation écrite préalable du Conseil.</w:t>
      </w:r>
      <w:bookmarkEnd w:id="10"/>
    </w:p>
    <w:p w14:paraId="64BF19BF"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9"/>
      <w:r w:rsidRPr="00561E48">
        <w:rPr>
          <w:rFonts w:ascii="Tahoma" w:hAnsi="Tahoma" w:cs="Tahoma"/>
          <w:b/>
          <w:smallCaps/>
          <w:color w:val="365F91" w:themeColor="accent1" w:themeShade="BF"/>
          <w:sz w:val="18"/>
          <w:szCs w:val="18"/>
          <w:lang w:val="fr-FR"/>
        </w:rPr>
        <w:t>Cas de force majeure</w:t>
      </w:r>
    </w:p>
    <w:p w14:paraId="124B90A0" w14:textId="1603A77C" w:rsidR="00882A06" w:rsidRPr="00561E48" w:rsidRDefault="00882A06" w:rsidP="00882A0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512116">
        <w:rPr>
          <w:rFonts w:ascii="Tahoma" w:hAnsi="Tahoma" w:cs="Tahoma"/>
          <w:sz w:val="18"/>
          <w:szCs w:val="18"/>
          <w:lang w:val="fr-FR"/>
        </w:rPr>
        <w:tab/>
      </w:r>
      <w:r w:rsidRPr="00561E48">
        <w:rPr>
          <w:rFonts w:ascii="Tahoma" w:hAnsi="Tahoma" w:cs="Tahoma"/>
          <w:sz w:val="18"/>
          <w:szCs w:val="18"/>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77F8149A" w14:textId="2993612C"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512116">
        <w:rPr>
          <w:rFonts w:ascii="Tahoma" w:hAnsi="Tahoma" w:cs="Tahoma"/>
          <w:sz w:val="18"/>
          <w:szCs w:val="18"/>
          <w:lang w:val="fr-FR"/>
        </w:rPr>
        <w:tab/>
      </w:r>
      <w:r w:rsidRPr="00561E48">
        <w:rPr>
          <w:rFonts w:ascii="Tahoma" w:hAnsi="Tahoma" w:cs="Tahoma"/>
          <w:sz w:val="18"/>
          <w:szCs w:val="18"/>
          <w:lang w:val="fr-FR"/>
        </w:rPr>
        <w:t xml:space="preserve">S’il se produit un cas de force majeure, chaque Partie devra le notifier à l’autre par écrit, dans </w:t>
      </w:r>
      <w:proofErr w:type="gramStart"/>
      <w:r w:rsidRPr="00561E48">
        <w:rPr>
          <w:rFonts w:ascii="Tahoma" w:hAnsi="Tahoma" w:cs="Tahoma"/>
          <w:sz w:val="18"/>
          <w:szCs w:val="18"/>
          <w:lang w:val="fr-FR"/>
        </w:rPr>
        <w:t>un délai de 7 jours calendaires</w:t>
      </w:r>
      <w:proofErr w:type="gramEnd"/>
      <w:r w:rsidRPr="00561E48">
        <w:rPr>
          <w:rFonts w:ascii="Tahoma" w:hAnsi="Tahoma" w:cs="Tahoma"/>
          <w:sz w:val="18"/>
          <w:szCs w:val="18"/>
          <w:lang w:val="fr-FR"/>
        </w:rPr>
        <w:t>.</w:t>
      </w:r>
    </w:p>
    <w:p w14:paraId="033B46EB"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1"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141C594D" w14:textId="0D163F9F" w:rsidR="00882A06" w:rsidRPr="00561E48" w:rsidRDefault="00882A06" w:rsidP="00882A0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8.1 </w:t>
      </w:r>
      <w:r w:rsidR="00512116">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1E9A8DBC" w14:textId="12CAE740" w:rsidR="00882A06" w:rsidRPr="00561E48" w:rsidRDefault="00882A06" w:rsidP="00882A0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8.2 </w:t>
      </w:r>
      <w:r w:rsidR="00512116">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2A3C169A" w14:textId="45596D82" w:rsidR="00882A06" w:rsidRPr="00561E48" w:rsidRDefault="00882A06" w:rsidP="00882A0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512116">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effectuée au jour de sa réception par la Partie destinataire, sauf si le Contrat fait référence à sa date d’envoi.</w:t>
      </w:r>
    </w:p>
    <w:p w14:paraId="5E3BD95A" w14:textId="4A01E275" w:rsidR="00882A06" w:rsidRPr="00561E48" w:rsidRDefault="00882A06" w:rsidP="00882A0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w:t>
      </w:r>
      <w:r w:rsidR="00512116">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390E2F82" w14:textId="0C3AE222" w:rsidR="00882A06" w:rsidRPr="00561E48" w:rsidRDefault="00882A06" w:rsidP="00882A0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8.5 </w:t>
      </w:r>
      <w:r w:rsidR="00512116">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70415196" w14:textId="1FBC0C91" w:rsidR="00882A06" w:rsidRPr="00561E48" w:rsidRDefault="00882A06" w:rsidP="00882A0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8.6 </w:t>
      </w:r>
      <w:r w:rsidR="00512116">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4E3CCA6" w14:textId="77777777" w:rsidR="00882A06" w:rsidRPr="00561E48" w:rsidRDefault="00882A06" w:rsidP="00882A06">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022EB807" w14:textId="77777777" w:rsidR="00882A06" w:rsidRPr="00561E48" w:rsidRDefault="00882A06" w:rsidP="00882A06">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55568F1A"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 Changement de circonstances ou de situation du Prestataire</w:t>
      </w:r>
    </w:p>
    <w:p w14:paraId="74BCB8E1" w14:textId="37570087" w:rsidR="00882A06" w:rsidRPr="00561E48" w:rsidRDefault="00882A06" w:rsidP="00882A0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10.1 </w:t>
      </w:r>
      <w:r w:rsidR="00512116">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immédiatement le Conseil de tout changement dans son adresse ou dans son domicile légal.</w:t>
      </w:r>
    </w:p>
    <w:p w14:paraId="070D77D1" w14:textId="77777777" w:rsidR="00882A06" w:rsidRPr="00561E48" w:rsidRDefault="00882A06" w:rsidP="00882A0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 xml:space="preserve">Le Prestataire informe également sans tarder le </w:t>
      </w:r>
      <w:proofErr w:type="gramStart"/>
      <w:r w:rsidRPr="00561E48">
        <w:rPr>
          <w:rFonts w:ascii="Tahoma" w:hAnsi="Tahoma" w:cs="Tahoma"/>
          <w:color w:val="000000" w:themeColor="text1"/>
          <w:sz w:val="18"/>
          <w:szCs w:val="18"/>
          <w:lang w:val="fr-FR"/>
        </w:rPr>
        <w:t>Conseil:</w:t>
      </w:r>
      <w:proofErr w:type="gramEnd"/>
    </w:p>
    <w:p w14:paraId="2ABA4BF1"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48002D2C"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49D1DBE8"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12EE34D7"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p>
    <w:p w14:paraId="576DE29D"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D9B77F4"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p>
    <w:p w14:paraId="40559A17" w14:textId="08F31EDF" w:rsidR="00882A06"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r w:rsidR="00095906">
        <w:rPr>
          <w:rFonts w:ascii="Tahoma" w:hAnsi="Tahoma" w:cs="Tahoma"/>
          <w:color w:val="000000" w:themeColor="text1"/>
          <w:sz w:val="18"/>
          <w:szCs w:val="18"/>
          <w:lang w:val="fr-FR"/>
        </w:rPr>
        <w:t> ;</w:t>
      </w:r>
    </w:p>
    <w:p w14:paraId="71F3FF17" w14:textId="70A9AC11" w:rsidR="00095906" w:rsidRPr="00561E48" w:rsidRDefault="000959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095906">
        <w:rPr>
          <w:rFonts w:ascii="Tahoma" w:hAnsi="Tahoma" w:cs="Tahoma"/>
          <w:color w:val="000000" w:themeColor="text1"/>
          <w:sz w:val="18"/>
          <w:szCs w:val="18"/>
          <w:lang w:val="fr-FR"/>
        </w:rPr>
        <w:t>s’il</w:t>
      </w:r>
      <w:proofErr w:type="gramEnd"/>
      <w:r w:rsidRPr="00095906">
        <w:rPr>
          <w:rFonts w:ascii="Tahoma" w:hAnsi="Tahoma" w:cs="Tahoma"/>
          <w:color w:val="000000" w:themeColor="text1"/>
          <w:sz w:val="18"/>
          <w:szCs w:val="18"/>
          <w:lang w:val="fr-FR"/>
        </w:rPr>
        <w:t xml:space="preserve"> est ou leur(s) propriétaire(s) ou cadre(s) supérieur(s), dans le cas de personnes morales, inclus dans les listes des personnes ou entités sujettes aux mesures restrictives appliquées par l’Union Européenne (disponible sur www.sanctionsmap.eu).</w:t>
      </w:r>
    </w:p>
    <w:p w14:paraId="2F054504"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11"/>
      <w:r w:rsidRPr="00561E48">
        <w:rPr>
          <w:rFonts w:ascii="Tahoma" w:hAnsi="Tahoma" w:cs="Tahoma"/>
          <w:b/>
          <w:smallCaps/>
          <w:color w:val="365F91" w:themeColor="accent1" w:themeShade="BF"/>
          <w:sz w:val="18"/>
          <w:szCs w:val="18"/>
          <w:lang w:val="fr-FR" w:eastAsia="fr-FR"/>
        </w:rPr>
        <w:t xml:space="preserve">Litiges </w:t>
      </w:r>
    </w:p>
    <w:p w14:paraId="78356A10" w14:textId="77777777" w:rsidR="00882A06" w:rsidRPr="00561E48" w:rsidRDefault="00882A06" w:rsidP="00512116">
      <w:pPr>
        <w:tabs>
          <w:tab w:val="left" w:pos="567"/>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lastRenderedPageBreak/>
        <w:t>11.1 Tout litige relatif à l'exécution ou à l'application de ce Contrat sera soumis, à défaut de règlement amiable entre les parties, à la décision d'une commission arbitrale</w:t>
      </w:r>
    </w:p>
    <w:p w14:paraId="3432F02F" w14:textId="77777777" w:rsidR="00882A06" w:rsidRPr="00561E48" w:rsidRDefault="00882A06" w:rsidP="00512116">
      <w:pPr>
        <w:tabs>
          <w:tab w:val="left" w:pos="567"/>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La </w:t>
      </w:r>
      <w:r w:rsidRPr="00561E48">
        <w:rPr>
          <w:rFonts w:ascii="Tahoma" w:hAnsi="Tahoma" w:cs="Tahoma"/>
          <w:sz w:val="18"/>
          <w:szCs w:val="18"/>
          <w:lang w:val="fr-FR"/>
        </w:rPr>
        <w:t xml:space="preserve">commission arbitrale composée de deux arbitres choisis chacun par l'une des parties et d'un surarbitre désigné par les deux </w:t>
      </w:r>
      <w:proofErr w:type="gramStart"/>
      <w:r w:rsidRPr="00561E48">
        <w:rPr>
          <w:rFonts w:ascii="Tahoma" w:hAnsi="Tahoma" w:cs="Tahoma"/>
          <w:sz w:val="18"/>
          <w:szCs w:val="18"/>
          <w:lang w:val="fr-FR"/>
        </w:rPr>
        <w:t>arbitres;</w:t>
      </w:r>
      <w:proofErr w:type="gramEnd"/>
      <w:r w:rsidRPr="00561E48">
        <w:rPr>
          <w:rFonts w:ascii="Tahoma" w:hAnsi="Tahoma" w:cs="Tahoma"/>
          <w:sz w:val="18"/>
          <w:szCs w:val="18"/>
          <w:lang w:val="fr-FR"/>
        </w:rPr>
        <w:t xml:space="preserve"> dans le cas où il ne serait pas procédé à la désignation du surarbitre dans les conditions prévues ci-dessus dans un délai de six mois, le Président du Tribunal de Grande Instance de Strasbourg procédera à cette désignation.</w:t>
      </w:r>
    </w:p>
    <w:p w14:paraId="21350508" w14:textId="77777777" w:rsidR="00882A06" w:rsidRPr="00561E48" w:rsidRDefault="00882A06" w:rsidP="00512116">
      <w:pPr>
        <w:pStyle w:val="Default"/>
        <w:tabs>
          <w:tab w:val="left" w:pos="567"/>
        </w:tabs>
        <w:ind w:left="567" w:hanging="567"/>
        <w:jc w:val="both"/>
        <w:rPr>
          <w:rFonts w:ascii="Tahoma" w:hAnsi="Tahoma" w:cs="Tahoma"/>
          <w:sz w:val="18"/>
          <w:szCs w:val="18"/>
          <w:lang w:val="fr-FR"/>
        </w:rPr>
      </w:pPr>
      <w:r w:rsidRPr="00561E48">
        <w:rPr>
          <w:rFonts w:ascii="Tahoma" w:hAnsi="Tahoma" w:cs="Tahoma"/>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0A0EC21A" w14:textId="77777777" w:rsidR="00882A06" w:rsidRPr="00561E48" w:rsidRDefault="00882A06" w:rsidP="00512116">
      <w:pPr>
        <w:pStyle w:val="Default"/>
        <w:tabs>
          <w:tab w:val="left" w:pos="567"/>
        </w:tabs>
        <w:ind w:left="567" w:hanging="567"/>
        <w:jc w:val="both"/>
        <w:rPr>
          <w:rFonts w:ascii="Tahoma" w:hAnsi="Tahoma" w:cs="Tahoma"/>
          <w:sz w:val="18"/>
          <w:szCs w:val="18"/>
          <w:lang w:val="fr-FR"/>
        </w:rPr>
      </w:pPr>
      <w:r w:rsidRPr="00561E48">
        <w:rPr>
          <w:rFonts w:ascii="Tahoma" w:hAnsi="Tahoma" w:cs="Tahoma"/>
          <w:sz w:val="18"/>
          <w:szCs w:val="18"/>
          <w:lang w:val="fr-FR"/>
        </w:rPr>
        <w:t xml:space="preserve">11.4 La commission visée à l’alinéa 2 de cet article ou, le cas échéant, l'arbitre visé à l'alinéa 3 fixera la procédure à suivre. </w:t>
      </w:r>
    </w:p>
    <w:p w14:paraId="733909C7" w14:textId="77777777" w:rsidR="00882A06" w:rsidRPr="00561E48" w:rsidRDefault="00882A06" w:rsidP="00512116">
      <w:pPr>
        <w:pStyle w:val="Default"/>
        <w:tabs>
          <w:tab w:val="left" w:pos="567"/>
        </w:tabs>
        <w:ind w:left="567" w:hanging="567"/>
        <w:jc w:val="both"/>
        <w:rPr>
          <w:rFonts w:ascii="Tahoma" w:hAnsi="Tahoma" w:cs="Tahoma"/>
          <w:sz w:val="18"/>
          <w:szCs w:val="18"/>
          <w:lang w:val="fr-FR"/>
        </w:rPr>
      </w:pPr>
      <w:r w:rsidRPr="00561E48">
        <w:rPr>
          <w:rFonts w:ascii="Tahoma" w:hAnsi="Tahoma" w:cs="Tahoma"/>
          <w:sz w:val="18"/>
          <w:szCs w:val="18"/>
          <w:lang w:val="fr-FR"/>
        </w:rPr>
        <w:t xml:space="preserve">11.5 A défaut d'accord entre les parties quant au droit applicable, la Commission ou, le cas échéant, l'arbitre statuera </w:t>
      </w:r>
      <w:r w:rsidRPr="00561E48">
        <w:rPr>
          <w:rFonts w:ascii="Tahoma" w:hAnsi="Tahoma" w:cs="Tahoma"/>
          <w:i/>
          <w:iCs/>
          <w:sz w:val="18"/>
          <w:szCs w:val="18"/>
          <w:lang w:val="fr-FR"/>
        </w:rPr>
        <w:t xml:space="preserve">ex aequo et </w:t>
      </w:r>
      <w:proofErr w:type="spellStart"/>
      <w:r w:rsidRPr="00561E48">
        <w:rPr>
          <w:rFonts w:ascii="Tahoma" w:hAnsi="Tahoma" w:cs="Tahoma"/>
          <w:i/>
          <w:iCs/>
          <w:sz w:val="18"/>
          <w:szCs w:val="18"/>
          <w:lang w:val="fr-FR"/>
        </w:rPr>
        <w:t>bono</w:t>
      </w:r>
      <w:proofErr w:type="spellEnd"/>
      <w:r w:rsidRPr="00561E48">
        <w:rPr>
          <w:rFonts w:ascii="Tahoma" w:hAnsi="Tahoma" w:cs="Tahoma"/>
          <w:sz w:val="18"/>
          <w:szCs w:val="18"/>
          <w:lang w:val="fr-FR"/>
        </w:rPr>
        <w:t>, compte tenu des principes généraux du droit ainsi que des usages du commerce.</w:t>
      </w:r>
    </w:p>
    <w:p w14:paraId="6E39092E" w14:textId="77777777" w:rsidR="00882A06" w:rsidRPr="00561E48" w:rsidRDefault="00882A06" w:rsidP="00512116">
      <w:pPr>
        <w:tabs>
          <w:tab w:val="left" w:pos="567"/>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11.6 La décision arbitrale n'est susceptible d'aucun recours et lie les parties.</w:t>
      </w:r>
    </w:p>
    <w:p w14:paraId="1D222D83"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12" w:name="_Toc179868656"/>
      <w:r w:rsidRPr="00561E48">
        <w:rPr>
          <w:rFonts w:ascii="Tahoma" w:hAnsi="Tahoma" w:cs="Tahoma"/>
          <w:b/>
          <w:smallCaps/>
          <w:color w:val="365F91" w:themeColor="accent1" w:themeShade="BF"/>
          <w:sz w:val="18"/>
          <w:szCs w:val="18"/>
          <w:lang w:val="fr-FR" w:eastAsia="fr-FR"/>
        </w:rPr>
        <w:t xml:space="preserve">Article 12 – </w:t>
      </w:r>
      <w:bookmarkEnd w:id="12"/>
      <w:r w:rsidRPr="00561E48">
        <w:rPr>
          <w:rFonts w:ascii="Tahoma" w:hAnsi="Tahoma" w:cs="Tahoma"/>
          <w:b/>
          <w:smallCaps/>
          <w:color w:val="365F91" w:themeColor="accent1" w:themeShade="BF"/>
          <w:sz w:val="18"/>
          <w:szCs w:val="18"/>
          <w:lang w:val="fr-FR"/>
        </w:rPr>
        <w:t>Coordonnées bancaires des parties</w:t>
      </w:r>
    </w:p>
    <w:p w14:paraId="4338C18C" w14:textId="77777777" w:rsidR="00882A06" w:rsidRPr="00561E48" w:rsidRDefault="00882A06" w:rsidP="00882A06">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7365F238" w14:textId="77777777" w:rsidR="00882A06" w:rsidRPr="00561E48" w:rsidRDefault="00882A06" w:rsidP="00882A06">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290A50CC" w14:textId="77777777" w:rsidR="00882A06" w:rsidRPr="00561E48" w:rsidRDefault="00882A06" w:rsidP="00882A06">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0BCA5EBB" w14:textId="77777777" w:rsidR="00882A06" w:rsidRPr="00561E48" w:rsidRDefault="00882A06" w:rsidP="00882A06">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04601CFA" w14:textId="623D26F0" w:rsidR="0072200B" w:rsidRPr="00882A06" w:rsidRDefault="00882A06" w:rsidP="00882A06">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p>
    <w:sectPr w:rsidR="0072200B" w:rsidRPr="00882A06" w:rsidSect="00882A06">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489B" w14:textId="77777777" w:rsidR="008E07B2" w:rsidRDefault="008E07B2" w:rsidP="00D50F13">
      <w:r>
        <w:separator/>
      </w:r>
    </w:p>
  </w:endnote>
  <w:endnote w:type="continuationSeparator" w:id="0">
    <w:p w14:paraId="41386008" w14:textId="77777777" w:rsidR="008E07B2" w:rsidRDefault="008E07B2" w:rsidP="00D50F13">
      <w:r>
        <w:continuationSeparator/>
      </w:r>
    </w:p>
  </w:endnote>
  <w:endnote w:type="continuationNotice" w:id="1">
    <w:p w14:paraId="77B3BE20" w14:textId="77777777" w:rsidR="008E07B2" w:rsidRDefault="008E0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300DB9C3" w:rsidR="0091516C" w:rsidRPr="00AE2D2B" w:rsidRDefault="0091516C" w:rsidP="00A0376A">
          <w:pPr>
            <w:rPr>
              <w:rFonts w:ascii="Arial Narrow" w:hAnsi="Arial Narrow"/>
              <w:caps/>
              <w:color w:val="000000"/>
              <w:sz w:val="18"/>
              <w:szCs w:val="18"/>
              <w:highlight w:val="cyan"/>
            </w:rPr>
          </w:pP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899A" w14:textId="77777777" w:rsidR="008E07B2" w:rsidRDefault="008E07B2" w:rsidP="00D50F13">
      <w:r>
        <w:separator/>
      </w:r>
    </w:p>
  </w:footnote>
  <w:footnote w:type="continuationSeparator" w:id="0">
    <w:p w14:paraId="38608E7C" w14:textId="77777777" w:rsidR="008E07B2" w:rsidRDefault="008E07B2" w:rsidP="00D50F13">
      <w:r>
        <w:continuationSeparator/>
      </w:r>
    </w:p>
  </w:footnote>
  <w:footnote w:type="continuationNotice" w:id="1">
    <w:p w14:paraId="1BBC0ADC" w14:textId="77777777" w:rsidR="008E07B2" w:rsidRDefault="008E07B2"/>
  </w:footnote>
  <w:footnote w:id="2">
    <w:p w14:paraId="1A7997FD" w14:textId="0DBCC309" w:rsidR="0091516C" w:rsidRPr="005F4D6F" w:rsidRDefault="0091516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48FE5058" w14:textId="77777777" w:rsidR="00882A06" w:rsidRPr="004807B7" w:rsidRDefault="00882A06" w:rsidP="00882A06">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E3548A">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E3548A">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6"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D438F"/>
    <w:multiLevelType w:val="hybridMultilevel"/>
    <w:tmpl w:val="EA546022"/>
    <w:lvl w:ilvl="0" w:tplc="AB847AA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75B21056"/>
    <w:multiLevelType w:val="hybridMultilevel"/>
    <w:tmpl w:val="255C95A0"/>
    <w:lvl w:ilvl="0" w:tplc="594657A0">
      <w:start w:val="12"/>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0"/>
  </w:num>
  <w:num w:numId="2">
    <w:abstractNumId w:val="14"/>
  </w:num>
  <w:num w:numId="3">
    <w:abstractNumId w:val="23"/>
  </w:num>
  <w:num w:numId="4">
    <w:abstractNumId w:val="24"/>
  </w:num>
  <w:num w:numId="5">
    <w:abstractNumId w:val="3"/>
  </w:num>
  <w:num w:numId="6">
    <w:abstractNumId w:val="2"/>
  </w:num>
  <w:num w:numId="7">
    <w:abstractNumId w:val="11"/>
  </w:num>
  <w:num w:numId="8">
    <w:abstractNumId w:val="5"/>
  </w:num>
  <w:num w:numId="9">
    <w:abstractNumId w:val="29"/>
  </w:num>
  <w:num w:numId="10">
    <w:abstractNumId w:val="26"/>
  </w:num>
  <w:num w:numId="11">
    <w:abstractNumId w:val="20"/>
  </w:num>
  <w:num w:numId="12">
    <w:abstractNumId w:val="8"/>
  </w:num>
  <w:num w:numId="13">
    <w:abstractNumId w:val="30"/>
  </w:num>
  <w:num w:numId="14">
    <w:abstractNumId w:val="16"/>
  </w:num>
  <w:num w:numId="15">
    <w:abstractNumId w:val="28"/>
  </w:num>
  <w:num w:numId="16">
    <w:abstractNumId w:val="1"/>
  </w:num>
  <w:num w:numId="17">
    <w:abstractNumId w:val="0"/>
  </w:num>
  <w:num w:numId="18">
    <w:abstractNumId w:val="9"/>
  </w:num>
  <w:num w:numId="19">
    <w:abstractNumId w:val="13"/>
  </w:num>
  <w:num w:numId="20">
    <w:abstractNumId w:val="19"/>
  </w:num>
  <w:num w:numId="21">
    <w:abstractNumId w:val="12"/>
  </w:num>
  <w:num w:numId="22">
    <w:abstractNumId w:val="7"/>
  </w:num>
  <w:num w:numId="23">
    <w:abstractNumId w:val="4"/>
  </w:num>
  <w:num w:numId="24">
    <w:abstractNumId w:val="22"/>
  </w:num>
  <w:num w:numId="25">
    <w:abstractNumId w:val="6"/>
  </w:num>
  <w:num w:numId="26">
    <w:abstractNumId w:val="21"/>
  </w:num>
  <w:num w:numId="27">
    <w:abstractNumId w:val="15"/>
  </w:num>
  <w:num w:numId="28">
    <w:abstractNumId w:val="18"/>
  </w:num>
  <w:num w:numId="29">
    <w:abstractNumId w:val="27"/>
  </w:num>
  <w:num w:numId="30">
    <w:abstractNumId w:val="17"/>
  </w:num>
  <w:num w:numId="31">
    <w:abstractNumId w:val="25"/>
  </w:num>
  <w:num w:numId="32">
    <w:abstractNumId w:val="29"/>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081C"/>
    <w:rsid w:val="0004179C"/>
    <w:rsid w:val="000478B8"/>
    <w:rsid w:val="00072FB8"/>
    <w:rsid w:val="0008106F"/>
    <w:rsid w:val="0008205C"/>
    <w:rsid w:val="000837E6"/>
    <w:rsid w:val="000841B9"/>
    <w:rsid w:val="00084509"/>
    <w:rsid w:val="000852FE"/>
    <w:rsid w:val="00087C17"/>
    <w:rsid w:val="00093155"/>
    <w:rsid w:val="00095906"/>
    <w:rsid w:val="000966F4"/>
    <w:rsid w:val="000A0D8A"/>
    <w:rsid w:val="000A19C2"/>
    <w:rsid w:val="000B26A2"/>
    <w:rsid w:val="000B4274"/>
    <w:rsid w:val="000C1B4B"/>
    <w:rsid w:val="000C3F9A"/>
    <w:rsid w:val="000C4D6D"/>
    <w:rsid w:val="000D3674"/>
    <w:rsid w:val="000E0285"/>
    <w:rsid w:val="000E2227"/>
    <w:rsid w:val="000E2440"/>
    <w:rsid w:val="000E3E9A"/>
    <w:rsid w:val="000E59DC"/>
    <w:rsid w:val="000E5DF5"/>
    <w:rsid w:val="000F1520"/>
    <w:rsid w:val="000F18A2"/>
    <w:rsid w:val="000F3067"/>
    <w:rsid w:val="000F343B"/>
    <w:rsid w:val="000F3CB2"/>
    <w:rsid w:val="000F448F"/>
    <w:rsid w:val="000F5561"/>
    <w:rsid w:val="00102B70"/>
    <w:rsid w:val="00103895"/>
    <w:rsid w:val="00113108"/>
    <w:rsid w:val="0011556A"/>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0693"/>
    <w:rsid w:val="00183E4D"/>
    <w:rsid w:val="001849D2"/>
    <w:rsid w:val="0019283C"/>
    <w:rsid w:val="0019309A"/>
    <w:rsid w:val="001A207E"/>
    <w:rsid w:val="001A5371"/>
    <w:rsid w:val="001B0127"/>
    <w:rsid w:val="001B138A"/>
    <w:rsid w:val="001B5F36"/>
    <w:rsid w:val="001B7A25"/>
    <w:rsid w:val="001C063A"/>
    <w:rsid w:val="001C1FC1"/>
    <w:rsid w:val="001C3E05"/>
    <w:rsid w:val="001C4BA2"/>
    <w:rsid w:val="001C6559"/>
    <w:rsid w:val="001C6878"/>
    <w:rsid w:val="001D320B"/>
    <w:rsid w:val="001D40AD"/>
    <w:rsid w:val="001D5926"/>
    <w:rsid w:val="001D6688"/>
    <w:rsid w:val="001D771A"/>
    <w:rsid w:val="001E5424"/>
    <w:rsid w:val="001F0177"/>
    <w:rsid w:val="001F4B81"/>
    <w:rsid w:val="001F5A87"/>
    <w:rsid w:val="002019A5"/>
    <w:rsid w:val="002111B3"/>
    <w:rsid w:val="002133FA"/>
    <w:rsid w:val="00213A16"/>
    <w:rsid w:val="00213BF9"/>
    <w:rsid w:val="002229B8"/>
    <w:rsid w:val="002236AE"/>
    <w:rsid w:val="00223781"/>
    <w:rsid w:val="00225B0D"/>
    <w:rsid w:val="00225FA7"/>
    <w:rsid w:val="00230B5C"/>
    <w:rsid w:val="002336A0"/>
    <w:rsid w:val="00233894"/>
    <w:rsid w:val="00240827"/>
    <w:rsid w:val="00251355"/>
    <w:rsid w:val="00256C49"/>
    <w:rsid w:val="00262CEE"/>
    <w:rsid w:val="00266619"/>
    <w:rsid w:val="00273F07"/>
    <w:rsid w:val="002818A7"/>
    <w:rsid w:val="00290EAC"/>
    <w:rsid w:val="00293CBB"/>
    <w:rsid w:val="00294937"/>
    <w:rsid w:val="00297D2E"/>
    <w:rsid w:val="002A2C42"/>
    <w:rsid w:val="002A56A1"/>
    <w:rsid w:val="002B4786"/>
    <w:rsid w:val="002B4CD4"/>
    <w:rsid w:val="002B52CC"/>
    <w:rsid w:val="002B6809"/>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3BE"/>
    <w:rsid w:val="003347E8"/>
    <w:rsid w:val="00341603"/>
    <w:rsid w:val="0034681E"/>
    <w:rsid w:val="00350F4E"/>
    <w:rsid w:val="0035108E"/>
    <w:rsid w:val="003565A5"/>
    <w:rsid w:val="003571AC"/>
    <w:rsid w:val="00361219"/>
    <w:rsid w:val="00362CA7"/>
    <w:rsid w:val="00366A14"/>
    <w:rsid w:val="003705A6"/>
    <w:rsid w:val="003712F2"/>
    <w:rsid w:val="00371509"/>
    <w:rsid w:val="003840F5"/>
    <w:rsid w:val="00386026"/>
    <w:rsid w:val="003872B5"/>
    <w:rsid w:val="0039258A"/>
    <w:rsid w:val="00394B2C"/>
    <w:rsid w:val="003A0F5F"/>
    <w:rsid w:val="003B017D"/>
    <w:rsid w:val="003B12BF"/>
    <w:rsid w:val="003B1C2E"/>
    <w:rsid w:val="003B2E7E"/>
    <w:rsid w:val="003B4914"/>
    <w:rsid w:val="003C1D13"/>
    <w:rsid w:val="003C490C"/>
    <w:rsid w:val="003D4ADE"/>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244DB"/>
    <w:rsid w:val="00432F42"/>
    <w:rsid w:val="00433B75"/>
    <w:rsid w:val="00437926"/>
    <w:rsid w:val="00441D52"/>
    <w:rsid w:val="004470B4"/>
    <w:rsid w:val="00456407"/>
    <w:rsid w:val="0046282E"/>
    <w:rsid w:val="0046469D"/>
    <w:rsid w:val="00467698"/>
    <w:rsid w:val="004702E7"/>
    <w:rsid w:val="004807B7"/>
    <w:rsid w:val="004874F6"/>
    <w:rsid w:val="00487967"/>
    <w:rsid w:val="00487FFD"/>
    <w:rsid w:val="00490018"/>
    <w:rsid w:val="00490D97"/>
    <w:rsid w:val="00492214"/>
    <w:rsid w:val="0049280C"/>
    <w:rsid w:val="00494C86"/>
    <w:rsid w:val="00494D98"/>
    <w:rsid w:val="00495856"/>
    <w:rsid w:val="00497AEE"/>
    <w:rsid w:val="004A3080"/>
    <w:rsid w:val="004A6782"/>
    <w:rsid w:val="004A6A1B"/>
    <w:rsid w:val="004B0F2D"/>
    <w:rsid w:val="004B2022"/>
    <w:rsid w:val="004B2BE1"/>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2116"/>
    <w:rsid w:val="005144E0"/>
    <w:rsid w:val="00522790"/>
    <w:rsid w:val="00523268"/>
    <w:rsid w:val="00527592"/>
    <w:rsid w:val="0053184A"/>
    <w:rsid w:val="00531A42"/>
    <w:rsid w:val="0053377B"/>
    <w:rsid w:val="00542FEE"/>
    <w:rsid w:val="00544B15"/>
    <w:rsid w:val="005456B4"/>
    <w:rsid w:val="00550849"/>
    <w:rsid w:val="00564D69"/>
    <w:rsid w:val="00566A81"/>
    <w:rsid w:val="00567F3E"/>
    <w:rsid w:val="005840ED"/>
    <w:rsid w:val="005845C2"/>
    <w:rsid w:val="00590EDA"/>
    <w:rsid w:val="005A4B59"/>
    <w:rsid w:val="005A6974"/>
    <w:rsid w:val="005B0752"/>
    <w:rsid w:val="005B17CB"/>
    <w:rsid w:val="005C40CB"/>
    <w:rsid w:val="005C5D6E"/>
    <w:rsid w:val="005C5D80"/>
    <w:rsid w:val="005E2710"/>
    <w:rsid w:val="005E41A1"/>
    <w:rsid w:val="005E77CF"/>
    <w:rsid w:val="005F0F4C"/>
    <w:rsid w:val="005F4D6F"/>
    <w:rsid w:val="005F65E7"/>
    <w:rsid w:val="00611175"/>
    <w:rsid w:val="00613313"/>
    <w:rsid w:val="006178AC"/>
    <w:rsid w:val="006232B4"/>
    <w:rsid w:val="006266B6"/>
    <w:rsid w:val="006426F7"/>
    <w:rsid w:val="00647C28"/>
    <w:rsid w:val="00653BB6"/>
    <w:rsid w:val="006558F9"/>
    <w:rsid w:val="00660256"/>
    <w:rsid w:val="00662182"/>
    <w:rsid w:val="00662FF0"/>
    <w:rsid w:val="00665490"/>
    <w:rsid w:val="006717A7"/>
    <w:rsid w:val="0067529C"/>
    <w:rsid w:val="006771B6"/>
    <w:rsid w:val="00680325"/>
    <w:rsid w:val="006832F7"/>
    <w:rsid w:val="00687D63"/>
    <w:rsid w:val="006912CB"/>
    <w:rsid w:val="0069202A"/>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11683"/>
    <w:rsid w:val="00711B7F"/>
    <w:rsid w:val="00714D53"/>
    <w:rsid w:val="0072200B"/>
    <w:rsid w:val="00732180"/>
    <w:rsid w:val="007328DB"/>
    <w:rsid w:val="007332D8"/>
    <w:rsid w:val="00743F00"/>
    <w:rsid w:val="00747ADB"/>
    <w:rsid w:val="00751959"/>
    <w:rsid w:val="00755343"/>
    <w:rsid w:val="007556CC"/>
    <w:rsid w:val="0075705D"/>
    <w:rsid w:val="00762290"/>
    <w:rsid w:val="00762726"/>
    <w:rsid w:val="00764810"/>
    <w:rsid w:val="00766341"/>
    <w:rsid w:val="00766CF1"/>
    <w:rsid w:val="0077242E"/>
    <w:rsid w:val="00780BD0"/>
    <w:rsid w:val="007860E1"/>
    <w:rsid w:val="007867C0"/>
    <w:rsid w:val="0079040A"/>
    <w:rsid w:val="0079079F"/>
    <w:rsid w:val="00791E04"/>
    <w:rsid w:val="00792B49"/>
    <w:rsid w:val="007960C5"/>
    <w:rsid w:val="007B0925"/>
    <w:rsid w:val="007C267B"/>
    <w:rsid w:val="007C4BED"/>
    <w:rsid w:val="007D3B9C"/>
    <w:rsid w:val="007D46B2"/>
    <w:rsid w:val="007E335A"/>
    <w:rsid w:val="007E3BF6"/>
    <w:rsid w:val="007E68C7"/>
    <w:rsid w:val="007F361D"/>
    <w:rsid w:val="007F79F8"/>
    <w:rsid w:val="00805318"/>
    <w:rsid w:val="00806CD2"/>
    <w:rsid w:val="00810D55"/>
    <w:rsid w:val="00812B47"/>
    <w:rsid w:val="00812FBB"/>
    <w:rsid w:val="00821937"/>
    <w:rsid w:val="0082549E"/>
    <w:rsid w:val="00826768"/>
    <w:rsid w:val="00826BA5"/>
    <w:rsid w:val="00826C49"/>
    <w:rsid w:val="00831A7C"/>
    <w:rsid w:val="0083377F"/>
    <w:rsid w:val="00840C1E"/>
    <w:rsid w:val="00844F82"/>
    <w:rsid w:val="00847F47"/>
    <w:rsid w:val="0085784E"/>
    <w:rsid w:val="00860FEB"/>
    <w:rsid w:val="008628C7"/>
    <w:rsid w:val="00865842"/>
    <w:rsid w:val="008713A9"/>
    <w:rsid w:val="00873212"/>
    <w:rsid w:val="00882A06"/>
    <w:rsid w:val="00883C2D"/>
    <w:rsid w:val="008871ED"/>
    <w:rsid w:val="00887B2A"/>
    <w:rsid w:val="00890F8A"/>
    <w:rsid w:val="00892D73"/>
    <w:rsid w:val="008A486B"/>
    <w:rsid w:val="008A7650"/>
    <w:rsid w:val="008B37A2"/>
    <w:rsid w:val="008B3EEE"/>
    <w:rsid w:val="008B6BE9"/>
    <w:rsid w:val="008B6FDD"/>
    <w:rsid w:val="008C09DB"/>
    <w:rsid w:val="008C754F"/>
    <w:rsid w:val="008D113B"/>
    <w:rsid w:val="008D3220"/>
    <w:rsid w:val="008E07B2"/>
    <w:rsid w:val="008E0AD9"/>
    <w:rsid w:val="008E3366"/>
    <w:rsid w:val="008F2664"/>
    <w:rsid w:val="008F2DBD"/>
    <w:rsid w:val="008F3844"/>
    <w:rsid w:val="008F3D21"/>
    <w:rsid w:val="008F51A7"/>
    <w:rsid w:val="00901465"/>
    <w:rsid w:val="00901C1A"/>
    <w:rsid w:val="00904B93"/>
    <w:rsid w:val="009058FD"/>
    <w:rsid w:val="00907AE7"/>
    <w:rsid w:val="009109D5"/>
    <w:rsid w:val="0091516C"/>
    <w:rsid w:val="009214B5"/>
    <w:rsid w:val="0093185B"/>
    <w:rsid w:val="00944EBF"/>
    <w:rsid w:val="009454DB"/>
    <w:rsid w:val="0095095F"/>
    <w:rsid w:val="00956F45"/>
    <w:rsid w:val="009628F4"/>
    <w:rsid w:val="0096566B"/>
    <w:rsid w:val="0097037F"/>
    <w:rsid w:val="00973EF1"/>
    <w:rsid w:val="0098229E"/>
    <w:rsid w:val="009822ED"/>
    <w:rsid w:val="009834FA"/>
    <w:rsid w:val="00983822"/>
    <w:rsid w:val="00987B83"/>
    <w:rsid w:val="00990642"/>
    <w:rsid w:val="00990987"/>
    <w:rsid w:val="009A100B"/>
    <w:rsid w:val="009A5B27"/>
    <w:rsid w:val="009B76BE"/>
    <w:rsid w:val="009C22B1"/>
    <w:rsid w:val="009D290D"/>
    <w:rsid w:val="009E0C9B"/>
    <w:rsid w:val="009E0F2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15ED"/>
    <w:rsid w:val="00A4521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C0A65"/>
    <w:rsid w:val="00AD33C7"/>
    <w:rsid w:val="00AD423A"/>
    <w:rsid w:val="00AD5E4A"/>
    <w:rsid w:val="00AE2A99"/>
    <w:rsid w:val="00AE5507"/>
    <w:rsid w:val="00AE797E"/>
    <w:rsid w:val="00AF694E"/>
    <w:rsid w:val="00B017DB"/>
    <w:rsid w:val="00B018FC"/>
    <w:rsid w:val="00B036FF"/>
    <w:rsid w:val="00B06935"/>
    <w:rsid w:val="00B11F35"/>
    <w:rsid w:val="00B14D5F"/>
    <w:rsid w:val="00B21BA4"/>
    <w:rsid w:val="00B221A3"/>
    <w:rsid w:val="00B2354B"/>
    <w:rsid w:val="00B242A3"/>
    <w:rsid w:val="00B26F93"/>
    <w:rsid w:val="00B30098"/>
    <w:rsid w:val="00B3135A"/>
    <w:rsid w:val="00B37AF1"/>
    <w:rsid w:val="00B43A63"/>
    <w:rsid w:val="00B4569A"/>
    <w:rsid w:val="00B47508"/>
    <w:rsid w:val="00B50164"/>
    <w:rsid w:val="00B5712C"/>
    <w:rsid w:val="00B60F30"/>
    <w:rsid w:val="00B653B9"/>
    <w:rsid w:val="00B72357"/>
    <w:rsid w:val="00B74DC5"/>
    <w:rsid w:val="00B74E97"/>
    <w:rsid w:val="00B90ADE"/>
    <w:rsid w:val="00BA18E5"/>
    <w:rsid w:val="00BA355F"/>
    <w:rsid w:val="00BA535D"/>
    <w:rsid w:val="00BB11AE"/>
    <w:rsid w:val="00BB66CF"/>
    <w:rsid w:val="00BC3EF7"/>
    <w:rsid w:val="00BC4242"/>
    <w:rsid w:val="00BC4332"/>
    <w:rsid w:val="00BC6AED"/>
    <w:rsid w:val="00BD671C"/>
    <w:rsid w:val="00BD6B89"/>
    <w:rsid w:val="00BE0F5B"/>
    <w:rsid w:val="00BE13D6"/>
    <w:rsid w:val="00BE2F43"/>
    <w:rsid w:val="00BE33D8"/>
    <w:rsid w:val="00BF0EF7"/>
    <w:rsid w:val="00BF2766"/>
    <w:rsid w:val="00C00DF2"/>
    <w:rsid w:val="00C029E4"/>
    <w:rsid w:val="00C07F6F"/>
    <w:rsid w:val="00C10540"/>
    <w:rsid w:val="00C11F6F"/>
    <w:rsid w:val="00C12D50"/>
    <w:rsid w:val="00C143D1"/>
    <w:rsid w:val="00C16967"/>
    <w:rsid w:val="00C16DB2"/>
    <w:rsid w:val="00C20074"/>
    <w:rsid w:val="00C20349"/>
    <w:rsid w:val="00C20832"/>
    <w:rsid w:val="00C22B8E"/>
    <w:rsid w:val="00C30B4D"/>
    <w:rsid w:val="00C31D1B"/>
    <w:rsid w:val="00C32676"/>
    <w:rsid w:val="00C34135"/>
    <w:rsid w:val="00C35F97"/>
    <w:rsid w:val="00C4103C"/>
    <w:rsid w:val="00C5327B"/>
    <w:rsid w:val="00C53AF9"/>
    <w:rsid w:val="00C57EAD"/>
    <w:rsid w:val="00C63C98"/>
    <w:rsid w:val="00C674A5"/>
    <w:rsid w:val="00C73C2F"/>
    <w:rsid w:val="00C73ED8"/>
    <w:rsid w:val="00C7643B"/>
    <w:rsid w:val="00C8161F"/>
    <w:rsid w:val="00C81B85"/>
    <w:rsid w:val="00C8260C"/>
    <w:rsid w:val="00C8316F"/>
    <w:rsid w:val="00C8330B"/>
    <w:rsid w:val="00CA067E"/>
    <w:rsid w:val="00CA4416"/>
    <w:rsid w:val="00CA6E6F"/>
    <w:rsid w:val="00CB2568"/>
    <w:rsid w:val="00CD04A7"/>
    <w:rsid w:val="00CD061B"/>
    <w:rsid w:val="00CD3051"/>
    <w:rsid w:val="00CD46A1"/>
    <w:rsid w:val="00CE0F61"/>
    <w:rsid w:val="00CE4E5E"/>
    <w:rsid w:val="00CE58F8"/>
    <w:rsid w:val="00CF4DB5"/>
    <w:rsid w:val="00CF59FB"/>
    <w:rsid w:val="00CF64A3"/>
    <w:rsid w:val="00D04381"/>
    <w:rsid w:val="00D10FC0"/>
    <w:rsid w:val="00D11491"/>
    <w:rsid w:val="00D121FC"/>
    <w:rsid w:val="00D135C6"/>
    <w:rsid w:val="00D14044"/>
    <w:rsid w:val="00D17C8D"/>
    <w:rsid w:val="00D21549"/>
    <w:rsid w:val="00D225E4"/>
    <w:rsid w:val="00D2316C"/>
    <w:rsid w:val="00D25795"/>
    <w:rsid w:val="00D322CA"/>
    <w:rsid w:val="00D32ED1"/>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80AEB"/>
    <w:rsid w:val="00D90F8E"/>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3548A"/>
    <w:rsid w:val="00E41727"/>
    <w:rsid w:val="00E4398A"/>
    <w:rsid w:val="00E44537"/>
    <w:rsid w:val="00E56FDA"/>
    <w:rsid w:val="00E57189"/>
    <w:rsid w:val="00E6464C"/>
    <w:rsid w:val="00E81D73"/>
    <w:rsid w:val="00E90DC4"/>
    <w:rsid w:val="00E9309D"/>
    <w:rsid w:val="00E94437"/>
    <w:rsid w:val="00EA6641"/>
    <w:rsid w:val="00EB550D"/>
    <w:rsid w:val="00EB6C90"/>
    <w:rsid w:val="00EC08A1"/>
    <w:rsid w:val="00EC479D"/>
    <w:rsid w:val="00ED6EE5"/>
    <w:rsid w:val="00EE1D09"/>
    <w:rsid w:val="00EE7240"/>
    <w:rsid w:val="00EF66B8"/>
    <w:rsid w:val="00F00AEC"/>
    <w:rsid w:val="00F02592"/>
    <w:rsid w:val="00F045DA"/>
    <w:rsid w:val="00F130D7"/>
    <w:rsid w:val="00F17C76"/>
    <w:rsid w:val="00F21315"/>
    <w:rsid w:val="00F23365"/>
    <w:rsid w:val="00F25459"/>
    <w:rsid w:val="00F26952"/>
    <w:rsid w:val="00F270C4"/>
    <w:rsid w:val="00F30E47"/>
    <w:rsid w:val="00F50F2D"/>
    <w:rsid w:val="00F56682"/>
    <w:rsid w:val="00F57BB6"/>
    <w:rsid w:val="00F57EC4"/>
    <w:rsid w:val="00F7148B"/>
    <w:rsid w:val="00F7344E"/>
    <w:rsid w:val="00F742F2"/>
    <w:rsid w:val="00F75554"/>
    <w:rsid w:val="00F77E7D"/>
    <w:rsid w:val="00F84541"/>
    <w:rsid w:val="00F84B26"/>
    <w:rsid w:val="00F92F28"/>
    <w:rsid w:val="00F93FD8"/>
    <w:rsid w:val="00FA7021"/>
    <w:rsid w:val="00FA70E6"/>
    <w:rsid w:val="00FB168A"/>
    <w:rsid w:val="00FC08DE"/>
    <w:rsid w:val="00FC3F2E"/>
    <w:rsid w:val="00FC453F"/>
    <w:rsid w:val="00FC6ECA"/>
    <w:rsid w:val="00FC72C5"/>
    <w:rsid w:val="00FC7A03"/>
    <w:rsid w:val="00FC7E0E"/>
    <w:rsid w:val="00FD4486"/>
    <w:rsid w:val="00FE0278"/>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0B142582-D56B-4FEE-9423-4B5009D0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49280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4123647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Justice.Reform.Unit1@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6F6C20D974E6EBA3AE620ED45FD12"/>
        <w:category>
          <w:name w:val="General"/>
          <w:gallery w:val="placeholder"/>
        </w:category>
        <w:types>
          <w:type w:val="bbPlcHdr"/>
        </w:types>
        <w:behaviors>
          <w:behavior w:val="content"/>
        </w:behaviors>
        <w:guid w:val="{26057298-508C-4284-B7C6-8ACDB1DEB831}"/>
      </w:docPartPr>
      <w:docPartBody>
        <w:p w:rsidR="0048720D" w:rsidRDefault="00A71D4F" w:rsidP="00A71D4F">
          <w:pPr>
            <w:pStyle w:val="09A6F6C20D974E6EBA3AE620ED45FD121"/>
          </w:pPr>
          <w:r w:rsidRPr="00456161">
            <w:rPr>
              <w:rStyle w:val="PlaceholderText"/>
              <w:rFonts w:ascii="Tahoma" w:hAnsi="Tahoma" w:cs="Tahoma"/>
              <w:sz w:val="20"/>
              <w:szCs w:val="20"/>
              <w:highlight w:val="cyan"/>
              <w:lang w:val="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1505AD"/>
    <w:rsid w:val="001E3B15"/>
    <w:rsid w:val="00225A11"/>
    <w:rsid w:val="002A6A70"/>
    <w:rsid w:val="003D1891"/>
    <w:rsid w:val="0048720D"/>
    <w:rsid w:val="004E534F"/>
    <w:rsid w:val="005437E8"/>
    <w:rsid w:val="007004CC"/>
    <w:rsid w:val="00946149"/>
    <w:rsid w:val="00A661D9"/>
    <w:rsid w:val="00A71D4F"/>
    <w:rsid w:val="00A9444F"/>
    <w:rsid w:val="00BC35B7"/>
    <w:rsid w:val="00CD3FB3"/>
    <w:rsid w:val="00E00683"/>
    <w:rsid w:val="00E31128"/>
    <w:rsid w:val="00E94780"/>
    <w:rsid w:val="00EA2D92"/>
    <w:rsid w:val="00EA50D2"/>
    <w:rsid w:val="00FF18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71D4F"/>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09A6F6C20D974E6EBA3AE620ED45FD12">
    <w:name w:val="09A6F6C20D974E6EBA3AE620ED45FD12"/>
    <w:rsid w:val="00A71D4F"/>
  </w:style>
  <w:style w:type="paragraph" w:customStyle="1" w:styleId="B88C59D24562419F94C1396127EAE89A">
    <w:name w:val="B88C59D24562419F94C1396127EAE89A"/>
    <w:rsid w:val="00A71D4F"/>
  </w:style>
  <w:style w:type="paragraph" w:customStyle="1" w:styleId="09A6F6C20D974E6EBA3AE620ED45FD121">
    <w:name w:val="09A6F6C20D974E6EBA3AE620ED45FD121"/>
    <w:rsid w:val="00A71D4F"/>
    <w:pPr>
      <w:spacing w:after="0" w:line="240" w:lineRule="auto"/>
    </w:pPr>
    <w:rPr>
      <w:rFonts w:ascii="Arial" w:eastAsia="Times New Roman" w:hAnsi="Arial" w:cs="Arial"/>
      <w:lang w:val="en-GB" w:eastAsia="en-GB"/>
    </w:rPr>
  </w:style>
  <w:style w:type="paragraph" w:customStyle="1" w:styleId="B88C59D24562419F94C1396127EAE89A1">
    <w:name w:val="B88C59D24562419F94C1396127EAE89A1"/>
    <w:rsid w:val="00A71D4F"/>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FC62-CA83-405D-90D2-0305020B8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57A3ED9-A9A8-4167-8687-692B25BB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5781</Words>
  <Characters>31796</Characters>
  <Application>Microsoft Office Word</Application>
  <DocSecurity>4</DocSecurity>
  <Lines>264</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AE.TB.FC.FR</vt:lpstr>
      <vt:lpstr>AE.TB.FC.FR</vt:lpstr>
    </vt:vector>
  </TitlesOfParts>
  <Company>Council of Europe</Company>
  <LinksUpToDate>false</LinksUpToDate>
  <CharactersWithSpaces>37502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AE.TB.FC.FR</dc:title>
  <dc:creator>KAUTZMANN Jean-Etienne</dc:creator>
  <cp:lastModifiedBy>STAFFORD Joan</cp:lastModifiedBy>
  <cp:revision>2</cp:revision>
  <cp:lastPrinted>2020-02-12T10:05:00Z</cp:lastPrinted>
  <dcterms:created xsi:type="dcterms:W3CDTF">2020-03-31T10:01:00Z</dcterms:created>
  <dcterms:modified xsi:type="dcterms:W3CDTF">2020-03-31T10:01:00Z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