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E2138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5ADA1D95" w14:textId="00764799" w:rsidR="00BE43B2" w:rsidRPr="00E21384" w:rsidRDefault="00E21384">
            <w:pPr>
              <w:rPr>
                <w:rFonts w:ascii="Tahoma" w:hAnsi="Tahoma" w:cs="Tahoma"/>
                <w:caps/>
                <w:color w:val="000000" w:themeColor="text1"/>
                <w:sz w:val="18"/>
                <w:szCs w:val="18"/>
              </w:rPr>
            </w:pPr>
            <w:r w:rsidRPr="00E21384">
              <w:rPr>
                <w:rFonts w:ascii="Tahoma" w:hAnsi="Tahoma" w:cs="Tahoma"/>
                <w:caps/>
                <w:color w:val="000000" w:themeColor="text1"/>
                <w:sz w:val="18"/>
                <w:szCs w:val="18"/>
              </w:rPr>
              <w:t>NA</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2B0B19F" w:rsidR="00BE43B2" w:rsidRPr="00EA2362" w:rsidRDefault="00E21384">
            <w:pPr>
              <w:rPr>
                <w:rFonts w:ascii="Tahoma" w:hAnsi="Tahoma" w:cs="Tahoma"/>
                <w:caps/>
                <w:color w:val="000000" w:themeColor="text1"/>
                <w:sz w:val="18"/>
                <w:szCs w:val="18"/>
                <w:highlight w:val="cyan"/>
              </w:rPr>
            </w:pPr>
            <w:r w:rsidRPr="00ED3DC0">
              <w:rPr>
                <w:rFonts w:ascii="Tahoma" w:hAnsi="Tahoma" w:cs="Tahoma"/>
                <w:caps/>
                <w:color w:val="000000"/>
                <w:sz w:val="18"/>
                <w:szCs w:val="18"/>
              </w:rPr>
              <w:t>2246-HFII: Supporting enhanced access to higher quality Free Legal Aid (FLA) services in North Macedonia</w:t>
            </w:r>
          </w:p>
        </w:tc>
      </w:tr>
      <w:tr w:rsidR="00BE43B2" w:rsidRPr="0005183D"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19E9FC" w14:textId="77777777" w:rsidR="00E21384" w:rsidRPr="004749BE" w:rsidRDefault="00E21384" w:rsidP="00E21384">
            <w:pPr>
              <w:rPr>
                <w:rFonts w:ascii="Tahoma" w:hAnsi="Tahoma" w:cs="Tahoma"/>
                <w:color w:val="000000"/>
                <w:sz w:val="18"/>
                <w:szCs w:val="18"/>
                <w:lang w:val="it-IT"/>
              </w:rPr>
            </w:pPr>
            <w:r>
              <w:rPr>
                <w:rFonts w:ascii="Tahoma" w:hAnsi="Tahoma" w:cs="Tahoma"/>
                <w:color w:val="000000"/>
                <w:sz w:val="18"/>
                <w:szCs w:val="18"/>
                <w:lang w:val="it-IT"/>
              </w:rPr>
              <w:t>Irena Cuculoska Jakimovska</w:t>
            </w:r>
            <w:r w:rsidRPr="004749BE">
              <w:rPr>
                <w:rFonts w:ascii="Tahoma" w:hAnsi="Tahoma" w:cs="Tahoma"/>
                <w:color w:val="000000"/>
                <w:sz w:val="18"/>
                <w:szCs w:val="18"/>
                <w:lang w:val="it-IT"/>
              </w:rPr>
              <w:t xml:space="preserve">, </w:t>
            </w:r>
            <w:r>
              <w:rPr>
                <w:rFonts w:ascii="Tahoma" w:hAnsi="Tahoma" w:cs="Tahoma"/>
                <w:color w:val="000000"/>
                <w:sz w:val="18"/>
                <w:szCs w:val="18"/>
                <w:lang w:val="it-IT"/>
              </w:rPr>
              <w:t>Senior Project Officer</w:t>
            </w:r>
          </w:p>
          <w:p w14:paraId="7E325B7C" w14:textId="77777777" w:rsidR="00E21384" w:rsidRPr="004749BE" w:rsidRDefault="00E21384" w:rsidP="00E21384">
            <w:pPr>
              <w:rPr>
                <w:rFonts w:ascii="Tahoma" w:hAnsi="Tahoma" w:cs="Tahoma"/>
                <w:color w:val="000000"/>
                <w:sz w:val="18"/>
                <w:szCs w:val="18"/>
                <w:lang w:val="it-IT"/>
              </w:rPr>
            </w:pPr>
            <w:r>
              <w:rPr>
                <w:rFonts w:ascii="Tahoma" w:hAnsi="Tahoma" w:cs="Tahoma"/>
                <w:color w:val="000000"/>
                <w:sz w:val="18"/>
                <w:szCs w:val="18"/>
                <w:lang w:val="it-IT"/>
              </w:rPr>
              <w:t>irena.cuculoska-jakimovska@coe.int</w:t>
            </w:r>
          </w:p>
          <w:p w14:paraId="7BE6CB41" w14:textId="6CEC9676" w:rsidR="00BE43B2" w:rsidRPr="00E21384" w:rsidRDefault="00E21384" w:rsidP="00E21384">
            <w:pPr>
              <w:rPr>
                <w:rFonts w:ascii="Tahoma" w:hAnsi="Tahoma" w:cs="Tahoma"/>
                <w:b/>
                <w:caps/>
                <w:color w:val="000000" w:themeColor="text1"/>
                <w:sz w:val="18"/>
                <w:szCs w:val="18"/>
                <w:highlight w:val="cyan"/>
                <w:lang w:val="it-IT"/>
              </w:rPr>
            </w:pPr>
            <w:r w:rsidRPr="00FD7297">
              <w:rPr>
                <w:rFonts w:ascii="Tahoma" w:hAnsi="Tahoma" w:cs="Tahoma"/>
                <w:color w:val="000000"/>
                <w:sz w:val="18"/>
                <w:szCs w:val="18"/>
                <w:lang w:val="it-IT"/>
              </w:rPr>
              <w:t xml:space="preserve">Tel: </w:t>
            </w:r>
            <w:r>
              <w:rPr>
                <w:rFonts w:ascii="Tahoma" w:hAnsi="Tahoma" w:cs="Tahoma"/>
                <w:color w:val="000000"/>
                <w:sz w:val="18"/>
                <w:szCs w:val="18"/>
                <w:lang w:val="it-IT"/>
              </w:rPr>
              <w:t>00389 70 900 236</w:t>
            </w:r>
          </w:p>
        </w:tc>
      </w:tr>
    </w:tbl>
    <w:p w14:paraId="7732789B" w14:textId="3D10C239" w:rsidR="00261462" w:rsidRPr="00E21384" w:rsidRDefault="003F572D" w:rsidP="005D5924">
      <w:pPr>
        <w:rPr>
          <w:rFonts w:ascii="Tahoma" w:hAnsi="Tahoma" w:cs="Tahoma"/>
          <w:b/>
          <w:caps/>
          <w:sz w:val="28"/>
          <w:szCs w:val="28"/>
          <w:lang w:val="it-IT"/>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21384" w:rsidRDefault="00261462" w:rsidP="005D5924">
      <w:pPr>
        <w:rPr>
          <w:rFonts w:ascii="Tahoma" w:hAnsi="Tahoma" w:cs="Tahoma"/>
          <w:b/>
          <w:caps/>
          <w:sz w:val="28"/>
          <w:szCs w:val="28"/>
          <w:lang w:val="it-IT"/>
        </w:rPr>
      </w:pPr>
    </w:p>
    <w:p w14:paraId="2AEC75C2" w14:textId="77777777" w:rsidR="00261462" w:rsidRPr="00E21384" w:rsidRDefault="00261462" w:rsidP="005D5924">
      <w:pPr>
        <w:rPr>
          <w:rFonts w:ascii="Tahoma" w:hAnsi="Tahoma" w:cs="Tahoma"/>
          <w:b/>
          <w:caps/>
          <w:sz w:val="28"/>
          <w:szCs w:val="28"/>
          <w:lang w:val="it-IT"/>
        </w:rPr>
      </w:pPr>
    </w:p>
    <w:p w14:paraId="2D1D594F" w14:textId="46CC14C0" w:rsidR="00261462" w:rsidRPr="00E21384" w:rsidRDefault="00261462" w:rsidP="005D5924">
      <w:pPr>
        <w:rPr>
          <w:rFonts w:ascii="Tahoma" w:hAnsi="Tahoma" w:cs="Tahoma"/>
          <w:b/>
          <w:caps/>
          <w:sz w:val="28"/>
          <w:szCs w:val="28"/>
          <w:lang w:val="it-IT"/>
        </w:rPr>
      </w:pPr>
    </w:p>
    <w:p w14:paraId="4AD2904E" w14:textId="77777777" w:rsidR="00261462" w:rsidRPr="00E21384" w:rsidRDefault="00261462" w:rsidP="005D5924">
      <w:pPr>
        <w:rPr>
          <w:rFonts w:ascii="Tahoma" w:hAnsi="Tahoma" w:cs="Tahoma"/>
          <w:b/>
          <w:caps/>
          <w:sz w:val="28"/>
          <w:szCs w:val="28"/>
          <w:lang w:val="it-IT"/>
        </w:rPr>
      </w:pPr>
    </w:p>
    <w:p w14:paraId="6CEC8D60" w14:textId="77777777" w:rsidR="00261462" w:rsidRPr="00E21384" w:rsidRDefault="00261462" w:rsidP="005D5924">
      <w:pPr>
        <w:rPr>
          <w:rFonts w:ascii="Tahoma" w:hAnsi="Tahoma" w:cs="Tahoma"/>
          <w:b/>
          <w:caps/>
          <w:sz w:val="14"/>
          <w:szCs w:val="14"/>
          <w:lang w:val="it-IT"/>
        </w:rPr>
      </w:pPr>
    </w:p>
    <w:p w14:paraId="6AFA0B3E" w14:textId="77777777" w:rsidR="003A37CF" w:rsidRPr="00E1239A" w:rsidRDefault="003A37CF" w:rsidP="005D5924">
      <w:pPr>
        <w:rPr>
          <w:rFonts w:ascii="Tahoma" w:hAnsi="Tahoma" w:cs="Tahoma"/>
          <w:b/>
          <w:caps/>
          <w:sz w:val="28"/>
          <w:szCs w:val="28"/>
          <w:lang w:val="it-IT"/>
        </w:rPr>
      </w:pPr>
    </w:p>
    <w:p w14:paraId="4BCB943F" w14:textId="44577A42"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150AF2B8"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E21384" w:rsidRPr="00E21384">
        <w:rPr>
          <w:rFonts w:ascii="Tahoma" w:hAnsi="Tahoma" w:cs="Tahoma"/>
          <w:b/>
        </w:rPr>
        <w:t>consultancy services on data analysis and drafting of a Report regarding the nationwide survey on the legal needs and paths to justice of the people living in North Macedonia in the framework of the Action on “Supporting enhanced access to higher quality free legal aid (FLA) services in the Republic of North Macedonia”</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AE32D6"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AE32D6"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AE32D6"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967D62">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07DD1A1B"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is </w:t>
      </w:r>
      <w:r w:rsidR="00E21384" w:rsidRPr="00E21384">
        <w:rPr>
          <w:rFonts w:ascii="Tahoma" w:hAnsi="Tahoma" w:cs="Tahoma"/>
          <w:sz w:val="20"/>
          <w:szCs w:val="20"/>
        </w:rPr>
        <w:t xml:space="preserve">currently implementing and until 31/12/2022 will implement a Project on “Supporting enhanced access to higher quality free legal aid (FLA) services in the Republic of North Macedonia”. </w:t>
      </w:r>
      <w:r w:rsidR="00E21384">
        <w:rPr>
          <w:rFonts w:ascii="Tahoma" w:hAnsi="Tahoma" w:cs="Tahoma"/>
          <w:sz w:val="20"/>
          <w:szCs w:val="20"/>
        </w:rPr>
        <w:t xml:space="preserve">Under this project </w:t>
      </w:r>
      <w:r w:rsidR="00E21384" w:rsidRPr="00E21384">
        <w:rPr>
          <w:rFonts w:ascii="Tahoma" w:hAnsi="Tahoma" w:cs="Tahoma"/>
          <w:sz w:val="20"/>
          <w:szCs w:val="20"/>
        </w:rPr>
        <w:t xml:space="preserve">a nationwide survey on the legal needs and paths to justice of the people living in North Macedonia </w:t>
      </w:r>
      <w:r w:rsidR="00E21384">
        <w:rPr>
          <w:rFonts w:ascii="Tahoma" w:hAnsi="Tahoma" w:cs="Tahoma"/>
          <w:sz w:val="20"/>
          <w:szCs w:val="20"/>
        </w:rPr>
        <w:t xml:space="preserve">it is currently being conducted </w:t>
      </w:r>
      <w:r w:rsidR="00E21384" w:rsidRPr="00E21384">
        <w:rPr>
          <w:rFonts w:ascii="Tahoma" w:hAnsi="Tahoma" w:cs="Tahoma"/>
          <w:sz w:val="20"/>
          <w:szCs w:val="20"/>
        </w:rPr>
        <w:t xml:space="preserve">(as described in Appendix 1). In that context, </w:t>
      </w:r>
      <w:r w:rsidR="00E21384">
        <w:rPr>
          <w:rFonts w:ascii="Tahoma" w:hAnsi="Tahoma" w:cs="Tahoma"/>
          <w:sz w:val="20"/>
          <w:szCs w:val="20"/>
        </w:rPr>
        <w:t>the Council of Europe</w:t>
      </w:r>
      <w:r w:rsidR="00E21384" w:rsidRPr="00E21384">
        <w:rPr>
          <w:rFonts w:ascii="Tahoma" w:hAnsi="Tahoma" w:cs="Tahoma"/>
          <w:sz w:val="20"/>
          <w:szCs w:val="20"/>
        </w:rPr>
        <w:t xml:space="preserve"> is looking for a Provider </w:t>
      </w:r>
      <w:r w:rsidR="00E21384">
        <w:rPr>
          <w:rFonts w:ascii="Tahoma" w:hAnsi="Tahoma" w:cs="Tahoma"/>
          <w:sz w:val="20"/>
          <w:szCs w:val="20"/>
        </w:rPr>
        <w:t xml:space="preserve">of </w:t>
      </w:r>
      <w:r w:rsidR="00E21384" w:rsidRPr="00E21384">
        <w:rPr>
          <w:rFonts w:ascii="Tahoma" w:hAnsi="Tahoma" w:cs="Tahoma"/>
          <w:sz w:val="20"/>
          <w:szCs w:val="20"/>
        </w:rPr>
        <w:t xml:space="preserve">consultancy services on data analysis and </w:t>
      </w:r>
      <w:r w:rsidR="00876772">
        <w:rPr>
          <w:rFonts w:ascii="Tahoma" w:hAnsi="Tahoma" w:cs="Tahoma"/>
          <w:sz w:val="20"/>
          <w:szCs w:val="20"/>
        </w:rPr>
        <w:t xml:space="preserve">contribution to the </w:t>
      </w:r>
      <w:r w:rsidR="00E21384" w:rsidRPr="00E21384">
        <w:rPr>
          <w:rFonts w:ascii="Tahoma" w:hAnsi="Tahoma" w:cs="Tahoma"/>
          <w:sz w:val="20"/>
          <w:szCs w:val="20"/>
        </w:rPr>
        <w:t xml:space="preserve">drafting of a </w:t>
      </w:r>
      <w:r w:rsidR="00C2405F">
        <w:rPr>
          <w:rFonts w:ascii="Tahoma" w:hAnsi="Tahoma" w:cs="Tahoma"/>
          <w:sz w:val="20"/>
          <w:szCs w:val="20"/>
        </w:rPr>
        <w:t xml:space="preserve">detailed </w:t>
      </w:r>
      <w:r w:rsidR="00E21384" w:rsidRPr="00E21384">
        <w:rPr>
          <w:rFonts w:ascii="Tahoma" w:hAnsi="Tahoma" w:cs="Tahoma"/>
          <w:sz w:val="20"/>
          <w:szCs w:val="20"/>
        </w:rPr>
        <w:t>Report regarding the nationwide survey on the legal needs and paths to justice of the people living in North Macedonia</w:t>
      </w:r>
      <w:r w:rsidR="00E21384">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769D3555"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Prices are indicated in</w:t>
      </w:r>
      <w:r w:rsidR="00E21384">
        <w:rPr>
          <w:rFonts w:ascii="Tahoma" w:hAnsi="Tahoma" w:cs="Tahoma"/>
          <w:color w:val="000000"/>
          <w:sz w:val="20"/>
          <w:szCs w:val="20"/>
          <w:lang w:eastAsia="en-US"/>
        </w:rPr>
        <w:t xml:space="preserve"> 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E21384" w:rsidRPr="00EA2362" w14:paraId="0166D4C8" w14:textId="77777777" w:rsidTr="00E21384">
        <w:trPr>
          <w:trHeight w:val="688"/>
          <w:jc w:val="center"/>
        </w:trPr>
        <w:tc>
          <w:tcPr>
            <w:tcW w:w="5606" w:type="dxa"/>
            <w:shd w:val="clear" w:color="auto" w:fill="DBE5F1" w:themeFill="accent1" w:themeFillTint="33"/>
            <w:vAlign w:val="center"/>
          </w:tcPr>
          <w:p w14:paraId="54CCB511" w14:textId="77777777" w:rsidR="00E21384" w:rsidRPr="00EA2362" w:rsidRDefault="00E2138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E21384" w:rsidRPr="00EA2362" w:rsidRDefault="00E2138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E21384" w:rsidRPr="00EA2362" w:rsidRDefault="00E2138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E21384" w:rsidRPr="00EA2362" w:rsidRDefault="00E21384"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E21384" w:rsidRPr="00EA2362" w:rsidRDefault="00E21384"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E21384" w:rsidRPr="00EA2362" w14:paraId="6CA125F2" w14:textId="77777777" w:rsidTr="00E21384">
        <w:trPr>
          <w:trHeight w:val="432"/>
          <w:jc w:val="center"/>
        </w:trPr>
        <w:tc>
          <w:tcPr>
            <w:tcW w:w="5606" w:type="dxa"/>
            <w:shd w:val="clear" w:color="auto" w:fill="F2F2F2" w:themeFill="background1" w:themeFillShade="F2"/>
            <w:vAlign w:val="center"/>
          </w:tcPr>
          <w:p w14:paraId="7583AF79" w14:textId="77777777" w:rsidR="00E21384" w:rsidRPr="00797EBB" w:rsidRDefault="00E21384" w:rsidP="00E21384">
            <w:pPr>
              <w:rPr>
                <w:rFonts w:ascii="Arial Narrow" w:hAnsi="Arial Narrow"/>
              </w:rPr>
            </w:pPr>
          </w:p>
          <w:p w14:paraId="57EFBDB3" w14:textId="20160381" w:rsidR="00E21384" w:rsidRPr="00797EBB" w:rsidRDefault="00E21384" w:rsidP="00967D62">
            <w:pPr>
              <w:pStyle w:val="ListParagraph"/>
              <w:numPr>
                <w:ilvl w:val="0"/>
                <w:numId w:val="28"/>
              </w:numPr>
              <w:jc w:val="both"/>
              <w:rPr>
                <w:rFonts w:ascii="Arial Narrow" w:hAnsi="Arial Narrow" w:cstheme="minorHAnsi"/>
                <w:b/>
                <w:bCs/>
              </w:rPr>
            </w:pPr>
            <w:r w:rsidRPr="00797EBB">
              <w:rPr>
                <w:rFonts w:ascii="Arial Narrow" w:hAnsi="Arial Narrow" w:cstheme="minorHAnsi"/>
                <w:b/>
                <w:bCs/>
              </w:rPr>
              <w:t xml:space="preserve">Contribution to </w:t>
            </w:r>
            <w:r w:rsidR="00443559" w:rsidRPr="00797EBB">
              <w:rPr>
                <w:rFonts w:ascii="Arial Narrow" w:hAnsi="Arial Narrow" w:cstheme="minorHAnsi"/>
                <w:b/>
                <w:bCs/>
              </w:rPr>
              <w:t xml:space="preserve">the process of </w:t>
            </w:r>
            <w:r w:rsidRPr="00797EBB">
              <w:rPr>
                <w:rFonts w:ascii="Arial Narrow" w:hAnsi="Arial Narrow" w:cstheme="minorHAnsi"/>
                <w:b/>
                <w:bCs/>
              </w:rPr>
              <w:t>conduct</w:t>
            </w:r>
            <w:r w:rsidR="00443559" w:rsidRPr="00797EBB">
              <w:rPr>
                <w:rFonts w:ascii="Arial Narrow" w:hAnsi="Arial Narrow" w:cstheme="minorHAnsi"/>
                <w:b/>
                <w:bCs/>
              </w:rPr>
              <w:t>ing the</w:t>
            </w:r>
            <w:r w:rsidRPr="00797EBB">
              <w:rPr>
                <w:rFonts w:ascii="Arial Narrow" w:hAnsi="Arial Narrow" w:cstheme="minorHAnsi"/>
              </w:rPr>
              <w:t xml:space="preserve"> </w:t>
            </w:r>
            <w:r w:rsidRPr="00797EBB">
              <w:rPr>
                <w:rFonts w:ascii="Arial Narrow" w:hAnsi="Arial Narrow" w:cstheme="minorHAnsi"/>
                <w:b/>
                <w:bCs/>
              </w:rPr>
              <w:t xml:space="preserve">legal needs </w:t>
            </w:r>
            <w:r w:rsidR="00443559" w:rsidRPr="00797EBB">
              <w:rPr>
                <w:rFonts w:ascii="Arial Narrow" w:hAnsi="Arial Narrow" w:cstheme="minorHAnsi"/>
                <w:b/>
                <w:bCs/>
              </w:rPr>
              <w:t>survey</w:t>
            </w:r>
            <w:r w:rsidRPr="00797EBB">
              <w:rPr>
                <w:rFonts w:ascii="Arial Narrow" w:hAnsi="Arial Narrow" w:cstheme="minorHAnsi"/>
                <w:b/>
                <w:bCs/>
              </w:rPr>
              <w:t xml:space="preserve"> in North Macedonia</w:t>
            </w:r>
          </w:p>
          <w:p w14:paraId="234D68E6" w14:textId="77777777" w:rsidR="00E21384" w:rsidRPr="00797EBB" w:rsidRDefault="00E21384" w:rsidP="00E21384">
            <w:pPr>
              <w:jc w:val="both"/>
              <w:rPr>
                <w:rFonts w:ascii="Arial Narrow" w:hAnsi="Arial Narrow" w:cstheme="minorHAnsi"/>
              </w:rPr>
            </w:pPr>
          </w:p>
          <w:p w14:paraId="6BBE1678" w14:textId="321B7506" w:rsidR="00E21384" w:rsidRPr="00797EBB" w:rsidRDefault="00E21384" w:rsidP="00E21384">
            <w:pPr>
              <w:jc w:val="both"/>
              <w:rPr>
                <w:rStyle w:val="StyleTNR8Aut"/>
                <w:rFonts w:ascii="Arial Narrow" w:hAnsi="Arial Narrow" w:cstheme="minorHAnsi"/>
                <w:b/>
                <w:bCs/>
                <w:sz w:val="22"/>
              </w:rPr>
            </w:pPr>
            <w:r w:rsidRPr="00797EBB">
              <w:rPr>
                <w:rFonts w:ascii="Arial Narrow" w:hAnsi="Arial Narrow" w:cstheme="minorHAnsi"/>
              </w:rPr>
              <w:t>The consultancy entails c</w:t>
            </w:r>
            <w:r w:rsidRPr="00797EBB">
              <w:rPr>
                <w:rFonts w:ascii="Arial Narrow" w:hAnsi="Arial Narrow" w:cstheme="minorHAnsi"/>
                <w:b/>
              </w:rPr>
              <w:t xml:space="preserve">ontinuous support and advice to the local consultant and the project team </w:t>
            </w:r>
            <w:r w:rsidRPr="00797EBB">
              <w:rPr>
                <w:rStyle w:val="StyleTNR8Aut"/>
                <w:rFonts w:ascii="Arial Narrow" w:hAnsi="Arial Narrow" w:cstheme="minorHAnsi"/>
                <w:sz w:val="22"/>
              </w:rPr>
              <w:t xml:space="preserve">on issues related to the </w:t>
            </w:r>
            <w:r w:rsidR="00443559" w:rsidRPr="00797EBB">
              <w:rPr>
                <w:rStyle w:val="StyleTNR8Aut"/>
                <w:rFonts w:ascii="Arial Narrow" w:hAnsi="Arial Narrow" w:cstheme="minorHAnsi"/>
                <w:sz w:val="22"/>
              </w:rPr>
              <w:t>overview</w:t>
            </w:r>
            <w:r w:rsidRPr="00797EBB">
              <w:rPr>
                <w:rStyle w:val="StyleTNR8Aut"/>
                <w:rFonts w:ascii="Arial Narrow" w:hAnsi="Arial Narrow" w:cstheme="minorHAnsi"/>
                <w:sz w:val="22"/>
              </w:rPr>
              <w:t xml:space="preserve"> of the process of conducting of Legal Needs Assessment in North Macedonia.</w:t>
            </w:r>
          </w:p>
          <w:p w14:paraId="7670EE67" w14:textId="77777777" w:rsidR="00E21384" w:rsidRPr="00797EBB" w:rsidRDefault="00E21384" w:rsidP="00E21384">
            <w:pPr>
              <w:jc w:val="both"/>
              <w:rPr>
                <w:rStyle w:val="StyleTNR8Aut"/>
                <w:sz w:val="22"/>
              </w:rPr>
            </w:pPr>
          </w:p>
          <w:p w14:paraId="6576EC83"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The legal needs assessment is crucial tool that provides data and basis for more efficient planning and provision of legal aid and enables evaluation of policies </w:t>
            </w:r>
            <w:proofErr w:type="gramStart"/>
            <w:r w:rsidRPr="00797EBB">
              <w:rPr>
                <w:rStyle w:val="StyleTNR8Aut"/>
                <w:rFonts w:ascii="Arial Narrow" w:hAnsi="Arial Narrow"/>
                <w:sz w:val="22"/>
              </w:rPr>
              <w:t>in the area of</w:t>
            </w:r>
            <w:proofErr w:type="gramEnd"/>
            <w:r w:rsidRPr="00797EBB">
              <w:rPr>
                <w:rStyle w:val="StyleTNR8Aut"/>
                <w:rFonts w:ascii="Arial Narrow" w:hAnsi="Arial Narrow"/>
                <w:sz w:val="22"/>
              </w:rPr>
              <w:t xml:space="preserve"> access to justice. In order to ensure relevance and synergy with government policies, this process aims to contribute </w:t>
            </w:r>
            <w:proofErr w:type="gramStart"/>
            <w:r w:rsidRPr="00797EBB">
              <w:rPr>
                <w:rStyle w:val="StyleTNR8Aut"/>
                <w:rFonts w:ascii="Arial Narrow" w:hAnsi="Arial Narrow"/>
                <w:sz w:val="22"/>
              </w:rPr>
              <w:t>in</w:t>
            </w:r>
            <w:proofErr w:type="gramEnd"/>
            <w:r w:rsidRPr="00797EBB">
              <w:rPr>
                <w:rStyle w:val="StyleTNR8Aut"/>
                <w:rFonts w:ascii="Arial Narrow" w:hAnsi="Arial Narrow"/>
                <w:sz w:val="22"/>
              </w:rPr>
              <w:t xml:space="preserve"> realization of one of the commitments of North Macedonia stated in the Open Government Partnership National Action Plan 2018-2020, which is conducting a National Survey of Citizen’s Legal Needs in order to develop a plan or strategy for legal strengthening in accordance with previously obtained findings.</w:t>
            </w:r>
          </w:p>
          <w:p w14:paraId="1E5C4A9D" w14:textId="77777777" w:rsidR="00E21384" w:rsidRPr="00797EBB" w:rsidRDefault="00E21384" w:rsidP="00E21384">
            <w:pPr>
              <w:jc w:val="both"/>
              <w:rPr>
                <w:rStyle w:val="StyleTNR8Aut"/>
                <w:rFonts w:ascii="Arial Narrow" w:hAnsi="Arial Narrow"/>
                <w:sz w:val="22"/>
              </w:rPr>
            </w:pPr>
          </w:p>
          <w:p w14:paraId="55A72786"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The main objective of the LNA is to provide valuable evidence-based data to inform debate and policy developments concerning administering and providing legal aid. The legal needs survey should examine the nature of legal problems, the pathways to their resolution and the demographic groups that are particularly vulnerable to experiencing legal problems. More specifically, the study should assess:</w:t>
            </w:r>
          </w:p>
          <w:p w14:paraId="08A42C41"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1. the prevalence of legal </w:t>
            </w:r>
            <w:proofErr w:type="gramStart"/>
            <w:r w:rsidRPr="00797EBB">
              <w:rPr>
                <w:rStyle w:val="StyleTNR8Aut"/>
                <w:rFonts w:ascii="Arial Narrow" w:hAnsi="Arial Narrow"/>
                <w:sz w:val="22"/>
              </w:rPr>
              <w:t>problems;</w:t>
            </w:r>
            <w:proofErr w:type="gramEnd"/>
          </w:p>
          <w:p w14:paraId="1D4274A9"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2. the nature of legal </w:t>
            </w:r>
            <w:proofErr w:type="gramStart"/>
            <w:r w:rsidRPr="00797EBB">
              <w:rPr>
                <w:rStyle w:val="StyleTNR8Aut"/>
                <w:rFonts w:ascii="Arial Narrow" w:hAnsi="Arial Narrow"/>
                <w:sz w:val="22"/>
              </w:rPr>
              <w:t>problems;</w:t>
            </w:r>
            <w:proofErr w:type="gramEnd"/>
          </w:p>
          <w:p w14:paraId="19822FF8"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3. the strategies used in response to legal </w:t>
            </w:r>
            <w:proofErr w:type="gramStart"/>
            <w:r w:rsidRPr="00797EBB">
              <w:rPr>
                <w:rStyle w:val="StyleTNR8Aut"/>
                <w:rFonts w:ascii="Arial Narrow" w:hAnsi="Arial Narrow"/>
                <w:sz w:val="22"/>
              </w:rPr>
              <w:t>problems;</w:t>
            </w:r>
            <w:proofErr w:type="gramEnd"/>
          </w:p>
          <w:p w14:paraId="3276F5E4"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4. the advice received for legal </w:t>
            </w:r>
            <w:proofErr w:type="gramStart"/>
            <w:r w:rsidRPr="00797EBB">
              <w:rPr>
                <w:rStyle w:val="StyleTNR8Aut"/>
                <w:rFonts w:ascii="Arial Narrow" w:hAnsi="Arial Narrow"/>
                <w:sz w:val="22"/>
              </w:rPr>
              <w:t>problems;</w:t>
            </w:r>
            <w:proofErr w:type="gramEnd"/>
          </w:p>
          <w:p w14:paraId="18C3F988"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5. the finalisation of legal </w:t>
            </w:r>
            <w:proofErr w:type="gramStart"/>
            <w:r w:rsidRPr="00797EBB">
              <w:rPr>
                <w:rStyle w:val="StyleTNR8Aut"/>
                <w:rFonts w:ascii="Arial Narrow" w:hAnsi="Arial Narrow"/>
                <w:sz w:val="22"/>
              </w:rPr>
              <w:t>problems;</w:t>
            </w:r>
            <w:proofErr w:type="gramEnd"/>
          </w:p>
          <w:p w14:paraId="314897BF"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6. the outcome of legal </w:t>
            </w:r>
            <w:proofErr w:type="gramStart"/>
            <w:r w:rsidRPr="00797EBB">
              <w:rPr>
                <w:rStyle w:val="StyleTNR8Aut"/>
                <w:rFonts w:ascii="Arial Narrow" w:hAnsi="Arial Narrow"/>
                <w:sz w:val="22"/>
              </w:rPr>
              <w:t>problems;</w:t>
            </w:r>
            <w:proofErr w:type="gramEnd"/>
          </w:p>
          <w:p w14:paraId="48F23CD9"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 xml:space="preserve">7. the factors that may influence each of the above. </w:t>
            </w:r>
          </w:p>
          <w:p w14:paraId="10152F18" w14:textId="77777777"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In relation to aim 7, the influence of the following factors should be examined by demographic characteristics (</w:t>
            </w:r>
            <w:proofErr w:type="gramStart"/>
            <w:r w:rsidRPr="00797EBB">
              <w:rPr>
                <w:rStyle w:val="StyleTNR8Aut"/>
                <w:rFonts w:ascii="Arial Narrow" w:hAnsi="Arial Narrow"/>
                <w:sz w:val="22"/>
              </w:rPr>
              <w:t>e.g.</w:t>
            </w:r>
            <w:proofErr w:type="gramEnd"/>
            <w:r w:rsidRPr="00797EBB">
              <w:rPr>
                <w:rStyle w:val="StyleTNR8Aut"/>
                <w:rFonts w:ascii="Arial Narrow" w:hAnsi="Arial Narrow"/>
                <w:sz w:val="22"/>
              </w:rPr>
              <w:t xml:space="preserve"> gender, age, ethnicity, disability status, education, employment status, family status, housing type, main income), characteristics of legal problems (e.g. type, recency and severity of problems).</w:t>
            </w:r>
          </w:p>
          <w:p w14:paraId="17BC7287" w14:textId="77777777" w:rsidR="00E21384" w:rsidRPr="00797EBB" w:rsidRDefault="00E21384" w:rsidP="00E21384">
            <w:pPr>
              <w:jc w:val="both"/>
              <w:rPr>
                <w:rStyle w:val="StyleTNR8Aut"/>
                <w:rFonts w:ascii="Arial Narrow" w:hAnsi="Arial Narrow"/>
                <w:sz w:val="22"/>
              </w:rPr>
            </w:pPr>
          </w:p>
          <w:p w14:paraId="33827179" w14:textId="083360CA" w:rsidR="00E21384" w:rsidRPr="00797EBB" w:rsidRDefault="00E21384" w:rsidP="00E21384">
            <w:pPr>
              <w:jc w:val="both"/>
              <w:rPr>
                <w:rStyle w:val="StyleTNR8Aut"/>
                <w:rFonts w:ascii="Arial Narrow" w:hAnsi="Arial Narrow"/>
                <w:sz w:val="22"/>
              </w:rPr>
            </w:pPr>
            <w:r w:rsidRPr="00797EBB">
              <w:rPr>
                <w:rStyle w:val="StyleTNR8Aut"/>
                <w:rFonts w:ascii="Arial Narrow" w:hAnsi="Arial Narrow"/>
                <w:sz w:val="22"/>
              </w:rPr>
              <w:t>As proposed in the paper “Overview of approaches and modalities for designing and conducting legal needs assessment in North Macedonia” already developed under the Action</w:t>
            </w:r>
            <w:r w:rsidR="00967D62">
              <w:rPr>
                <w:rStyle w:val="StyleTNR8Aut"/>
                <w:rFonts w:ascii="Arial Narrow" w:hAnsi="Arial Narrow"/>
                <w:sz w:val="22"/>
              </w:rPr>
              <w:t xml:space="preserve"> (Appendix 1)</w:t>
            </w:r>
            <w:r w:rsidRPr="00797EBB">
              <w:rPr>
                <w:rStyle w:val="StyleTNR8Aut"/>
                <w:rFonts w:ascii="Arial Narrow" w:hAnsi="Arial Narrow"/>
                <w:sz w:val="22"/>
              </w:rPr>
              <w:t xml:space="preserve">, the legal needs assessment </w:t>
            </w:r>
            <w:r w:rsidR="00443559" w:rsidRPr="00797EBB">
              <w:rPr>
                <w:rStyle w:val="StyleTNR8Aut"/>
                <w:rFonts w:ascii="Arial Narrow" w:hAnsi="Arial Narrow"/>
                <w:sz w:val="22"/>
              </w:rPr>
              <w:t>is currently being</w:t>
            </w:r>
            <w:r w:rsidRPr="00797EBB">
              <w:rPr>
                <w:rStyle w:val="StyleTNR8Aut"/>
                <w:rFonts w:ascii="Arial Narrow" w:hAnsi="Arial Narrow"/>
                <w:sz w:val="22"/>
              </w:rPr>
              <w:t xml:space="preserve"> conducted in the form of legal needs survey following the paths to justice methodology (described in the paper). This method will enable comparability of the results with the 2012 study </w:t>
            </w:r>
            <w:r w:rsidRPr="00797EBB">
              <w:rPr>
                <w:rStyle w:val="StyleTNR8Aut"/>
                <w:rFonts w:ascii="Arial Narrow" w:hAnsi="Arial Narrow"/>
                <w:sz w:val="22"/>
                <w:lang w:val="mk-MK"/>
              </w:rPr>
              <w:t>(</w:t>
            </w:r>
            <w:r w:rsidRPr="00797EBB">
              <w:rPr>
                <w:rStyle w:val="StyleTNR8Aut"/>
                <w:rFonts w:ascii="Arial Narrow" w:hAnsi="Arial Narrow"/>
                <w:sz w:val="22"/>
                <w:lang w:val="en-US"/>
              </w:rPr>
              <w:t xml:space="preserve">already conducted in North Macedonia) </w:t>
            </w:r>
            <w:r w:rsidRPr="00797EBB">
              <w:rPr>
                <w:rStyle w:val="StyleTNR8Aut"/>
                <w:rFonts w:ascii="Arial Narrow" w:hAnsi="Arial Narrow"/>
                <w:sz w:val="22"/>
              </w:rPr>
              <w:t xml:space="preserve">which is very important </w:t>
            </w:r>
            <w:proofErr w:type="gramStart"/>
            <w:r w:rsidRPr="00797EBB">
              <w:rPr>
                <w:rStyle w:val="StyleTNR8Aut"/>
                <w:rFonts w:ascii="Arial Narrow" w:hAnsi="Arial Narrow"/>
                <w:sz w:val="22"/>
              </w:rPr>
              <w:t>in order to</w:t>
            </w:r>
            <w:proofErr w:type="gramEnd"/>
            <w:r w:rsidRPr="00797EBB">
              <w:rPr>
                <w:rStyle w:val="StyleTNR8Aut"/>
                <w:rFonts w:ascii="Arial Narrow" w:hAnsi="Arial Narrow"/>
                <w:sz w:val="22"/>
              </w:rPr>
              <w:t xml:space="preserve"> assess the impact of policies in the area of access to justice. Furthermore, it is the most utilized method for assessing legal needs with significant literature and impact on policymaking processes and it will enable comparability with other jurisdiction to certain extent.</w:t>
            </w:r>
          </w:p>
          <w:p w14:paraId="2E47ECED" w14:textId="77777777" w:rsidR="00E21384" w:rsidRPr="00797EBB" w:rsidRDefault="00E21384" w:rsidP="00E21384">
            <w:pPr>
              <w:pStyle w:val="ListParagraph"/>
              <w:jc w:val="both"/>
              <w:rPr>
                <w:rFonts w:ascii="Arial Narrow" w:hAnsi="Arial Narrow"/>
              </w:rPr>
            </w:pPr>
          </w:p>
          <w:p w14:paraId="1858FBE5" w14:textId="22FC8433" w:rsidR="00E21384" w:rsidRPr="00797EBB" w:rsidRDefault="00E21384" w:rsidP="00E21384">
            <w:pPr>
              <w:ind w:right="142"/>
              <w:jc w:val="both"/>
              <w:rPr>
                <w:rStyle w:val="StyleTNR8Aut"/>
                <w:rFonts w:ascii="Arial Narrow" w:hAnsi="Arial Narrow"/>
              </w:rPr>
            </w:pPr>
            <w:r w:rsidRPr="00797EBB">
              <w:rPr>
                <w:rStyle w:val="StyleTNR8Aut"/>
                <w:rFonts w:ascii="Arial Narrow" w:hAnsi="Arial Narrow"/>
                <w:sz w:val="22"/>
              </w:rPr>
              <w:t xml:space="preserve">The consultant will work under supervision of </w:t>
            </w:r>
            <w:proofErr w:type="spellStart"/>
            <w:r w:rsidRPr="00797EBB">
              <w:rPr>
                <w:rStyle w:val="StyleTNR8Aut"/>
                <w:rFonts w:ascii="Arial Narrow" w:hAnsi="Arial Narrow"/>
                <w:sz w:val="22"/>
              </w:rPr>
              <w:t>CoE</w:t>
            </w:r>
            <w:proofErr w:type="spellEnd"/>
            <w:r w:rsidRPr="00797EBB">
              <w:rPr>
                <w:rStyle w:val="StyleTNR8Aut"/>
                <w:rFonts w:ascii="Arial Narrow" w:hAnsi="Arial Narrow"/>
                <w:sz w:val="22"/>
              </w:rPr>
              <w:t xml:space="preserve"> project team. He will closely co-operate, share information, provide relevant </w:t>
            </w:r>
            <w:proofErr w:type="gramStart"/>
            <w:r w:rsidRPr="00797EBB">
              <w:rPr>
                <w:rStyle w:val="StyleTNR8Aut"/>
                <w:rFonts w:ascii="Arial Narrow" w:hAnsi="Arial Narrow"/>
                <w:sz w:val="22"/>
              </w:rPr>
              <w:t>inputs</w:t>
            </w:r>
            <w:proofErr w:type="gramEnd"/>
            <w:r w:rsidRPr="00797EBB">
              <w:rPr>
                <w:rStyle w:val="StyleTNR8Aut"/>
                <w:rFonts w:ascii="Arial Narrow" w:hAnsi="Arial Narrow"/>
                <w:sz w:val="22"/>
              </w:rPr>
              <w:t xml:space="preserve"> and communicate via email, phone and video conferences, as needed, with the local consultant and with the Council of Europe staff,</w:t>
            </w:r>
            <w:r w:rsidR="00E951B3">
              <w:rPr>
                <w:rStyle w:val="StyleTNR8Aut"/>
                <w:rFonts w:ascii="Arial Narrow" w:hAnsi="Arial Narrow"/>
                <w:sz w:val="22"/>
              </w:rPr>
              <w:t xml:space="preserve"> </w:t>
            </w:r>
            <w:r w:rsidR="00E951B3" w:rsidRPr="002007D8">
              <w:rPr>
                <w:rStyle w:val="StyleTNR8Aut"/>
                <w:rFonts w:ascii="Arial Narrow" w:hAnsi="Arial Narrow" w:cs="Tahoma"/>
                <w:sz w:val="22"/>
              </w:rPr>
              <w:t xml:space="preserve">with the </w:t>
            </w:r>
            <w:r w:rsidR="00E951B3" w:rsidRPr="002007D8">
              <w:rPr>
                <w:rFonts w:ascii="Arial Narrow" w:hAnsi="Arial Narrow" w:cs="Tahoma"/>
                <w:lang w:eastAsia="en-US"/>
              </w:rPr>
              <w:t xml:space="preserve">service provider (engaged for conducting the Legal Needs Survey) </w:t>
            </w:r>
            <w:r w:rsidR="00E951B3">
              <w:rPr>
                <w:rFonts w:ascii="Arial Narrow" w:hAnsi="Arial Narrow" w:cs="Tahoma"/>
                <w:lang w:eastAsia="en-US"/>
              </w:rPr>
              <w:t>and if needed</w:t>
            </w:r>
            <w:r w:rsidRPr="00797EBB">
              <w:rPr>
                <w:rStyle w:val="StyleTNR8Aut"/>
                <w:rFonts w:ascii="Arial Narrow" w:hAnsi="Arial Narrow"/>
                <w:sz w:val="22"/>
              </w:rPr>
              <w:t xml:space="preserve"> with project stakeholders and other consultants engaged under this project.</w:t>
            </w:r>
            <w:r w:rsidRPr="00797EBB">
              <w:rPr>
                <w:rStyle w:val="StyleTNR8Aut"/>
                <w:rFonts w:ascii="Arial Narrow" w:hAnsi="Arial Narrow"/>
              </w:rPr>
              <w:t xml:space="preserve"> </w:t>
            </w:r>
          </w:p>
          <w:p w14:paraId="28C431B9" w14:textId="77777777" w:rsidR="00E21384" w:rsidRPr="00797EBB" w:rsidRDefault="00E21384" w:rsidP="00E21384">
            <w:pPr>
              <w:pStyle w:val="ListParagraph"/>
              <w:ind w:left="0"/>
              <w:jc w:val="both"/>
              <w:rPr>
                <w:rFonts w:ascii="Arial Narrow" w:hAnsi="Arial Narrow"/>
              </w:rPr>
            </w:pPr>
          </w:p>
          <w:p w14:paraId="60FDA710" w14:textId="68A5DE80" w:rsidR="00E21384" w:rsidRPr="00797EBB" w:rsidRDefault="00E21384" w:rsidP="00E21384">
            <w:pPr>
              <w:tabs>
                <w:tab w:val="left" w:pos="-139"/>
              </w:tabs>
              <w:spacing w:line="276" w:lineRule="auto"/>
              <w:ind w:right="-140"/>
              <w:rPr>
                <w:rFonts w:ascii="Tahoma" w:hAnsi="Tahoma" w:cs="Tahoma"/>
                <w:sz w:val="18"/>
                <w:szCs w:val="18"/>
                <w:lang w:eastAsia="en-US"/>
              </w:rPr>
            </w:pPr>
          </w:p>
        </w:tc>
        <w:tc>
          <w:tcPr>
            <w:tcW w:w="1370" w:type="dxa"/>
            <w:tcBorders>
              <w:right w:val="single" w:sz="2" w:space="0" w:color="FF0000"/>
            </w:tcBorders>
            <w:shd w:val="clear" w:color="auto" w:fill="F2F2F2" w:themeFill="background1" w:themeFillShade="F2"/>
            <w:vAlign w:val="center"/>
          </w:tcPr>
          <w:p w14:paraId="7DFF09AB" w14:textId="551A416C" w:rsidR="00E21384" w:rsidRPr="00752C2D" w:rsidRDefault="00752C2D" w:rsidP="00E21384">
            <w:pPr>
              <w:tabs>
                <w:tab w:val="left" w:pos="-139"/>
              </w:tabs>
              <w:spacing w:line="276" w:lineRule="auto"/>
              <w:ind w:right="-140"/>
              <w:jc w:val="center"/>
              <w:rPr>
                <w:rFonts w:ascii="Tahoma" w:hAnsi="Tahoma" w:cs="Tahoma"/>
                <w:sz w:val="18"/>
                <w:szCs w:val="18"/>
                <w:lang w:eastAsia="en-US"/>
              </w:rPr>
            </w:pPr>
            <w:r w:rsidRPr="00752C2D">
              <w:rPr>
                <w:rFonts w:ascii="Tahoma" w:hAnsi="Tahoma" w:cs="Tahoma"/>
                <w:sz w:val="18"/>
                <w:szCs w:val="18"/>
                <w:lang w:eastAsia="en-US"/>
              </w:rPr>
              <w:t>01/10/2022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E21384" w:rsidRPr="00EA2362" w:rsidRDefault="00E21384" w:rsidP="00E21384">
            <w:pPr>
              <w:tabs>
                <w:tab w:val="left" w:pos="-139"/>
              </w:tabs>
              <w:spacing w:line="276" w:lineRule="auto"/>
              <w:ind w:right="-140"/>
              <w:jc w:val="center"/>
              <w:rPr>
                <w:rFonts w:ascii="Tahoma" w:hAnsi="Tahoma" w:cs="Tahoma"/>
                <w:sz w:val="18"/>
                <w:szCs w:val="18"/>
                <w:highlight w:val="yellow"/>
                <w:lang w:eastAsia="en-US"/>
              </w:rPr>
            </w:pPr>
          </w:p>
        </w:tc>
      </w:tr>
      <w:tr w:rsidR="00E21384" w:rsidRPr="00EA2362" w14:paraId="3DA9B33C" w14:textId="77777777" w:rsidTr="00E21384">
        <w:trPr>
          <w:trHeight w:val="432"/>
          <w:jc w:val="center"/>
        </w:trPr>
        <w:tc>
          <w:tcPr>
            <w:tcW w:w="5606" w:type="dxa"/>
            <w:shd w:val="clear" w:color="auto" w:fill="F2F2F2" w:themeFill="background1" w:themeFillShade="F2"/>
            <w:vAlign w:val="center"/>
          </w:tcPr>
          <w:p w14:paraId="6623B7A3" w14:textId="187B2817" w:rsidR="00E21384" w:rsidRPr="00797EBB" w:rsidRDefault="002007D8" w:rsidP="00967D62">
            <w:pPr>
              <w:pStyle w:val="ListParagraph"/>
              <w:numPr>
                <w:ilvl w:val="0"/>
                <w:numId w:val="28"/>
              </w:numPr>
              <w:tabs>
                <w:tab w:val="left" w:pos="-139"/>
              </w:tabs>
              <w:spacing w:line="276" w:lineRule="auto"/>
              <w:ind w:right="-140"/>
              <w:rPr>
                <w:rStyle w:val="StyleTNR8Aut"/>
                <w:rFonts w:ascii="Tahoma" w:hAnsi="Tahoma" w:cs="Tahoma"/>
                <w:sz w:val="18"/>
                <w:szCs w:val="18"/>
                <w:lang w:eastAsia="en-US"/>
              </w:rPr>
            </w:pPr>
            <w:r>
              <w:rPr>
                <w:rStyle w:val="StyleTNR8Aut"/>
                <w:rFonts w:ascii="Arial Narrow" w:hAnsi="Arial Narrow" w:cstheme="minorHAnsi"/>
                <w:b/>
                <w:bCs/>
                <w:sz w:val="22"/>
              </w:rPr>
              <w:t>C</w:t>
            </w:r>
            <w:r w:rsidR="00C070D6">
              <w:rPr>
                <w:rStyle w:val="StyleTNR8Aut"/>
                <w:rFonts w:ascii="Arial Narrow" w:hAnsi="Arial Narrow" w:cstheme="minorHAnsi"/>
                <w:b/>
                <w:bCs/>
                <w:sz w:val="22"/>
              </w:rPr>
              <w:t xml:space="preserve">ontribution to </w:t>
            </w:r>
            <w:r w:rsidRPr="00797EBB">
              <w:rPr>
                <w:rStyle w:val="StyleTNR8Aut"/>
                <w:rFonts w:ascii="Arial Narrow" w:hAnsi="Arial Narrow" w:cstheme="minorHAnsi"/>
                <w:b/>
                <w:bCs/>
                <w:sz w:val="22"/>
              </w:rPr>
              <w:t>data analysis</w:t>
            </w:r>
            <w:r>
              <w:rPr>
                <w:rStyle w:val="StyleTNR8Aut"/>
                <w:rFonts w:ascii="Arial Narrow" w:hAnsi="Arial Narrow" w:cstheme="minorHAnsi"/>
                <w:b/>
                <w:bCs/>
                <w:sz w:val="22"/>
              </w:rPr>
              <w:t xml:space="preserve"> and</w:t>
            </w:r>
            <w:r w:rsidR="00C070D6">
              <w:rPr>
                <w:rStyle w:val="StyleTNR8Aut"/>
                <w:rFonts w:ascii="Arial Narrow" w:hAnsi="Arial Narrow" w:cstheme="minorHAnsi"/>
                <w:b/>
                <w:bCs/>
                <w:sz w:val="22"/>
              </w:rPr>
              <w:t xml:space="preserve"> </w:t>
            </w:r>
            <w:r>
              <w:rPr>
                <w:rStyle w:val="StyleTNR8Aut"/>
                <w:rFonts w:ascii="Arial Narrow" w:hAnsi="Arial Narrow" w:cstheme="minorHAnsi"/>
                <w:b/>
                <w:bCs/>
                <w:sz w:val="22"/>
              </w:rPr>
              <w:t>preparation</w:t>
            </w:r>
            <w:r w:rsidR="00B54A00" w:rsidRPr="00797EBB">
              <w:rPr>
                <w:rStyle w:val="StyleTNR8Aut"/>
                <w:rFonts w:ascii="Arial Narrow" w:hAnsi="Arial Narrow" w:cstheme="minorHAnsi"/>
                <w:b/>
                <w:bCs/>
                <w:sz w:val="22"/>
              </w:rPr>
              <w:t xml:space="preserve"> of the final </w:t>
            </w:r>
            <w:r>
              <w:rPr>
                <w:rStyle w:val="StyleTNR8Aut"/>
                <w:rFonts w:ascii="Arial Narrow" w:hAnsi="Arial Narrow" w:cstheme="minorHAnsi"/>
                <w:b/>
                <w:bCs/>
                <w:sz w:val="22"/>
              </w:rPr>
              <w:t>Report</w:t>
            </w:r>
          </w:p>
          <w:p w14:paraId="63597B1A" w14:textId="77777777" w:rsidR="00B54A00" w:rsidRPr="002007D8" w:rsidRDefault="00B54A00" w:rsidP="00B54A00">
            <w:pPr>
              <w:tabs>
                <w:tab w:val="left" w:pos="-139"/>
              </w:tabs>
              <w:spacing w:line="276" w:lineRule="auto"/>
              <w:ind w:right="-140"/>
              <w:rPr>
                <w:rFonts w:ascii="Tahoma" w:hAnsi="Tahoma" w:cs="Tahoma"/>
                <w:lang w:eastAsia="en-US"/>
              </w:rPr>
            </w:pPr>
          </w:p>
          <w:p w14:paraId="53D12E91" w14:textId="079133F3" w:rsidR="00B54A00" w:rsidRPr="002007D8" w:rsidRDefault="007C2083" w:rsidP="007C2083">
            <w:pPr>
              <w:tabs>
                <w:tab w:val="left" w:pos="-139"/>
              </w:tabs>
              <w:ind w:right="-140"/>
              <w:rPr>
                <w:rFonts w:ascii="Arial Narrow" w:hAnsi="Arial Narrow" w:cs="Tahoma"/>
                <w:lang w:eastAsia="en-US"/>
              </w:rPr>
            </w:pPr>
            <w:r w:rsidRPr="007C2083">
              <w:rPr>
                <w:rFonts w:ascii="Arial Narrow" w:hAnsi="Arial Narrow" w:cs="Tahoma"/>
                <w:lang w:eastAsia="en-US"/>
              </w:rPr>
              <w:t>The consultant will provide support to the local consultant by providing contribution t</w:t>
            </w:r>
            <w:r>
              <w:rPr>
                <w:rFonts w:ascii="Arial Narrow" w:hAnsi="Arial Narrow" w:cs="Tahoma"/>
                <w:lang w:eastAsia="en-US"/>
              </w:rPr>
              <w:t>o</w:t>
            </w:r>
            <w:r w:rsidRPr="007C2083">
              <w:rPr>
                <w:rFonts w:ascii="Arial Narrow" w:hAnsi="Arial Narrow" w:cs="Tahoma"/>
                <w:lang w:eastAsia="en-US"/>
              </w:rPr>
              <w:t xml:space="preserve"> data analysis, review of the draft report and providing input where necessary on the interpretation of data and on the findings and conclusions of the legal needs survey. </w:t>
            </w:r>
            <w:r w:rsidR="002007D8" w:rsidRPr="002007D8">
              <w:rPr>
                <w:rFonts w:ascii="Arial Narrow" w:hAnsi="Arial Narrow" w:cs="Tahoma"/>
                <w:lang w:eastAsia="en-US"/>
              </w:rPr>
              <w:t>The consultancy also entails contribution to the finalisation of the report following the comments from the Council of Europe</w:t>
            </w:r>
            <w:r w:rsidR="00967D62" w:rsidRPr="002007D8">
              <w:rPr>
                <w:rFonts w:ascii="Arial Narrow" w:hAnsi="Arial Narrow" w:cs="Tahoma"/>
                <w:lang w:eastAsia="en-US"/>
              </w:rPr>
              <w:t>.</w:t>
            </w:r>
          </w:p>
          <w:p w14:paraId="29D2B081" w14:textId="77777777" w:rsidR="00B54A00" w:rsidRPr="002007D8" w:rsidRDefault="00B54A00" w:rsidP="00B54A00">
            <w:pPr>
              <w:tabs>
                <w:tab w:val="left" w:pos="-139"/>
              </w:tabs>
              <w:spacing w:line="276" w:lineRule="auto"/>
              <w:ind w:right="-140"/>
              <w:rPr>
                <w:rFonts w:ascii="Arial Narrow" w:hAnsi="Arial Narrow" w:cs="Tahoma"/>
                <w:lang w:eastAsia="en-US"/>
              </w:rPr>
            </w:pPr>
          </w:p>
          <w:p w14:paraId="5B30E122" w14:textId="73F8AF6D" w:rsidR="00752C2D" w:rsidRPr="002007D8" w:rsidRDefault="00B54A00" w:rsidP="00797EBB">
            <w:pPr>
              <w:ind w:right="142"/>
              <w:jc w:val="both"/>
              <w:rPr>
                <w:rFonts w:ascii="Arial Narrow" w:hAnsi="Arial Narrow" w:cs="Tahoma"/>
                <w:lang w:eastAsia="en-US"/>
              </w:rPr>
            </w:pPr>
            <w:r w:rsidRPr="002007D8">
              <w:rPr>
                <w:rFonts w:ascii="Arial Narrow" w:hAnsi="Arial Narrow" w:cs="Tahoma"/>
                <w:lang w:eastAsia="en-US"/>
              </w:rPr>
              <w:t xml:space="preserve">The consultant will attend an event </w:t>
            </w:r>
            <w:r w:rsidR="00967D62" w:rsidRPr="002007D8">
              <w:rPr>
                <w:rFonts w:ascii="Arial Narrow" w:hAnsi="Arial Narrow" w:cs="Tahoma"/>
                <w:lang w:eastAsia="en-US"/>
              </w:rPr>
              <w:t>for</w:t>
            </w:r>
            <w:r w:rsidRPr="002007D8">
              <w:rPr>
                <w:rFonts w:ascii="Arial Narrow" w:hAnsi="Arial Narrow" w:cs="Tahoma"/>
                <w:lang w:eastAsia="en-US"/>
              </w:rPr>
              <w:t xml:space="preserve"> presentation of the final report in front of the national stakeholders</w:t>
            </w:r>
            <w:r w:rsidR="00797EBB" w:rsidRPr="002007D8">
              <w:rPr>
                <w:rFonts w:ascii="Arial Narrow" w:hAnsi="Arial Narrow" w:cs="Tahoma"/>
                <w:lang w:eastAsia="en-US"/>
              </w:rPr>
              <w:t>,</w:t>
            </w:r>
            <w:r w:rsidRPr="002007D8">
              <w:rPr>
                <w:rFonts w:ascii="Arial Narrow" w:hAnsi="Arial Narrow" w:cs="Tahoma"/>
                <w:lang w:eastAsia="en-US"/>
              </w:rPr>
              <w:t xml:space="preserve"> if needed.</w:t>
            </w:r>
            <w:r w:rsidR="00797EBB" w:rsidRPr="002007D8">
              <w:rPr>
                <w:rFonts w:ascii="Arial Narrow" w:hAnsi="Arial Narrow" w:cs="Tahoma"/>
                <w:lang w:eastAsia="en-US"/>
              </w:rPr>
              <w:t xml:space="preserve"> </w:t>
            </w:r>
          </w:p>
          <w:p w14:paraId="2DC585A4" w14:textId="77777777" w:rsidR="00752C2D" w:rsidRPr="002007D8" w:rsidRDefault="00752C2D" w:rsidP="00797EBB">
            <w:pPr>
              <w:ind w:right="142"/>
              <w:jc w:val="both"/>
              <w:rPr>
                <w:rStyle w:val="StyleTNR8Aut"/>
                <w:rFonts w:ascii="Arial Narrow" w:hAnsi="Arial Narrow"/>
                <w:sz w:val="22"/>
              </w:rPr>
            </w:pPr>
          </w:p>
          <w:p w14:paraId="1C135D33" w14:textId="7D39CEF5" w:rsidR="00797EBB" w:rsidRPr="002007D8" w:rsidRDefault="00797EBB" w:rsidP="00797EBB">
            <w:pPr>
              <w:ind w:right="142"/>
              <w:jc w:val="both"/>
              <w:rPr>
                <w:rStyle w:val="StyleTNR8Aut"/>
                <w:rFonts w:ascii="Arial Narrow" w:hAnsi="Arial Narrow" w:cs="Tahoma"/>
                <w:sz w:val="22"/>
              </w:rPr>
            </w:pPr>
            <w:r w:rsidRPr="002007D8">
              <w:rPr>
                <w:rStyle w:val="StyleTNR8Aut"/>
                <w:rFonts w:ascii="Arial Narrow" w:hAnsi="Arial Narrow" w:cs="Tahoma"/>
                <w:sz w:val="22"/>
              </w:rPr>
              <w:t xml:space="preserve">The consultant will work under supervision of </w:t>
            </w:r>
            <w:proofErr w:type="spellStart"/>
            <w:r w:rsidRPr="002007D8">
              <w:rPr>
                <w:rStyle w:val="StyleTNR8Aut"/>
                <w:rFonts w:ascii="Arial Narrow" w:hAnsi="Arial Narrow" w:cs="Tahoma"/>
                <w:sz w:val="22"/>
              </w:rPr>
              <w:t>CoE</w:t>
            </w:r>
            <w:proofErr w:type="spellEnd"/>
            <w:r w:rsidRPr="002007D8">
              <w:rPr>
                <w:rStyle w:val="StyleTNR8Aut"/>
                <w:rFonts w:ascii="Arial Narrow" w:hAnsi="Arial Narrow" w:cs="Tahoma"/>
                <w:sz w:val="22"/>
              </w:rPr>
              <w:t xml:space="preserve"> project team. He will closely co-operate, share information, provide relevant </w:t>
            </w:r>
            <w:proofErr w:type="gramStart"/>
            <w:r w:rsidRPr="002007D8">
              <w:rPr>
                <w:rStyle w:val="StyleTNR8Aut"/>
                <w:rFonts w:ascii="Arial Narrow" w:hAnsi="Arial Narrow" w:cs="Tahoma"/>
                <w:sz w:val="22"/>
              </w:rPr>
              <w:t>inputs</w:t>
            </w:r>
            <w:proofErr w:type="gramEnd"/>
            <w:r w:rsidRPr="002007D8">
              <w:rPr>
                <w:rStyle w:val="StyleTNR8Aut"/>
                <w:rFonts w:ascii="Arial Narrow" w:hAnsi="Arial Narrow" w:cs="Tahoma"/>
                <w:sz w:val="22"/>
              </w:rPr>
              <w:t xml:space="preserve"> and communicate via email, phone and video conferences, as needed, with the local consultant and with the Council of Europe staff as well as, as needed, with the </w:t>
            </w:r>
            <w:r w:rsidRPr="002007D8">
              <w:rPr>
                <w:rFonts w:ascii="Arial Narrow" w:hAnsi="Arial Narrow" w:cs="Tahoma"/>
                <w:lang w:eastAsia="en-US"/>
              </w:rPr>
              <w:t xml:space="preserve">service provider (engaged for conducting the Legal Needs Survey) </w:t>
            </w:r>
            <w:r w:rsidRPr="002007D8">
              <w:rPr>
                <w:rStyle w:val="StyleTNR8Aut"/>
                <w:rFonts w:ascii="Arial Narrow" w:hAnsi="Arial Narrow" w:cs="Tahoma"/>
                <w:sz w:val="22"/>
              </w:rPr>
              <w:t xml:space="preserve">with project stakeholders and other consultants engaged under this project. </w:t>
            </w:r>
          </w:p>
          <w:p w14:paraId="2DEB1CF5" w14:textId="77777777" w:rsidR="00797EBB" w:rsidRPr="00797EBB" w:rsidRDefault="00797EBB" w:rsidP="00797EBB">
            <w:pPr>
              <w:pStyle w:val="ListParagraph"/>
              <w:ind w:left="0"/>
              <w:jc w:val="both"/>
              <w:rPr>
                <w:rFonts w:ascii="Arial Narrow" w:hAnsi="Arial Narrow"/>
              </w:rPr>
            </w:pPr>
          </w:p>
          <w:p w14:paraId="7D39B5B6" w14:textId="2FC2BC05" w:rsidR="00B54A00" w:rsidRPr="00797EBB" w:rsidRDefault="00B54A00" w:rsidP="00B54A00">
            <w:pPr>
              <w:tabs>
                <w:tab w:val="left" w:pos="-139"/>
              </w:tabs>
              <w:spacing w:line="276" w:lineRule="auto"/>
              <w:ind w:right="-140"/>
              <w:rPr>
                <w:rFonts w:ascii="Tahoma" w:hAnsi="Tahoma" w:cs="Tahoma"/>
                <w:sz w:val="18"/>
                <w:szCs w:val="18"/>
                <w:lang w:eastAsia="en-US"/>
              </w:rPr>
            </w:pPr>
            <w:r w:rsidRPr="00797EBB">
              <w:rPr>
                <w:rFonts w:ascii="Tahoma" w:hAnsi="Tahoma" w:cs="Tahoma"/>
                <w:sz w:val="18"/>
                <w:szCs w:val="18"/>
                <w:lang w:eastAsia="en-US"/>
              </w:rPr>
              <w:t xml:space="preserve"> </w:t>
            </w:r>
          </w:p>
        </w:tc>
        <w:tc>
          <w:tcPr>
            <w:tcW w:w="1370" w:type="dxa"/>
            <w:tcBorders>
              <w:right w:val="single" w:sz="2" w:space="0" w:color="FF0000"/>
            </w:tcBorders>
            <w:shd w:val="clear" w:color="auto" w:fill="F2F2F2" w:themeFill="background1" w:themeFillShade="F2"/>
            <w:vAlign w:val="center"/>
          </w:tcPr>
          <w:p w14:paraId="29FD109D" w14:textId="5EF54DC9" w:rsidR="00E21384" w:rsidRPr="00752C2D" w:rsidRDefault="007C72C5" w:rsidP="00E21384">
            <w:pPr>
              <w:tabs>
                <w:tab w:val="left" w:pos="-139"/>
              </w:tabs>
              <w:spacing w:line="276" w:lineRule="auto"/>
              <w:ind w:right="-140"/>
              <w:jc w:val="center"/>
              <w:rPr>
                <w:rFonts w:ascii="Tahoma" w:hAnsi="Tahoma" w:cs="Tahoma"/>
                <w:sz w:val="18"/>
                <w:szCs w:val="18"/>
                <w:lang w:val="en-US" w:eastAsia="en-US"/>
              </w:rPr>
            </w:pPr>
            <w:r w:rsidRPr="00752C2D">
              <w:rPr>
                <w:rFonts w:ascii="Tahoma" w:hAnsi="Tahoma" w:cs="Tahoma"/>
                <w:sz w:val="18"/>
                <w:szCs w:val="18"/>
                <w:lang w:eastAsia="en-US"/>
              </w:rPr>
              <w:t>15/10/2022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E21384" w:rsidRPr="00EA2362" w:rsidRDefault="00E21384" w:rsidP="00E21384">
            <w:pPr>
              <w:tabs>
                <w:tab w:val="left" w:pos="-139"/>
              </w:tabs>
              <w:spacing w:line="276" w:lineRule="auto"/>
              <w:ind w:right="-140"/>
              <w:jc w:val="center"/>
              <w:rPr>
                <w:rFonts w:ascii="Tahoma" w:hAnsi="Tahoma" w:cs="Tahoma"/>
                <w:sz w:val="18"/>
                <w:szCs w:val="18"/>
                <w:highlight w:val="yellow"/>
                <w:lang w:eastAsia="en-US"/>
              </w:rPr>
            </w:pPr>
          </w:p>
        </w:tc>
      </w:tr>
      <w:tr w:rsidR="00E21384" w:rsidRPr="00EA2362" w14:paraId="1564909A" w14:textId="77777777" w:rsidTr="00E21384">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7B6EB1F" w:rsidR="00E21384" w:rsidRPr="00EA2362" w:rsidRDefault="00E21384" w:rsidP="00E21384">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21384" w:rsidRPr="00EA2362" w:rsidRDefault="00E21384" w:rsidP="00E21384">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967D6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967D62" w:rsidRPr="00EA2362" w:rsidRDefault="00967D62" w:rsidP="00967D6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9523709" w:rsidR="00967D62" w:rsidRPr="00EA2362" w:rsidRDefault="00967D62" w:rsidP="00967D62">
            <w:pPr>
              <w:rPr>
                <w:rFonts w:ascii="Tahoma" w:eastAsia="Calibri" w:hAnsi="Tahoma" w:cs="Tahoma"/>
                <w:b/>
                <w:bCs/>
                <w:sz w:val="17"/>
                <w:szCs w:val="17"/>
                <w:lang w:eastAsia="en-US"/>
              </w:rPr>
            </w:pPr>
            <w:r w:rsidRPr="00ED3DC0">
              <w:rPr>
                <w:rFonts w:ascii="Tahoma" w:hAnsi="Tahoma" w:cs="Tahoma"/>
                <w:b/>
                <w:bCs/>
                <w:sz w:val="17"/>
                <w:szCs w:val="17"/>
                <w:lang w:eastAsia="en-US"/>
              </w:rPr>
              <w:t xml:space="preserve">Council of Europe Program Office in Skopje, </w:t>
            </w:r>
            <w:proofErr w:type="spellStart"/>
            <w:r w:rsidRPr="00ED3DC0">
              <w:rPr>
                <w:rFonts w:ascii="Tahoma" w:hAnsi="Tahoma" w:cs="Tahoma"/>
                <w:b/>
                <w:bCs/>
                <w:sz w:val="17"/>
                <w:szCs w:val="17"/>
                <w:lang w:eastAsia="en-US"/>
              </w:rPr>
              <w:t>Soravia</w:t>
            </w:r>
            <w:proofErr w:type="spellEnd"/>
            <w:r w:rsidRPr="00ED3DC0">
              <w:rPr>
                <w:rFonts w:ascii="Tahoma" w:hAnsi="Tahoma" w:cs="Tahoma"/>
                <w:b/>
                <w:bCs/>
                <w:sz w:val="17"/>
                <w:szCs w:val="17"/>
                <w:lang w:eastAsia="en-US"/>
              </w:rPr>
              <w:t xml:space="preserve"> </w:t>
            </w:r>
            <w:proofErr w:type="spellStart"/>
            <w:r w:rsidRPr="00ED3DC0">
              <w:rPr>
                <w:rFonts w:ascii="Tahoma" w:hAnsi="Tahoma" w:cs="Tahoma"/>
                <w:b/>
                <w:bCs/>
                <w:sz w:val="17"/>
                <w:szCs w:val="17"/>
                <w:lang w:eastAsia="en-US"/>
              </w:rPr>
              <w:t>Center</w:t>
            </w:r>
            <w:proofErr w:type="spellEnd"/>
            <w:r w:rsidRPr="00ED3DC0">
              <w:rPr>
                <w:rFonts w:ascii="Tahoma" w:hAnsi="Tahoma" w:cs="Tahoma"/>
                <w:b/>
                <w:bCs/>
                <w:sz w:val="17"/>
                <w:szCs w:val="17"/>
                <w:lang w:eastAsia="en-US"/>
              </w:rPr>
              <w:t xml:space="preserve">, Filip </w:t>
            </w:r>
            <w:proofErr w:type="spellStart"/>
            <w:r w:rsidRPr="00ED3DC0">
              <w:rPr>
                <w:rFonts w:ascii="Tahoma" w:hAnsi="Tahoma" w:cs="Tahoma"/>
                <w:b/>
                <w:bCs/>
                <w:sz w:val="17"/>
                <w:szCs w:val="17"/>
                <w:lang w:eastAsia="en-US"/>
              </w:rPr>
              <w:t>Vtori</w:t>
            </w:r>
            <w:proofErr w:type="spellEnd"/>
            <w:r w:rsidRPr="00ED3DC0">
              <w:rPr>
                <w:rFonts w:ascii="Tahoma" w:hAnsi="Tahoma" w:cs="Tahoma"/>
                <w:b/>
                <w:bCs/>
                <w:sz w:val="17"/>
                <w:szCs w:val="17"/>
                <w:lang w:eastAsia="en-US"/>
              </w:rPr>
              <w:t xml:space="preserve"> </w:t>
            </w:r>
            <w:proofErr w:type="spellStart"/>
            <w:r w:rsidRPr="00ED3DC0">
              <w:rPr>
                <w:rFonts w:ascii="Tahoma" w:hAnsi="Tahoma" w:cs="Tahoma"/>
                <w:b/>
                <w:bCs/>
                <w:sz w:val="17"/>
                <w:szCs w:val="17"/>
                <w:lang w:eastAsia="en-US"/>
              </w:rPr>
              <w:t>Makedonski</w:t>
            </w:r>
            <w:proofErr w:type="spellEnd"/>
            <w:r w:rsidRPr="00ED3DC0">
              <w:rPr>
                <w:rFonts w:ascii="Tahoma" w:hAnsi="Tahoma" w:cs="Tahoma"/>
                <w:b/>
                <w:bCs/>
                <w:sz w:val="17"/>
                <w:szCs w:val="17"/>
                <w:lang w:eastAsia="en-US"/>
              </w:rPr>
              <w:t xml:space="preserve"> br. 3 Skopje, 1000</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492BC747" w:rsidR="006A1C42" w:rsidRPr="00EA2362" w:rsidRDefault="0005183D" w:rsidP="006A1C42">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967D62">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967D6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967D6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967D6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967D6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967D6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967D6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967D6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967D6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967D6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967D6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967D6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967D6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967D6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967D6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967D6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967D6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967D6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967D6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967D6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967D6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967D6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967D6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967D6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967D62">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967D6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967D6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967D6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967D6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967D6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967D62">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967D6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967D6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967D62">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967D6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967D6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967D6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967D6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967D6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967D6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967D6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967D6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967D6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967D6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967D6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967D6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967D6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967D6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967D6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967D6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967D6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967D6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967D62">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967D6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967D6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967D62">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967D6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967D6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967D6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62164483" w:rsidR="00F06E93" w:rsidRDefault="00F06E93" w:rsidP="005F7B8A">
      <w:pPr>
        <w:pBdr>
          <w:bottom w:val="single" w:sz="2" w:space="1" w:color="808080"/>
        </w:pBdr>
        <w:tabs>
          <w:tab w:val="left" w:pos="284"/>
        </w:tabs>
        <w:spacing w:after="120"/>
        <w:rPr>
          <w:rFonts w:ascii="Tahoma" w:hAnsi="Tahoma" w:cs="Tahoma"/>
          <w:b/>
          <w:sz w:val="18"/>
          <w:szCs w:val="18"/>
          <w:lang w:eastAsia="en-US"/>
        </w:rPr>
      </w:pPr>
    </w:p>
    <w:p w14:paraId="0B4F3354" w14:textId="7870D9E8"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1C64828F" w14:textId="56F1635E"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057DE891" w14:textId="4A4FA6DE"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6CC16238" w14:textId="51E1FACD"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145332AA" w14:textId="56CB5F1A"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750DB50F" w14:textId="77777777" w:rsidR="00967D62" w:rsidRPr="006C6139" w:rsidRDefault="00967D62" w:rsidP="00967D62">
      <w:pPr>
        <w:pStyle w:val="Default"/>
        <w:jc w:val="center"/>
        <w:outlineLvl w:val="0"/>
        <w:rPr>
          <w:rFonts w:ascii="Arial" w:hAnsi="Arial" w:cs="Arial"/>
          <w:b/>
          <w:bCs/>
          <w:sz w:val="22"/>
          <w:szCs w:val="22"/>
          <w:u w:val="single"/>
          <w:lang w:val="en-GB"/>
        </w:rPr>
      </w:pPr>
      <w:r>
        <w:rPr>
          <w:rFonts w:ascii="Arial" w:hAnsi="Arial" w:cs="Arial"/>
          <w:b/>
          <w:bCs/>
          <w:sz w:val="22"/>
          <w:szCs w:val="22"/>
          <w:u w:val="single"/>
          <w:lang w:val="en-GB"/>
        </w:rPr>
        <w:t>A</w:t>
      </w:r>
      <w:r w:rsidRPr="006C6139">
        <w:rPr>
          <w:rFonts w:ascii="Arial" w:hAnsi="Arial" w:cs="Arial"/>
          <w:b/>
          <w:bCs/>
          <w:sz w:val="22"/>
          <w:szCs w:val="22"/>
          <w:u w:val="single"/>
          <w:lang w:val="en-GB"/>
        </w:rPr>
        <w:t>PPENDIX 1</w:t>
      </w:r>
    </w:p>
    <w:p w14:paraId="530C3CE3" w14:textId="4A658D81" w:rsidR="00967D62" w:rsidRDefault="00967D62" w:rsidP="005F7B8A">
      <w:pPr>
        <w:pBdr>
          <w:bottom w:val="single" w:sz="2" w:space="1" w:color="808080"/>
        </w:pBdr>
        <w:tabs>
          <w:tab w:val="left" w:pos="284"/>
        </w:tabs>
        <w:spacing w:after="120"/>
        <w:rPr>
          <w:rFonts w:ascii="Tahoma" w:hAnsi="Tahoma" w:cs="Tahoma"/>
          <w:b/>
          <w:sz w:val="18"/>
          <w:szCs w:val="18"/>
          <w:lang w:eastAsia="en-US"/>
        </w:rPr>
      </w:pPr>
    </w:p>
    <w:p w14:paraId="34F27B42" w14:textId="556F744F" w:rsidR="00967D62" w:rsidRPr="00967D62" w:rsidRDefault="00967D62" w:rsidP="00967D62">
      <w:pPr>
        <w:rPr>
          <w:rFonts w:ascii="Tahoma" w:hAnsi="Tahoma" w:cs="Tahoma"/>
          <w:sz w:val="18"/>
          <w:szCs w:val="18"/>
          <w:lang w:eastAsia="en-US"/>
        </w:rPr>
      </w:pPr>
    </w:p>
    <w:p w14:paraId="2FCDD2AB" w14:textId="0617A70B" w:rsidR="00967D62" w:rsidRDefault="00967D62" w:rsidP="00967D62">
      <w:pPr>
        <w:rPr>
          <w:rFonts w:ascii="Tahoma" w:hAnsi="Tahoma" w:cs="Tahoma"/>
          <w:b/>
          <w:sz w:val="18"/>
          <w:szCs w:val="18"/>
          <w:lang w:eastAsia="en-US"/>
        </w:rPr>
      </w:pPr>
    </w:p>
    <w:p w14:paraId="186D5124" w14:textId="12AEA286" w:rsidR="00967D62" w:rsidRDefault="00967D62" w:rsidP="00967D62">
      <w:pPr>
        <w:pStyle w:val="Title"/>
        <w:jc w:val="center"/>
        <w:rPr>
          <w:b/>
          <w:sz w:val="48"/>
          <w:szCs w:val="48"/>
        </w:rPr>
      </w:pPr>
      <w:r w:rsidRPr="0098637F">
        <w:rPr>
          <w:rFonts w:cstheme="majorHAnsi"/>
          <w:noProof/>
          <w:sz w:val="24"/>
          <w:szCs w:val="24"/>
        </w:rPr>
        <w:drawing>
          <wp:anchor distT="0" distB="0" distL="114300" distR="114300" simplePos="0" relativeHeight="251661314" behindDoc="0" locked="0" layoutInCell="1" allowOverlap="1" wp14:anchorId="43DFB643" wp14:editId="34F0C5AE">
            <wp:simplePos x="0" y="0"/>
            <wp:positionH relativeFrom="margin">
              <wp:posOffset>937260</wp:posOffset>
            </wp:positionH>
            <wp:positionV relativeFrom="paragraph">
              <wp:posOffset>22860</wp:posOffset>
            </wp:positionV>
            <wp:extent cx="4649470" cy="968375"/>
            <wp:effectExtent l="0" t="0" r="0" b="3175"/>
            <wp:wrapSquare wrapText="bothSides"/>
            <wp:docPr id="3" name="Image 1" descr="/Users/redg/Dropbox/COE-CW/LOGOS/UE ET COE/Logos COE-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sers/redg/Dropbox/COE-CW/LOGOS/UE ET COE/Logos COE-EU.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9470" cy="968375"/>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sz w:val="18"/>
          <w:szCs w:val="18"/>
        </w:rPr>
        <w:tab/>
      </w:r>
    </w:p>
    <w:p w14:paraId="34CE881A" w14:textId="77777777" w:rsidR="00967D62" w:rsidRDefault="00967D62" w:rsidP="00967D62">
      <w:pPr>
        <w:pStyle w:val="Title"/>
        <w:jc w:val="center"/>
        <w:rPr>
          <w:b/>
          <w:sz w:val="48"/>
          <w:szCs w:val="48"/>
        </w:rPr>
      </w:pPr>
    </w:p>
    <w:p w14:paraId="724825DC" w14:textId="77777777" w:rsidR="00967D62" w:rsidRDefault="00967D62" w:rsidP="00967D62">
      <w:pPr>
        <w:pStyle w:val="Title"/>
        <w:jc w:val="center"/>
        <w:rPr>
          <w:b/>
          <w:sz w:val="48"/>
          <w:szCs w:val="48"/>
        </w:rPr>
      </w:pPr>
    </w:p>
    <w:p w14:paraId="54E14FA6" w14:textId="77777777" w:rsidR="00967D62" w:rsidRDefault="00967D62" w:rsidP="00967D62">
      <w:pPr>
        <w:pStyle w:val="Title"/>
        <w:jc w:val="center"/>
        <w:rPr>
          <w:b/>
          <w:sz w:val="48"/>
          <w:szCs w:val="48"/>
        </w:rPr>
      </w:pPr>
    </w:p>
    <w:p w14:paraId="62B96E57" w14:textId="77777777" w:rsidR="00967D62" w:rsidRPr="00840574" w:rsidRDefault="00967D62" w:rsidP="00967D62">
      <w:pPr>
        <w:pStyle w:val="Title"/>
        <w:jc w:val="center"/>
        <w:rPr>
          <w:b/>
          <w:sz w:val="48"/>
          <w:szCs w:val="48"/>
        </w:rPr>
      </w:pPr>
      <w:r>
        <w:rPr>
          <w:b/>
          <w:sz w:val="48"/>
          <w:szCs w:val="48"/>
        </w:rPr>
        <w:t>L</w:t>
      </w:r>
      <w:r w:rsidRPr="00840574">
        <w:rPr>
          <w:b/>
          <w:sz w:val="48"/>
          <w:szCs w:val="48"/>
        </w:rPr>
        <w:t>egal needs assessment</w:t>
      </w:r>
      <w:r>
        <w:rPr>
          <w:b/>
          <w:sz w:val="48"/>
          <w:szCs w:val="48"/>
        </w:rPr>
        <w:t>s – Approaches and modalities</w:t>
      </w:r>
    </w:p>
    <w:p w14:paraId="7ECAF40A" w14:textId="77777777" w:rsidR="00967D62" w:rsidRDefault="00967D62" w:rsidP="00967D62">
      <w:pPr>
        <w:jc w:val="both"/>
        <w:rPr>
          <w:b/>
          <w:i/>
        </w:rPr>
      </w:pPr>
    </w:p>
    <w:p w14:paraId="4B012E2D" w14:textId="77777777" w:rsidR="00967D62" w:rsidRDefault="00967D62" w:rsidP="00967D62">
      <w:pPr>
        <w:pStyle w:val="Subtitle"/>
        <w:spacing w:line="240" w:lineRule="auto"/>
        <w:jc w:val="center"/>
      </w:pPr>
      <w:r>
        <w:t xml:space="preserve">Overview of approaches and modalities for designing and conducting legal needs assessment in North Macedonia </w:t>
      </w:r>
    </w:p>
    <w:p w14:paraId="075548A5" w14:textId="77777777" w:rsidR="00967D62" w:rsidRDefault="00967D62" w:rsidP="00967D62"/>
    <w:p w14:paraId="6DD0A2AD" w14:textId="77777777" w:rsidR="00967D62" w:rsidRPr="000B7546" w:rsidRDefault="00967D62" w:rsidP="00967D62">
      <w:pPr>
        <w:tabs>
          <w:tab w:val="left" w:pos="1103"/>
          <w:tab w:val="right" w:pos="9360"/>
        </w:tabs>
        <w:rPr>
          <w:b/>
        </w:rPr>
      </w:pPr>
      <w:r>
        <w:rPr>
          <w:b/>
        </w:rPr>
        <w:tab/>
        <w:t xml:space="preserve"> </w:t>
      </w:r>
      <w:r>
        <w:rPr>
          <w:b/>
        </w:rPr>
        <w:tab/>
      </w:r>
      <w:r w:rsidRPr="000B7546">
        <w:rPr>
          <w:b/>
        </w:rPr>
        <w:t>Author:</w:t>
      </w:r>
    </w:p>
    <w:p w14:paraId="77FDC4A6" w14:textId="0CBFCBB1" w:rsidR="00967D62" w:rsidRDefault="00967D62" w:rsidP="00967D62">
      <w:pPr>
        <w:tabs>
          <w:tab w:val="left" w:pos="6210"/>
          <w:tab w:val="right" w:pos="9360"/>
        </w:tabs>
      </w:pPr>
      <w:r>
        <w:tab/>
      </w:r>
      <w:r>
        <w:tab/>
        <w:t>Goce Kocevski LL.M</w:t>
      </w:r>
    </w:p>
    <w:p w14:paraId="5D6E139B" w14:textId="34F5FB2D" w:rsidR="00967D62" w:rsidRDefault="00967D62" w:rsidP="00967D62">
      <w:pPr>
        <w:ind w:left="5760"/>
        <w:jc w:val="center"/>
      </w:pPr>
      <w:proofErr w:type="gramStart"/>
      <w:r>
        <w:t>April,</w:t>
      </w:r>
      <w:proofErr w:type="gramEnd"/>
      <w:r>
        <w:t xml:space="preserve"> 2020</w:t>
      </w:r>
    </w:p>
    <w:p w14:paraId="5BB1B7D3" w14:textId="77777777" w:rsidR="00967D62" w:rsidRPr="000B7546" w:rsidRDefault="00967D62" w:rsidP="00967D62">
      <w:pPr>
        <w:ind w:left="5760"/>
        <w:jc w:val="center"/>
      </w:pPr>
    </w:p>
    <w:p w14:paraId="62F31286" w14:textId="77777777" w:rsidR="00967D62" w:rsidRPr="00313A99" w:rsidRDefault="00967D62" w:rsidP="00967D62">
      <w:pPr>
        <w:pStyle w:val="Heading1"/>
        <w:numPr>
          <w:ilvl w:val="0"/>
          <w:numId w:val="37"/>
        </w:numPr>
        <w:spacing w:after="120"/>
        <w:ind w:left="720"/>
        <w:rPr>
          <w:b w:val="0"/>
          <w:sz w:val="28"/>
          <w:szCs w:val="28"/>
        </w:rPr>
      </w:pPr>
      <w:r w:rsidRPr="00313A99">
        <w:rPr>
          <w:sz w:val="28"/>
          <w:szCs w:val="28"/>
        </w:rPr>
        <w:t xml:space="preserve">Introductory remarks </w:t>
      </w:r>
    </w:p>
    <w:p w14:paraId="221A8A21" w14:textId="77777777" w:rsidR="00967D62" w:rsidRDefault="00967D62" w:rsidP="00967D62">
      <w:pPr>
        <w:jc w:val="both"/>
      </w:pPr>
      <w:r>
        <w:t xml:space="preserve">This document assesses the need for introduction and implementation of a legal needs assessment in North Macedonia and evaluates the modalities and methodologies for conducting such assessment. The legal needs assessment is crucial tool that provides data and basis for more efficient planning and provision of legal aid and enables evaluation of policies </w:t>
      </w:r>
      <w:proofErr w:type="gramStart"/>
      <w:r>
        <w:t>in the area of</w:t>
      </w:r>
      <w:proofErr w:type="gramEnd"/>
      <w:r>
        <w:t xml:space="preserve"> access to justice. The objective of this document is to propose concrete model for conducting such assessment, considering the national context as well as best practices on global level.   </w:t>
      </w:r>
    </w:p>
    <w:p w14:paraId="6F31D998" w14:textId="77777777" w:rsidR="00967D62" w:rsidRDefault="00967D62" w:rsidP="00967D62">
      <w:pPr>
        <w:jc w:val="both"/>
      </w:pPr>
      <w:r>
        <w:t xml:space="preserve">This document is prepared upon request by the Council of Europe within the auspices of the project </w:t>
      </w:r>
      <w:r w:rsidRPr="00815E72">
        <w:rPr>
          <w:i/>
        </w:rPr>
        <w:t>Supporting enhanced access to higher quality free legal aid services in North Macedonia (2246 – HFII)</w:t>
      </w:r>
      <w:r>
        <w:t xml:space="preserve">. The methodology used included desk research, literature review and communication with relevant stakeholders. During the preparation of the document the most relevant and recent practices of legal needs assessments in countries where they are accustomed, were </w:t>
      </w:r>
      <w:proofErr w:type="spellStart"/>
      <w:r>
        <w:t>analyzed</w:t>
      </w:r>
      <w:proofErr w:type="spellEnd"/>
      <w:r>
        <w:t xml:space="preserve"> and consulted. </w:t>
      </w:r>
    </w:p>
    <w:p w14:paraId="6675929A" w14:textId="77777777" w:rsidR="00967D62" w:rsidRDefault="00967D62" w:rsidP="00967D62">
      <w:pPr>
        <w:jc w:val="both"/>
      </w:pPr>
      <w:r>
        <w:t xml:space="preserve">In order to ensure relevance and synergy with government policies, the document aims to contribute in realization of one of the commitments of North Macedonia stated in the </w:t>
      </w:r>
      <w:bookmarkStart w:id="10" w:name="_Hlk39052717"/>
      <w:r w:rsidRPr="007778A2">
        <w:fldChar w:fldCharType="begin"/>
      </w:r>
      <w:r w:rsidRPr="007778A2">
        <w:rPr>
          <w:i/>
        </w:rPr>
        <w:instrText xml:space="preserve"> HYPERLINK "https://www.opengovpartnership.org/wp-content/uploads/2018/09/Macedonia_Action-Plan_2018-2020_EN.pdf" </w:instrText>
      </w:r>
      <w:r w:rsidRPr="007778A2">
        <w:fldChar w:fldCharType="separate"/>
      </w:r>
      <w:r w:rsidRPr="007778A2">
        <w:rPr>
          <w:rStyle w:val="Hyperlink"/>
          <w:i/>
        </w:rPr>
        <w:t>Open Government Partnership National Action Plan 2018-2020</w:t>
      </w:r>
      <w:r w:rsidRPr="007778A2">
        <w:rPr>
          <w:rStyle w:val="Hyperlink"/>
          <w:b/>
          <w:i/>
        </w:rPr>
        <w:fldChar w:fldCharType="end"/>
      </w:r>
      <w:bookmarkEnd w:id="10"/>
      <w:r>
        <w:rPr>
          <w:rStyle w:val="FootnoteReference"/>
          <w:b/>
          <w:i/>
          <w:color w:val="0000FF" w:themeColor="hyperlink"/>
          <w:u w:val="single"/>
        </w:rPr>
        <w:footnoteReference w:id="5"/>
      </w:r>
      <w:r>
        <w:rPr>
          <w:rStyle w:val="Hyperlink"/>
        </w:rPr>
        <w:t>.</w:t>
      </w:r>
      <w:r>
        <w:rPr>
          <w:b/>
        </w:rPr>
        <w:t xml:space="preserve"> </w:t>
      </w:r>
      <w:r>
        <w:t xml:space="preserve">The plan foresees an obligation of the Ministry of Justice, after adoption of the new Law on Free Legal Aid, to conduct a </w:t>
      </w:r>
      <w:r w:rsidRPr="00313A99">
        <w:rPr>
          <w:i/>
        </w:rPr>
        <w:t>National Survey of Citizen’s Legal Needs</w:t>
      </w:r>
      <w:r>
        <w:t xml:space="preserve"> </w:t>
      </w:r>
      <w:proofErr w:type="gramStart"/>
      <w:r>
        <w:t>in order to</w:t>
      </w:r>
      <w:proofErr w:type="gramEnd"/>
      <w:r>
        <w:t xml:space="preserve"> develop a plan or strategy for legal strengthening in accordance with previously obtained findings. The document proposes a methodological framework for conducting such survey.</w:t>
      </w:r>
    </w:p>
    <w:p w14:paraId="47861DD9" w14:textId="77777777" w:rsidR="00967D62" w:rsidRDefault="00967D62" w:rsidP="00967D62">
      <w:pPr>
        <w:jc w:val="both"/>
      </w:pPr>
      <w:r>
        <w:t xml:space="preserve">The document first provides a definition of key concepts and comparative overview of the methods used to assess legal needs in other countries. Following the introduction of the concept, a description of the current </w:t>
      </w:r>
      <w:proofErr w:type="gramStart"/>
      <w:r>
        <w:t>state of affairs</w:t>
      </w:r>
      <w:proofErr w:type="gramEnd"/>
      <w:r>
        <w:t xml:space="preserve"> with regard to the conduct of legal needs assessment in North Macedonia is provided. After that the document assesses the need, availability of data, challenges and potential benefits linked to the possible introduction of regular needs assessment in the framework of FLA provision. </w:t>
      </w:r>
      <w:proofErr w:type="gramStart"/>
      <w:r>
        <w:t>On the basis of</w:t>
      </w:r>
      <w:proofErr w:type="gramEnd"/>
      <w:r>
        <w:t xml:space="preserve"> the analysis the document provides recommendations on approach, methodology and actors to be considered for introducing such regular needs assessment with an action plan.  </w:t>
      </w:r>
    </w:p>
    <w:p w14:paraId="7F33E9FE" w14:textId="77777777" w:rsidR="00967D62" w:rsidRDefault="00967D62" w:rsidP="00967D62">
      <w:pPr>
        <w:jc w:val="both"/>
      </w:pPr>
    </w:p>
    <w:p w14:paraId="05A49F27" w14:textId="77777777" w:rsidR="00967D62" w:rsidRDefault="00967D62" w:rsidP="00967D62">
      <w:pPr>
        <w:pStyle w:val="Heading1"/>
        <w:numPr>
          <w:ilvl w:val="0"/>
          <w:numId w:val="37"/>
        </w:numPr>
        <w:spacing w:after="120"/>
        <w:ind w:left="720"/>
        <w:rPr>
          <w:b w:val="0"/>
          <w:sz w:val="28"/>
          <w:szCs w:val="28"/>
        </w:rPr>
      </w:pPr>
      <w:r>
        <w:rPr>
          <w:sz w:val="28"/>
          <w:szCs w:val="28"/>
        </w:rPr>
        <w:t>Assessing l</w:t>
      </w:r>
      <w:r w:rsidRPr="001317BC">
        <w:rPr>
          <w:sz w:val="28"/>
          <w:szCs w:val="28"/>
        </w:rPr>
        <w:t>egal needs</w:t>
      </w:r>
      <w:r>
        <w:rPr>
          <w:sz w:val="28"/>
          <w:szCs w:val="28"/>
        </w:rPr>
        <w:t xml:space="preserve"> in comparative context</w:t>
      </w:r>
      <w:r w:rsidRPr="001317BC">
        <w:rPr>
          <w:sz w:val="28"/>
          <w:szCs w:val="28"/>
        </w:rPr>
        <w:t xml:space="preserve"> </w:t>
      </w:r>
    </w:p>
    <w:p w14:paraId="177A419C" w14:textId="77777777" w:rsidR="00967D62" w:rsidRPr="0046480B" w:rsidRDefault="00967D62" w:rsidP="00967D62">
      <w:pPr>
        <w:pStyle w:val="Heading2"/>
        <w:rPr>
          <w:b w:val="0"/>
          <w:sz w:val="24"/>
          <w:szCs w:val="24"/>
        </w:rPr>
      </w:pPr>
      <w:r>
        <w:rPr>
          <w:sz w:val="24"/>
          <w:szCs w:val="24"/>
        </w:rPr>
        <w:t xml:space="preserve">2.1 </w:t>
      </w:r>
      <w:r w:rsidRPr="0046480B">
        <w:rPr>
          <w:sz w:val="24"/>
          <w:szCs w:val="24"/>
        </w:rPr>
        <w:t xml:space="preserve">Legal need v. access to justice – Difference in assessment approaches </w:t>
      </w:r>
    </w:p>
    <w:p w14:paraId="4833B81E" w14:textId="77777777" w:rsidR="00967D62" w:rsidRDefault="00967D62" w:rsidP="00967D62">
      <w:pPr>
        <w:spacing w:after="120"/>
        <w:jc w:val="both"/>
      </w:pPr>
      <w:r>
        <w:t>Correct definition and understanding of the term “legal needs” is the first step in identification of approaches and means for its assessment. According to a guide</w:t>
      </w:r>
      <w:r>
        <w:rPr>
          <w:rStyle w:val="FootnoteReference"/>
        </w:rPr>
        <w:footnoteReference w:id="6"/>
      </w:r>
      <w:r>
        <w:t xml:space="preserve"> published by the OECD</w:t>
      </w:r>
      <w:r>
        <w:rPr>
          <w:rStyle w:val="FootnoteReference"/>
        </w:rPr>
        <w:footnoteReference w:id="7"/>
      </w:r>
      <w:r>
        <w:t xml:space="preserve"> and OSF</w:t>
      </w:r>
      <w:r>
        <w:rPr>
          <w:rStyle w:val="FootnoteReference"/>
        </w:rPr>
        <w:footnoteReference w:id="8"/>
      </w:r>
      <w:r>
        <w:t xml:space="preserve"> </w:t>
      </w:r>
      <w:r w:rsidRPr="0046480B">
        <w:t>legal need arises</w:t>
      </w:r>
      <w:r w:rsidRPr="0046480B">
        <w:rPr>
          <w:i/>
        </w:rPr>
        <w:t xml:space="preserve"> whenever a deficit of legal capability</w:t>
      </w:r>
      <w:r w:rsidRPr="0046480B">
        <w:rPr>
          <w:rStyle w:val="FootnoteReference"/>
          <w:i/>
        </w:rPr>
        <w:footnoteReference w:id="9"/>
      </w:r>
      <w:r w:rsidRPr="0046480B">
        <w:rPr>
          <w:i/>
        </w:rPr>
        <w:t xml:space="preserve"> necessitates legal support to enable a justiciable issue</w:t>
      </w:r>
      <w:r w:rsidRPr="0046480B">
        <w:rPr>
          <w:rStyle w:val="FootnoteReference"/>
          <w:i/>
        </w:rPr>
        <w:footnoteReference w:id="10"/>
      </w:r>
      <w:r w:rsidRPr="0046480B">
        <w:rPr>
          <w:i/>
        </w:rPr>
        <w:t xml:space="preserve"> to be appropriately dealt with</w:t>
      </w:r>
      <w:r w:rsidRPr="00C93BF5">
        <w:t xml:space="preserve">. Consequently, a legal need can be considered as unmet if a justiciable issue is inappropriately dealt with </w:t>
      </w:r>
      <w:proofErr w:type="gramStart"/>
      <w:r w:rsidRPr="00C93BF5">
        <w:t>as a consequence of</w:t>
      </w:r>
      <w:proofErr w:type="gramEnd"/>
      <w:r w:rsidRPr="00C93BF5">
        <w:t xml:space="preserve"> effective legal support not having been available when necessary to make good a deficit of legal capability. If legal need is unmet, there is no access to justice.</w:t>
      </w:r>
      <w:r>
        <w:t xml:space="preserve"> The concept of access to justice is closely linked to the constituent concept of legal need however they should not be </w:t>
      </w:r>
      <w:proofErr w:type="gramStart"/>
      <w:r>
        <w:t>intermingled</w:t>
      </w:r>
      <w:proofErr w:type="gramEnd"/>
      <w:r>
        <w:t xml:space="preserve"> and their assessment requires different approaches and methodologies.</w:t>
      </w:r>
      <w:r>
        <w:rPr>
          <w:rStyle w:val="FootnoteReference"/>
        </w:rPr>
        <w:footnoteReference w:id="11"/>
      </w:r>
      <w:r>
        <w:t xml:space="preserve"> While the literature on access to justice assessments provides more flexibility in determination of the approach and tools for assessment</w:t>
      </w:r>
      <w:r>
        <w:rPr>
          <w:rStyle w:val="FootnoteReference"/>
        </w:rPr>
        <w:footnoteReference w:id="12"/>
      </w:r>
      <w:r>
        <w:t xml:space="preserve"> the legal needs most commonly are assessed by a legal needs survey triangulated with administrative data.</w:t>
      </w:r>
      <w:r>
        <w:rPr>
          <w:rStyle w:val="FootnoteReference"/>
        </w:rPr>
        <w:footnoteReference w:id="13"/>
      </w:r>
      <w:r>
        <w:t xml:space="preserve">  </w:t>
      </w:r>
    </w:p>
    <w:p w14:paraId="032B2474" w14:textId="77777777" w:rsidR="00967D62" w:rsidRDefault="00967D62" w:rsidP="00967D62">
      <w:pPr>
        <w:pStyle w:val="Heading2"/>
        <w:rPr>
          <w:sz w:val="24"/>
          <w:szCs w:val="24"/>
        </w:rPr>
      </w:pPr>
    </w:p>
    <w:p w14:paraId="2922298B" w14:textId="77777777" w:rsidR="00967D62" w:rsidRPr="0046480B" w:rsidRDefault="00967D62" w:rsidP="00967D62">
      <w:pPr>
        <w:pStyle w:val="Heading2"/>
        <w:rPr>
          <w:b w:val="0"/>
          <w:sz w:val="24"/>
          <w:szCs w:val="24"/>
        </w:rPr>
      </w:pPr>
      <w:r>
        <w:rPr>
          <w:sz w:val="24"/>
          <w:szCs w:val="24"/>
        </w:rPr>
        <w:t xml:space="preserve">2.2 </w:t>
      </w:r>
      <w:r w:rsidRPr="0046480B">
        <w:rPr>
          <w:sz w:val="24"/>
          <w:szCs w:val="24"/>
        </w:rPr>
        <w:t xml:space="preserve">Approaches in assessing legal needs </w:t>
      </w:r>
    </w:p>
    <w:p w14:paraId="1EA08434" w14:textId="77777777" w:rsidR="00967D62" w:rsidRDefault="00967D62" w:rsidP="00967D62">
      <w:r>
        <w:t>Though there are number of different approaches and methodologies which range in scope from national legal needs survey to tailored legal help checklist several key approaches used can be identified. Recent OECD and Open Society Justice Initiatives paper</w:t>
      </w:r>
      <w:r>
        <w:rPr>
          <w:rStyle w:val="FootnoteReference"/>
        </w:rPr>
        <w:footnoteReference w:id="14"/>
      </w:r>
      <w:r>
        <w:t xml:space="preserve"> on approaches in conceptualizing and measuring access to justice </w:t>
      </w:r>
      <w:proofErr w:type="spellStart"/>
      <w:r>
        <w:t>analyzes</w:t>
      </w:r>
      <w:proofErr w:type="spellEnd"/>
      <w:r>
        <w:t xml:space="preserve"> the empirical research on legal needs undertaken in many jurisdictions around the world. The paper abstracts five key methodologies for accessing legal needs: </w:t>
      </w:r>
    </w:p>
    <w:p w14:paraId="0EFC8D0B" w14:textId="77777777" w:rsidR="00967D62" w:rsidRDefault="00967D62" w:rsidP="00967D62">
      <w:pPr>
        <w:pStyle w:val="ListParagraph"/>
        <w:numPr>
          <w:ilvl w:val="0"/>
          <w:numId w:val="31"/>
        </w:numPr>
        <w:spacing w:after="160"/>
        <w:contextualSpacing/>
      </w:pPr>
      <w:r>
        <w:t xml:space="preserve">Legal needs survey </w:t>
      </w:r>
    </w:p>
    <w:p w14:paraId="09BBA3C9" w14:textId="77777777" w:rsidR="00967D62" w:rsidRDefault="00967D62" w:rsidP="00967D62">
      <w:pPr>
        <w:pStyle w:val="ListParagraph"/>
        <w:numPr>
          <w:ilvl w:val="0"/>
          <w:numId w:val="31"/>
        </w:numPr>
        <w:spacing w:after="160"/>
        <w:contextualSpacing/>
      </w:pPr>
      <w:r>
        <w:t>Legal needs assessment</w:t>
      </w:r>
    </w:p>
    <w:p w14:paraId="7E86FFC0" w14:textId="77777777" w:rsidR="00967D62" w:rsidRDefault="00967D62" w:rsidP="00967D62">
      <w:pPr>
        <w:pStyle w:val="ListParagraph"/>
        <w:numPr>
          <w:ilvl w:val="0"/>
          <w:numId w:val="31"/>
        </w:numPr>
        <w:spacing w:after="160"/>
        <w:contextualSpacing/>
      </w:pPr>
      <w:r>
        <w:t>Administrative data and satisfaction surveys</w:t>
      </w:r>
    </w:p>
    <w:p w14:paraId="1C0E6FA0" w14:textId="77777777" w:rsidR="00967D62" w:rsidRDefault="00967D62" w:rsidP="00967D62">
      <w:pPr>
        <w:pStyle w:val="ListParagraph"/>
        <w:numPr>
          <w:ilvl w:val="0"/>
          <w:numId w:val="31"/>
        </w:numPr>
        <w:spacing w:after="160"/>
        <w:contextualSpacing/>
      </w:pPr>
      <w:r>
        <w:t xml:space="preserve">Institutional mapping projects </w:t>
      </w:r>
    </w:p>
    <w:p w14:paraId="70DCFECD" w14:textId="77777777" w:rsidR="00967D62" w:rsidRDefault="00967D62" w:rsidP="00967D62">
      <w:pPr>
        <w:pStyle w:val="ListParagraph"/>
        <w:numPr>
          <w:ilvl w:val="0"/>
          <w:numId w:val="31"/>
        </w:numPr>
        <w:spacing w:after="160"/>
        <w:contextualSpacing/>
      </w:pPr>
      <w:r>
        <w:t xml:space="preserve">Legal help checklists </w:t>
      </w:r>
    </w:p>
    <w:p w14:paraId="6927E8B8" w14:textId="77777777" w:rsidR="00967D62" w:rsidRDefault="00967D62" w:rsidP="00967D62">
      <w:r>
        <w:t>Each of these methodologies offer an insight into the issue and use of one approach does not exclude other method.</w:t>
      </w:r>
    </w:p>
    <w:p w14:paraId="3B17CA90" w14:textId="77777777" w:rsidR="00967D62" w:rsidRPr="0046480B" w:rsidRDefault="00967D62" w:rsidP="00967D62">
      <w:pPr>
        <w:pStyle w:val="Heading3"/>
        <w:numPr>
          <w:ilvl w:val="0"/>
          <w:numId w:val="38"/>
        </w:numPr>
        <w:ind w:left="720"/>
        <w:rPr>
          <w:b w:val="0"/>
        </w:rPr>
      </w:pPr>
      <w:r w:rsidRPr="0046480B">
        <w:t>Legal needs surveys</w:t>
      </w:r>
    </w:p>
    <w:p w14:paraId="1AC2C97C" w14:textId="77777777" w:rsidR="00967D62" w:rsidRDefault="00967D62" w:rsidP="00967D62">
      <w:pPr>
        <w:jc w:val="both"/>
      </w:pPr>
      <w:r>
        <w:t xml:space="preserve">These surveys are quantitative in </w:t>
      </w:r>
      <w:proofErr w:type="gramStart"/>
      <w:r>
        <w:t>nature</w:t>
      </w:r>
      <w:proofErr w:type="gramEnd"/>
      <w:r>
        <w:t xml:space="preserve"> and they generally consist of in-person, telephone, or internet interviews of the target population that focus on problems experienced in a given time period by respondents that may have been addressable through the civil /criminal justice system. These surveys seek to understand legal problems from the perspective of people as opposed to whether they were brought to a particular institution, like a court. This allows policymakers to understand the total scope of legal need as opposed to the slice that reaches a particular institution. This is highly relevant given that surveys regularly reveal that people with legal problems take no action to resolve them. They can be conducted as both standalone surveys and modules in broader living standards surveys. Each legal needs survey provides data about the following components:</w:t>
      </w:r>
    </w:p>
    <w:p w14:paraId="3DB8655A" w14:textId="77777777" w:rsidR="00967D62" w:rsidRDefault="00967D62" w:rsidP="00967D62">
      <w:pPr>
        <w:pStyle w:val="ListParagraph"/>
        <w:numPr>
          <w:ilvl w:val="0"/>
          <w:numId w:val="32"/>
        </w:numPr>
        <w:spacing w:after="160"/>
        <w:contextualSpacing/>
      </w:pPr>
      <w:r>
        <w:t>Whether the respondent (or anyone in their household) has experienced any legal problems in a specific preceding time period (typically twelve months to four years</w:t>
      </w:r>
      <w:proofErr w:type="gramStart"/>
      <w:r>
        <w:t>);</w:t>
      </w:r>
      <w:proofErr w:type="gramEnd"/>
      <w:r>
        <w:t xml:space="preserve">  </w:t>
      </w:r>
    </w:p>
    <w:p w14:paraId="6614F639" w14:textId="77777777" w:rsidR="00967D62" w:rsidRDefault="00967D62" w:rsidP="00967D62">
      <w:pPr>
        <w:pStyle w:val="ListParagraph"/>
        <w:numPr>
          <w:ilvl w:val="0"/>
          <w:numId w:val="32"/>
        </w:numPr>
        <w:spacing w:after="160"/>
        <w:contextualSpacing/>
      </w:pPr>
      <w:r>
        <w:t xml:space="preserve">Whether the respondent tried to resolve the problem or dispute and what legal or social assistance, if any, they sought or </w:t>
      </w:r>
      <w:proofErr w:type="gramStart"/>
      <w:r>
        <w:t>received;</w:t>
      </w:r>
      <w:proofErr w:type="gramEnd"/>
      <w:r>
        <w:t xml:space="preserve">  </w:t>
      </w:r>
    </w:p>
    <w:p w14:paraId="4D36E251" w14:textId="77777777" w:rsidR="00967D62" w:rsidRDefault="00967D62" w:rsidP="00967D62">
      <w:pPr>
        <w:pStyle w:val="ListParagraph"/>
        <w:numPr>
          <w:ilvl w:val="0"/>
          <w:numId w:val="32"/>
        </w:numPr>
        <w:spacing w:after="160"/>
        <w:contextualSpacing/>
      </w:pPr>
      <w:r>
        <w:t xml:space="preserve">What institutions or resolution processes the respondent engaged in trying to address </w:t>
      </w:r>
      <w:proofErr w:type="gramStart"/>
      <w:r>
        <w:t>the problem;</w:t>
      </w:r>
      <w:proofErr w:type="gramEnd"/>
      <w:r>
        <w:t xml:space="preserve">  </w:t>
      </w:r>
    </w:p>
    <w:p w14:paraId="4D950FB2" w14:textId="77777777" w:rsidR="00967D62" w:rsidRDefault="00967D62" w:rsidP="00967D62">
      <w:pPr>
        <w:pStyle w:val="ListParagraph"/>
        <w:numPr>
          <w:ilvl w:val="0"/>
          <w:numId w:val="32"/>
        </w:numPr>
        <w:spacing w:after="160"/>
        <w:contextualSpacing/>
      </w:pPr>
      <w:r>
        <w:t xml:space="preserve">What outcomes were achieved through this process; and </w:t>
      </w:r>
    </w:p>
    <w:p w14:paraId="6A880A6F" w14:textId="77777777" w:rsidR="00967D62" w:rsidRDefault="00967D62" w:rsidP="00967D62">
      <w:pPr>
        <w:pStyle w:val="ListParagraph"/>
        <w:numPr>
          <w:ilvl w:val="0"/>
          <w:numId w:val="32"/>
        </w:numPr>
        <w:spacing w:after="160"/>
        <w:contextualSpacing/>
      </w:pPr>
      <w:r>
        <w:t>The respondent’s assessment of the process of resolution as well as the outcome.</w:t>
      </w:r>
    </w:p>
    <w:p w14:paraId="00053E50" w14:textId="77777777" w:rsidR="00967D62" w:rsidRDefault="00967D62" w:rsidP="00967D62">
      <w:pPr>
        <w:jc w:val="both"/>
      </w:pPr>
      <w:r>
        <w:t>This method’s added value is that enables identification of legal problems that cluster together or trigger each other or assess the objective or subjective severity of the problems. Empirical foundation developed over twenty years, more recent legal needs surveys have investigated emerging issues such as individual legal capability and collected more expansive data on costs of unresolved legal problems.</w:t>
      </w:r>
    </w:p>
    <w:p w14:paraId="64342B72" w14:textId="77777777" w:rsidR="00967D62" w:rsidRPr="0073450B" w:rsidRDefault="00967D62" w:rsidP="00967D62">
      <w:pPr>
        <w:pStyle w:val="Heading3"/>
        <w:ind w:firstLine="720"/>
        <w:rPr>
          <w:b w:val="0"/>
        </w:rPr>
      </w:pPr>
      <w:r w:rsidRPr="0073450B">
        <w:t>b.</w:t>
      </w:r>
      <w:r>
        <w:t xml:space="preserve"> </w:t>
      </w:r>
      <w:r w:rsidRPr="0073450B">
        <w:t>Legal needs assessments</w:t>
      </w:r>
    </w:p>
    <w:p w14:paraId="4073B0F2" w14:textId="77777777" w:rsidR="00967D62" w:rsidRDefault="00967D62" w:rsidP="00967D62">
      <w:pPr>
        <w:jc w:val="both"/>
      </w:pPr>
      <w:r>
        <w:t xml:space="preserve">Unlike the quite rigorous and quantitative legal needs surveys, the legal needs assessments refer to wide range of qualitative approaches aimed at assessing legal needs. It provides flexibility with regards to methods and tools and there are different modalities that can be used. They may be implemented through more in-depth interviews with fewer respondents or through a mix of survey, focus groups, workshops, interviews to gather data about legal needs for their programmatic work. This method is suitable for geographic units, specific communities (low income, minority or marginalized group or specific types of legal problems) however the lack of unified approach and standardized methods and tools is not very suitable for nationwide and general population assessments while it provides a good insight into a specific categories or problems.  </w:t>
      </w:r>
    </w:p>
    <w:p w14:paraId="31581745" w14:textId="77777777" w:rsidR="00967D62" w:rsidRPr="0073450B" w:rsidRDefault="00967D62" w:rsidP="00967D62">
      <w:pPr>
        <w:pStyle w:val="Heading3"/>
        <w:ind w:firstLine="720"/>
        <w:rPr>
          <w:b w:val="0"/>
        </w:rPr>
      </w:pPr>
      <w:r w:rsidRPr="0073450B">
        <w:t xml:space="preserve">c. </w:t>
      </w:r>
      <w:proofErr w:type="gramStart"/>
      <w:r w:rsidRPr="0073450B">
        <w:t>Administrative</w:t>
      </w:r>
      <w:proofErr w:type="gramEnd"/>
      <w:r w:rsidRPr="0073450B">
        <w:t xml:space="preserve"> data and satisfaction surveys with legal and justice services</w:t>
      </w:r>
    </w:p>
    <w:p w14:paraId="1B81865D" w14:textId="77777777" w:rsidR="00967D62" w:rsidRDefault="00967D62" w:rsidP="00967D62">
      <w:pPr>
        <w:jc w:val="both"/>
      </w:pPr>
      <w:r>
        <w:t xml:space="preserve">Institution-generated data can include information on various types of cases, use of legal assistance services, the numbers of unrepresented parties before the courts and tribunals, use of ADR mechanisms that are connected to the formal justice system, and so on. User surveys include qualitative and quantitative elements and usually allow understanding the demographic profile of respondents to set the context for survey results. This type of data can assist in understanding the extent of legal need by contributing a picture of the demographic groups that accessed </w:t>
      </w:r>
      <w:proofErr w:type="gramStart"/>
      <w:r>
        <w:t>particular legal</w:t>
      </w:r>
      <w:proofErr w:type="gramEnd"/>
      <w:r>
        <w:t xml:space="preserve"> services, the nature of their expressed legal needs, the pathways they follow and the outcomes they achieve. This methodology differs from legal needs surveys and assessments as it collects information on legal need after a case has already reached a particular institution. As described above, legal needs surveys and assessments seek to understand legal problems </w:t>
      </w:r>
      <w:proofErr w:type="gramStart"/>
      <w:r>
        <w:t>whether or not</w:t>
      </w:r>
      <w:proofErr w:type="gramEnd"/>
      <w:r>
        <w:t xml:space="preserve"> they are taken to particular institutions. However, such data cannot estimate legal need that is expressed outside the legal system or the level of unmet legal need in the community. Although some statistics, such as the number of denials of legal aid applications can provide an indication of unmet legal need that is </w:t>
      </w:r>
      <w:proofErr w:type="gramStart"/>
      <w:r>
        <w:t>actually reaching</w:t>
      </w:r>
      <w:proofErr w:type="gramEnd"/>
      <w:r>
        <w:t xml:space="preserve"> the court system. Additional limitations </w:t>
      </w:r>
      <w:proofErr w:type="gramStart"/>
      <w:r>
        <w:t>include:</w:t>
      </w:r>
      <w:proofErr w:type="gramEnd"/>
      <w:r>
        <w:t xml:space="preserve"> paucity of data, lack of common units of measurement and methodologies. </w:t>
      </w:r>
    </w:p>
    <w:p w14:paraId="530C5E86" w14:textId="77777777" w:rsidR="00967D62" w:rsidRPr="0073450B" w:rsidRDefault="00967D62" w:rsidP="00967D62">
      <w:pPr>
        <w:pStyle w:val="Heading3"/>
        <w:ind w:firstLine="720"/>
        <w:rPr>
          <w:b w:val="0"/>
        </w:rPr>
      </w:pPr>
      <w:r w:rsidRPr="0073450B">
        <w:t xml:space="preserve">d. Institutional mapping projects </w:t>
      </w:r>
    </w:p>
    <w:p w14:paraId="1C931220" w14:textId="77777777" w:rsidR="00967D62" w:rsidRDefault="00967D62" w:rsidP="00967D62">
      <w:pPr>
        <w:jc w:val="both"/>
      </w:pPr>
      <w:r>
        <w:t xml:space="preserve">Relatively novel approach it investigates extent of legal need and the capacity of justice services to respond to them through complex exercises known as "needs mapping".  Mapping projects contribute to a refined understanding of needs within a geographic area, the capacity of existing services to meet these needs, identify gaps in service, the degree of effective collaboration between providers, the ease of pathways. They involve combination of service inventories and focus groups with those involved in justice sectors and community members. It provides data on legal needs, what legal assistance services are available, how they are coordinated, who access these services, how the available services align with community legal needs, and how legal services can be improved. </w:t>
      </w:r>
      <w:proofErr w:type="spellStart"/>
      <w:r>
        <w:t>Usualy</w:t>
      </w:r>
      <w:proofErr w:type="spellEnd"/>
      <w:r>
        <w:t xml:space="preserve"> conducted in US and Canada. Specific subtype is Journey mapping – Identifies discrete tasks that unrepresented litigants must perform in various types of civil cases; individual tasks and render it as a “journey map”: a visual diagram of the typical steps an individual goes through in accessing a court or tribunal. Journey mapping is a design tool that assists service providers to understand and improve the experience of the user of their service. They are suitable for legal aid providers however the lack of consistency on its implementation makes it unsuitable for North Macedonia. </w:t>
      </w:r>
    </w:p>
    <w:p w14:paraId="512B0820" w14:textId="77777777" w:rsidR="00967D62" w:rsidRPr="0073450B" w:rsidRDefault="00967D62" w:rsidP="00967D62">
      <w:pPr>
        <w:pStyle w:val="Heading3"/>
        <w:ind w:firstLine="720"/>
        <w:rPr>
          <w:b w:val="0"/>
        </w:rPr>
      </w:pPr>
      <w:r w:rsidRPr="0073450B">
        <w:t xml:space="preserve">e. Legal help check lists  </w:t>
      </w:r>
    </w:p>
    <w:p w14:paraId="7AE39DCC" w14:textId="77777777" w:rsidR="00967D62" w:rsidRDefault="00967D62" w:rsidP="00967D62">
      <w:pPr>
        <w:jc w:val="both"/>
      </w:pPr>
      <w:r>
        <w:t xml:space="preserve">The legal help check lists are emerging operational methodology. They build upon previous empirical knowledge gained from legal needs surveys. The approach is that it refines it into a checklist of legal problems frequently experienced by </w:t>
      </w:r>
      <w:proofErr w:type="gramStart"/>
      <w:r>
        <w:t>low income</w:t>
      </w:r>
      <w:proofErr w:type="gramEnd"/>
      <w:r>
        <w:t xml:space="preserve"> individuals or during critical life event (medical crisis within the family). This ‘second generation’ approach, which is used after baselines and trends are established through legal needs surveys, has been demonstrated to be effective in proactively ascertaining the legal needs of individuals well before the legal need is expressed. The legal help checklist approach could also be used at a systemic level by governments and legal service providers to better anticipate legal needs based on known patterns of legal problems and the demographics of various communities.</w:t>
      </w:r>
    </w:p>
    <w:p w14:paraId="092983B7" w14:textId="77777777" w:rsidR="00967D62" w:rsidRDefault="00967D62" w:rsidP="00967D62"/>
    <w:p w14:paraId="18AEA67A" w14:textId="77777777" w:rsidR="00967D62" w:rsidRDefault="00967D62" w:rsidP="00967D62">
      <w:pPr>
        <w:pStyle w:val="Heading1"/>
        <w:numPr>
          <w:ilvl w:val="0"/>
          <w:numId w:val="37"/>
        </w:numPr>
        <w:spacing w:after="120"/>
        <w:ind w:left="720"/>
        <w:rPr>
          <w:b w:val="0"/>
          <w:sz w:val="28"/>
          <w:szCs w:val="28"/>
        </w:rPr>
      </w:pPr>
      <w:r w:rsidRPr="001C5B07">
        <w:rPr>
          <w:sz w:val="28"/>
          <w:szCs w:val="28"/>
        </w:rPr>
        <w:t xml:space="preserve">Legal needs </w:t>
      </w:r>
      <w:r>
        <w:rPr>
          <w:sz w:val="28"/>
          <w:szCs w:val="28"/>
        </w:rPr>
        <w:t>assessments</w:t>
      </w:r>
      <w:r w:rsidRPr="001C5B07">
        <w:rPr>
          <w:sz w:val="28"/>
          <w:szCs w:val="28"/>
        </w:rPr>
        <w:t xml:space="preserve"> in N</w:t>
      </w:r>
      <w:r>
        <w:rPr>
          <w:sz w:val="28"/>
          <w:szCs w:val="28"/>
        </w:rPr>
        <w:t>orth</w:t>
      </w:r>
      <w:r w:rsidRPr="001C5B07">
        <w:rPr>
          <w:sz w:val="28"/>
          <w:szCs w:val="28"/>
        </w:rPr>
        <w:t xml:space="preserve"> Macedonia </w:t>
      </w:r>
    </w:p>
    <w:p w14:paraId="7F354320" w14:textId="77777777" w:rsidR="00967D62" w:rsidRPr="009E0B7D" w:rsidRDefault="00967D62" w:rsidP="00967D62">
      <w:pPr>
        <w:jc w:val="both"/>
      </w:pPr>
      <w:r>
        <w:t xml:space="preserve">In North Macedonia until now there has been only one country wide and general legal needs assessment and that was the </w:t>
      </w:r>
      <w:r w:rsidRPr="009E0B7D">
        <w:rPr>
          <w:i/>
        </w:rPr>
        <w:t xml:space="preserve">2012 Legal Needs and Path to Justice Survey. </w:t>
      </w:r>
      <w:r>
        <w:t xml:space="preserve"> </w:t>
      </w:r>
    </w:p>
    <w:p w14:paraId="395D144B" w14:textId="77777777" w:rsidR="00967D62" w:rsidRPr="008531B3" w:rsidRDefault="00967D62" w:rsidP="00967D62">
      <w:pPr>
        <w:pStyle w:val="Heading2"/>
        <w:spacing w:after="120"/>
        <w:ind w:firstLine="720"/>
        <w:rPr>
          <w:b w:val="0"/>
        </w:rPr>
      </w:pPr>
      <w:r>
        <w:t xml:space="preserve">3.1 </w:t>
      </w:r>
      <w:r w:rsidRPr="008531B3">
        <w:t xml:space="preserve">2012’s Legal Needs and Paths to Justice survey </w:t>
      </w:r>
    </w:p>
    <w:p w14:paraId="42E049DA" w14:textId="77777777" w:rsidR="00967D62" w:rsidRDefault="00967D62" w:rsidP="00967D62">
      <w:pPr>
        <w:jc w:val="both"/>
      </w:pPr>
      <w:r w:rsidRPr="000D5854">
        <w:t xml:space="preserve">In 2012 </w:t>
      </w:r>
      <w:hyperlink r:id="rId21" w:history="1">
        <w:r w:rsidRPr="000D5854">
          <w:rPr>
            <w:rStyle w:val="Hyperlink"/>
          </w:rPr>
          <w:t>Foundation Open Society Macedonia</w:t>
        </w:r>
      </w:hyperlink>
      <w:r>
        <w:t xml:space="preserve"> initiated and financially supported the first general legal needs assessment in the country.</w:t>
      </w:r>
      <w:r>
        <w:rPr>
          <w:rStyle w:val="FootnoteReference"/>
        </w:rPr>
        <w:footnoteReference w:id="15"/>
      </w:r>
      <w:r>
        <w:t xml:space="preserve"> The research process was subcontracted to a specialized research NGO </w:t>
      </w:r>
      <w:hyperlink r:id="rId22" w:history="1">
        <w:r w:rsidRPr="000D5854">
          <w:rPr>
            <w:rStyle w:val="Hyperlink"/>
          </w:rPr>
          <w:t>Reactor</w:t>
        </w:r>
      </w:hyperlink>
      <w:r>
        <w:t xml:space="preserve"> who developed the methodology and conducted the survey. The assessment was carried as a </w:t>
      </w:r>
      <w:r w:rsidRPr="008531B3">
        <w:rPr>
          <w:b/>
        </w:rPr>
        <w:t xml:space="preserve">survey through </w:t>
      </w:r>
      <w:proofErr w:type="gramStart"/>
      <w:r w:rsidRPr="008531B3">
        <w:rPr>
          <w:b/>
        </w:rPr>
        <w:t>a quantitative research</w:t>
      </w:r>
      <w:proofErr w:type="gramEnd"/>
      <w:r>
        <w:t xml:space="preserve"> using the method of </w:t>
      </w:r>
      <w:r w:rsidRPr="000D5854">
        <w:t>Computer-Assisted Telephone Interviewing</w:t>
      </w:r>
      <w:r>
        <w:t xml:space="preserve"> (CATI). The sample was drawn from the general adult population (not from </w:t>
      </w:r>
      <w:proofErr w:type="gramStart"/>
      <w:r>
        <w:t>low income</w:t>
      </w:r>
      <w:proofErr w:type="gramEnd"/>
      <w:r>
        <w:t xml:space="preserve"> individuals or specific target groups) and it target size was between 2.500 and 2.800 respondents. The questionnaire used was based largely on the questionnaire designed by Hazel </w:t>
      </w:r>
      <w:proofErr w:type="spellStart"/>
      <w:r>
        <w:t>Genn</w:t>
      </w:r>
      <w:proofErr w:type="spellEnd"/>
      <w:r>
        <w:t xml:space="preserve"> in her seminal work Paths to Justice (Oxford, 1999) though adopted to the Macedonian context, i.e., the local legal and institutional environment. The adaptation was done through two focus groups (one with legal aid providers and one with lay people). The focus groups were conducted to identify problem categories and to test the language and wording of questions. The questionnaire was translated on Macedonian and Albanian language and was subject to a pre-testing to assess potential misunderstandings and difficult questions. </w:t>
      </w:r>
    </w:p>
    <w:p w14:paraId="317E0A69" w14:textId="77777777" w:rsidR="00967D62" w:rsidRDefault="00967D62" w:rsidP="00967D62">
      <w:pPr>
        <w:jc w:val="both"/>
      </w:pPr>
      <w:r>
        <w:rPr>
          <w:noProof/>
        </w:rPr>
        <w:drawing>
          <wp:anchor distT="0" distB="0" distL="114300" distR="114300" simplePos="0" relativeHeight="251660290" behindDoc="0" locked="0" layoutInCell="1" allowOverlap="1" wp14:anchorId="14800490" wp14:editId="0E3BB233">
            <wp:simplePos x="0" y="0"/>
            <wp:positionH relativeFrom="margin">
              <wp:posOffset>228600</wp:posOffset>
            </wp:positionH>
            <wp:positionV relativeFrom="paragraph">
              <wp:posOffset>1431290</wp:posOffset>
            </wp:positionV>
            <wp:extent cx="5486400" cy="2499995"/>
            <wp:effectExtent l="19050" t="0" r="1905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t xml:space="preserve">The survey was conducted in two phases: 1. </w:t>
      </w:r>
      <w:r w:rsidRPr="00FB2829">
        <w:rPr>
          <w:b/>
        </w:rPr>
        <w:t>Screening survey</w:t>
      </w:r>
      <w:r>
        <w:t xml:space="preserve"> for the general adult population (aged 18 and above) and which was designed to estimate the prevalence of problems (justiciable events)</w:t>
      </w:r>
      <w:r>
        <w:rPr>
          <w:rStyle w:val="FootnoteReference"/>
        </w:rPr>
        <w:footnoteReference w:id="16"/>
      </w:r>
      <w:r>
        <w:t xml:space="preserve"> in the previous three years (since September 2009). This part of the study involved a sample representative of the population of the Republic of North Macedonia, for a total of 2,858 individuals and 2. </w:t>
      </w:r>
      <w:r w:rsidRPr="00FB2829">
        <w:rPr>
          <w:b/>
        </w:rPr>
        <w:t>Detailed telephone interview</w:t>
      </w:r>
      <w:r>
        <w:t xml:space="preserve"> that followed the screening survey and included individuals from the first sample who had reported at least one non-trivial justiciable problem. A total of 806 individuals were included in the second part of the study.</w:t>
      </w:r>
    </w:p>
    <w:p w14:paraId="4B622C4B" w14:textId="77777777" w:rsidR="00967D62" w:rsidRDefault="00967D62" w:rsidP="00967D62">
      <w:pPr>
        <w:jc w:val="both"/>
      </w:pPr>
    </w:p>
    <w:p w14:paraId="104A2466" w14:textId="77777777" w:rsidR="00967D62" w:rsidRPr="00427116" w:rsidRDefault="00967D62" w:rsidP="00967D62">
      <w:pPr>
        <w:autoSpaceDE w:val="0"/>
        <w:autoSpaceDN w:val="0"/>
        <w:adjustRightInd w:val="0"/>
        <w:rPr>
          <w:rFonts w:eastAsia="mkStobiSerif" w:cstheme="minorHAnsi"/>
          <w:color w:val="000000"/>
        </w:rPr>
      </w:pPr>
      <w:r w:rsidRPr="00427116">
        <w:rPr>
          <w:rFonts w:eastAsia="mkStobiSerif" w:cstheme="minorHAnsi"/>
          <w:color w:val="000000"/>
        </w:rPr>
        <w:t>The main questionnaire focused on the event selected after the screening interview and covered the following issues:</w:t>
      </w:r>
    </w:p>
    <w:p w14:paraId="076306CB"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The nature of the dispute – its status, the other side, connection to other </w:t>
      </w:r>
      <w:proofErr w:type="gramStart"/>
      <w:r w:rsidRPr="00427116">
        <w:rPr>
          <w:rFonts w:eastAsia="mkStobiSerif" w:cstheme="minorHAnsi"/>
          <w:color w:val="000000"/>
        </w:rPr>
        <w:t>problems;</w:t>
      </w:r>
      <w:proofErr w:type="gramEnd"/>
    </w:p>
    <w:p w14:paraId="7D0853E3"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Strategies for resolving the problem – advice taken, sources of advice, respondents’ satisfaction with the received </w:t>
      </w:r>
      <w:proofErr w:type="gramStart"/>
      <w:r w:rsidRPr="00427116">
        <w:rPr>
          <w:rFonts w:eastAsia="mkStobiSerif" w:cstheme="minorHAnsi"/>
          <w:color w:val="000000"/>
        </w:rPr>
        <w:t>advice;</w:t>
      </w:r>
      <w:proofErr w:type="gramEnd"/>
    </w:p>
    <w:p w14:paraId="438729DE"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Objectives – what they wanted to achieve and the extent to which this was achieved, i.e., </w:t>
      </w:r>
      <w:proofErr w:type="gramStart"/>
      <w:r w:rsidRPr="00427116">
        <w:rPr>
          <w:rFonts w:eastAsia="mkStobiSerif" w:cstheme="minorHAnsi"/>
          <w:color w:val="000000"/>
        </w:rPr>
        <w:t>satisfaction;</w:t>
      </w:r>
      <w:proofErr w:type="gramEnd"/>
    </w:p>
    <w:p w14:paraId="335E13F9"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Experiences of the legal dispute resolution process – including expenses incurred, accessibility of legal advice, experiences of court </w:t>
      </w:r>
      <w:proofErr w:type="gramStart"/>
      <w:r w:rsidRPr="00427116">
        <w:rPr>
          <w:rFonts w:eastAsia="mkStobiSerif" w:cstheme="minorHAnsi"/>
          <w:color w:val="000000"/>
        </w:rPr>
        <w:t>processes;</w:t>
      </w:r>
      <w:proofErr w:type="gramEnd"/>
    </w:p>
    <w:p w14:paraId="3B3107A2"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Passive strategies – where action was not taken, the reasons why and plans for future activities, if </w:t>
      </w:r>
      <w:proofErr w:type="gramStart"/>
      <w:r w:rsidRPr="00427116">
        <w:rPr>
          <w:rFonts w:eastAsia="mkStobiSerif" w:cstheme="minorHAnsi"/>
          <w:color w:val="000000"/>
        </w:rPr>
        <w:t>any;</w:t>
      </w:r>
      <w:proofErr w:type="gramEnd"/>
    </w:p>
    <w:p w14:paraId="62FE92F6" w14:textId="77777777" w:rsidR="00967D62" w:rsidRPr="00427116" w:rsidRDefault="00967D62" w:rsidP="00967D62">
      <w:pPr>
        <w:pStyle w:val="ListParagraph"/>
        <w:numPr>
          <w:ilvl w:val="0"/>
          <w:numId w:val="30"/>
        </w:numPr>
        <w:autoSpaceDE w:val="0"/>
        <w:autoSpaceDN w:val="0"/>
        <w:adjustRightInd w:val="0"/>
        <w:contextualSpacing/>
        <w:rPr>
          <w:rFonts w:eastAsia="mkStobiSerif" w:cstheme="minorHAnsi"/>
          <w:color w:val="000000"/>
        </w:rPr>
      </w:pPr>
      <w:r w:rsidRPr="00427116">
        <w:rPr>
          <w:rFonts w:eastAsia="mkStobiSerif" w:cstheme="minorHAnsi"/>
          <w:color w:val="000000"/>
        </w:rPr>
        <w:t xml:space="preserve">Outcomes – satisfaction, time frame of the dispute, severity of the </w:t>
      </w:r>
      <w:proofErr w:type="gramStart"/>
      <w:r w:rsidRPr="00427116">
        <w:rPr>
          <w:rFonts w:eastAsia="mkStobiSerif" w:cstheme="minorHAnsi"/>
          <w:color w:val="000000"/>
        </w:rPr>
        <w:t>problem;</w:t>
      </w:r>
      <w:proofErr w:type="gramEnd"/>
    </w:p>
    <w:p w14:paraId="5B58E1A6" w14:textId="77777777" w:rsidR="00967D62" w:rsidRPr="00427116" w:rsidRDefault="00967D62" w:rsidP="00967D62">
      <w:pPr>
        <w:pStyle w:val="ListParagraph"/>
        <w:numPr>
          <w:ilvl w:val="0"/>
          <w:numId w:val="30"/>
        </w:numPr>
        <w:autoSpaceDE w:val="0"/>
        <w:autoSpaceDN w:val="0"/>
        <w:adjustRightInd w:val="0"/>
        <w:contextualSpacing/>
        <w:rPr>
          <w:rFonts w:cstheme="minorHAnsi"/>
          <w:b/>
        </w:rPr>
      </w:pPr>
      <w:r w:rsidRPr="00427116">
        <w:rPr>
          <w:rFonts w:eastAsia="mkStobiSerif" w:cstheme="minorHAnsi"/>
          <w:color w:val="000000"/>
        </w:rPr>
        <w:t xml:space="preserve">General assessment – general attitudes towards the dispute resolution process, impact of the problem on the </w:t>
      </w:r>
      <w:proofErr w:type="gramStart"/>
      <w:r w:rsidRPr="00427116">
        <w:rPr>
          <w:rFonts w:eastAsia="mkStobiSerif" w:cstheme="minorHAnsi"/>
          <w:color w:val="000000"/>
        </w:rPr>
        <w:t>respondents</w:t>
      </w:r>
      <w:proofErr w:type="gramEnd"/>
      <w:r w:rsidRPr="00427116">
        <w:rPr>
          <w:rFonts w:eastAsia="mkStobiSerif" w:cstheme="minorHAnsi"/>
          <w:color w:val="000000"/>
        </w:rPr>
        <w:t xml:space="preserve"> life and attitudes toward the legal system</w:t>
      </w:r>
      <w:r>
        <w:rPr>
          <w:rFonts w:eastAsia="mkStobiSerif" w:cstheme="minorHAnsi"/>
          <w:color w:val="000000"/>
        </w:rPr>
        <w:t>.</w:t>
      </w:r>
    </w:p>
    <w:p w14:paraId="7BD587ED" w14:textId="77777777" w:rsidR="00967D62" w:rsidRDefault="00967D62" w:rsidP="00967D62">
      <w:pPr>
        <w:jc w:val="both"/>
      </w:pPr>
      <w:r>
        <w:t>The survey showed that half of the population (49%) have experienced at least one justiciable problem. The most common problems are housing</w:t>
      </w:r>
      <w:r w:rsidRPr="002C3B60">
        <w:rPr>
          <w:lang w:val="mk-MK"/>
        </w:rPr>
        <w:t xml:space="preserve"> </w:t>
      </w:r>
      <w:r>
        <w:t>and property related, faced by one in four respondents (26.4%). Other</w:t>
      </w:r>
      <w:r w:rsidRPr="002C3B60">
        <w:rPr>
          <w:lang w:val="mk-MK"/>
        </w:rPr>
        <w:t xml:space="preserve"> </w:t>
      </w:r>
      <w:r>
        <w:t>commonly reported problems include those related to employment,</w:t>
      </w:r>
      <w:r w:rsidRPr="002C3B60">
        <w:rPr>
          <w:lang w:val="mk-MK"/>
        </w:rPr>
        <w:t xml:space="preserve"> </w:t>
      </w:r>
      <w:r>
        <w:t>consumer problems, and money or debt related problems. Less frequently</w:t>
      </w:r>
      <w:r w:rsidRPr="002C3B60">
        <w:rPr>
          <w:lang w:val="mk-MK"/>
        </w:rPr>
        <w:t xml:space="preserve"> </w:t>
      </w:r>
      <w:r>
        <w:t>reported problems included those related to children, education, health,</w:t>
      </w:r>
      <w:r w:rsidRPr="002C3B60">
        <w:rPr>
          <w:lang w:val="mk-MK"/>
        </w:rPr>
        <w:t xml:space="preserve"> </w:t>
      </w:r>
      <w:r>
        <w:t>police mistreatment and problems with partners. With regards to their attitudes when faced with a justiciable problem, two thirds of the citizens in</w:t>
      </w:r>
      <w:r w:rsidRPr="00427116">
        <w:rPr>
          <w:lang w:val="mk-MK"/>
        </w:rPr>
        <w:t xml:space="preserve"> </w:t>
      </w:r>
      <w:r>
        <w:t>the country try to resolve it. Most of them do so by themselves and with</w:t>
      </w:r>
      <w:r w:rsidRPr="00427116">
        <w:rPr>
          <w:lang w:val="mk-MK"/>
        </w:rPr>
        <w:t xml:space="preserve"> </w:t>
      </w:r>
      <w:r>
        <w:t>direct contact with the other side in the problem. Only 10% sought assistance from a lawyer. A substantial number of problems (one third) are not dealt with. Most</w:t>
      </w:r>
      <w:r w:rsidRPr="002C3B60">
        <w:rPr>
          <w:lang w:val="mk-MK"/>
        </w:rPr>
        <w:t xml:space="preserve"> </w:t>
      </w:r>
      <w:r>
        <w:t xml:space="preserve">often this is because of </w:t>
      </w:r>
      <w:proofErr w:type="spellStart"/>
      <w:r>
        <w:t>skepticism</w:t>
      </w:r>
      <w:proofErr w:type="spellEnd"/>
      <w:r>
        <w:t xml:space="preserve"> or a belief that nothing could be done</w:t>
      </w:r>
      <w:r w:rsidRPr="002C3B60">
        <w:rPr>
          <w:lang w:val="mk-MK"/>
        </w:rPr>
        <w:t xml:space="preserve"> </w:t>
      </w:r>
      <w:r>
        <w:t>or the loss of confidence that someone can help.</w:t>
      </w:r>
    </w:p>
    <w:p w14:paraId="49CC7B25" w14:textId="77777777" w:rsidR="00967D62" w:rsidRDefault="00967D62" w:rsidP="00967D62">
      <w:pPr>
        <w:jc w:val="both"/>
      </w:pPr>
      <w:r>
        <w:t>Only two out of five problems that</w:t>
      </w:r>
      <w:r w:rsidRPr="00427116">
        <w:rPr>
          <w:lang w:val="mk-MK"/>
        </w:rPr>
        <w:t xml:space="preserve"> </w:t>
      </w:r>
      <w:r>
        <w:t>respondents faced in the past three years were solved, while the rest were</w:t>
      </w:r>
      <w:r w:rsidRPr="00427116">
        <w:rPr>
          <w:lang w:val="mk-MK"/>
        </w:rPr>
        <w:t xml:space="preserve"> </w:t>
      </w:r>
      <w:r>
        <w:t>still ongoing. Furthermore, of the problems that were over, only two of five</w:t>
      </w:r>
      <w:r w:rsidRPr="00427116">
        <w:rPr>
          <w:lang w:val="mk-MK"/>
        </w:rPr>
        <w:t xml:space="preserve"> </w:t>
      </w:r>
      <w:r>
        <w:t>were deemed successful. If we look at the type of problems and compare</w:t>
      </w:r>
      <w:r w:rsidRPr="00427116">
        <w:rPr>
          <w:lang w:val="mk-MK"/>
        </w:rPr>
        <w:t xml:space="preserve"> </w:t>
      </w:r>
      <w:r>
        <w:t>the status of the problem, we can conclude that tenants’ problems and</w:t>
      </w:r>
      <w:r w:rsidRPr="00427116">
        <w:rPr>
          <w:lang w:val="mk-MK"/>
        </w:rPr>
        <w:t xml:space="preserve"> </w:t>
      </w:r>
      <w:r>
        <w:t>problems with police are most likely to be over, while problems with discrimination and with the government are most likely to be unfinished. Dispute resolutions reveals that most citizens are</w:t>
      </w:r>
      <w:r w:rsidRPr="002C3B60">
        <w:rPr>
          <w:lang w:val="mk-MK"/>
        </w:rPr>
        <w:t xml:space="preserve"> </w:t>
      </w:r>
      <w:r>
        <w:t>unfortunately not satisfied with the outcome. Two out of five respondents</w:t>
      </w:r>
      <w:r w:rsidRPr="002C3B60">
        <w:rPr>
          <w:lang w:val="mk-MK"/>
        </w:rPr>
        <w:t xml:space="preserve"> </w:t>
      </w:r>
      <w:r>
        <w:t>were dissatisfied with the outcome, with an additional one fifth reporting</w:t>
      </w:r>
      <w:r w:rsidRPr="002C3B60">
        <w:rPr>
          <w:lang w:val="mk-MK"/>
        </w:rPr>
        <w:t xml:space="preserve"> </w:t>
      </w:r>
      <w:r>
        <w:t>they were very unsatisfied. This means that three out of five respondents</w:t>
      </w:r>
      <w:r w:rsidRPr="002C3B60">
        <w:rPr>
          <w:lang w:val="mk-MK"/>
        </w:rPr>
        <w:t xml:space="preserve"> </w:t>
      </w:r>
      <w:r>
        <w:t>are not happy with the outcomes, despite their efforts to solve the problem.</w:t>
      </w:r>
    </w:p>
    <w:p w14:paraId="449D1195" w14:textId="77777777" w:rsidR="00967D62" w:rsidRDefault="00967D62" w:rsidP="00967D62"/>
    <w:p w14:paraId="58B8647C" w14:textId="77777777" w:rsidR="00967D62" w:rsidRPr="00A4436B" w:rsidRDefault="00967D62" w:rsidP="00967D62">
      <w:pPr>
        <w:pStyle w:val="Heading1"/>
        <w:ind w:firstLine="720"/>
        <w:rPr>
          <w:b w:val="0"/>
          <w:sz w:val="28"/>
          <w:szCs w:val="28"/>
        </w:rPr>
      </w:pPr>
      <w:r w:rsidRPr="00A4436B">
        <w:rPr>
          <w:sz w:val="28"/>
          <w:szCs w:val="28"/>
        </w:rPr>
        <w:t xml:space="preserve">4. Overview of context and needs regarding legal needs assessments </w:t>
      </w:r>
    </w:p>
    <w:p w14:paraId="34F3BD58" w14:textId="77777777" w:rsidR="00967D62" w:rsidRPr="0046480B" w:rsidRDefault="00967D62" w:rsidP="00967D62">
      <w:r>
        <w:t xml:space="preserve">Several context related issues, enlisted bellow, are requiring conducting legal needs assessment in North Macedonia. Their thorough assessment can lead us to the most suitable methodology and approach.    </w:t>
      </w:r>
    </w:p>
    <w:p w14:paraId="05B399B6" w14:textId="77777777" w:rsidR="00967D62" w:rsidRPr="009E0B7D" w:rsidRDefault="00967D62" w:rsidP="00967D62">
      <w:pPr>
        <w:pStyle w:val="ListParagraph"/>
        <w:numPr>
          <w:ilvl w:val="0"/>
          <w:numId w:val="33"/>
        </w:numPr>
        <w:spacing w:after="160"/>
        <w:contextualSpacing/>
        <w:jc w:val="both"/>
      </w:pPr>
      <w:r w:rsidRPr="009E0B7D">
        <w:t>With exemption of the 2012</w:t>
      </w:r>
      <w:r>
        <w:t xml:space="preserve"> study, all other legal needs assessments conducted mostly by NGOs and supported by foreign donors, were focused on specific vulnerable group or legal issue, depending on their </w:t>
      </w:r>
      <w:proofErr w:type="gramStart"/>
      <w:r>
        <w:t>priorities</w:t>
      </w:r>
      <w:proofErr w:type="gramEnd"/>
      <w:r>
        <w:t xml:space="preserve"> and often using a variety of methods which are preventing comparability and integration of assessment findings for a more general access to justice policy. These assessments were dependent on NGOs and </w:t>
      </w:r>
      <w:proofErr w:type="gramStart"/>
      <w:r>
        <w:t>donors</w:t>
      </w:r>
      <w:proofErr w:type="gramEnd"/>
      <w:r>
        <w:t xml:space="preserve"> priorities and the risk of neglecting certain categories (not on high priority of the NGOs) is present (ex. elderly, middle income families etc.);</w:t>
      </w:r>
    </w:p>
    <w:p w14:paraId="561C8C32" w14:textId="77777777" w:rsidR="00967D62" w:rsidRDefault="00967D62" w:rsidP="00967D62">
      <w:pPr>
        <w:pStyle w:val="ListParagraph"/>
        <w:numPr>
          <w:ilvl w:val="0"/>
          <w:numId w:val="33"/>
        </w:numPr>
        <w:spacing w:after="160"/>
        <w:contextualSpacing/>
        <w:jc w:val="both"/>
      </w:pPr>
      <w:r w:rsidRPr="009B04CE">
        <w:t xml:space="preserve">The 2012 study </w:t>
      </w:r>
      <w:r>
        <w:t xml:space="preserve">follows to great extent the approach and methodology used in legal needs surveys and have established a solid baseline for future </w:t>
      </w:r>
      <w:proofErr w:type="gramStart"/>
      <w:r>
        <w:t>researches</w:t>
      </w:r>
      <w:proofErr w:type="gramEnd"/>
      <w:r>
        <w:t xml:space="preserve"> on this field; </w:t>
      </w:r>
      <w:r w:rsidRPr="009B04CE">
        <w:t xml:space="preserve"> </w:t>
      </w:r>
    </w:p>
    <w:p w14:paraId="203B3308" w14:textId="77777777" w:rsidR="00967D62" w:rsidRPr="009B04CE" w:rsidRDefault="00967D62" w:rsidP="00967D62">
      <w:pPr>
        <w:pStyle w:val="ListParagraph"/>
        <w:numPr>
          <w:ilvl w:val="0"/>
          <w:numId w:val="33"/>
        </w:numPr>
        <w:spacing w:after="160"/>
        <w:contextualSpacing/>
        <w:jc w:val="both"/>
      </w:pPr>
      <w:r>
        <w:t xml:space="preserve">The policy making process based upon </w:t>
      </w:r>
      <w:proofErr w:type="gramStart"/>
      <w:r>
        <w:t>researches</w:t>
      </w:r>
      <w:proofErr w:type="gramEnd"/>
      <w:r>
        <w:t xml:space="preserve"> is still in its inception. E</w:t>
      </w:r>
      <w:r w:rsidRPr="009B04CE">
        <w:t xml:space="preserve">U Negotiations </w:t>
      </w:r>
      <w:r>
        <w:t xml:space="preserve">that will be </w:t>
      </w:r>
      <w:r w:rsidRPr="009B04CE">
        <w:t xml:space="preserve">opened </w:t>
      </w:r>
      <w:r>
        <w:t xml:space="preserve">soon </w:t>
      </w:r>
      <w:r w:rsidRPr="009B04CE">
        <w:t xml:space="preserve">shall require reforms that should be based upon research and </w:t>
      </w:r>
      <w:proofErr w:type="gramStart"/>
      <w:r w:rsidRPr="009B04CE">
        <w:t>evidence;</w:t>
      </w:r>
      <w:proofErr w:type="gramEnd"/>
    </w:p>
    <w:p w14:paraId="1A217DB8" w14:textId="77777777" w:rsidR="00967D62" w:rsidRPr="009E0B7D" w:rsidRDefault="00967D62" w:rsidP="00967D62">
      <w:pPr>
        <w:pStyle w:val="ListParagraph"/>
        <w:numPr>
          <w:ilvl w:val="0"/>
          <w:numId w:val="33"/>
        </w:numPr>
        <w:spacing w:after="160"/>
        <w:contextualSpacing/>
        <w:jc w:val="both"/>
        <w:rPr>
          <w:b/>
        </w:rPr>
      </w:pPr>
      <w:r>
        <w:t>There is s</w:t>
      </w:r>
      <w:r w:rsidRPr="009E0B7D">
        <w:t>carcity of data on underrepresented litigants in co</w:t>
      </w:r>
      <w:r w:rsidRPr="009B04CE">
        <w:t>urt and administrative procedures</w:t>
      </w:r>
      <w:r>
        <w:t xml:space="preserve">. </w:t>
      </w:r>
      <w:r w:rsidRPr="009E0B7D">
        <w:t xml:space="preserve">State Statistical Office’s data on access to justice is limited, almost </w:t>
      </w:r>
      <w:proofErr w:type="gramStart"/>
      <w:r w:rsidRPr="009E0B7D">
        <w:t>non-existent</w:t>
      </w:r>
      <w:r>
        <w:t>;</w:t>
      </w:r>
      <w:proofErr w:type="gramEnd"/>
    </w:p>
    <w:p w14:paraId="11E0BE15" w14:textId="77777777" w:rsidR="00967D62" w:rsidRPr="009B04CE" w:rsidRDefault="00967D62" w:rsidP="00967D62">
      <w:pPr>
        <w:pStyle w:val="ListParagraph"/>
        <w:numPr>
          <w:ilvl w:val="0"/>
          <w:numId w:val="33"/>
        </w:numPr>
        <w:spacing w:after="160"/>
        <w:contextualSpacing/>
        <w:jc w:val="both"/>
      </w:pPr>
      <w:r w:rsidRPr="009B04CE">
        <w:t xml:space="preserve">Significant problem in access to services such as social </w:t>
      </w:r>
      <w:proofErr w:type="gramStart"/>
      <w:r w:rsidRPr="009B04CE">
        <w:t>care</w:t>
      </w:r>
      <w:r>
        <w:t>;</w:t>
      </w:r>
      <w:proofErr w:type="gramEnd"/>
    </w:p>
    <w:p w14:paraId="75E8F4FB" w14:textId="77777777" w:rsidR="00967D62" w:rsidRPr="009E0B7D" w:rsidRDefault="00967D62" w:rsidP="00967D62">
      <w:pPr>
        <w:pStyle w:val="ListParagraph"/>
        <w:numPr>
          <w:ilvl w:val="0"/>
          <w:numId w:val="33"/>
        </w:numPr>
        <w:spacing w:after="160"/>
        <w:contextualSpacing/>
        <w:jc w:val="both"/>
        <w:rPr>
          <w:b/>
        </w:rPr>
      </w:pPr>
      <w:r w:rsidRPr="009E0B7D">
        <w:t xml:space="preserve">Policymaking based upon research is still in </w:t>
      </w:r>
      <w:proofErr w:type="gramStart"/>
      <w:r w:rsidRPr="009E0B7D">
        <w:t>inception</w:t>
      </w:r>
      <w:r>
        <w:t>;</w:t>
      </w:r>
      <w:proofErr w:type="gramEnd"/>
      <w:r w:rsidRPr="009E0B7D">
        <w:t xml:space="preserve"> </w:t>
      </w:r>
    </w:p>
    <w:p w14:paraId="050B3AB9" w14:textId="77777777" w:rsidR="00967D62" w:rsidRPr="009B04CE" w:rsidRDefault="00967D62" w:rsidP="00967D62">
      <w:pPr>
        <w:pStyle w:val="ListParagraph"/>
        <w:numPr>
          <w:ilvl w:val="0"/>
          <w:numId w:val="33"/>
        </w:numPr>
        <w:spacing w:after="160"/>
        <w:contextualSpacing/>
        <w:jc w:val="both"/>
        <w:rPr>
          <w:b/>
        </w:rPr>
      </w:pPr>
      <w:r w:rsidRPr="009E0B7D">
        <w:t xml:space="preserve">Low capacity of </w:t>
      </w:r>
      <w:proofErr w:type="spellStart"/>
      <w:r w:rsidRPr="009E0B7D">
        <w:t>MoJ</w:t>
      </w:r>
      <w:proofErr w:type="spellEnd"/>
      <w:r w:rsidRPr="009E0B7D">
        <w:t xml:space="preserve"> to conduct more complex assessment besides gathering administrative d</w:t>
      </w:r>
      <w:r w:rsidRPr="009E0B7D">
        <w:rPr>
          <w:lang w:val="mk-MK"/>
        </w:rPr>
        <w:t>а</w:t>
      </w:r>
      <w:r w:rsidRPr="009E0B7D">
        <w:t>ta</w:t>
      </w:r>
      <w:r>
        <w:t>.</w:t>
      </w:r>
      <w:r w:rsidRPr="009E0B7D">
        <w:t xml:space="preserve">  </w:t>
      </w:r>
    </w:p>
    <w:p w14:paraId="1AD8704D" w14:textId="77777777" w:rsidR="00967D62" w:rsidRPr="00A4436B" w:rsidRDefault="00967D62" w:rsidP="00967D62">
      <w:pPr>
        <w:pStyle w:val="Heading1"/>
        <w:ind w:firstLine="720"/>
        <w:rPr>
          <w:b w:val="0"/>
          <w:sz w:val="28"/>
          <w:szCs w:val="28"/>
        </w:rPr>
      </w:pPr>
      <w:r w:rsidRPr="00A4436B">
        <w:rPr>
          <w:sz w:val="28"/>
          <w:szCs w:val="28"/>
        </w:rPr>
        <w:t xml:space="preserve">5. Recommendations on the approach and methodology </w:t>
      </w:r>
    </w:p>
    <w:p w14:paraId="7C58EA13" w14:textId="77777777" w:rsidR="00967D62" w:rsidRPr="004974B7" w:rsidRDefault="00967D62" w:rsidP="00967D62">
      <w:pPr>
        <w:jc w:val="both"/>
      </w:pPr>
      <w:proofErr w:type="gramStart"/>
      <w:r w:rsidRPr="004974B7">
        <w:t>On the basis of</w:t>
      </w:r>
      <w:proofErr w:type="gramEnd"/>
      <w:r w:rsidRPr="004974B7">
        <w:t xml:space="preserve"> the assessment of the needs, context and best practices I propose that the legal needs assessment be conducted in the form of legal needs survey following the </w:t>
      </w:r>
      <w:r w:rsidRPr="004974B7">
        <w:rPr>
          <w:i/>
        </w:rPr>
        <w:t xml:space="preserve">paths to justice methodology </w:t>
      </w:r>
      <w:r w:rsidRPr="004974B7">
        <w:rPr>
          <w:lang w:val="mk-MK"/>
        </w:rPr>
        <w:t>(</w:t>
      </w:r>
      <w:r w:rsidRPr="004974B7">
        <w:t xml:space="preserve">described below). There are three main arguments for this approach. </w:t>
      </w:r>
      <w:proofErr w:type="gramStart"/>
      <w:r w:rsidRPr="004974B7">
        <w:t>Firstly</w:t>
      </w:r>
      <w:proofErr w:type="gramEnd"/>
      <w:r w:rsidRPr="004974B7">
        <w:t xml:space="preserve"> it will enable comparability of the results with the 2012 study which is very important in order to assess the impact of policies in the area of access to justice. Secondly, the </w:t>
      </w:r>
      <w:r w:rsidRPr="004974B7">
        <w:rPr>
          <w:i/>
        </w:rPr>
        <w:t>justiciable events</w:t>
      </w:r>
      <w:r w:rsidRPr="004974B7">
        <w:t xml:space="preserve"> approach is the most utilized method for assessing legal needs with significant literature and impact on policymaking processes</w:t>
      </w:r>
      <w:r w:rsidRPr="004974B7">
        <w:rPr>
          <w:rStyle w:val="FootnoteReference"/>
        </w:rPr>
        <w:footnoteReference w:id="17"/>
      </w:r>
      <w:r w:rsidRPr="004974B7">
        <w:t xml:space="preserve"> and thirdly it enables comparability with other jurisdiction to certain extent. </w:t>
      </w:r>
    </w:p>
    <w:p w14:paraId="7A18CC44" w14:textId="77777777" w:rsidR="00967D62" w:rsidRPr="007A0DAA" w:rsidRDefault="00967D62" w:rsidP="00967D62">
      <w:pPr>
        <w:pStyle w:val="Heading2"/>
        <w:ind w:firstLine="720"/>
        <w:rPr>
          <w:sz w:val="24"/>
          <w:szCs w:val="24"/>
        </w:rPr>
      </w:pPr>
      <w:r>
        <w:rPr>
          <w:sz w:val="24"/>
          <w:szCs w:val="24"/>
        </w:rPr>
        <w:t xml:space="preserve">5.1 </w:t>
      </w:r>
      <w:r w:rsidRPr="007A0DAA">
        <w:rPr>
          <w:sz w:val="24"/>
          <w:szCs w:val="24"/>
        </w:rPr>
        <w:t>What is legal needs survey?</w:t>
      </w:r>
    </w:p>
    <w:p w14:paraId="2461462A" w14:textId="77777777" w:rsidR="00967D62" w:rsidRDefault="00967D62" w:rsidP="00967D62">
      <w:pPr>
        <w:jc w:val="both"/>
      </w:pPr>
      <w:r>
        <w:t>Legal needs surveys investigate the experience of justiciable problems from the perspective of those who face them, rather than the professions and institutions that may play a role in their resolution (Ex. Lawyers, NGOs, judges etc.).</w:t>
      </w:r>
      <w:r>
        <w:rPr>
          <w:rStyle w:val="FootnoteReference"/>
        </w:rPr>
        <w:footnoteReference w:id="18"/>
      </w:r>
      <w:r>
        <w:t xml:space="preserve"> Legal needs surveys can identify and explore the full range of responses to problems and, within this, the full range of sources to help and institutions available. Legal needs surveys are distinct from crime victimization or offending surveys, as their focus is on civil legal issues (family, commercial, administrative, etc.); although many stand-alone legal needs surveys also enquire into the experience of matters relating to criminal law (beyond those that are counterparts of civil law).</w:t>
      </w:r>
      <w:r>
        <w:rPr>
          <w:rStyle w:val="FootnoteReference"/>
        </w:rPr>
        <w:footnoteReference w:id="19"/>
      </w:r>
      <w:r>
        <w:t xml:space="preserve"> </w:t>
      </w:r>
      <w:r w:rsidRPr="007A0DAA">
        <w:t xml:space="preserve">Legal needs surveys </w:t>
      </w:r>
      <w:r>
        <w:t>are</w:t>
      </w:r>
      <w:r w:rsidRPr="007A0DAA">
        <w:t xml:space="preserve"> </w:t>
      </w:r>
      <w:r>
        <w:t xml:space="preserve">a </w:t>
      </w:r>
      <w:r w:rsidRPr="007A0DAA">
        <w:t xml:space="preserve">specialized form of survey research. </w:t>
      </w:r>
    </w:p>
    <w:p w14:paraId="42CD7DAB" w14:textId="77777777" w:rsidR="00967D62" w:rsidRDefault="00967D62" w:rsidP="00967D62">
      <w:pPr>
        <w:jc w:val="both"/>
      </w:pPr>
      <w:r>
        <w:t xml:space="preserve">Legal needs surveys give rise to unique considerations because they are situated within a unique conceptual framework, at the heart of which is the concept of the “justiciable” problem (defined above). </w:t>
      </w:r>
      <w:r w:rsidRPr="00ED2DE6">
        <w:t xml:space="preserve">Legal needs surveys investigate the experience of justiciable problems from the perspective of those who face them (a </w:t>
      </w:r>
      <w:proofErr w:type="gramStart"/>
      <w:r w:rsidRPr="00ED2DE6">
        <w:t>bottom up</w:t>
      </w:r>
      <w:proofErr w:type="gramEnd"/>
      <w:r w:rsidRPr="00ED2DE6">
        <w:t xml:space="preserve"> perspective) rather than that from that of a justice professionals and institutions (a top down perspective).</w:t>
      </w:r>
      <w:r>
        <w:t xml:space="preserve"> </w:t>
      </w:r>
      <w:r w:rsidRPr="00ED2DE6">
        <w:t xml:space="preserve">Legal needs surveys are critical way for planners, </w:t>
      </w:r>
      <w:proofErr w:type="gramStart"/>
      <w:r w:rsidRPr="00ED2DE6">
        <w:t>policymakers</w:t>
      </w:r>
      <w:proofErr w:type="gramEnd"/>
      <w:r w:rsidRPr="00ED2DE6">
        <w:t xml:space="preserve"> and advocates to understand meaningful progress towards access to justice</w:t>
      </w:r>
      <w:r>
        <w:t>. They may be conducted as individual legal needs survey or as survey module within larger national survey (Ex. Scotland – Crime and justice survey 2008 – present, Colombia – National Quality of life survey 2016)</w:t>
      </w:r>
    </w:p>
    <w:p w14:paraId="605ADCBD" w14:textId="77777777" w:rsidR="00967D62" w:rsidRDefault="00967D62" w:rsidP="00967D62">
      <w:pPr>
        <w:pStyle w:val="Heading2"/>
        <w:ind w:firstLine="720"/>
        <w:rPr>
          <w:sz w:val="24"/>
          <w:szCs w:val="24"/>
        </w:rPr>
      </w:pPr>
      <w:r>
        <w:rPr>
          <w:sz w:val="24"/>
          <w:szCs w:val="24"/>
        </w:rPr>
        <w:t xml:space="preserve">5.2 </w:t>
      </w:r>
      <w:r w:rsidRPr="00DB4CED">
        <w:rPr>
          <w:sz w:val="24"/>
          <w:szCs w:val="24"/>
        </w:rPr>
        <w:t xml:space="preserve">Development and methodological approaches of legal needs survey </w:t>
      </w:r>
    </w:p>
    <w:p w14:paraId="18D333C7" w14:textId="77777777" w:rsidR="00967D62" w:rsidRDefault="00967D62" w:rsidP="00967D62">
      <w:pPr>
        <w:jc w:val="both"/>
      </w:pPr>
      <w:r w:rsidRPr="00723FBE">
        <w:t>Though the first legal needs survey was conducted in 1930s their use has increased in since the 90s. Over the past 25 years more than 55 large-scale (</w:t>
      </w:r>
      <w:proofErr w:type="spellStart"/>
      <w:r w:rsidRPr="00723FBE">
        <w:t>i.e</w:t>
      </w:r>
      <w:proofErr w:type="spellEnd"/>
      <w:r w:rsidRPr="00723FBE">
        <w:t xml:space="preserve"> 1.000 respondents or more) stand-alone national legal needs surveys have been conducted in more than 30 separate jurisdictions. Additionally, legal needs modules have also been incorporated into seven large scale government run national surveys.</w:t>
      </w:r>
      <w:r>
        <w:rPr>
          <w:rStyle w:val="FootnoteReference"/>
        </w:rPr>
        <w:footnoteReference w:id="20"/>
      </w:r>
      <w:r w:rsidRPr="00723FBE">
        <w:t xml:space="preserve"> </w:t>
      </w:r>
      <w:r>
        <w:t xml:space="preserve">Legal needs survey methodologies and now relatively mature. Landmark legal needs surveys in the 1980s and 1990s – the </w:t>
      </w:r>
      <w:r w:rsidRPr="00DB4CED">
        <w:rPr>
          <w:i/>
        </w:rPr>
        <w:t>Civil Litigation Research Project and Comprehensive Legal Needs Study</w:t>
      </w:r>
      <w:r>
        <w:t xml:space="preserve"> in the United States and, particularly, the </w:t>
      </w:r>
      <w:r w:rsidRPr="00DB4CED">
        <w:rPr>
          <w:i/>
        </w:rPr>
        <w:t>Paths to Justice</w:t>
      </w:r>
      <w:r>
        <w:t xml:space="preserve"> surveys in the United Kingdom – have provided conceptually coherent and methodologically rigorous templates upon which later surveys have built.</w:t>
      </w:r>
      <w:r>
        <w:rPr>
          <w:rStyle w:val="FootnoteReference"/>
        </w:rPr>
        <w:footnoteReference w:id="21"/>
      </w:r>
      <w:r>
        <w:t xml:space="preserve"> The overwhelming majority of the conducted surveys followed the methodology established with the </w:t>
      </w:r>
      <w:r w:rsidRPr="00ED2DE6">
        <w:rPr>
          <w:i/>
        </w:rPr>
        <w:t>Paths to Justice</w:t>
      </w:r>
      <w:r>
        <w:t xml:space="preserve"> surveys. </w:t>
      </w:r>
    </w:p>
    <w:p w14:paraId="79760918" w14:textId="77777777" w:rsidR="00967D62" w:rsidRPr="004974B7" w:rsidRDefault="00967D62" w:rsidP="00967D62">
      <w:pPr>
        <w:pStyle w:val="Heading2"/>
        <w:ind w:firstLine="720"/>
      </w:pPr>
      <w:r>
        <w:t xml:space="preserve">5.3 </w:t>
      </w:r>
      <w:r w:rsidRPr="004974B7">
        <w:t xml:space="preserve">Benefits of legal needs survey </w:t>
      </w:r>
    </w:p>
    <w:p w14:paraId="4047D993" w14:textId="77777777" w:rsidR="00967D62" w:rsidRDefault="00967D62" w:rsidP="00967D62">
      <w:pPr>
        <w:jc w:val="both"/>
      </w:pPr>
      <w:r>
        <w:t xml:space="preserve">Legal needs survey provides two key benefits. Firstly, it gives an insight into people’s experience of resolving justiciable problems, and secondly it provides unique and comprehensive overview of the justice system.  These two benefits are impossible to be achieved by other means and as such, legal needs surveys provide vital data concerning access to justice. The survey provides an empirical basis for understanding how justice issue arise and how they affect the people. It enables us to look across and beyond institutions and the experience of the professionals. Provide the big picture of people s efforts to access justice. More specifically the legal needs survey produces the following outcomes: </w:t>
      </w:r>
    </w:p>
    <w:p w14:paraId="1F72BFFC" w14:textId="77777777" w:rsidR="00967D62" w:rsidRDefault="00967D62" w:rsidP="00967D62">
      <w:pPr>
        <w:pStyle w:val="ListParagraph"/>
        <w:numPr>
          <w:ilvl w:val="0"/>
          <w:numId w:val="29"/>
        </w:numPr>
        <w:spacing w:after="160"/>
        <w:contextualSpacing/>
        <w:jc w:val="both"/>
      </w:pPr>
      <w:r>
        <w:t xml:space="preserve">The enable quantification of justiciable problem experience across </w:t>
      </w:r>
      <w:proofErr w:type="gramStart"/>
      <w:r>
        <w:t>populations;</w:t>
      </w:r>
      <w:proofErr w:type="gramEnd"/>
    </w:p>
    <w:p w14:paraId="103BE963" w14:textId="77777777" w:rsidR="00967D62" w:rsidRDefault="00967D62" w:rsidP="00967D62">
      <w:pPr>
        <w:pStyle w:val="ListParagraph"/>
        <w:numPr>
          <w:ilvl w:val="0"/>
          <w:numId w:val="29"/>
        </w:numPr>
        <w:spacing w:after="160"/>
        <w:contextualSpacing/>
        <w:jc w:val="both"/>
      </w:pPr>
      <w:r>
        <w:t xml:space="preserve">Mapping of patterns of problem resolving </w:t>
      </w:r>
      <w:proofErr w:type="spellStart"/>
      <w:proofErr w:type="gramStart"/>
      <w:r>
        <w:t>behavior</w:t>
      </w:r>
      <w:proofErr w:type="spellEnd"/>
      <w:r>
        <w:t>;</w:t>
      </w:r>
      <w:proofErr w:type="gramEnd"/>
      <w:r>
        <w:t xml:space="preserve"> </w:t>
      </w:r>
    </w:p>
    <w:p w14:paraId="65752F56" w14:textId="77777777" w:rsidR="00967D62" w:rsidRDefault="00967D62" w:rsidP="00967D62">
      <w:pPr>
        <w:pStyle w:val="ListParagraph"/>
        <w:numPr>
          <w:ilvl w:val="0"/>
          <w:numId w:val="29"/>
        </w:numPr>
        <w:spacing w:after="160"/>
        <w:contextualSpacing/>
        <w:jc w:val="both"/>
      </w:pPr>
      <w:r>
        <w:t xml:space="preserve">Illuminate changes in experience and </w:t>
      </w:r>
      <w:proofErr w:type="spellStart"/>
      <w:r>
        <w:t>behavior</w:t>
      </w:r>
      <w:proofErr w:type="spellEnd"/>
      <w:r>
        <w:t xml:space="preserve"> over time (if surveys are conducted on regular time intervals</w:t>
      </w:r>
      <w:proofErr w:type="gramStart"/>
      <w:r>
        <w:t>);</w:t>
      </w:r>
      <w:proofErr w:type="gramEnd"/>
      <w:r>
        <w:t xml:space="preserve"> </w:t>
      </w:r>
    </w:p>
    <w:p w14:paraId="5BA5F52B" w14:textId="77777777" w:rsidR="00967D62" w:rsidRDefault="00967D62" w:rsidP="00967D62">
      <w:pPr>
        <w:pStyle w:val="ListParagraph"/>
        <w:numPr>
          <w:ilvl w:val="0"/>
          <w:numId w:val="29"/>
        </w:numPr>
        <w:spacing w:after="160"/>
        <w:contextualSpacing/>
        <w:jc w:val="both"/>
      </w:pPr>
      <w:r>
        <w:t xml:space="preserve">Identify obstacles in accessing legal services and </w:t>
      </w:r>
      <w:proofErr w:type="gramStart"/>
      <w:r>
        <w:t>procedures;</w:t>
      </w:r>
      <w:proofErr w:type="gramEnd"/>
      <w:r>
        <w:t xml:space="preserve"> </w:t>
      </w:r>
    </w:p>
    <w:p w14:paraId="08BB674A" w14:textId="77777777" w:rsidR="00967D62" w:rsidRDefault="00967D62" w:rsidP="00967D62">
      <w:pPr>
        <w:pStyle w:val="ListParagraph"/>
        <w:numPr>
          <w:ilvl w:val="0"/>
          <w:numId w:val="29"/>
        </w:numPr>
        <w:spacing w:after="160"/>
        <w:contextualSpacing/>
        <w:jc w:val="both"/>
      </w:pPr>
      <w:r>
        <w:t>Provide insight into levels of legal capability (legal understanding, awareness of services and legal confidence</w:t>
      </w:r>
      <w:proofErr w:type="gramStart"/>
      <w:r>
        <w:t>);</w:t>
      </w:r>
      <w:proofErr w:type="gramEnd"/>
    </w:p>
    <w:p w14:paraId="18762E3E" w14:textId="77777777" w:rsidR="00967D62" w:rsidRDefault="00967D62" w:rsidP="00967D62">
      <w:pPr>
        <w:pStyle w:val="ListParagraph"/>
        <w:numPr>
          <w:ilvl w:val="0"/>
          <w:numId w:val="29"/>
        </w:numPr>
        <w:spacing w:after="160"/>
        <w:contextualSpacing/>
        <w:jc w:val="both"/>
      </w:pPr>
      <w:r>
        <w:t xml:space="preserve">Attitudes towards the justice system.  </w:t>
      </w:r>
    </w:p>
    <w:p w14:paraId="08D8C862" w14:textId="77777777" w:rsidR="00967D62" w:rsidRPr="00FC1F68" w:rsidRDefault="00967D62" w:rsidP="00967D62">
      <w:pPr>
        <w:pStyle w:val="Heading2"/>
        <w:ind w:firstLine="360"/>
      </w:pPr>
      <w:r>
        <w:t xml:space="preserve">5.4 </w:t>
      </w:r>
      <w:r w:rsidRPr="00FC1F68">
        <w:t xml:space="preserve">Legal needs survey </w:t>
      </w:r>
      <w:r>
        <w:t>and</w:t>
      </w:r>
      <w:r w:rsidRPr="00FC1F68">
        <w:t xml:space="preserve"> administrative data </w:t>
      </w:r>
    </w:p>
    <w:p w14:paraId="7F8C127E" w14:textId="77777777" w:rsidR="00967D62" w:rsidRDefault="00967D62" w:rsidP="00967D62">
      <w:pPr>
        <w:jc w:val="both"/>
      </w:pPr>
      <w:r>
        <w:t xml:space="preserve">Administrative data (collected by Ministry of Justice, NGOs, legal clinics </w:t>
      </w:r>
      <w:proofErr w:type="spellStart"/>
      <w:r>
        <w:t>ect</w:t>
      </w:r>
      <w:proofErr w:type="spellEnd"/>
      <w:r>
        <w:t xml:space="preserve">.) is important for </w:t>
      </w:r>
      <w:proofErr w:type="spellStart"/>
      <w:r>
        <w:t>programing</w:t>
      </w:r>
      <w:proofErr w:type="spellEnd"/>
      <w:r>
        <w:t xml:space="preserve"> and assessment however it is insufficient to provide information necessary to assess the true scope of needs as they do not encompass problems that parties deal with it only informally or they ignore. Additionally, the existing problems of lack of proper data collection and data standardization are additionally making impossible to the create an image about the legal problems of the people in the country. The legal needs survey should </w:t>
      </w:r>
      <w:proofErr w:type="spellStart"/>
      <w:r>
        <w:t>by</w:t>
      </w:r>
      <w:proofErr w:type="spellEnd"/>
      <w:r>
        <w:t xml:space="preserve"> no mean be considered as an alternative to administrative data and data derived from legal aid providers. Rather, they are an essential compliment. The legal needs survey contextualizes administrative data and provide an overview of population’s perspective on access to justice.  </w:t>
      </w:r>
    </w:p>
    <w:p w14:paraId="3BAE6323" w14:textId="77777777" w:rsidR="00967D62" w:rsidRDefault="00967D62" w:rsidP="00967D62">
      <w:pPr>
        <w:pStyle w:val="Heading1"/>
        <w:spacing w:after="120"/>
        <w:rPr>
          <w:b w:val="0"/>
          <w:sz w:val="28"/>
          <w:szCs w:val="28"/>
        </w:rPr>
      </w:pPr>
    </w:p>
    <w:p w14:paraId="2C1DF6D4" w14:textId="77777777" w:rsidR="00967D62" w:rsidRPr="00A4436B" w:rsidRDefault="00967D62" w:rsidP="00967D62">
      <w:pPr>
        <w:pStyle w:val="Heading1"/>
        <w:ind w:left="720"/>
        <w:rPr>
          <w:b w:val="0"/>
          <w:sz w:val="28"/>
          <w:szCs w:val="28"/>
        </w:rPr>
      </w:pPr>
      <w:r w:rsidRPr="00A4436B">
        <w:rPr>
          <w:sz w:val="28"/>
          <w:szCs w:val="28"/>
        </w:rPr>
        <w:t xml:space="preserve">6. Draft methodology for Legal Needs Assessment Survey in North Macedonia </w:t>
      </w:r>
    </w:p>
    <w:p w14:paraId="1492F6F0" w14:textId="77777777" w:rsidR="00967D62" w:rsidRDefault="00967D62" w:rsidP="00967D62">
      <w:pPr>
        <w:jc w:val="both"/>
        <w:rPr>
          <w:b/>
        </w:rPr>
      </w:pPr>
    </w:p>
    <w:p w14:paraId="65181972" w14:textId="77777777" w:rsidR="00967D62" w:rsidRPr="004974B7" w:rsidRDefault="00967D62" w:rsidP="00967D62">
      <w:pPr>
        <w:jc w:val="both"/>
        <w:rPr>
          <w:b/>
        </w:rPr>
      </w:pPr>
      <w:r w:rsidRPr="004974B7">
        <w:rPr>
          <w:b/>
        </w:rPr>
        <w:t>Main objective:</w:t>
      </w:r>
    </w:p>
    <w:p w14:paraId="68951675" w14:textId="77777777" w:rsidR="00967D62" w:rsidRPr="004974B7" w:rsidRDefault="00967D62" w:rsidP="00967D62">
      <w:pPr>
        <w:jc w:val="both"/>
      </w:pPr>
      <w:r w:rsidRPr="004974B7">
        <w:t xml:space="preserve">To provide valuable evidence-based data to inform debate and policy developments concerning administering and providing legal aid.  </w:t>
      </w:r>
    </w:p>
    <w:p w14:paraId="3A8B83DC" w14:textId="77777777" w:rsidR="00967D62" w:rsidRPr="004974B7" w:rsidRDefault="00967D62" w:rsidP="00967D62">
      <w:pPr>
        <w:jc w:val="both"/>
        <w:rPr>
          <w:b/>
        </w:rPr>
      </w:pPr>
      <w:r w:rsidRPr="004974B7">
        <w:rPr>
          <w:b/>
        </w:rPr>
        <w:t>Aims:</w:t>
      </w:r>
    </w:p>
    <w:p w14:paraId="154E6458" w14:textId="77777777" w:rsidR="00967D62" w:rsidRPr="004974B7" w:rsidRDefault="00967D62" w:rsidP="00967D62">
      <w:pPr>
        <w:jc w:val="both"/>
      </w:pPr>
      <w:r w:rsidRPr="004974B7">
        <w:t>The legal needs survey should examine the nature of legal problems, the pathways to their resolution and the demographic groups that are particularly vulnerable to experiencing legal problems. More specifically, the study should assess:</w:t>
      </w:r>
    </w:p>
    <w:p w14:paraId="7B6C3A23" w14:textId="77777777" w:rsidR="00967D62" w:rsidRPr="004974B7" w:rsidRDefault="00967D62" w:rsidP="00967D62">
      <w:pPr>
        <w:pStyle w:val="ListParagraph"/>
        <w:numPr>
          <w:ilvl w:val="0"/>
          <w:numId w:val="34"/>
        </w:numPr>
        <w:spacing w:after="160"/>
        <w:contextualSpacing/>
        <w:jc w:val="both"/>
      </w:pPr>
      <w:r w:rsidRPr="004974B7">
        <w:t xml:space="preserve">the prevalence of legal </w:t>
      </w:r>
      <w:proofErr w:type="gramStart"/>
      <w:r w:rsidRPr="004974B7">
        <w:t>problems</w:t>
      </w:r>
      <w:r>
        <w:t>;</w:t>
      </w:r>
      <w:proofErr w:type="gramEnd"/>
    </w:p>
    <w:p w14:paraId="01FF5D6F" w14:textId="77777777" w:rsidR="00967D62" w:rsidRPr="004974B7" w:rsidRDefault="00967D62" w:rsidP="00967D62">
      <w:pPr>
        <w:pStyle w:val="ListParagraph"/>
        <w:numPr>
          <w:ilvl w:val="0"/>
          <w:numId w:val="34"/>
        </w:numPr>
        <w:spacing w:after="160"/>
        <w:contextualSpacing/>
        <w:jc w:val="both"/>
      </w:pPr>
      <w:r w:rsidRPr="004974B7">
        <w:t xml:space="preserve">the nature of legal </w:t>
      </w:r>
      <w:proofErr w:type="gramStart"/>
      <w:r w:rsidRPr="004974B7">
        <w:t>problems</w:t>
      </w:r>
      <w:r>
        <w:t>;</w:t>
      </w:r>
      <w:proofErr w:type="gramEnd"/>
    </w:p>
    <w:p w14:paraId="3CB02399" w14:textId="77777777" w:rsidR="00967D62" w:rsidRPr="004974B7" w:rsidRDefault="00967D62" w:rsidP="00967D62">
      <w:pPr>
        <w:pStyle w:val="ListParagraph"/>
        <w:numPr>
          <w:ilvl w:val="0"/>
          <w:numId w:val="34"/>
        </w:numPr>
        <w:spacing w:after="160"/>
        <w:contextualSpacing/>
        <w:jc w:val="both"/>
      </w:pPr>
      <w:r w:rsidRPr="004974B7">
        <w:t xml:space="preserve">the strategies used in response to legal </w:t>
      </w:r>
      <w:proofErr w:type="gramStart"/>
      <w:r w:rsidRPr="004974B7">
        <w:t>problems</w:t>
      </w:r>
      <w:r>
        <w:t>;</w:t>
      </w:r>
      <w:proofErr w:type="gramEnd"/>
    </w:p>
    <w:p w14:paraId="4C5267DF" w14:textId="77777777" w:rsidR="00967D62" w:rsidRPr="004974B7" w:rsidRDefault="00967D62" w:rsidP="00967D62">
      <w:pPr>
        <w:pStyle w:val="ListParagraph"/>
        <w:numPr>
          <w:ilvl w:val="0"/>
          <w:numId w:val="34"/>
        </w:numPr>
        <w:spacing w:after="160"/>
        <w:contextualSpacing/>
        <w:jc w:val="both"/>
      </w:pPr>
      <w:r w:rsidRPr="004974B7">
        <w:t xml:space="preserve">the advice received for legal </w:t>
      </w:r>
      <w:proofErr w:type="gramStart"/>
      <w:r w:rsidRPr="004974B7">
        <w:t>problems</w:t>
      </w:r>
      <w:r>
        <w:t>;</w:t>
      </w:r>
      <w:proofErr w:type="gramEnd"/>
    </w:p>
    <w:p w14:paraId="1067A4D7" w14:textId="77777777" w:rsidR="00967D62" w:rsidRPr="004974B7" w:rsidRDefault="00967D62" w:rsidP="00967D62">
      <w:pPr>
        <w:pStyle w:val="ListParagraph"/>
        <w:numPr>
          <w:ilvl w:val="0"/>
          <w:numId w:val="34"/>
        </w:numPr>
        <w:spacing w:after="160"/>
        <w:contextualSpacing/>
        <w:jc w:val="both"/>
      </w:pPr>
      <w:r w:rsidRPr="004974B7">
        <w:t xml:space="preserve">the finalisation of legal </w:t>
      </w:r>
      <w:proofErr w:type="gramStart"/>
      <w:r w:rsidRPr="004974B7">
        <w:t>problems</w:t>
      </w:r>
      <w:r>
        <w:t>;</w:t>
      </w:r>
      <w:proofErr w:type="gramEnd"/>
    </w:p>
    <w:p w14:paraId="732B82E0" w14:textId="77777777" w:rsidR="00967D62" w:rsidRPr="004974B7" w:rsidRDefault="00967D62" w:rsidP="00967D62">
      <w:pPr>
        <w:pStyle w:val="ListParagraph"/>
        <w:numPr>
          <w:ilvl w:val="0"/>
          <w:numId w:val="34"/>
        </w:numPr>
        <w:spacing w:after="160"/>
        <w:contextualSpacing/>
        <w:jc w:val="both"/>
      </w:pPr>
      <w:r w:rsidRPr="004974B7">
        <w:t xml:space="preserve">the outcome of legal </w:t>
      </w:r>
      <w:proofErr w:type="gramStart"/>
      <w:r w:rsidRPr="004974B7">
        <w:t>problems</w:t>
      </w:r>
      <w:r>
        <w:t>;</w:t>
      </w:r>
      <w:proofErr w:type="gramEnd"/>
    </w:p>
    <w:p w14:paraId="6748C31C" w14:textId="77777777" w:rsidR="00967D62" w:rsidRPr="004974B7" w:rsidRDefault="00967D62" w:rsidP="00967D62">
      <w:pPr>
        <w:pStyle w:val="ListParagraph"/>
        <w:numPr>
          <w:ilvl w:val="0"/>
          <w:numId w:val="34"/>
        </w:numPr>
        <w:spacing w:after="160"/>
        <w:contextualSpacing/>
        <w:jc w:val="both"/>
      </w:pPr>
      <w:r w:rsidRPr="004974B7">
        <w:t xml:space="preserve">the factors that may influence each of the above. </w:t>
      </w:r>
    </w:p>
    <w:p w14:paraId="6D71ED33" w14:textId="77777777" w:rsidR="00967D62" w:rsidRPr="004974B7" w:rsidRDefault="00967D62" w:rsidP="00967D62">
      <w:pPr>
        <w:jc w:val="both"/>
      </w:pPr>
      <w:r w:rsidRPr="004974B7">
        <w:t>In relation to aim 7, the influence of the following factors should be examine</w:t>
      </w:r>
      <w:r>
        <w:t>d by</w:t>
      </w:r>
      <w:r w:rsidRPr="004974B7">
        <w:t xml:space="preserve"> demographic characteristics (</w:t>
      </w:r>
      <w:proofErr w:type="gramStart"/>
      <w:r w:rsidRPr="004974B7">
        <w:t>e.g.</w:t>
      </w:r>
      <w:proofErr w:type="gramEnd"/>
      <w:r w:rsidRPr="004974B7">
        <w:t xml:space="preserve"> gender, age, ethnicity, disability status, education, employment status, family status, housing type, main income), characteristics of legal problems (e.g. type, recency and severity of problems).</w:t>
      </w:r>
    </w:p>
    <w:p w14:paraId="46A5AA2C" w14:textId="77777777" w:rsidR="00967D62" w:rsidRPr="004974B7" w:rsidRDefault="00967D62" w:rsidP="00967D62">
      <w:pPr>
        <w:jc w:val="both"/>
        <w:rPr>
          <w:b/>
        </w:rPr>
      </w:pPr>
      <w:r w:rsidRPr="004974B7">
        <w:rPr>
          <w:b/>
        </w:rPr>
        <w:t>Methodological approach:</w:t>
      </w:r>
    </w:p>
    <w:p w14:paraId="5C7E4282" w14:textId="77777777" w:rsidR="00967D62" w:rsidRPr="004974B7" w:rsidRDefault="00967D62" w:rsidP="00967D62">
      <w:pPr>
        <w:pStyle w:val="ListParagraph"/>
        <w:numPr>
          <w:ilvl w:val="0"/>
          <w:numId w:val="35"/>
        </w:numPr>
        <w:spacing w:after="160"/>
        <w:contextualSpacing/>
        <w:jc w:val="both"/>
        <w:rPr>
          <w:b/>
          <w:i/>
        </w:rPr>
      </w:pPr>
      <w:r w:rsidRPr="004974B7">
        <w:rPr>
          <w:b/>
          <w:i/>
        </w:rPr>
        <w:t>Justiciable problem approach</w:t>
      </w:r>
    </w:p>
    <w:p w14:paraId="72CA5DF9" w14:textId="77777777" w:rsidR="00967D62" w:rsidRPr="004974B7" w:rsidRDefault="00967D62" w:rsidP="00967D62">
      <w:pPr>
        <w:jc w:val="both"/>
      </w:pPr>
      <w:r w:rsidRPr="004974B7">
        <w:t xml:space="preserve">The legal needs assessment should follow the </w:t>
      </w:r>
      <w:r w:rsidRPr="004974B7">
        <w:rPr>
          <w:b/>
          <w:i/>
        </w:rPr>
        <w:t>justiciable problem</w:t>
      </w:r>
      <w:r w:rsidRPr="004974B7">
        <w:rPr>
          <w:i/>
        </w:rPr>
        <w:t xml:space="preserve"> approach, </w:t>
      </w:r>
      <w:r w:rsidRPr="004974B7">
        <w:t xml:space="preserve">already well </w:t>
      </w:r>
      <w:proofErr w:type="gramStart"/>
      <w:r w:rsidRPr="004974B7">
        <w:t>developed</w:t>
      </w:r>
      <w:proofErr w:type="gramEnd"/>
      <w:r w:rsidRPr="004974B7">
        <w:t xml:space="preserve"> and implemented in over 50 jurisdictions. The approach Paths to Justice tradition, having firm roots in, and following the structure of, </w:t>
      </w:r>
      <w:proofErr w:type="spellStart"/>
      <w:r w:rsidRPr="004974B7">
        <w:t>Genn’s</w:t>
      </w:r>
      <w:proofErr w:type="spellEnd"/>
      <w:r w:rsidRPr="004974B7">
        <w:t xml:space="preserve"> landmark survey in England and Wales.</w:t>
      </w:r>
      <w:r w:rsidRPr="004974B7">
        <w:rPr>
          <w:rStyle w:val="FootnoteReference"/>
        </w:rPr>
        <w:footnoteReference w:id="22"/>
      </w:r>
      <w:r w:rsidRPr="004974B7">
        <w:t xml:space="preserve"> The starting point in the approach is that it recognizes that law does not always provide the best context for problem solving, and sees the adoption of a neutral stance towards citizen experience and behaviour. It is characterised by a focus on issues that may have a legal </w:t>
      </w:r>
      <w:proofErr w:type="gramStart"/>
      <w:r w:rsidRPr="004974B7">
        <w:t>solution, but</w:t>
      </w:r>
      <w:proofErr w:type="gramEnd"/>
      <w:r w:rsidRPr="004974B7">
        <w:t xml:space="preserve"> are not restricted to those familiar to lawyers or discussed in tribunals or civil courts. The aspiration is to observe the entire dispute pyramid, from everyday problems (</w:t>
      </w:r>
      <w:proofErr w:type="gramStart"/>
      <w:r w:rsidRPr="004974B7">
        <w:t>whether or not</w:t>
      </w:r>
      <w:proofErr w:type="gramEnd"/>
      <w:r w:rsidRPr="004974B7">
        <w:t xml:space="preserve"> they are understood as legal) to formal proceedings.  </w:t>
      </w:r>
    </w:p>
    <w:p w14:paraId="5884171C" w14:textId="77777777" w:rsidR="00967D62" w:rsidRPr="004974B7" w:rsidRDefault="00967D62" w:rsidP="00967D62">
      <w:pPr>
        <w:pStyle w:val="ListParagraph"/>
        <w:numPr>
          <w:ilvl w:val="0"/>
          <w:numId w:val="35"/>
        </w:numPr>
        <w:spacing w:after="160"/>
        <w:contextualSpacing/>
        <w:jc w:val="both"/>
        <w:rPr>
          <w:b/>
        </w:rPr>
      </w:pPr>
      <w:r w:rsidRPr="004974B7">
        <w:rPr>
          <w:b/>
        </w:rPr>
        <w:t>Reference period</w:t>
      </w:r>
    </w:p>
    <w:p w14:paraId="5E777E89" w14:textId="77777777" w:rsidR="00967D62" w:rsidRPr="004974B7" w:rsidRDefault="00967D62" w:rsidP="00967D62">
      <w:pPr>
        <w:jc w:val="both"/>
      </w:pPr>
      <w:r w:rsidRPr="004974B7">
        <w:t xml:space="preserve">Three years – It was the same in the previous survey </w:t>
      </w:r>
    </w:p>
    <w:p w14:paraId="293E4728" w14:textId="77777777" w:rsidR="00967D62" w:rsidRDefault="00967D62" w:rsidP="00967D62">
      <w:pPr>
        <w:pStyle w:val="ListParagraph"/>
        <w:numPr>
          <w:ilvl w:val="0"/>
          <w:numId w:val="35"/>
        </w:numPr>
        <w:spacing w:after="160"/>
        <w:contextualSpacing/>
        <w:jc w:val="both"/>
        <w:rPr>
          <w:b/>
        </w:rPr>
      </w:pPr>
      <w:r w:rsidRPr="004974B7">
        <w:rPr>
          <w:b/>
        </w:rPr>
        <w:t>Triviality threshold</w:t>
      </w:r>
    </w:p>
    <w:p w14:paraId="553C86E6" w14:textId="77777777" w:rsidR="00967D62" w:rsidRPr="004974B7" w:rsidRDefault="00967D62" w:rsidP="00967D62">
      <w:pPr>
        <w:jc w:val="both"/>
      </w:pPr>
      <w:r w:rsidRPr="004974B7">
        <w:t xml:space="preserve">The </w:t>
      </w:r>
      <w:r>
        <w:t xml:space="preserve">survey should be focused to identify non-trivial justiciable events. </w:t>
      </w:r>
    </w:p>
    <w:p w14:paraId="0E0FF655" w14:textId="77777777" w:rsidR="00967D62" w:rsidRPr="004974B7" w:rsidRDefault="00967D62" w:rsidP="00967D62">
      <w:pPr>
        <w:pStyle w:val="ListParagraph"/>
        <w:numPr>
          <w:ilvl w:val="0"/>
          <w:numId w:val="35"/>
        </w:numPr>
        <w:spacing w:after="160"/>
        <w:contextualSpacing/>
        <w:jc w:val="both"/>
        <w:rPr>
          <w:b/>
        </w:rPr>
      </w:pPr>
      <w:r w:rsidRPr="004974B7">
        <w:rPr>
          <w:b/>
        </w:rPr>
        <w:t xml:space="preserve">Classification of justiciable events </w:t>
      </w:r>
    </w:p>
    <w:p w14:paraId="1569C704" w14:textId="77777777" w:rsidR="00967D62" w:rsidRPr="004974B7" w:rsidRDefault="00967D62" w:rsidP="00967D62">
      <w:pPr>
        <w:autoSpaceDE w:val="0"/>
        <w:autoSpaceDN w:val="0"/>
        <w:adjustRightInd w:val="0"/>
        <w:rPr>
          <w:rFonts w:cstheme="minorHAnsi"/>
          <w:color w:val="000000"/>
        </w:rPr>
      </w:pPr>
      <w:r w:rsidRPr="004974B7">
        <w:rPr>
          <w:rFonts w:cstheme="minorHAnsi"/>
          <w:color w:val="000000"/>
        </w:rPr>
        <w:t xml:space="preserve">The legal problems should be grouped in the following classes: </w:t>
      </w:r>
    </w:p>
    <w:p w14:paraId="16049768" w14:textId="77777777" w:rsidR="00967D62" w:rsidRPr="004974B7" w:rsidRDefault="00967D62" w:rsidP="00967D62">
      <w:pPr>
        <w:pStyle w:val="ListParagraph"/>
        <w:numPr>
          <w:ilvl w:val="0"/>
          <w:numId w:val="36"/>
        </w:numPr>
        <w:autoSpaceDE w:val="0"/>
        <w:autoSpaceDN w:val="0"/>
        <w:adjustRightInd w:val="0"/>
        <w:contextualSpacing/>
        <w:rPr>
          <w:rFonts w:cstheme="minorHAnsi"/>
          <w:color w:val="000000"/>
        </w:rPr>
      </w:pPr>
      <w:r w:rsidRPr="004974B7">
        <w:rPr>
          <w:rFonts w:cstheme="minorHAnsi"/>
          <w:color w:val="000000"/>
        </w:rPr>
        <w:t>Consumer</w:t>
      </w:r>
    </w:p>
    <w:p w14:paraId="4931380A"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color w:val="000000"/>
        </w:rPr>
        <w:t>Employment</w:t>
      </w:r>
    </w:p>
    <w:p w14:paraId="003FA783"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Housing/Property</w:t>
      </w:r>
    </w:p>
    <w:p w14:paraId="2509F1D5"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Renting out property</w:t>
      </w:r>
    </w:p>
    <w:p w14:paraId="098F366D"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Living in rented property</w:t>
      </w:r>
    </w:p>
    <w:p w14:paraId="56279E61"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Money</w:t>
      </w:r>
    </w:p>
    <w:p w14:paraId="48F3E493"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Problems with government transfers and services</w:t>
      </w:r>
    </w:p>
    <w:p w14:paraId="4F94C679"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Education</w:t>
      </w:r>
    </w:p>
    <w:p w14:paraId="198EFF74"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Problems with partners</w:t>
      </w:r>
    </w:p>
    <w:p w14:paraId="1DEAC369"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Children related problems</w:t>
      </w:r>
    </w:p>
    <w:p w14:paraId="52574472"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Health related problems</w:t>
      </w:r>
    </w:p>
    <w:p w14:paraId="78E9B72E"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Discrimination</w:t>
      </w:r>
    </w:p>
    <w:p w14:paraId="392563E3" w14:textId="77777777" w:rsidR="00967D62" w:rsidRPr="004974B7" w:rsidRDefault="00967D62" w:rsidP="00967D62">
      <w:pPr>
        <w:pStyle w:val="ListParagraph"/>
        <w:numPr>
          <w:ilvl w:val="0"/>
          <w:numId w:val="36"/>
        </w:numPr>
        <w:spacing w:after="160"/>
        <w:contextualSpacing/>
        <w:jc w:val="both"/>
        <w:rPr>
          <w:rFonts w:cstheme="minorHAnsi"/>
        </w:rPr>
      </w:pPr>
      <w:r w:rsidRPr="004974B7">
        <w:rPr>
          <w:rFonts w:cstheme="minorHAnsi"/>
        </w:rPr>
        <w:t xml:space="preserve">Problems with police, problems experienced as a victim of crime, </w:t>
      </w:r>
    </w:p>
    <w:p w14:paraId="6A75BED3" w14:textId="77777777" w:rsidR="00967D62" w:rsidRPr="004974B7" w:rsidRDefault="00967D62" w:rsidP="00967D62">
      <w:pPr>
        <w:pStyle w:val="ListParagraph"/>
        <w:numPr>
          <w:ilvl w:val="0"/>
          <w:numId w:val="36"/>
        </w:numPr>
        <w:spacing w:after="160"/>
        <w:contextualSpacing/>
        <w:jc w:val="both"/>
        <w:rPr>
          <w:rFonts w:cstheme="minorHAnsi"/>
        </w:rPr>
      </w:pPr>
      <w:r>
        <w:rPr>
          <w:rFonts w:cstheme="minorHAnsi"/>
        </w:rPr>
        <w:t>D</w:t>
      </w:r>
      <w:r w:rsidRPr="004974B7">
        <w:rPr>
          <w:rFonts w:cstheme="minorHAnsi"/>
        </w:rPr>
        <w:t>efamation and privacy violation</w:t>
      </w:r>
    </w:p>
    <w:p w14:paraId="422689CE" w14:textId="77777777" w:rsidR="00967D62" w:rsidRDefault="00967D62" w:rsidP="00967D62">
      <w:pPr>
        <w:pStyle w:val="ListParagraph"/>
        <w:numPr>
          <w:ilvl w:val="0"/>
          <w:numId w:val="36"/>
        </w:numPr>
        <w:spacing w:after="160"/>
        <w:contextualSpacing/>
        <w:jc w:val="both"/>
        <w:rPr>
          <w:rFonts w:cstheme="minorHAnsi"/>
        </w:rPr>
      </w:pPr>
      <w:r w:rsidRPr="004974B7">
        <w:rPr>
          <w:rFonts w:cstheme="minorHAnsi"/>
        </w:rPr>
        <w:t xml:space="preserve">Other, </w:t>
      </w:r>
      <w:proofErr w:type="spellStart"/>
      <w:r w:rsidRPr="004974B7">
        <w:rPr>
          <w:rFonts w:cstheme="minorHAnsi"/>
        </w:rPr>
        <w:t>self identified</w:t>
      </w:r>
      <w:proofErr w:type="spellEnd"/>
      <w:r w:rsidRPr="004974B7">
        <w:rPr>
          <w:rFonts w:cstheme="minorHAnsi"/>
        </w:rPr>
        <w:t xml:space="preserve"> problem</w:t>
      </w:r>
    </w:p>
    <w:p w14:paraId="5B8185EA" w14:textId="77777777" w:rsidR="00967D62" w:rsidRPr="004974B7" w:rsidRDefault="00967D62" w:rsidP="00967D62">
      <w:pPr>
        <w:pStyle w:val="ListParagraph"/>
        <w:numPr>
          <w:ilvl w:val="0"/>
          <w:numId w:val="35"/>
        </w:numPr>
        <w:spacing w:after="160"/>
        <w:contextualSpacing/>
        <w:jc w:val="both"/>
        <w:rPr>
          <w:b/>
        </w:rPr>
      </w:pPr>
      <w:r w:rsidRPr="004974B7">
        <w:rPr>
          <w:b/>
        </w:rPr>
        <w:t xml:space="preserve">Survey instruments </w:t>
      </w:r>
    </w:p>
    <w:p w14:paraId="12FB594C" w14:textId="77777777" w:rsidR="00967D62" w:rsidRPr="004974B7" w:rsidRDefault="00967D62" w:rsidP="00967D62">
      <w:pPr>
        <w:jc w:val="both"/>
      </w:pPr>
      <w:r w:rsidRPr="004974B7">
        <w:t xml:space="preserve">The questionnaire used in this study should be based largely on the questionnaire designed by Hazel </w:t>
      </w:r>
      <w:proofErr w:type="spellStart"/>
      <w:r w:rsidRPr="004974B7">
        <w:t>Genn</w:t>
      </w:r>
      <w:proofErr w:type="spellEnd"/>
      <w:r w:rsidRPr="004974B7">
        <w:t xml:space="preserve"> in her seminal work Paths to Justice adapted for local societal, </w:t>
      </w:r>
      <w:proofErr w:type="gramStart"/>
      <w:r w:rsidRPr="004974B7">
        <w:t>legal</w:t>
      </w:r>
      <w:proofErr w:type="gramEnd"/>
      <w:r w:rsidRPr="004974B7">
        <w:t xml:space="preserve"> and institutional context. </w:t>
      </w:r>
    </w:p>
    <w:p w14:paraId="4F9D72AE" w14:textId="77777777" w:rsidR="00967D62" w:rsidRPr="004974B7" w:rsidRDefault="00967D62" w:rsidP="00967D62">
      <w:pPr>
        <w:jc w:val="both"/>
      </w:pPr>
      <w:r w:rsidRPr="004974B7">
        <w:t xml:space="preserve">The adaptation is commonly conducted through two focus groups (one with lawyers providing legal aid and one with lay people. The adaptation should focus on identification of problem categories, testing the language and wording of questions. </w:t>
      </w:r>
    </w:p>
    <w:p w14:paraId="66454E48" w14:textId="77777777" w:rsidR="00967D62" w:rsidRPr="004974B7" w:rsidRDefault="00967D62" w:rsidP="00967D62">
      <w:pPr>
        <w:pStyle w:val="ListParagraph"/>
        <w:numPr>
          <w:ilvl w:val="0"/>
          <w:numId w:val="35"/>
        </w:numPr>
        <w:spacing w:after="160"/>
        <w:contextualSpacing/>
        <w:jc w:val="both"/>
        <w:rPr>
          <w:b/>
        </w:rPr>
      </w:pPr>
      <w:r w:rsidRPr="004974B7">
        <w:rPr>
          <w:b/>
        </w:rPr>
        <w:t xml:space="preserve">Sampling </w:t>
      </w:r>
    </w:p>
    <w:p w14:paraId="0BD90E87" w14:textId="77777777" w:rsidR="00967D62" w:rsidRPr="004974B7" w:rsidRDefault="00967D62" w:rsidP="00967D62">
      <w:pPr>
        <w:jc w:val="both"/>
      </w:pPr>
      <w:r w:rsidRPr="004974B7">
        <w:t xml:space="preserve">The sample from the survey should be drawn from the general adult population of the country. Though there is an alternative to focus the survey only towards </w:t>
      </w:r>
      <w:proofErr w:type="gramStart"/>
      <w:r w:rsidRPr="004974B7">
        <w:t>low income</w:t>
      </w:r>
      <w:proofErr w:type="gramEnd"/>
      <w:r w:rsidRPr="004974B7">
        <w:t xml:space="preserve"> individual, the general population approach ha</w:t>
      </w:r>
      <w:r>
        <w:t>s</w:t>
      </w:r>
      <w:r w:rsidRPr="004974B7">
        <w:t xml:space="preserve"> some advantages. Firstly, it gives a comprehensive image on the legal needs of the whole population. The available literature suggests that the legal advice sought is distributed in the population in a U-shape, meaning that middle-income families might be at the greatest risk and should therefore be surveyed</w:t>
      </w:r>
      <w:r w:rsidRPr="004974B7">
        <w:rPr>
          <w:rStyle w:val="FootnoteReference"/>
        </w:rPr>
        <w:footnoteReference w:id="23"/>
      </w:r>
      <w:r w:rsidRPr="004974B7">
        <w:t>. The second reason is that the comparatively, the legal needs surveys are overwhelmingly targeting the general adult population (from the 56 conducted surveys only 5 were not general population surveys). And thirdly since the poverty rate in N</w:t>
      </w:r>
      <w:r>
        <w:t xml:space="preserve">orth </w:t>
      </w:r>
      <w:r w:rsidRPr="004974B7">
        <w:t xml:space="preserve">Macedonia is among the highest in Europe, the poor people will not be under-surveyed. </w:t>
      </w:r>
    </w:p>
    <w:p w14:paraId="210F19E0" w14:textId="77777777" w:rsidR="00967D62" w:rsidRPr="007D2C7C" w:rsidRDefault="00967D62" w:rsidP="00967D62">
      <w:pPr>
        <w:jc w:val="both"/>
        <w:rPr>
          <w:color w:val="000000" w:themeColor="text1"/>
        </w:rPr>
      </w:pPr>
      <w:r w:rsidRPr="004974B7">
        <w:t xml:space="preserve">Sample size should be determined by an expert in methodology of social research. The previous study </w:t>
      </w:r>
      <w:r w:rsidRPr="007D2C7C">
        <w:rPr>
          <w:color w:val="000000" w:themeColor="text1"/>
        </w:rPr>
        <w:t xml:space="preserve">estimated that a sample of 2.500 to 2.900 respondents is appropriate. </w:t>
      </w:r>
    </w:p>
    <w:p w14:paraId="5B606F21" w14:textId="77777777" w:rsidR="00967D62" w:rsidRPr="007D2C7C" w:rsidRDefault="00967D62" w:rsidP="00967D62">
      <w:pPr>
        <w:jc w:val="both"/>
        <w:rPr>
          <w:color w:val="000000" w:themeColor="text1"/>
        </w:rPr>
      </w:pPr>
      <w:r w:rsidRPr="007D2C7C">
        <w:rPr>
          <w:color w:val="000000" w:themeColor="text1"/>
        </w:rPr>
        <w:t xml:space="preserve">Since the interview shall be an adult </w:t>
      </w:r>
      <w:proofErr w:type="gramStart"/>
      <w:r w:rsidRPr="007D2C7C">
        <w:rPr>
          <w:color w:val="000000" w:themeColor="text1"/>
        </w:rPr>
        <w:t>in order to</w:t>
      </w:r>
      <w:proofErr w:type="gramEnd"/>
      <w:r w:rsidRPr="007D2C7C">
        <w:rPr>
          <w:color w:val="000000" w:themeColor="text1"/>
        </w:rPr>
        <w:t xml:space="preserve"> avoid overlooking the legal needs of children, some of the questions shall also referred to whether the children in the household of the interviewee have experienced the listed problems.</w:t>
      </w:r>
    </w:p>
    <w:p w14:paraId="1D942D24" w14:textId="77777777" w:rsidR="00967D62" w:rsidRPr="00C84BDD" w:rsidRDefault="00967D62" w:rsidP="00967D62">
      <w:pPr>
        <w:jc w:val="both"/>
        <w:rPr>
          <w:color w:val="002060"/>
        </w:rPr>
      </w:pPr>
      <w:r w:rsidRPr="00C84BDD">
        <w:rPr>
          <w:color w:val="002060"/>
        </w:rPr>
        <w:t xml:space="preserve">   </w:t>
      </w:r>
    </w:p>
    <w:p w14:paraId="589483FC" w14:textId="77777777" w:rsidR="00967D62" w:rsidRPr="004974B7" w:rsidRDefault="00967D62" w:rsidP="00967D62">
      <w:pPr>
        <w:pStyle w:val="ListParagraph"/>
        <w:numPr>
          <w:ilvl w:val="0"/>
          <w:numId w:val="35"/>
        </w:numPr>
        <w:spacing w:after="160"/>
        <w:contextualSpacing/>
        <w:jc w:val="both"/>
        <w:rPr>
          <w:b/>
        </w:rPr>
      </w:pPr>
      <w:r w:rsidRPr="004974B7">
        <w:rPr>
          <w:b/>
        </w:rPr>
        <w:t xml:space="preserve">Phases of research </w:t>
      </w:r>
    </w:p>
    <w:p w14:paraId="54984671" w14:textId="77777777" w:rsidR="00967D62" w:rsidRPr="004974B7" w:rsidRDefault="00967D62" w:rsidP="00967D62">
      <w:pPr>
        <w:pStyle w:val="ListParagraph"/>
        <w:numPr>
          <w:ilvl w:val="1"/>
          <w:numId w:val="35"/>
        </w:numPr>
        <w:spacing w:after="160"/>
        <w:contextualSpacing/>
        <w:jc w:val="both"/>
        <w:rPr>
          <w:b/>
        </w:rPr>
      </w:pPr>
      <w:r w:rsidRPr="004974B7">
        <w:rPr>
          <w:b/>
        </w:rPr>
        <w:t>Screening phase</w:t>
      </w:r>
    </w:p>
    <w:p w14:paraId="70D34C77" w14:textId="77777777" w:rsidR="00967D62" w:rsidRPr="004974B7" w:rsidRDefault="00967D62" w:rsidP="00967D62">
      <w:pPr>
        <w:jc w:val="both"/>
      </w:pPr>
      <w:r w:rsidRPr="004974B7">
        <w:t xml:space="preserve">During the screening phase the respondents should be asked whether they had experienced various types of problems in the past three years. If their answers </w:t>
      </w:r>
      <w:proofErr w:type="gramStart"/>
      <w:r w:rsidRPr="004974B7">
        <w:t>is</w:t>
      </w:r>
      <w:proofErr w:type="gramEnd"/>
      <w:r w:rsidRPr="004974B7">
        <w:t xml:space="preserve"> yes, they needed to give the approximate time (month and year) when the problem started and to state how often they encountered the problem: once, more than once but rarely, occasionally or frequently.</w:t>
      </w:r>
    </w:p>
    <w:p w14:paraId="75297540" w14:textId="77777777" w:rsidR="00967D62" w:rsidRPr="004974B7" w:rsidRDefault="00967D62" w:rsidP="00967D62">
      <w:pPr>
        <w:pStyle w:val="ListParagraph"/>
        <w:numPr>
          <w:ilvl w:val="1"/>
          <w:numId w:val="35"/>
        </w:numPr>
        <w:spacing w:after="160"/>
        <w:contextualSpacing/>
        <w:jc w:val="both"/>
        <w:rPr>
          <w:b/>
        </w:rPr>
      </w:pPr>
      <w:r w:rsidRPr="004974B7">
        <w:rPr>
          <w:b/>
        </w:rPr>
        <w:t>Detailed interview</w:t>
      </w:r>
    </w:p>
    <w:p w14:paraId="52841A8D" w14:textId="77777777" w:rsidR="00967D62" w:rsidRPr="004974B7" w:rsidRDefault="00967D62" w:rsidP="00967D62">
      <w:pPr>
        <w:jc w:val="both"/>
      </w:pPr>
      <w:r w:rsidRPr="004974B7">
        <w:t xml:space="preserve">Only with persons that had faced a legal problem. </w:t>
      </w:r>
    </w:p>
    <w:sectPr w:rsidR="00967D62" w:rsidRPr="004974B7" w:rsidSect="001C5064">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4BE2" w14:textId="77777777" w:rsidR="00AE32D6" w:rsidRDefault="00AE32D6" w:rsidP="00D50F13">
      <w:r>
        <w:separator/>
      </w:r>
    </w:p>
  </w:endnote>
  <w:endnote w:type="continuationSeparator" w:id="0">
    <w:p w14:paraId="68970AE5" w14:textId="77777777" w:rsidR="00AE32D6" w:rsidRDefault="00AE32D6" w:rsidP="00D50F13">
      <w:r>
        <w:continuationSeparator/>
      </w:r>
    </w:p>
  </w:endnote>
  <w:endnote w:type="continuationNotice" w:id="1">
    <w:p w14:paraId="12DBF9F6" w14:textId="77777777" w:rsidR="00AE32D6" w:rsidRDefault="00AE3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kStobiSerif">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EBBE2AA" w:rsidR="00F96680" w:rsidRPr="00AE2D2B" w:rsidRDefault="00BB5B8E" w:rsidP="00FC7772">
          <w:pPr>
            <w:rPr>
              <w:rFonts w:ascii="Arial Narrow" w:hAnsi="Arial Narrow"/>
              <w:caps/>
              <w:color w:val="000000"/>
              <w:sz w:val="18"/>
              <w:szCs w:val="18"/>
              <w:highlight w:val="cyan"/>
            </w:rPr>
          </w:pPr>
          <w:r>
            <w:rPr>
              <w:rFonts w:ascii="Arial Narrow" w:hAnsi="Arial Narrow"/>
              <w:caps/>
              <w:color w:val="000000"/>
              <w:sz w:val="18"/>
              <w:szCs w:val="18"/>
              <w:highlight w:val="cyan"/>
            </w:rPr>
            <w:t>NA</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7EDC" w14:textId="77777777" w:rsidR="00967D62" w:rsidRDefault="00967D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91055"/>
      <w:docPartObj>
        <w:docPartGallery w:val="Page Numbers (Bottom of Page)"/>
        <w:docPartUnique/>
      </w:docPartObj>
    </w:sdtPr>
    <w:sdtEndPr/>
    <w:sdtContent>
      <w:sdt>
        <w:sdtPr>
          <w:id w:val="1728636285"/>
          <w:docPartObj>
            <w:docPartGallery w:val="Page Numbers (Top of Page)"/>
            <w:docPartUnique/>
          </w:docPartObj>
        </w:sdtPr>
        <w:sdtEndPr/>
        <w:sdtContent>
          <w:p w14:paraId="3DA6142F" w14:textId="77777777" w:rsidR="00967D62" w:rsidRDefault="00967D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27611954" w14:textId="77777777" w:rsidR="00967D62" w:rsidRDefault="00967D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DEFB" w14:textId="77777777" w:rsidR="00967D62" w:rsidRDefault="0096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B86" w14:textId="77777777" w:rsidR="00AE32D6" w:rsidRDefault="00AE32D6" w:rsidP="00D50F13">
      <w:r>
        <w:separator/>
      </w:r>
    </w:p>
  </w:footnote>
  <w:footnote w:type="continuationSeparator" w:id="0">
    <w:p w14:paraId="6FB6B317" w14:textId="77777777" w:rsidR="00AE32D6" w:rsidRDefault="00AE32D6" w:rsidP="00D50F13">
      <w:r>
        <w:continuationSeparator/>
      </w:r>
    </w:p>
  </w:footnote>
  <w:footnote w:type="continuationNotice" w:id="1">
    <w:p w14:paraId="07702B63" w14:textId="77777777" w:rsidR="00AE32D6" w:rsidRDefault="00AE32D6"/>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E1239A" w:rsidRDefault="005920E6" w:rsidP="005920E6">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rPr>
        <w:t xml:space="preserve"> CM/Del/</w:t>
      </w:r>
      <w:proofErr w:type="gramStart"/>
      <w:r w:rsidRPr="00337874">
        <w:rPr>
          <w:rFonts w:ascii="Tahoma" w:hAnsi="Tahoma" w:cs="Tahoma"/>
          <w:sz w:val="18"/>
          <w:szCs w:val="18"/>
        </w:rPr>
        <w:t>Dec(</w:t>
      </w:r>
      <w:proofErr w:type="gramEnd"/>
      <w:r w:rsidRPr="00337874">
        <w:rPr>
          <w:rFonts w:ascii="Tahoma" w:hAnsi="Tahoma" w:cs="Tahoma"/>
          <w:sz w:val="18"/>
          <w:szCs w:val="18"/>
        </w:rPr>
        <w:t xml:space="preserve">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 w:id="5">
    <w:p w14:paraId="2330169C" w14:textId="77777777" w:rsidR="00967D62" w:rsidRDefault="00967D62" w:rsidP="00967D62">
      <w:pPr>
        <w:pStyle w:val="FootnoteText"/>
      </w:pPr>
      <w:r>
        <w:rPr>
          <w:rStyle w:val="FootnoteReference"/>
        </w:rPr>
        <w:footnoteRef/>
      </w:r>
      <w:r>
        <w:t xml:space="preserve"> </w:t>
      </w:r>
      <w:r w:rsidRPr="007778A2">
        <w:t>Ministry of Information Society and Administration</w:t>
      </w:r>
      <w:r>
        <w:t xml:space="preserve">. </w:t>
      </w:r>
      <w:hyperlink r:id="rId2" w:history="1">
        <w:r w:rsidRPr="007778A2">
          <w:rPr>
            <w:rStyle w:val="Hyperlink"/>
          </w:rPr>
          <w:t>Open Government Partnership National Action Plan 2018-2020</w:t>
        </w:r>
      </w:hyperlink>
      <w:r w:rsidRPr="007778A2">
        <w:rPr>
          <w:rStyle w:val="Hyperlink"/>
        </w:rPr>
        <w:t>.</w:t>
      </w:r>
      <w:r>
        <w:rPr>
          <w:rStyle w:val="Hyperlink"/>
          <w:i/>
        </w:rPr>
        <w:t xml:space="preserve"> </w:t>
      </w:r>
      <w:r>
        <w:t xml:space="preserve">Skopje, 2018. p. 45. </w:t>
      </w:r>
    </w:p>
  </w:footnote>
  <w:footnote w:id="6">
    <w:p w14:paraId="06E02E79" w14:textId="77777777" w:rsidR="00967D62" w:rsidRDefault="00967D62" w:rsidP="00967D62">
      <w:pPr>
        <w:pStyle w:val="FootnoteText"/>
      </w:pPr>
      <w:r>
        <w:rPr>
          <w:rStyle w:val="FootnoteReference"/>
        </w:rPr>
        <w:footnoteRef/>
      </w:r>
      <w:r>
        <w:t xml:space="preserve"> </w:t>
      </w:r>
      <w:r w:rsidRPr="001317BC">
        <w:t xml:space="preserve">OECD </w:t>
      </w:r>
      <w:r>
        <w:t>and</w:t>
      </w:r>
      <w:r w:rsidRPr="001317BC">
        <w:t xml:space="preserve"> </w:t>
      </w:r>
      <w:r>
        <w:t>O</w:t>
      </w:r>
      <w:r w:rsidRPr="001317BC">
        <w:t xml:space="preserve">pen </w:t>
      </w:r>
      <w:r>
        <w:t>S</w:t>
      </w:r>
      <w:r w:rsidRPr="001317BC">
        <w:t xml:space="preserve">ociety </w:t>
      </w:r>
      <w:r>
        <w:t>F</w:t>
      </w:r>
      <w:r w:rsidRPr="001317BC">
        <w:t xml:space="preserve">oundations </w:t>
      </w:r>
      <w:r>
        <w:t xml:space="preserve">(2019). </w:t>
      </w:r>
      <w:hyperlink r:id="rId3" w:history="1">
        <w:r w:rsidRPr="0046480B">
          <w:rPr>
            <w:rStyle w:val="Hyperlink"/>
          </w:rPr>
          <w:t>Legal Needs Surveys and Access to Justice</w:t>
        </w:r>
      </w:hyperlink>
      <w:r>
        <w:t>. p. 24.</w:t>
      </w:r>
    </w:p>
  </w:footnote>
  <w:footnote w:id="7">
    <w:p w14:paraId="61639C97" w14:textId="77777777" w:rsidR="00967D62" w:rsidRDefault="00967D62" w:rsidP="00967D62">
      <w:pPr>
        <w:pStyle w:val="FootnoteText"/>
      </w:pPr>
      <w:r>
        <w:rPr>
          <w:rStyle w:val="FootnoteReference"/>
        </w:rPr>
        <w:footnoteRef/>
      </w:r>
      <w:r>
        <w:t xml:space="preserve"> </w:t>
      </w:r>
      <w:r w:rsidRPr="00313A99">
        <w:t>Organisation for Economic Co-operation and Development</w:t>
      </w:r>
      <w:r>
        <w:t>.</w:t>
      </w:r>
    </w:p>
  </w:footnote>
  <w:footnote w:id="8">
    <w:p w14:paraId="457B3561" w14:textId="77777777" w:rsidR="00967D62" w:rsidRDefault="00967D62" w:rsidP="00967D62">
      <w:pPr>
        <w:pStyle w:val="FootnoteText"/>
      </w:pPr>
      <w:r>
        <w:rPr>
          <w:rStyle w:val="FootnoteReference"/>
        </w:rPr>
        <w:footnoteRef/>
      </w:r>
      <w:r>
        <w:t xml:space="preserve"> Open Society Foundations. </w:t>
      </w:r>
    </w:p>
  </w:footnote>
  <w:footnote w:id="9">
    <w:p w14:paraId="22BBB2FD" w14:textId="77777777" w:rsidR="00967D62" w:rsidRDefault="00967D62" w:rsidP="00967D62">
      <w:pPr>
        <w:pStyle w:val="FootnoteText"/>
      </w:pPr>
      <w:r>
        <w:rPr>
          <w:rStyle w:val="FootnoteReference"/>
        </w:rPr>
        <w:footnoteRef/>
      </w:r>
      <w:r>
        <w:t xml:space="preserve"> </w:t>
      </w:r>
      <w:r w:rsidRPr="002325D3">
        <w:t xml:space="preserve">Legal capability </w:t>
      </w:r>
      <w:r>
        <w:t>refers to</w:t>
      </w:r>
      <w:r w:rsidRPr="002325D3">
        <w:t xml:space="preserve">: ability to recognize legal issues; awareness of law, </w:t>
      </w:r>
      <w:proofErr w:type="gramStart"/>
      <w:r w:rsidRPr="002325D3">
        <w:t>services</w:t>
      </w:r>
      <w:proofErr w:type="gramEnd"/>
      <w:r w:rsidRPr="002325D3">
        <w:t xml:space="preserve"> and processes; ability to research law, services and processes; ability to deal with law related problems (ex. Confidence, communication skills, resilience)</w:t>
      </w:r>
      <w:r>
        <w:t>.</w:t>
      </w:r>
    </w:p>
  </w:footnote>
  <w:footnote w:id="10">
    <w:p w14:paraId="15CE6B34" w14:textId="77777777" w:rsidR="00967D62" w:rsidRDefault="00967D62" w:rsidP="00967D62">
      <w:pPr>
        <w:pStyle w:val="FootnoteText"/>
      </w:pPr>
      <w:r>
        <w:rPr>
          <w:rStyle w:val="FootnoteReference"/>
        </w:rPr>
        <w:footnoteRef/>
      </w:r>
      <w:r>
        <w:t xml:space="preserve"> </w:t>
      </w:r>
      <w:r w:rsidRPr="002325D3">
        <w:t xml:space="preserve">Justiciable issues are problems which raise legal issues, </w:t>
      </w:r>
      <w:proofErr w:type="gramStart"/>
      <w:r w:rsidRPr="002325D3">
        <w:t>whether or not</w:t>
      </w:r>
      <w:proofErr w:type="gramEnd"/>
      <w:r w:rsidRPr="002325D3">
        <w:t xml:space="preserve"> this is recognized by those facing them and whether or not any action taken to deal with them involves the legal system</w:t>
      </w:r>
      <w:r>
        <w:t xml:space="preserve">. </w:t>
      </w:r>
      <w:proofErr w:type="spellStart"/>
      <w:r>
        <w:t>Genn</w:t>
      </w:r>
      <w:proofErr w:type="spellEnd"/>
      <w:r>
        <w:t xml:space="preserve"> (1999)</w:t>
      </w:r>
    </w:p>
  </w:footnote>
  <w:footnote w:id="11">
    <w:p w14:paraId="2AF374D2" w14:textId="77777777" w:rsidR="00967D62" w:rsidRDefault="00967D62" w:rsidP="00967D62">
      <w:pPr>
        <w:pStyle w:val="FootnoteText"/>
      </w:pPr>
      <w:r>
        <w:rPr>
          <w:rStyle w:val="FootnoteReference"/>
        </w:rPr>
        <w:footnoteRef/>
      </w:r>
      <w:r>
        <w:t xml:space="preserve"> </w:t>
      </w:r>
      <w:bookmarkStart w:id="11" w:name="_Hlk39056837"/>
      <w:r>
        <w:t xml:space="preserve">Supra note 2. p. 25. </w:t>
      </w:r>
      <w:bookmarkEnd w:id="11"/>
    </w:p>
  </w:footnote>
  <w:footnote w:id="12">
    <w:p w14:paraId="58D56857" w14:textId="77777777" w:rsidR="00967D62" w:rsidRDefault="00967D62" w:rsidP="00967D62">
      <w:pPr>
        <w:pStyle w:val="FootnoteText"/>
      </w:pPr>
      <w:r>
        <w:rPr>
          <w:rStyle w:val="FootnoteReference"/>
        </w:rPr>
        <w:footnoteRef/>
      </w:r>
      <w:r>
        <w:t xml:space="preserve"> UNDP (2012).  Access to justice assessments in the Asia Pacific: A review of experiences and tools from the region. pp 18-48. </w:t>
      </w:r>
    </w:p>
  </w:footnote>
  <w:footnote w:id="13">
    <w:p w14:paraId="0E10B976" w14:textId="77777777" w:rsidR="00967D62" w:rsidRDefault="00967D62" w:rsidP="00967D62">
      <w:pPr>
        <w:pStyle w:val="FootnoteText"/>
      </w:pPr>
      <w:r>
        <w:rPr>
          <w:rStyle w:val="FootnoteReference"/>
        </w:rPr>
        <w:footnoteRef/>
      </w:r>
      <w:r>
        <w:t xml:space="preserve"> </w:t>
      </w:r>
      <w:r w:rsidRPr="00CA7475">
        <w:t>Supra note 2. p. 2</w:t>
      </w:r>
      <w:r>
        <w:t>9</w:t>
      </w:r>
      <w:r w:rsidRPr="00CA7475">
        <w:t>.</w:t>
      </w:r>
    </w:p>
  </w:footnote>
  <w:footnote w:id="14">
    <w:p w14:paraId="32A78DE7" w14:textId="77777777" w:rsidR="00967D62" w:rsidRDefault="00967D62" w:rsidP="00967D62">
      <w:pPr>
        <w:pStyle w:val="FootnoteText"/>
      </w:pPr>
      <w:r>
        <w:rPr>
          <w:rStyle w:val="FootnoteReference"/>
        </w:rPr>
        <w:footnoteRef/>
      </w:r>
      <w:r>
        <w:t xml:space="preserve"> OECD &amp; OSJI (2016). </w:t>
      </w:r>
      <w:hyperlink r:id="rId4" w:history="1">
        <w:r w:rsidRPr="0046480B">
          <w:rPr>
            <w:rStyle w:val="Hyperlink"/>
          </w:rPr>
          <w:t>Understanding Effective Access to Justice</w:t>
        </w:r>
      </w:hyperlink>
      <w:r>
        <w:t xml:space="preserve">. Paris. </w:t>
      </w:r>
    </w:p>
  </w:footnote>
  <w:footnote w:id="15">
    <w:p w14:paraId="60FBACEF" w14:textId="77777777" w:rsidR="00967D62" w:rsidRPr="00427116" w:rsidRDefault="00967D62" w:rsidP="00967D62">
      <w:pPr>
        <w:pStyle w:val="FootnoteText"/>
        <w:rPr>
          <w:lang w:val="mk-MK"/>
        </w:rPr>
      </w:pPr>
      <w:r>
        <w:rPr>
          <w:rStyle w:val="FootnoteReference"/>
        </w:rPr>
        <w:footnoteRef/>
      </w:r>
      <w:r>
        <w:t xml:space="preserve"> </w:t>
      </w:r>
      <w:proofErr w:type="spellStart"/>
      <w:r>
        <w:t>Korunovska</w:t>
      </w:r>
      <w:proofErr w:type="spellEnd"/>
      <w:r>
        <w:t xml:space="preserve"> </w:t>
      </w:r>
      <w:proofErr w:type="spellStart"/>
      <w:r>
        <w:t>Srbnjanko</w:t>
      </w:r>
      <w:proofErr w:type="spellEnd"/>
      <w:r>
        <w:t xml:space="preserve"> et al. (2013). </w:t>
      </w:r>
      <w:hyperlink r:id="rId5" w:history="1">
        <w:r w:rsidRPr="003405DB">
          <w:rPr>
            <w:rStyle w:val="Hyperlink"/>
          </w:rPr>
          <w:t>Legal Needs and Paths to Justice</w:t>
        </w:r>
        <w:r w:rsidRPr="003405DB">
          <w:rPr>
            <w:rStyle w:val="Hyperlink"/>
            <w:lang w:val="mk-MK"/>
          </w:rPr>
          <w:t xml:space="preserve"> </w:t>
        </w:r>
        <w:r w:rsidRPr="003405DB">
          <w:rPr>
            <w:rStyle w:val="Hyperlink"/>
          </w:rPr>
          <w:t>in the Republic of Macedonia</w:t>
        </w:r>
      </w:hyperlink>
      <w:r>
        <w:t xml:space="preserve">. FOSM. </w:t>
      </w:r>
    </w:p>
  </w:footnote>
  <w:footnote w:id="16">
    <w:p w14:paraId="32263ABF" w14:textId="77777777" w:rsidR="00967D62" w:rsidRDefault="00967D62" w:rsidP="00967D62">
      <w:pPr>
        <w:pStyle w:val="FootnoteText"/>
        <w:jc w:val="both"/>
      </w:pPr>
      <w:r>
        <w:rPr>
          <w:rStyle w:val="FootnoteReference"/>
        </w:rPr>
        <w:footnoteRef/>
      </w:r>
      <w:r>
        <w:t xml:space="preserve"> </w:t>
      </w:r>
      <w:r w:rsidRPr="002C3B60">
        <w:t xml:space="preserve">The screening questionnaire </w:t>
      </w:r>
      <w:r>
        <w:t>grouped the problems in the following categories</w:t>
      </w:r>
      <w:r w:rsidRPr="002C3B60">
        <w:t>: consumer, employment, housing/property, renting out property, living in rented property, money, problems with government transfers and services, education, problems with partners, children related problems, health related problems, discrimination, problems with police, problems experienced as a victim of crime, defamation and privacy violation, other, self</w:t>
      </w:r>
      <w:r>
        <w:t>-</w:t>
      </w:r>
      <w:r w:rsidRPr="002C3B60">
        <w:t xml:space="preserve"> identified problem</w:t>
      </w:r>
      <w:r>
        <w:t xml:space="preserve">. </w:t>
      </w:r>
    </w:p>
  </w:footnote>
  <w:footnote w:id="17">
    <w:p w14:paraId="7FA876C4" w14:textId="77777777" w:rsidR="00967D62" w:rsidRPr="00A027CE" w:rsidRDefault="00967D62" w:rsidP="00967D62">
      <w:pPr>
        <w:pStyle w:val="FootnoteText"/>
      </w:pPr>
      <w:r>
        <w:rPr>
          <w:rStyle w:val="FootnoteReference"/>
        </w:rPr>
        <w:footnoteRef/>
      </w:r>
      <w:r>
        <w:t xml:space="preserve"> </w:t>
      </w:r>
      <w:r w:rsidRPr="00A027CE">
        <w:t xml:space="preserve">Pascoe Pleasence, Nigel, J. Balmer and Rebecca L. </w:t>
      </w:r>
      <w:proofErr w:type="spellStart"/>
      <w:r w:rsidRPr="00A027CE">
        <w:t>Sandefur</w:t>
      </w:r>
      <w:proofErr w:type="spellEnd"/>
      <w:r w:rsidRPr="00A027CE">
        <w:t xml:space="preserve"> </w:t>
      </w:r>
      <w:r>
        <w:t>(</w:t>
      </w:r>
      <w:r w:rsidRPr="00A027CE">
        <w:t>2013</w:t>
      </w:r>
      <w:r>
        <w:t xml:space="preserve">).  Paths to Justice: A Past, Present and Future Roadmap. </w:t>
      </w:r>
      <w:r w:rsidRPr="00A027CE">
        <w:t>UCL Centre for Empirical Legal Studies</w:t>
      </w:r>
      <w:r>
        <w:t xml:space="preserve">. pp 65-68. </w:t>
      </w:r>
    </w:p>
  </w:footnote>
  <w:footnote w:id="18">
    <w:p w14:paraId="7CE1450B" w14:textId="77777777" w:rsidR="00967D62" w:rsidRDefault="00967D62" w:rsidP="00967D62">
      <w:pPr>
        <w:pStyle w:val="FootnoteText"/>
      </w:pPr>
      <w:r>
        <w:rPr>
          <w:rStyle w:val="FootnoteReference"/>
        </w:rPr>
        <w:footnoteRef/>
      </w:r>
      <w:r>
        <w:t xml:space="preserve"> Pascoe Pleasence (2016) ‘Legal Need’ and Legal Needs Surveys: A Background Paper. Open Society Justice Initiative. p. 4. </w:t>
      </w:r>
    </w:p>
  </w:footnote>
  <w:footnote w:id="19">
    <w:p w14:paraId="6922C356" w14:textId="77777777" w:rsidR="00967D62" w:rsidRDefault="00967D62" w:rsidP="00967D62">
      <w:pPr>
        <w:pStyle w:val="FootnoteText"/>
      </w:pPr>
      <w:r>
        <w:rPr>
          <w:rStyle w:val="FootnoteReference"/>
        </w:rPr>
        <w:footnoteRef/>
      </w:r>
      <w:r>
        <w:t xml:space="preserve"> Supra note 2. p. 25.</w:t>
      </w:r>
    </w:p>
  </w:footnote>
  <w:footnote w:id="20">
    <w:p w14:paraId="75AC9C52" w14:textId="77777777" w:rsidR="00967D62" w:rsidRDefault="00967D62" w:rsidP="00967D62">
      <w:pPr>
        <w:pStyle w:val="FootnoteText"/>
      </w:pPr>
      <w:r>
        <w:rPr>
          <w:rStyle w:val="FootnoteReference"/>
        </w:rPr>
        <w:footnoteRef/>
      </w:r>
      <w:r>
        <w:t xml:space="preserve"> Ibid. </w:t>
      </w:r>
    </w:p>
  </w:footnote>
  <w:footnote w:id="21">
    <w:p w14:paraId="79F5ED12" w14:textId="77777777" w:rsidR="00967D62" w:rsidRDefault="00967D62" w:rsidP="00967D62">
      <w:pPr>
        <w:pStyle w:val="FootnoteText"/>
      </w:pPr>
      <w:r>
        <w:rPr>
          <w:rStyle w:val="FootnoteReference"/>
        </w:rPr>
        <w:footnoteRef/>
      </w:r>
      <w:r>
        <w:t xml:space="preserve"> Supra note 8. p.4. </w:t>
      </w:r>
    </w:p>
  </w:footnote>
  <w:footnote w:id="22">
    <w:p w14:paraId="6A94D255" w14:textId="77777777" w:rsidR="00967D62" w:rsidRDefault="00967D62" w:rsidP="00967D62">
      <w:pPr>
        <w:pStyle w:val="FootnoteText"/>
      </w:pPr>
      <w:r>
        <w:rPr>
          <w:rStyle w:val="FootnoteReference"/>
        </w:rPr>
        <w:footnoteRef/>
      </w:r>
      <w:r>
        <w:t xml:space="preserve">  GENN &amp; PATERSON, Paths to Justice Scotland. What People in Scotland Do and Think About Going to </w:t>
      </w:r>
      <w:proofErr w:type="spellStart"/>
      <w:proofErr w:type="gramStart"/>
      <w:r>
        <w:t>Law;PASCOE</w:t>
      </w:r>
      <w:proofErr w:type="spellEnd"/>
      <w:proofErr w:type="gramEnd"/>
      <w:r>
        <w:t xml:space="preserve"> PLEASENCE, et al., Causes of Action: Civil Law and Social Justice</w:t>
      </w:r>
    </w:p>
  </w:footnote>
  <w:footnote w:id="23">
    <w:p w14:paraId="6A55FE63" w14:textId="77777777" w:rsidR="00967D62" w:rsidRDefault="00967D62" w:rsidP="00967D62">
      <w:pPr>
        <w:pStyle w:val="FootnoteText"/>
      </w:pPr>
      <w:r>
        <w:rPr>
          <w:rStyle w:val="FootnoteReference"/>
        </w:rPr>
        <w:footnoteRef/>
      </w:r>
      <w:r>
        <w:t xml:space="preserve">  </w:t>
      </w:r>
      <w:proofErr w:type="spellStart"/>
      <w:r w:rsidRPr="0065418C">
        <w:t>Trebilcock</w:t>
      </w:r>
      <w:proofErr w:type="spellEnd"/>
      <w:r w:rsidRPr="0065418C">
        <w:t xml:space="preserve"> (2008). Report of the Legal Aid Review 2008. Ministry of the Attorney General, Ontario,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114F" w14:textId="77777777" w:rsidR="00967D62" w:rsidRDefault="00967D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6F7D" w14:textId="77777777" w:rsidR="00967D62" w:rsidRDefault="00967D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6557" w14:textId="77777777" w:rsidR="00967D62" w:rsidRDefault="00967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58B"/>
    <w:multiLevelType w:val="hybridMultilevel"/>
    <w:tmpl w:val="ADAC53B0"/>
    <w:lvl w:ilvl="0" w:tplc="F7C28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A339C"/>
    <w:multiLevelType w:val="hybridMultilevel"/>
    <w:tmpl w:val="5718A344"/>
    <w:lvl w:ilvl="0" w:tplc="D85E3E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0962"/>
    <w:multiLevelType w:val="hybridMultilevel"/>
    <w:tmpl w:val="513493A6"/>
    <w:lvl w:ilvl="0" w:tplc="3CF4BC7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F3613"/>
    <w:multiLevelType w:val="hybridMultilevel"/>
    <w:tmpl w:val="796807EC"/>
    <w:lvl w:ilvl="0" w:tplc="D85E3E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401"/>
    <w:multiLevelType w:val="hybridMultilevel"/>
    <w:tmpl w:val="77CEAB00"/>
    <w:lvl w:ilvl="0" w:tplc="D85E3E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1116A48"/>
    <w:multiLevelType w:val="hybridMultilevel"/>
    <w:tmpl w:val="C7B4D80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426D1605"/>
    <w:multiLevelType w:val="hybridMultilevel"/>
    <w:tmpl w:val="D89ED916"/>
    <w:lvl w:ilvl="0" w:tplc="D85E3E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34648F"/>
    <w:multiLevelType w:val="hybridMultilevel"/>
    <w:tmpl w:val="8D8A6500"/>
    <w:lvl w:ilvl="0" w:tplc="A866D888">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F4A6A"/>
    <w:multiLevelType w:val="hybridMultilevel"/>
    <w:tmpl w:val="ADF64CDE"/>
    <w:lvl w:ilvl="0" w:tplc="7160CD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344D7"/>
    <w:multiLevelType w:val="hybridMultilevel"/>
    <w:tmpl w:val="839A1670"/>
    <w:lvl w:ilvl="0" w:tplc="3CF4BC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D734D"/>
    <w:multiLevelType w:val="hybridMultilevel"/>
    <w:tmpl w:val="2BC0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4"/>
  </w:num>
  <w:num w:numId="3">
    <w:abstractNumId w:val="3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29"/>
  </w:num>
  <w:num w:numId="8">
    <w:abstractNumId w:val="1"/>
  </w:num>
  <w:num w:numId="9">
    <w:abstractNumId w:val="15"/>
  </w:num>
  <w:num w:numId="10">
    <w:abstractNumId w:val="22"/>
  </w:num>
  <w:num w:numId="11">
    <w:abstractNumId w:val="31"/>
  </w:num>
  <w:num w:numId="12">
    <w:abstractNumId w:val="9"/>
  </w:num>
  <w:num w:numId="13">
    <w:abstractNumId w:val="26"/>
  </w:num>
  <w:num w:numId="14">
    <w:abstractNumId w:val="17"/>
  </w:num>
  <w:num w:numId="15">
    <w:abstractNumId w:val="5"/>
  </w:num>
  <w:num w:numId="16">
    <w:abstractNumId w:val="14"/>
  </w:num>
  <w:num w:numId="17">
    <w:abstractNumId w:val="10"/>
  </w:num>
  <w:num w:numId="18">
    <w:abstractNumId w:val="6"/>
  </w:num>
  <w:num w:numId="19">
    <w:abstractNumId w:val="23"/>
  </w:num>
  <w:num w:numId="20">
    <w:abstractNumId w:val="11"/>
  </w:num>
  <w:num w:numId="21">
    <w:abstractNumId w:val="36"/>
  </w:num>
  <w:num w:numId="22">
    <w:abstractNumId w:val="12"/>
  </w:num>
  <w:num w:numId="23">
    <w:abstractNumId w:val="2"/>
  </w:num>
  <w:num w:numId="24">
    <w:abstractNumId w:val="27"/>
  </w:num>
  <w:num w:numId="25">
    <w:abstractNumId w:val="25"/>
  </w:num>
  <w:num w:numId="26">
    <w:abstractNumId w:val="16"/>
  </w:num>
  <w:num w:numId="27">
    <w:abstractNumId w:val="24"/>
  </w:num>
  <w:num w:numId="28">
    <w:abstractNumId w:val="20"/>
  </w:num>
  <w:num w:numId="29">
    <w:abstractNumId w:val="35"/>
  </w:num>
  <w:num w:numId="30">
    <w:abstractNumId w:val="4"/>
  </w:num>
  <w:num w:numId="31">
    <w:abstractNumId w:val="8"/>
  </w:num>
  <w:num w:numId="32">
    <w:abstractNumId w:val="7"/>
  </w:num>
  <w:num w:numId="33">
    <w:abstractNumId w:val="3"/>
  </w:num>
  <w:num w:numId="34">
    <w:abstractNumId w:val="37"/>
  </w:num>
  <w:num w:numId="35">
    <w:abstractNumId w:val="32"/>
  </w:num>
  <w:num w:numId="36">
    <w:abstractNumId w:val="21"/>
  </w:num>
  <w:num w:numId="37">
    <w:abstractNumId w:val="0"/>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183D"/>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71CDA"/>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07D8"/>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37CF"/>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3559"/>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2C2D"/>
    <w:rsid w:val="007556CC"/>
    <w:rsid w:val="00762290"/>
    <w:rsid w:val="00775FB5"/>
    <w:rsid w:val="007867C0"/>
    <w:rsid w:val="00791E04"/>
    <w:rsid w:val="007943AA"/>
    <w:rsid w:val="00794F30"/>
    <w:rsid w:val="00797EBB"/>
    <w:rsid w:val="007A0154"/>
    <w:rsid w:val="007A533C"/>
    <w:rsid w:val="007A7766"/>
    <w:rsid w:val="007B0925"/>
    <w:rsid w:val="007C2083"/>
    <w:rsid w:val="007C267B"/>
    <w:rsid w:val="007C4BED"/>
    <w:rsid w:val="007C72C5"/>
    <w:rsid w:val="007D0BC9"/>
    <w:rsid w:val="007D3BA6"/>
    <w:rsid w:val="007D46B2"/>
    <w:rsid w:val="007E26A2"/>
    <w:rsid w:val="007F0EF3"/>
    <w:rsid w:val="007F79F8"/>
    <w:rsid w:val="008041EC"/>
    <w:rsid w:val="0080676A"/>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7677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67D62"/>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32D6"/>
    <w:rsid w:val="00AE5507"/>
    <w:rsid w:val="00B018FC"/>
    <w:rsid w:val="00B11F35"/>
    <w:rsid w:val="00B14D5F"/>
    <w:rsid w:val="00B214E4"/>
    <w:rsid w:val="00B21BA4"/>
    <w:rsid w:val="00B22142"/>
    <w:rsid w:val="00B221A3"/>
    <w:rsid w:val="00B30098"/>
    <w:rsid w:val="00B41058"/>
    <w:rsid w:val="00B43A63"/>
    <w:rsid w:val="00B50164"/>
    <w:rsid w:val="00B50EFC"/>
    <w:rsid w:val="00B54A00"/>
    <w:rsid w:val="00B5712C"/>
    <w:rsid w:val="00B57EEC"/>
    <w:rsid w:val="00B60F30"/>
    <w:rsid w:val="00B64E3F"/>
    <w:rsid w:val="00B653B9"/>
    <w:rsid w:val="00B72357"/>
    <w:rsid w:val="00B74B45"/>
    <w:rsid w:val="00B74DC5"/>
    <w:rsid w:val="00BA0D1F"/>
    <w:rsid w:val="00BA1F2A"/>
    <w:rsid w:val="00BA355F"/>
    <w:rsid w:val="00BA535D"/>
    <w:rsid w:val="00BB11AE"/>
    <w:rsid w:val="00BB5B8E"/>
    <w:rsid w:val="00BB66CF"/>
    <w:rsid w:val="00BC56E5"/>
    <w:rsid w:val="00BC7984"/>
    <w:rsid w:val="00BD2DC8"/>
    <w:rsid w:val="00BE33D8"/>
    <w:rsid w:val="00BE43B2"/>
    <w:rsid w:val="00BE4FE4"/>
    <w:rsid w:val="00C02AAB"/>
    <w:rsid w:val="00C04A32"/>
    <w:rsid w:val="00C05618"/>
    <w:rsid w:val="00C070D6"/>
    <w:rsid w:val="00C07F6F"/>
    <w:rsid w:val="00C10701"/>
    <w:rsid w:val="00C11F6F"/>
    <w:rsid w:val="00C14AF9"/>
    <w:rsid w:val="00C16967"/>
    <w:rsid w:val="00C20349"/>
    <w:rsid w:val="00C2405F"/>
    <w:rsid w:val="00C279DD"/>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ABB"/>
    <w:rsid w:val="00E05C41"/>
    <w:rsid w:val="00E0771D"/>
    <w:rsid w:val="00E1029D"/>
    <w:rsid w:val="00E11E01"/>
    <w:rsid w:val="00E1239A"/>
    <w:rsid w:val="00E160F4"/>
    <w:rsid w:val="00E16762"/>
    <w:rsid w:val="00E16839"/>
    <w:rsid w:val="00E21384"/>
    <w:rsid w:val="00E244F2"/>
    <w:rsid w:val="00E44537"/>
    <w:rsid w:val="00E5000C"/>
    <w:rsid w:val="00E55F69"/>
    <w:rsid w:val="00E56FDA"/>
    <w:rsid w:val="00E57189"/>
    <w:rsid w:val="00E636DC"/>
    <w:rsid w:val="00E70C56"/>
    <w:rsid w:val="00E90DC4"/>
    <w:rsid w:val="00E9309D"/>
    <w:rsid w:val="00E951B3"/>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unhideWhenUsed/>
    <w:rsid w:val="00411D3E"/>
    <w:rPr>
      <w:sz w:val="20"/>
      <w:szCs w:val="20"/>
    </w:rPr>
  </w:style>
  <w:style w:type="character" w:customStyle="1" w:styleId="FootnoteTextChar">
    <w:name w:val="Footnote Text Char"/>
    <w:link w:val="FootnoteText"/>
    <w:uiPriority w:val="99"/>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customStyle="1" w:styleId="Default">
    <w:name w:val="Default"/>
    <w:uiPriority w:val="99"/>
    <w:rsid w:val="00967D62"/>
    <w:pPr>
      <w:autoSpaceDE w:val="0"/>
      <w:autoSpaceDN w:val="0"/>
      <w:adjustRightInd w:val="0"/>
    </w:pPr>
    <w:rPr>
      <w:color w:val="000000"/>
      <w:sz w:val="24"/>
      <w:szCs w:val="24"/>
    </w:rPr>
  </w:style>
  <w:style w:type="paragraph" w:styleId="Title">
    <w:name w:val="Title"/>
    <w:basedOn w:val="Normal"/>
    <w:next w:val="Normal"/>
    <w:link w:val="TitleChar"/>
    <w:uiPriority w:val="10"/>
    <w:qFormat/>
    <w:rsid w:val="00967D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96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D62"/>
    <w:pPr>
      <w:numPr>
        <w:ilvl w:val="1"/>
      </w:numPr>
      <w:spacing w:after="160" w:line="259" w:lineRule="auto"/>
    </w:pPr>
    <w:rPr>
      <w:rFonts w:asciiTheme="minorHAnsi" w:eastAsiaTheme="minorEastAsia" w:hAnsiTheme="minorHAnsi" w:cstheme="minorBidi"/>
      <w:color w:val="5A5A5A" w:themeColor="text1" w:themeTint="A5"/>
      <w:spacing w:val="15"/>
      <w:lang w:val="en-US" w:eastAsia="en-US"/>
    </w:rPr>
  </w:style>
  <w:style w:type="character" w:customStyle="1" w:styleId="SubtitleChar">
    <w:name w:val="Subtitle Char"/>
    <w:basedOn w:val="DefaultParagraphFont"/>
    <w:link w:val="Subtitle"/>
    <w:uiPriority w:val="11"/>
    <w:rsid w:val="00967D62"/>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967D62"/>
    <w:pPr>
      <w:spacing w:before="100" w:beforeAutospacing="1" w:after="100" w:afterAutospacing="1"/>
    </w:pPr>
    <w:rPr>
      <w:rFonts w:ascii="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967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3010009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fosm.m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diagramQuickStyle" Target="diagrams/quickStyle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sanctionsmap.e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s://www.reactor.org.mk/Default.aspx" TargetMode="External"/><Relationship Id="rId27" Type="http://schemas.microsoft.com/office/2007/relationships/diagramDrawing" Target="diagrams/drawing1.xml"/><Relationship Id="rId30" Type="http://schemas.openxmlformats.org/officeDocument/2006/relationships/footer" Target="foot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ocserver/g2g9a36c-en.pdf?expires=1588529952&amp;id=id&amp;accname=guest&amp;checksum=1CC7B58DD90A1D5F341203BE09822B2C" TargetMode="External"/><Relationship Id="rId2" Type="http://schemas.openxmlformats.org/officeDocument/2006/relationships/hyperlink" Target="https://www.opengovpartnership.org/wp-content/uploads/2018/09/Macedonia_Action-Plan_2018-2020_EN.pdf" TargetMode="External"/><Relationship Id="rId1" Type="http://schemas.openxmlformats.org/officeDocument/2006/relationships/hyperlink" Target="https://search.coe.int/intranet/Pages/result_details.aspx?ObjectId=09000016805ceb14" TargetMode="External"/><Relationship Id="rId5" Type="http://schemas.openxmlformats.org/officeDocument/2006/relationships/hyperlink" Target="https://www.fosm.mk/CMS/Files/Documents/20131810-Analiza-eng.pdf" TargetMode="External"/><Relationship Id="rId4" Type="http://schemas.openxmlformats.org/officeDocument/2006/relationships/hyperlink" Target="http://www.oecd.org/gov/Understanding-effective-access-justice-workshop-paper-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F41F1-59CC-448B-A5AD-A35C2680DDAE}" type="doc">
      <dgm:prSet loTypeId="urn:microsoft.com/office/officeart/2005/8/layout/process3" loCatId="process" qsTypeId="urn:microsoft.com/office/officeart/2005/8/quickstyle/simple1" qsCatId="simple" csTypeId="urn:microsoft.com/office/officeart/2005/8/colors/accent1_5" csCatId="accent1" phldr="1"/>
      <dgm:spPr/>
      <dgm:t>
        <a:bodyPr/>
        <a:lstStyle/>
        <a:p>
          <a:endParaRPr lang="en-US"/>
        </a:p>
      </dgm:t>
    </dgm:pt>
    <dgm:pt modelId="{1AE6A2F9-17E9-4EEF-84FC-474C66137551}">
      <dgm:prSet phldrT="[Text]"/>
      <dgm:spPr/>
      <dgm:t>
        <a:bodyPr/>
        <a:lstStyle/>
        <a:p>
          <a:pPr algn="l"/>
          <a:r>
            <a:rPr lang="en-US"/>
            <a:t>1. Screening survey</a:t>
          </a:r>
        </a:p>
      </dgm:t>
    </dgm:pt>
    <dgm:pt modelId="{8B951E0C-77F4-4918-AA50-4932563B0C9E}" type="parTrans" cxnId="{86417F33-9C3C-4DB9-8E68-66D61B3DD155}">
      <dgm:prSet/>
      <dgm:spPr/>
      <dgm:t>
        <a:bodyPr/>
        <a:lstStyle/>
        <a:p>
          <a:pPr algn="l"/>
          <a:endParaRPr lang="en-US"/>
        </a:p>
      </dgm:t>
    </dgm:pt>
    <dgm:pt modelId="{B4C286ED-D765-4DEE-A022-5A8D103F29ED}" type="sibTrans" cxnId="{86417F33-9C3C-4DB9-8E68-66D61B3DD155}">
      <dgm:prSet/>
      <dgm:spPr/>
      <dgm:t>
        <a:bodyPr/>
        <a:lstStyle/>
        <a:p>
          <a:pPr algn="l"/>
          <a:endParaRPr lang="en-US"/>
        </a:p>
      </dgm:t>
    </dgm:pt>
    <dgm:pt modelId="{1E35E135-3AA0-489A-80F2-C96B7423A4D4}">
      <dgm:prSet phldrT="[Text]" custT="1"/>
      <dgm:spPr/>
      <dgm:t>
        <a:bodyPr/>
        <a:lstStyle/>
        <a:p>
          <a:pPr algn="l"/>
          <a:r>
            <a:rPr lang="en-US" sz="1000"/>
            <a:t>To assess whether they had experienced various types of problems in the past three years</a:t>
          </a:r>
        </a:p>
      </dgm:t>
    </dgm:pt>
    <dgm:pt modelId="{1831E6EA-916C-475D-9869-DFEFBD60D749}" type="parTrans" cxnId="{AD9EC664-6E57-4A05-962D-C30F0F88FF1B}">
      <dgm:prSet/>
      <dgm:spPr/>
      <dgm:t>
        <a:bodyPr/>
        <a:lstStyle/>
        <a:p>
          <a:pPr algn="l"/>
          <a:endParaRPr lang="en-US"/>
        </a:p>
      </dgm:t>
    </dgm:pt>
    <dgm:pt modelId="{40A32704-545B-49FE-B04F-A7022B63BA7E}" type="sibTrans" cxnId="{AD9EC664-6E57-4A05-962D-C30F0F88FF1B}">
      <dgm:prSet/>
      <dgm:spPr/>
      <dgm:t>
        <a:bodyPr/>
        <a:lstStyle/>
        <a:p>
          <a:pPr algn="l"/>
          <a:endParaRPr lang="en-US"/>
        </a:p>
      </dgm:t>
    </dgm:pt>
    <dgm:pt modelId="{84D9E521-EC52-4452-AF83-0B0937EB2239}">
      <dgm:prSet phldrT="[Text]"/>
      <dgm:spPr/>
      <dgm:t>
        <a:bodyPr/>
        <a:lstStyle/>
        <a:p>
          <a:pPr algn="l"/>
          <a:r>
            <a:rPr lang="en-US"/>
            <a:t>2. Detailed telephone interview</a:t>
          </a:r>
        </a:p>
      </dgm:t>
    </dgm:pt>
    <dgm:pt modelId="{679F8B93-DAB2-4AC6-9963-30C595E0D804}" type="parTrans" cxnId="{A9ECE601-6062-4CAB-B3DC-F636000DE819}">
      <dgm:prSet/>
      <dgm:spPr/>
      <dgm:t>
        <a:bodyPr/>
        <a:lstStyle/>
        <a:p>
          <a:pPr algn="l"/>
          <a:endParaRPr lang="en-US"/>
        </a:p>
      </dgm:t>
    </dgm:pt>
    <dgm:pt modelId="{C6C34B9D-3F29-461F-8246-48DDECEE5389}" type="sibTrans" cxnId="{A9ECE601-6062-4CAB-B3DC-F636000DE819}">
      <dgm:prSet/>
      <dgm:spPr/>
      <dgm:t>
        <a:bodyPr/>
        <a:lstStyle/>
        <a:p>
          <a:pPr algn="l"/>
          <a:endParaRPr lang="en-US"/>
        </a:p>
      </dgm:t>
    </dgm:pt>
    <dgm:pt modelId="{F83D6B25-2439-4B11-8368-C48E2A26D420}">
      <dgm:prSet phldrT="[Text]" custT="1"/>
      <dgm:spPr/>
      <dgm:t>
        <a:bodyPr/>
        <a:lstStyle/>
        <a:p>
          <a:pPr algn="l"/>
          <a:r>
            <a:rPr lang="en-US" sz="1100"/>
            <a:t> To assess their ‘paths to justice’ on a particular (selected) issue.</a:t>
          </a:r>
        </a:p>
      </dgm:t>
    </dgm:pt>
    <dgm:pt modelId="{F73B121D-A6E5-480E-9A07-C53B2552ACD4}" type="parTrans" cxnId="{B42F4FE5-5C99-4548-8AFA-93883C75DA3F}">
      <dgm:prSet/>
      <dgm:spPr/>
      <dgm:t>
        <a:bodyPr/>
        <a:lstStyle/>
        <a:p>
          <a:pPr algn="l"/>
          <a:endParaRPr lang="en-US"/>
        </a:p>
      </dgm:t>
    </dgm:pt>
    <dgm:pt modelId="{69758D5D-4752-4D23-A6BF-6ABF68B8EC19}" type="sibTrans" cxnId="{B42F4FE5-5C99-4548-8AFA-93883C75DA3F}">
      <dgm:prSet/>
      <dgm:spPr/>
      <dgm:t>
        <a:bodyPr/>
        <a:lstStyle/>
        <a:p>
          <a:pPr algn="l"/>
          <a:endParaRPr lang="en-US"/>
        </a:p>
      </dgm:t>
    </dgm:pt>
    <dgm:pt modelId="{A7A8FF93-C071-431F-9886-B4D4AD3FA839}">
      <dgm:prSet phldrT="[Text]" custT="1"/>
      <dgm:spPr/>
      <dgm:t>
        <a:bodyPr/>
        <a:lstStyle/>
        <a:p>
          <a:pPr algn="l"/>
          <a:r>
            <a:rPr lang="en-US" sz="1000"/>
            <a:t>For each category, problems specific to the category were read to the respondents and they had to answer whether they had encountered that particular problem in the last three years</a:t>
          </a:r>
        </a:p>
      </dgm:t>
    </dgm:pt>
    <dgm:pt modelId="{13CCE18A-0243-4ABA-9991-15F4131B6127}" type="parTrans" cxnId="{7E7F5737-54CA-4ABE-BD3C-1825F7C950B2}">
      <dgm:prSet/>
      <dgm:spPr/>
      <dgm:t>
        <a:bodyPr/>
        <a:lstStyle/>
        <a:p>
          <a:pPr algn="l"/>
          <a:endParaRPr lang="en-US"/>
        </a:p>
      </dgm:t>
    </dgm:pt>
    <dgm:pt modelId="{24AD1336-756B-4675-886E-94B4B5EC44E7}" type="sibTrans" cxnId="{7E7F5737-54CA-4ABE-BD3C-1825F7C950B2}">
      <dgm:prSet/>
      <dgm:spPr/>
      <dgm:t>
        <a:bodyPr/>
        <a:lstStyle/>
        <a:p>
          <a:pPr algn="l"/>
          <a:endParaRPr lang="en-US"/>
        </a:p>
      </dgm:t>
    </dgm:pt>
    <dgm:pt modelId="{86CCBE0C-C977-438F-A63E-34CE9E7CD28E}">
      <dgm:prSet phldrT="[Text]" custT="1"/>
      <dgm:spPr/>
      <dgm:t>
        <a:bodyPr/>
        <a:lstStyle/>
        <a:p>
          <a:pPr algn="l"/>
          <a:r>
            <a:rPr lang="en-US" sz="1100"/>
            <a:t>With respondents who experienced one justiciable event</a:t>
          </a:r>
        </a:p>
      </dgm:t>
    </dgm:pt>
    <dgm:pt modelId="{8B208D2F-E07D-48D0-8064-0613829E6084}" type="parTrans" cxnId="{23473BEC-6693-48F7-AED9-30FB690DD0F1}">
      <dgm:prSet/>
      <dgm:spPr/>
      <dgm:t>
        <a:bodyPr/>
        <a:lstStyle/>
        <a:p>
          <a:pPr algn="l"/>
          <a:endParaRPr lang="en-US"/>
        </a:p>
      </dgm:t>
    </dgm:pt>
    <dgm:pt modelId="{B3629238-53BF-44B4-81E1-3E9115A968E2}" type="sibTrans" cxnId="{23473BEC-6693-48F7-AED9-30FB690DD0F1}">
      <dgm:prSet/>
      <dgm:spPr/>
      <dgm:t>
        <a:bodyPr/>
        <a:lstStyle/>
        <a:p>
          <a:pPr algn="l"/>
          <a:endParaRPr lang="en-US"/>
        </a:p>
      </dgm:t>
    </dgm:pt>
    <dgm:pt modelId="{B83001CC-9C6A-4134-89C2-17018C9F3FD9}" type="pres">
      <dgm:prSet presAssocID="{3CEF41F1-59CC-448B-A5AD-A35C2680DDAE}" presName="linearFlow" presStyleCnt="0">
        <dgm:presLayoutVars>
          <dgm:dir/>
          <dgm:animLvl val="lvl"/>
          <dgm:resizeHandles val="exact"/>
        </dgm:presLayoutVars>
      </dgm:prSet>
      <dgm:spPr/>
    </dgm:pt>
    <dgm:pt modelId="{83B117AE-CB1A-4898-8BDF-35EC4C87DD9F}" type="pres">
      <dgm:prSet presAssocID="{1AE6A2F9-17E9-4EEF-84FC-474C66137551}" presName="composite" presStyleCnt="0"/>
      <dgm:spPr/>
    </dgm:pt>
    <dgm:pt modelId="{6F040D6D-F783-41F9-826B-F92A0DA060F0}" type="pres">
      <dgm:prSet presAssocID="{1AE6A2F9-17E9-4EEF-84FC-474C66137551}" presName="parTx" presStyleLbl="node1" presStyleIdx="0" presStyleCnt="2">
        <dgm:presLayoutVars>
          <dgm:chMax val="0"/>
          <dgm:chPref val="0"/>
          <dgm:bulletEnabled val="1"/>
        </dgm:presLayoutVars>
      </dgm:prSet>
      <dgm:spPr/>
    </dgm:pt>
    <dgm:pt modelId="{2BB40D93-22ED-441B-A3D5-D54840476CF5}" type="pres">
      <dgm:prSet presAssocID="{1AE6A2F9-17E9-4EEF-84FC-474C66137551}" presName="parSh" presStyleLbl="node1" presStyleIdx="0" presStyleCnt="2"/>
      <dgm:spPr/>
    </dgm:pt>
    <dgm:pt modelId="{5B5B8800-39BE-43D3-B827-548592907445}" type="pres">
      <dgm:prSet presAssocID="{1AE6A2F9-17E9-4EEF-84FC-474C66137551}" presName="desTx" presStyleLbl="fgAcc1" presStyleIdx="0" presStyleCnt="2">
        <dgm:presLayoutVars>
          <dgm:bulletEnabled val="1"/>
        </dgm:presLayoutVars>
      </dgm:prSet>
      <dgm:spPr/>
    </dgm:pt>
    <dgm:pt modelId="{72D3D032-56AF-4663-960E-5F96CB9F44A7}" type="pres">
      <dgm:prSet presAssocID="{B4C286ED-D765-4DEE-A022-5A8D103F29ED}" presName="sibTrans" presStyleLbl="sibTrans2D1" presStyleIdx="0" presStyleCnt="1"/>
      <dgm:spPr/>
    </dgm:pt>
    <dgm:pt modelId="{3F31994B-4CFB-486C-A059-E586729B067C}" type="pres">
      <dgm:prSet presAssocID="{B4C286ED-D765-4DEE-A022-5A8D103F29ED}" presName="connTx" presStyleLbl="sibTrans2D1" presStyleIdx="0" presStyleCnt="1"/>
      <dgm:spPr/>
    </dgm:pt>
    <dgm:pt modelId="{620DFC23-445F-41A4-8529-1D69FA5F34BE}" type="pres">
      <dgm:prSet presAssocID="{84D9E521-EC52-4452-AF83-0B0937EB2239}" presName="composite" presStyleCnt="0"/>
      <dgm:spPr/>
    </dgm:pt>
    <dgm:pt modelId="{C9FC403F-8948-4B4B-88C8-1B33F733ED4F}" type="pres">
      <dgm:prSet presAssocID="{84D9E521-EC52-4452-AF83-0B0937EB2239}" presName="parTx" presStyleLbl="node1" presStyleIdx="0" presStyleCnt="2">
        <dgm:presLayoutVars>
          <dgm:chMax val="0"/>
          <dgm:chPref val="0"/>
          <dgm:bulletEnabled val="1"/>
        </dgm:presLayoutVars>
      </dgm:prSet>
      <dgm:spPr/>
    </dgm:pt>
    <dgm:pt modelId="{FECC45CA-CEC4-440A-9697-857FAF572F2D}" type="pres">
      <dgm:prSet presAssocID="{84D9E521-EC52-4452-AF83-0B0937EB2239}" presName="parSh" presStyleLbl="node1" presStyleIdx="1" presStyleCnt="2"/>
      <dgm:spPr/>
    </dgm:pt>
    <dgm:pt modelId="{DA50D2B7-32DF-4920-81AA-26319D2987FD}" type="pres">
      <dgm:prSet presAssocID="{84D9E521-EC52-4452-AF83-0B0937EB2239}" presName="desTx" presStyleLbl="fgAcc1" presStyleIdx="1" presStyleCnt="2">
        <dgm:presLayoutVars>
          <dgm:bulletEnabled val="1"/>
        </dgm:presLayoutVars>
      </dgm:prSet>
      <dgm:spPr/>
    </dgm:pt>
  </dgm:ptLst>
  <dgm:cxnLst>
    <dgm:cxn modelId="{A9ECE601-6062-4CAB-B3DC-F636000DE819}" srcId="{3CEF41F1-59CC-448B-A5AD-A35C2680DDAE}" destId="{84D9E521-EC52-4452-AF83-0B0937EB2239}" srcOrd="1" destOrd="0" parTransId="{679F8B93-DAB2-4AC6-9963-30C595E0D804}" sibTransId="{C6C34B9D-3F29-461F-8246-48DDECEE5389}"/>
    <dgm:cxn modelId="{86417F33-9C3C-4DB9-8E68-66D61B3DD155}" srcId="{3CEF41F1-59CC-448B-A5AD-A35C2680DDAE}" destId="{1AE6A2F9-17E9-4EEF-84FC-474C66137551}" srcOrd="0" destOrd="0" parTransId="{8B951E0C-77F4-4918-AA50-4932563B0C9E}" sibTransId="{B4C286ED-D765-4DEE-A022-5A8D103F29ED}"/>
    <dgm:cxn modelId="{AF06AB34-1580-4957-93B9-878899947E0A}" type="presOf" srcId="{1AE6A2F9-17E9-4EEF-84FC-474C66137551}" destId="{2BB40D93-22ED-441B-A3D5-D54840476CF5}" srcOrd="1" destOrd="0" presId="urn:microsoft.com/office/officeart/2005/8/layout/process3"/>
    <dgm:cxn modelId="{7E7F5737-54CA-4ABE-BD3C-1825F7C950B2}" srcId="{1AE6A2F9-17E9-4EEF-84FC-474C66137551}" destId="{A7A8FF93-C071-431F-9886-B4D4AD3FA839}" srcOrd="1" destOrd="0" parTransId="{13CCE18A-0243-4ABA-9991-15F4131B6127}" sibTransId="{24AD1336-756B-4675-886E-94B4B5EC44E7}"/>
    <dgm:cxn modelId="{AD9EC664-6E57-4A05-962D-C30F0F88FF1B}" srcId="{1AE6A2F9-17E9-4EEF-84FC-474C66137551}" destId="{1E35E135-3AA0-489A-80F2-C96B7423A4D4}" srcOrd="0" destOrd="0" parTransId="{1831E6EA-916C-475D-9869-DFEFBD60D749}" sibTransId="{40A32704-545B-49FE-B04F-A7022B63BA7E}"/>
    <dgm:cxn modelId="{E60EAC4C-8E95-4BBD-9A5B-5B9E1454998F}" type="presOf" srcId="{F83D6B25-2439-4B11-8368-C48E2A26D420}" destId="{DA50D2B7-32DF-4920-81AA-26319D2987FD}" srcOrd="0" destOrd="1" presId="urn:microsoft.com/office/officeart/2005/8/layout/process3"/>
    <dgm:cxn modelId="{C0084E53-F67F-43EF-A78F-D513ECEC4574}" type="presOf" srcId="{1E35E135-3AA0-489A-80F2-C96B7423A4D4}" destId="{5B5B8800-39BE-43D3-B827-548592907445}" srcOrd="0" destOrd="0" presId="urn:microsoft.com/office/officeart/2005/8/layout/process3"/>
    <dgm:cxn modelId="{1E581776-66E3-4C68-B8CB-CA03009A640E}" type="presOf" srcId="{86CCBE0C-C977-438F-A63E-34CE9E7CD28E}" destId="{DA50D2B7-32DF-4920-81AA-26319D2987FD}" srcOrd="0" destOrd="0" presId="urn:microsoft.com/office/officeart/2005/8/layout/process3"/>
    <dgm:cxn modelId="{B7F0B7C7-CCC6-4E83-B745-B7C46662A97B}" type="presOf" srcId="{1AE6A2F9-17E9-4EEF-84FC-474C66137551}" destId="{6F040D6D-F783-41F9-826B-F92A0DA060F0}" srcOrd="0" destOrd="0" presId="urn:microsoft.com/office/officeart/2005/8/layout/process3"/>
    <dgm:cxn modelId="{E7E34ED3-AEA7-4916-88D9-ACAC2F46DB1A}" type="presOf" srcId="{84D9E521-EC52-4452-AF83-0B0937EB2239}" destId="{C9FC403F-8948-4B4B-88C8-1B33F733ED4F}" srcOrd="0" destOrd="0" presId="urn:microsoft.com/office/officeart/2005/8/layout/process3"/>
    <dgm:cxn modelId="{363580D5-59B6-49D4-9E7F-B41D50DFF5C6}" type="presOf" srcId="{3CEF41F1-59CC-448B-A5AD-A35C2680DDAE}" destId="{B83001CC-9C6A-4134-89C2-17018C9F3FD9}" srcOrd="0" destOrd="0" presId="urn:microsoft.com/office/officeart/2005/8/layout/process3"/>
    <dgm:cxn modelId="{4DD590D8-FB5C-40F5-8C65-82960353E707}" type="presOf" srcId="{B4C286ED-D765-4DEE-A022-5A8D103F29ED}" destId="{3F31994B-4CFB-486C-A059-E586729B067C}" srcOrd="1" destOrd="0" presId="urn:microsoft.com/office/officeart/2005/8/layout/process3"/>
    <dgm:cxn modelId="{B42F4FE5-5C99-4548-8AFA-93883C75DA3F}" srcId="{84D9E521-EC52-4452-AF83-0B0937EB2239}" destId="{F83D6B25-2439-4B11-8368-C48E2A26D420}" srcOrd="1" destOrd="0" parTransId="{F73B121D-A6E5-480E-9A07-C53B2552ACD4}" sibTransId="{69758D5D-4752-4D23-A6BF-6ABF68B8EC19}"/>
    <dgm:cxn modelId="{FFA49DE6-A4A3-456B-89BA-FB3A9D103B97}" type="presOf" srcId="{84D9E521-EC52-4452-AF83-0B0937EB2239}" destId="{FECC45CA-CEC4-440A-9697-857FAF572F2D}" srcOrd="1" destOrd="0" presId="urn:microsoft.com/office/officeart/2005/8/layout/process3"/>
    <dgm:cxn modelId="{D1404BEA-B3AC-42AE-9FF8-DD788F5BFF7F}" type="presOf" srcId="{A7A8FF93-C071-431F-9886-B4D4AD3FA839}" destId="{5B5B8800-39BE-43D3-B827-548592907445}" srcOrd="0" destOrd="1" presId="urn:microsoft.com/office/officeart/2005/8/layout/process3"/>
    <dgm:cxn modelId="{23473BEC-6693-48F7-AED9-30FB690DD0F1}" srcId="{84D9E521-EC52-4452-AF83-0B0937EB2239}" destId="{86CCBE0C-C977-438F-A63E-34CE9E7CD28E}" srcOrd="0" destOrd="0" parTransId="{8B208D2F-E07D-48D0-8064-0613829E6084}" sibTransId="{B3629238-53BF-44B4-81E1-3E9115A968E2}"/>
    <dgm:cxn modelId="{7EA851FE-C5F9-412C-AED6-A4CD706A395F}" type="presOf" srcId="{B4C286ED-D765-4DEE-A022-5A8D103F29ED}" destId="{72D3D032-56AF-4663-960E-5F96CB9F44A7}" srcOrd="0" destOrd="0" presId="urn:microsoft.com/office/officeart/2005/8/layout/process3"/>
    <dgm:cxn modelId="{42538379-5279-4D8E-9F69-14CED709C874}" type="presParOf" srcId="{B83001CC-9C6A-4134-89C2-17018C9F3FD9}" destId="{83B117AE-CB1A-4898-8BDF-35EC4C87DD9F}" srcOrd="0" destOrd="0" presId="urn:microsoft.com/office/officeart/2005/8/layout/process3"/>
    <dgm:cxn modelId="{28C7370F-44B1-4938-AE11-F0875E95F015}" type="presParOf" srcId="{83B117AE-CB1A-4898-8BDF-35EC4C87DD9F}" destId="{6F040D6D-F783-41F9-826B-F92A0DA060F0}" srcOrd="0" destOrd="0" presId="urn:microsoft.com/office/officeart/2005/8/layout/process3"/>
    <dgm:cxn modelId="{7CB8C0EA-03FA-45F1-92B0-61E43786FC27}" type="presParOf" srcId="{83B117AE-CB1A-4898-8BDF-35EC4C87DD9F}" destId="{2BB40D93-22ED-441B-A3D5-D54840476CF5}" srcOrd="1" destOrd="0" presId="urn:microsoft.com/office/officeart/2005/8/layout/process3"/>
    <dgm:cxn modelId="{A2C69CCE-C5C1-44FE-862B-89E60864AED6}" type="presParOf" srcId="{83B117AE-CB1A-4898-8BDF-35EC4C87DD9F}" destId="{5B5B8800-39BE-43D3-B827-548592907445}" srcOrd="2" destOrd="0" presId="urn:microsoft.com/office/officeart/2005/8/layout/process3"/>
    <dgm:cxn modelId="{721DC92C-F2CC-415D-8A17-016BCA2A9301}" type="presParOf" srcId="{B83001CC-9C6A-4134-89C2-17018C9F3FD9}" destId="{72D3D032-56AF-4663-960E-5F96CB9F44A7}" srcOrd="1" destOrd="0" presId="urn:microsoft.com/office/officeart/2005/8/layout/process3"/>
    <dgm:cxn modelId="{A1E0BF18-CFD6-4C84-96B3-09E270C7E760}" type="presParOf" srcId="{72D3D032-56AF-4663-960E-5F96CB9F44A7}" destId="{3F31994B-4CFB-486C-A059-E586729B067C}" srcOrd="0" destOrd="0" presId="urn:microsoft.com/office/officeart/2005/8/layout/process3"/>
    <dgm:cxn modelId="{AF19925A-5155-41EF-BC58-B7BC574106BE}" type="presParOf" srcId="{B83001CC-9C6A-4134-89C2-17018C9F3FD9}" destId="{620DFC23-445F-41A4-8529-1D69FA5F34BE}" srcOrd="2" destOrd="0" presId="urn:microsoft.com/office/officeart/2005/8/layout/process3"/>
    <dgm:cxn modelId="{419F66E5-62E8-4749-8C62-207671FA4343}" type="presParOf" srcId="{620DFC23-445F-41A4-8529-1D69FA5F34BE}" destId="{C9FC403F-8948-4B4B-88C8-1B33F733ED4F}" srcOrd="0" destOrd="0" presId="urn:microsoft.com/office/officeart/2005/8/layout/process3"/>
    <dgm:cxn modelId="{E4B81114-1E28-4CE7-8F58-4FDA18115770}" type="presParOf" srcId="{620DFC23-445F-41A4-8529-1D69FA5F34BE}" destId="{FECC45CA-CEC4-440A-9697-857FAF572F2D}" srcOrd="1" destOrd="0" presId="urn:microsoft.com/office/officeart/2005/8/layout/process3"/>
    <dgm:cxn modelId="{6C7F3810-CEAE-4DFF-AC3E-4BDA9768A7BE}" type="presParOf" srcId="{620DFC23-445F-41A4-8529-1D69FA5F34BE}" destId="{DA50D2B7-32DF-4920-81AA-26319D2987FD}" srcOrd="2" destOrd="0" presId="urn:microsoft.com/office/officeart/2005/8/layout/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B40D93-22ED-441B-A3D5-D54840476CF5}">
      <dsp:nvSpPr>
        <dsp:cNvPr id="0" name=""/>
        <dsp:cNvSpPr/>
      </dsp:nvSpPr>
      <dsp:spPr>
        <a:xfrm>
          <a:off x="2271" y="27609"/>
          <a:ext cx="1950002" cy="945563"/>
        </a:xfrm>
        <a:prstGeom prst="roundRect">
          <a:avLst>
            <a:gd name="adj" fmla="val 10000"/>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1. Screening survey</a:t>
          </a:r>
        </a:p>
      </dsp:txBody>
      <dsp:txXfrm>
        <a:off x="2271" y="27609"/>
        <a:ext cx="1950002" cy="630375"/>
      </dsp:txXfrm>
    </dsp:sp>
    <dsp:sp modelId="{5B5B8800-39BE-43D3-B827-548592907445}">
      <dsp:nvSpPr>
        <dsp:cNvPr id="0" name=""/>
        <dsp:cNvSpPr/>
      </dsp:nvSpPr>
      <dsp:spPr>
        <a:xfrm>
          <a:off x="401669" y="657985"/>
          <a:ext cx="1950002" cy="1814400"/>
        </a:xfrm>
        <a:prstGeom prst="roundRect">
          <a:avLst>
            <a:gd name="adj" fmla="val 10000"/>
          </a:avLst>
        </a:prstGeom>
        <a:solidFill>
          <a:schemeClr val="lt1">
            <a:alpha val="9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To assess whether they had experienced various types of problems in the past three years</a:t>
          </a:r>
        </a:p>
        <a:p>
          <a:pPr marL="57150" lvl="1" indent="-57150" algn="l" defTabSz="444500">
            <a:lnSpc>
              <a:spcPct val="90000"/>
            </a:lnSpc>
            <a:spcBef>
              <a:spcPct val="0"/>
            </a:spcBef>
            <a:spcAft>
              <a:spcPct val="15000"/>
            </a:spcAft>
            <a:buChar char="•"/>
          </a:pPr>
          <a:r>
            <a:rPr lang="en-US" sz="1000" kern="1200"/>
            <a:t>For each category, problems specific to the category were read to the respondents and they had to answer whether they had encountered that particular problem in the last three years</a:t>
          </a:r>
        </a:p>
      </dsp:txBody>
      <dsp:txXfrm>
        <a:off x="454811" y="711127"/>
        <a:ext cx="1843718" cy="1708116"/>
      </dsp:txXfrm>
    </dsp:sp>
    <dsp:sp modelId="{72D3D032-56AF-4663-960E-5F96CB9F44A7}">
      <dsp:nvSpPr>
        <dsp:cNvPr id="0" name=""/>
        <dsp:cNvSpPr/>
      </dsp:nvSpPr>
      <dsp:spPr>
        <a:xfrm>
          <a:off x="2247887" y="100050"/>
          <a:ext cx="626700" cy="485494"/>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77850">
            <a:lnSpc>
              <a:spcPct val="90000"/>
            </a:lnSpc>
            <a:spcBef>
              <a:spcPct val="0"/>
            </a:spcBef>
            <a:spcAft>
              <a:spcPct val="35000"/>
            </a:spcAft>
            <a:buNone/>
          </a:pPr>
          <a:endParaRPr lang="en-US" sz="1300" kern="1200"/>
        </a:p>
      </dsp:txBody>
      <dsp:txXfrm>
        <a:off x="2247887" y="197149"/>
        <a:ext cx="481052" cy="291296"/>
      </dsp:txXfrm>
    </dsp:sp>
    <dsp:sp modelId="{FECC45CA-CEC4-440A-9697-857FAF572F2D}">
      <dsp:nvSpPr>
        <dsp:cNvPr id="0" name=""/>
        <dsp:cNvSpPr/>
      </dsp:nvSpPr>
      <dsp:spPr>
        <a:xfrm>
          <a:off x="3134727" y="27609"/>
          <a:ext cx="1950002" cy="945563"/>
        </a:xfrm>
        <a:prstGeom prst="roundRect">
          <a:avLst>
            <a:gd name="adj" fmla="val 10000"/>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2. Detailed telephone interview</a:t>
          </a:r>
        </a:p>
      </dsp:txBody>
      <dsp:txXfrm>
        <a:off x="3134727" y="27609"/>
        <a:ext cx="1950002" cy="630375"/>
      </dsp:txXfrm>
    </dsp:sp>
    <dsp:sp modelId="{DA50D2B7-32DF-4920-81AA-26319D2987FD}">
      <dsp:nvSpPr>
        <dsp:cNvPr id="0" name=""/>
        <dsp:cNvSpPr/>
      </dsp:nvSpPr>
      <dsp:spPr>
        <a:xfrm>
          <a:off x="3534125" y="657985"/>
          <a:ext cx="1950002" cy="1814400"/>
        </a:xfrm>
        <a:prstGeom prst="roundRect">
          <a:avLst>
            <a:gd name="adj" fmla="val 10000"/>
          </a:avLst>
        </a:prstGeom>
        <a:solidFill>
          <a:schemeClr val="lt1">
            <a:alpha val="90000"/>
            <a:hueOff val="0"/>
            <a:satOff val="0"/>
            <a:lumOff val="0"/>
            <a:alphaOff val="0"/>
          </a:schemeClr>
        </a:solidFill>
        <a:ln w="25400" cap="flat" cmpd="sng" algn="ctr">
          <a:solidFill>
            <a:schemeClr val="accent1">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With respondents who experienced one justiciable event</a:t>
          </a:r>
        </a:p>
        <a:p>
          <a:pPr marL="57150" lvl="1" indent="-57150" algn="l" defTabSz="488950">
            <a:lnSpc>
              <a:spcPct val="90000"/>
            </a:lnSpc>
            <a:spcBef>
              <a:spcPct val="0"/>
            </a:spcBef>
            <a:spcAft>
              <a:spcPct val="15000"/>
            </a:spcAft>
            <a:buChar char="•"/>
          </a:pPr>
          <a:r>
            <a:rPr lang="en-US" sz="1100" kern="1200"/>
            <a:t> To assess their ‘paths to justice’ on a particular (selected) issue.</a:t>
          </a:r>
        </a:p>
      </dsp:txBody>
      <dsp:txXfrm>
        <a:off x="3587267" y="711127"/>
        <a:ext cx="1843718" cy="17081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10522</Words>
  <Characters>59980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70362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BAKA Besnik</cp:lastModifiedBy>
  <cp:revision>2</cp:revision>
  <cp:lastPrinted>2017-10-09T11:49:00Z</cp:lastPrinted>
  <dcterms:created xsi:type="dcterms:W3CDTF">2022-05-05T09:56:00Z</dcterms:created>
  <dcterms:modified xsi:type="dcterms:W3CDTF">2022-05-05T09:56:00Z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