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7E59ADDD" w:rsidR="00BE43B2" w:rsidRPr="00EA2362" w:rsidRDefault="00D97822">
            <w:pPr>
              <w:rPr>
                <w:rFonts w:ascii="Tahoma" w:hAnsi="Tahoma" w:cs="Tahoma"/>
                <w:caps/>
                <w:color w:val="000000" w:themeColor="text1"/>
                <w:sz w:val="18"/>
                <w:szCs w:val="18"/>
                <w:highlight w:val="cyan"/>
              </w:rPr>
            </w:pPr>
            <w:r w:rsidRPr="00D97822">
              <w:rPr>
                <w:rFonts w:ascii="Tahoma" w:hAnsi="Tahoma" w:cs="Tahoma"/>
                <w:caps/>
                <w:color w:val="000000" w:themeColor="text1"/>
                <w:sz w:val="18"/>
                <w:szCs w:val="18"/>
              </w:rPr>
              <w:t>BH</w:t>
            </w:r>
            <w:r w:rsidR="00A937F0">
              <w:rPr>
                <w:rFonts w:ascii="Tahoma" w:hAnsi="Tahoma" w:cs="Tahoma"/>
                <w:caps/>
                <w:color w:val="000000" w:themeColor="text1"/>
                <w:sz w:val="18"/>
                <w:szCs w:val="18"/>
              </w:rPr>
              <w:t>9196</w:t>
            </w:r>
            <w:r w:rsidRPr="00D97822">
              <w:rPr>
                <w:rFonts w:ascii="Tahoma" w:hAnsi="Tahoma" w:cs="Tahoma"/>
                <w:caps/>
                <w:color w:val="000000" w:themeColor="text1"/>
                <w:sz w:val="18"/>
                <w:szCs w:val="18"/>
              </w:rPr>
              <w:t>/</w:t>
            </w:r>
            <w:r w:rsidR="00F809B7">
              <w:rPr>
                <w:rFonts w:ascii="Tahoma" w:hAnsi="Tahoma" w:cs="Tahoma"/>
                <w:caps/>
                <w:color w:val="000000" w:themeColor="text1"/>
                <w:sz w:val="18"/>
                <w:szCs w:val="18"/>
              </w:rPr>
              <w:t>19</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1D7E5E27" w:rsidR="00BE43B2" w:rsidRPr="00EA2362" w:rsidRDefault="00A937F0">
            <w:pPr>
              <w:rPr>
                <w:rFonts w:ascii="Tahoma" w:hAnsi="Tahoma" w:cs="Tahoma"/>
                <w:caps/>
                <w:color w:val="000000" w:themeColor="text1"/>
                <w:sz w:val="18"/>
                <w:szCs w:val="18"/>
                <w:highlight w:val="cyan"/>
              </w:rPr>
            </w:pPr>
            <w:r w:rsidRPr="00975942">
              <w:rPr>
                <w:rFonts w:ascii="Tahoma" w:hAnsi="Tahoma" w:cs="Tahoma"/>
                <w:caps/>
                <w:color w:val="000000" w:themeColor="text1"/>
                <w:sz w:val="18"/>
                <w:szCs w:val="18"/>
              </w:rPr>
              <w:t>3642</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sdt>
          <w:sdtPr>
            <w:rPr>
              <w:rStyle w:val="Style47"/>
              <w:rFonts w:ascii="Tahoma" w:hAnsi="Tahoma" w:cs="Tahoma"/>
              <w:sz w:val="20"/>
              <w:szCs w:val="20"/>
            </w:rPr>
            <w:id w:val="991760829"/>
            <w:placeholder>
              <w:docPart w:val="FE8E0772321341CA914252F5C658203D"/>
            </w:placeholder>
          </w:sdtPr>
          <w:sdtEndPr>
            <w:rPr>
              <w:rStyle w:val="DefaultParagraphFont"/>
              <w:lang w:eastAsia="fr-FR"/>
            </w:rPr>
          </w:sdtEndPr>
          <w:sdtContent>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622B9AFC" w:rsidR="00BE43B2" w:rsidRPr="00EA2362" w:rsidRDefault="002211F3">
                <w:pPr>
                  <w:rPr>
                    <w:rFonts w:ascii="Tahoma" w:hAnsi="Tahoma" w:cs="Tahoma"/>
                    <w:b/>
                    <w:caps/>
                    <w:color w:val="000000" w:themeColor="text1"/>
                    <w:sz w:val="18"/>
                    <w:szCs w:val="18"/>
                    <w:highlight w:val="cyan"/>
                  </w:rPr>
                </w:pPr>
                <w:r>
                  <w:rPr>
                    <w:rStyle w:val="Style47"/>
                    <w:rFonts w:ascii="Tahoma" w:hAnsi="Tahoma" w:cs="Tahoma"/>
                    <w:sz w:val="20"/>
                    <w:szCs w:val="20"/>
                  </w:rPr>
                  <w:t>cpd.pristina@coe.int</w:t>
                </w:r>
              </w:p>
            </w:tc>
          </w:sdtContent>
        </w:sdt>
      </w:tr>
    </w:tbl>
    <w:p w14:paraId="7732789B" w14:textId="0A4A631C" w:rsidR="00261462" w:rsidRPr="00EA2362" w:rsidRDefault="00EC5AFE"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EA2362" w:rsidRDefault="00261462" w:rsidP="005D5924">
      <w:pPr>
        <w:rPr>
          <w:rFonts w:ascii="Tahoma" w:hAnsi="Tahoma" w:cs="Tahoma"/>
          <w:b/>
          <w:caps/>
          <w:sz w:val="28"/>
          <w:szCs w:val="28"/>
        </w:rPr>
      </w:pPr>
    </w:p>
    <w:p w14:paraId="2AEC75C2" w14:textId="541788A0" w:rsidR="00261462" w:rsidRPr="00EA2362" w:rsidRDefault="00261462" w:rsidP="005D5924">
      <w:pPr>
        <w:rPr>
          <w:rFonts w:ascii="Tahoma" w:hAnsi="Tahoma" w:cs="Tahoma"/>
          <w:b/>
          <w:caps/>
          <w:sz w:val="28"/>
          <w:szCs w:val="28"/>
        </w:rPr>
      </w:pPr>
    </w:p>
    <w:p w14:paraId="2D1D594F" w14:textId="70F2FC75" w:rsidR="00261462" w:rsidRPr="00EA2362" w:rsidRDefault="00261462" w:rsidP="005D5924">
      <w:pPr>
        <w:rPr>
          <w:rFonts w:ascii="Tahoma" w:hAnsi="Tahoma" w:cs="Tahoma"/>
          <w:b/>
          <w:caps/>
          <w:sz w:val="28"/>
          <w:szCs w:val="28"/>
        </w:rPr>
      </w:pPr>
    </w:p>
    <w:p w14:paraId="4AD2904E" w14:textId="59F5490A" w:rsidR="00261462" w:rsidRPr="00EA2362" w:rsidRDefault="00261462" w:rsidP="005D5924">
      <w:pPr>
        <w:rPr>
          <w:rFonts w:ascii="Tahoma" w:hAnsi="Tahoma" w:cs="Tahoma"/>
          <w:b/>
          <w:caps/>
          <w:sz w:val="28"/>
          <w:szCs w:val="28"/>
        </w:rPr>
      </w:pPr>
    </w:p>
    <w:p w14:paraId="6CEC8D60" w14:textId="511EAADA" w:rsidR="00261462" w:rsidRPr="00EA2362"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7E9D6D1D" w14:textId="426974CC" w:rsidR="009365EB" w:rsidRPr="000F6065"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5EB03E6B" w14:textId="77777777" w:rsidR="000F6065" w:rsidRDefault="000F6065" w:rsidP="00322061">
      <w:pPr>
        <w:jc w:val="both"/>
        <w:rPr>
          <w:rFonts w:ascii="Tahoma" w:hAnsi="Tahoma" w:cs="Tahoma"/>
          <w:b/>
          <w:sz w:val="20"/>
          <w:szCs w:val="20"/>
        </w:rPr>
      </w:pPr>
    </w:p>
    <w:p w14:paraId="3A7F1C04" w14:textId="41053EE0" w:rsidR="00322061" w:rsidRPr="000F6065" w:rsidRDefault="00261462" w:rsidP="00322061">
      <w:pPr>
        <w:jc w:val="both"/>
        <w:rPr>
          <w:rFonts w:ascii="Tahoma" w:hAnsi="Tahoma" w:cs="Tahoma"/>
          <w:b/>
          <w:sz w:val="20"/>
          <w:szCs w:val="20"/>
        </w:rPr>
      </w:pPr>
      <w:r w:rsidRPr="000F6065">
        <w:rPr>
          <w:rFonts w:ascii="Tahoma" w:hAnsi="Tahoma" w:cs="Tahoma"/>
          <w:b/>
          <w:sz w:val="20"/>
          <w:szCs w:val="20"/>
        </w:rPr>
        <w:t xml:space="preserve">This Act of Engagement lays down the terms and conditions of the contract between the Provider, </w:t>
      </w:r>
      <w:r w:rsidR="00453769" w:rsidRPr="000F6065">
        <w:rPr>
          <w:rFonts w:ascii="Tahoma" w:hAnsi="Tahoma" w:cs="Tahoma"/>
          <w:b/>
          <w:sz w:val="20"/>
          <w:szCs w:val="20"/>
        </w:rPr>
        <w:t>as described below,</w:t>
      </w:r>
      <w:r w:rsidRPr="000F6065">
        <w:rPr>
          <w:rFonts w:ascii="Tahoma" w:hAnsi="Tahoma" w:cs="Tahoma"/>
          <w:b/>
          <w:sz w:val="20"/>
          <w:szCs w:val="20"/>
        </w:rPr>
        <w:t xml:space="preserve"> and the Council of Europe</w:t>
      </w:r>
      <w:r w:rsidRPr="000F6065">
        <w:rPr>
          <w:rStyle w:val="FootnoteReference"/>
          <w:rFonts w:ascii="Tahoma" w:hAnsi="Tahoma" w:cs="Tahoma"/>
          <w:b/>
          <w:sz w:val="20"/>
          <w:szCs w:val="20"/>
        </w:rPr>
        <w:footnoteReference w:id="2"/>
      </w:r>
      <w:r w:rsidRPr="000F6065">
        <w:rPr>
          <w:rFonts w:ascii="Tahoma" w:hAnsi="Tahoma" w:cs="Tahoma"/>
          <w:b/>
          <w:sz w:val="20"/>
          <w:szCs w:val="20"/>
        </w:rPr>
        <w:t xml:space="preserve"> for </w:t>
      </w:r>
      <w:r w:rsidR="000F6065">
        <w:rPr>
          <w:rFonts w:ascii="Tahoma" w:hAnsi="Tahoma" w:cs="Tahoma"/>
          <w:b/>
          <w:sz w:val="20"/>
          <w:szCs w:val="20"/>
        </w:rPr>
        <w:t>conducting</w:t>
      </w:r>
      <w:r w:rsidR="00322061" w:rsidRPr="000F6065">
        <w:rPr>
          <w:rFonts w:ascii="Tahoma" w:hAnsi="Tahoma" w:cs="Tahoma"/>
          <w:b/>
          <w:sz w:val="20"/>
          <w:szCs w:val="20"/>
        </w:rPr>
        <w:t xml:space="preserve"> the </w:t>
      </w:r>
      <w:r w:rsidR="00A937F0" w:rsidRPr="000F6065">
        <w:rPr>
          <w:rFonts w:ascii="Tahoma" w:hAnsi="Tahoma" w:cs="Tahoma"/>
          <w:b/>
          <w:sz w:val="20"/>
          <w:szCs w:val="20"/>
        </w:rPr>
        <w:t xml:space="preserve">survey on public perception of the </w:t>
      </w:r>
      <w:r w:rsidR="00322061" w:rsidRPr="000F6065">
        <w:rPr>
          <w:rFonts w:ascii="Tahoma" w:hAnsi="Tahoma" w:cs="Tahoma"/>
          <w:b/>
          <w:sz w:val="20"/>
          <w:szCs w:val="20"/>
        </w:rPr>
        <w:t>Constitutional Court</w:t>
      </w:r>
      <w:r w:rsidR="000F6065" w:rsidRPr="000F6065">
        <w:rPr>
          <w:rFonts w:ascii="Tahoma" w:hAnsi="Tahoma" w:cs="Tahoma"/>
          <w:b/>
          <w:sz w:val="20"/>
          <w:szCs w:val="20"/>
        </w:rPr>
        <w:t>, in the framework of the project “Support to the Constitutional Court in Applying and Disseminating European Human Rights Standards – Phase II”.</w:t>
      </w:r>
    </w:p>
    <w:p w14:paraId="7780F277" w14:textId="77777777" w:rsidR="000F6065" w:rsidRDefault="000F6065"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p>
    <w:p w14:paraId="186D99D7" w14:textId="2A57706E"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r w:rsidRPr="00EA2362">
        <w:rPr>
          <w:rFonts w:ascii="Tahoma" w:hAnsi="Tahoma" w:cs="Tahoma"/>
          <w:color w:val="FF0000"/>
          <w:sz w:val="18"/>
          <w:szCs w:val="18"/>
        </w:rPr>
        <w:t>);</w:t>
      </w:r>
    </w:p>
    <w:p w14:paraId="269A9496" w14:textId="6D5AD1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FF5621">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194EDC" w:rsidRPr="00EA2362" w14:paraId="0CDD5CD9" w14:textId="01548DCB" w:rsidTr="00194EDC">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036D7E3" w14:textId="10C3F859" w:rsidR="00194EDC" w:rsidRPr="00EA2362" w:rsidRDefault="00194EDC"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050F56" w14:textId="7C428C2F" w:rsidR="00194EDC" w:rsidRPr="00EA2362" w:rsidRDefault="00194EDC"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42A110F" w14:textId="60C52F05" w:rsidR="00194EDC" w:rsidRPr="00194EDC" w:rsidRDefault="00000000" w:rsidP="00FC7772">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53FD5F8" w14:textId="06381ECE" w:rsidR="00194EDC" w:rsidRPr="00194EDC" w:rsidRDefault="00000000" w:rsidP="00194EDC">
            <w:pPr>
              <w:rPr>
                <w:rFonts w:ascii="Tahoma" w:hAnsi="Tahoma" w:cs="Tahoma"/>
                <w:color w:val="000000"/>
                <w:sz w:val="20"/>
                <w:szCs w:val="20"/>
              </w:rPr>
            </w:pPr>
            <w:sdt>
              <w:sdtPr>
                <w:rPr>
                  <w:rFonts w:ascii="Tahoma" w:hAnsi="Tahoma" w:cs="Tahoma"/>
                  <w:color w:val="000000"/>
                  <w:sz w:val="18"/>
                  <w:szCs w:val="18"/>
                  <w:lang w:val="es-ES_tradnl"/>
                </w:rPr>
                <w:id w:val="-347022501"/>
                <w14:checkbox>
                  <w14:checked w14:val="0"/>
                  <w14:checkedState w14:val="2612" w14:font="MS Gothic"/>
                  <w14:uncheckedState w14:val="2610" w14:font="MS Gothic"/>
                </w14:checkbox>
              </w:sdt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3D05288" w14:textId="63D5057B" w:rsidR="00194EDC" w:rsidRPr="00194EDC" w:rsidRDefault="00000000" w:rsidP="00194EDC">
            <w:pPr>
              <w:rPr>
                <w:rFonts w:ascii="Tahoma" w:hAnsi="Tahoma" w:cs="Tahoma"/>
                <w:color w:val="000000"/>
                <w:sz w:val="20"/>
                <w:szCs w:val="20"/>
              </w:rPr>
            </w:pPr>
            <w:sdt>
              <w:sdtPr>
                <w:rPr>
                  <w:rFonts w:ascii="Tahoma" w:hAnsi="Tahoma" w:cs="Tahoma"/>
                  <w:color w:val="000000"/>
                  <w:sz w:val="18"/>
                  <w:szCs w:val="18"/>
                  <w:lang w:val="es-ES_tradnl"/>
                </w:rPr>
                <w:id w:val="1780599808"/>
                <w14:checkbox>
                  <w14:checked w14:val="0"/>
                  <w14:checkedState w14:val="2612" w14:font="MS Gothic"/>
                  <w14:uncheckedState w14:val="2610" w14:font="MS Gothic"/>
                </w14:checkbox>
              </w:sdt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Consortium</w:t>
            </w:r>
          </w:p>
        </w:tc>
      </w:tr>
      <w:tr w:rsidR="00194EDC" w:rsidRPr="00EA2362" w14:paraId="1BC28EB5" w14:textId="77777777" w:rsidTr="00D8496F">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31F10BAA" w:rsidR="00194EDC" w:rsidRPr="00EA2362" w:rsidRDefault="00194EDC"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194EDC" w:rsidRPr="00EA2362" w:rsidRDefault="00194EDC" w:rsidP="00FC7772">
            <w:pPr>
              <w:rPr>
                <w:rFonts w:ascii="Tahoma" w:hAnsi="Tahoma" w:cs="Tahoma"/>
                <w:color w:val="000000"/>
                <w:sz w:val="20"/>
                <w:szCs w:val="20"/>
              </w:rPr>
            </w:pPr>
          </w:p>
        </w:tc>
      </w:tr>
      <w:tr w:rsidR="00194EDC" w:rsidRPr="00EA2362" w14:paraId="67A9D8F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194EDC" w:rsidRPr="00EA2362" w:rsidRDefault="00194EDC" w:rsidP="00FC7772">
            <w:pPr>
              <w:rPr>
                <w:rFonts w:ascii="Tahoma" w:hAnsi="Tahoma" w:cs="Tahoma"/>
                <w:sz w:val="20"/>
                <w:szCs w:val="20"/>
              </w:rPr>
            </w:pPr>
          </w:p>
        </w:tc>
      </w:tr>
      <w:tr w:rsidR="00194EDC" w:rsidRPr="00EA2362" w14:paraId="398BF9B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16781A73"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Contact </w:t>
            </w:r>
            <w:r>
              <w:rPr>
                <w:rFonts w:ascii="Tahoma" w:hAnsi="Tahoma" w:cs="Tahoma"/>
                <w:sz w:val="18"/>
                <w:szCs w:val="18"/>
              </w:rPr>
              <w:t>point</w:t>
            </w:r>
          </w:p>
          <w:p w14:paraId="6933DB04"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194EDC" w:rsidRPr="00EA2362" w:rsidRDefault="00194EDC" w:rsidP="00FC7772">
            <w:pPr>
              <w:rPr>
                <w:rFonts w:ascii="Tahoma" w:hAnsi="Tahoma" w:cs="Tahoma"/>
                <w:sz w:val="20"/>
                <w:szCs w:val="20"/>
              </w:rPr>
            </w:pPr>
          </w:p>
        </w:tc>
      </w:tr>
      <w:tr w:rsidR="00194EDC" w:rsidRPr="00EA2362" w14:paraId="06332A0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194EDC" w:rsidRPr="00EA2362" w:rsidRDefault="00194EDC" w:rsidP="00FC7772">
            <w:pPr>
              <w:rPr>
                <w:rFonts w:ascii="Tahoma" w:hAnsi="Tahoma" w:cs="Tahoma"/>
                <w:sz w:val="20"/>
                <w:szCs w:val="20"/>
              </w:rPr>
            </w:pPr>
          </w:p>
        </w:tc>
      </w:tr>
      <w:tr w:rsidR="00194EDC" w:rsidRPr="00EA2362" w14:paraId="11FDC6AA"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194EDC" w:rsidRPr="00EA2362" w:rsidRDefault="00194EDC" w:rsidP="00FC7772">
            <w:pPr>
              <w:rPr>
                <w:rFonts w:ascii="Tahoma" w:hAnsi="Tahoma" w:cs="Tahoma"/>
                <w:sz w:val="20"/>
                <w:szCs w:val="20"/>
              </w:rPr>
            </w:pPr>
          </w:p>
        </w:tc>
      </w:tr>
      <w:tr w:rsidR="00194EDC" w:rsidRPr="00EA2362" w14:paraId="6003D3D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189B5E8F"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Email (Contact </w:t>
            </w:r>
            <w:r>
              <w:rPr>
                <w:rFonts w:ascii="Tahoma" w:hAnsi="Tahoma" w:cs="Tahoma"/>
                <w:sz w:val="18"/>
                <w:szCs w:val="18"/>
              </w:rPr>
              <w:t>point</w:t>
            </w:r>
            <w:r w:rsidRPr="00EA2362">
              <w:rPr>
                <w:rFonts w:ascii="Tahoma" w:hAnsi="Tahoma" w:cs="Tahoma"/>
                <w:sz w:val="18"/>
                <w:szCs w:val="18"/>
              </w:rPr>
              <w:t>)</w:t>
            </w:r>
          </w:p>
          <w:p w14:paraId="1837CB3E"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194EDC" w:rsidRPr="00EA2362" w:rsidRDefault="00194EDC" w:rsidP="00FC7772">
            <w:pPr>
              <w:rPr>
                <w:rFonts w:ascii="Tahoma" w:hAnsi="Tahoma" w:cs="Tahoma"/>
                <w:sz w:val="20"/>
                <w:szCs w:val="20"/>
              </w:rPr>
            </w:pPr>
          </w:p>
        </w:tc>
      </w:tr>
      <w:tr w:rsidR="00194EDC"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1B8750F2"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Phone number (Contact </w:t>
            </w:r>
            <w:r>
              <w:rPr>
                <w:rFonts w:ascii="Tahoma" w:hAnsi="Tahoma" w:cs="Tahoma"/>
                <w:sz w:val="18"/>
                <w:szCs w:val="18"/>
              </w:rPr>
              <w:t>point</w:t>
            </w:r>
            <w:r w:rsidRPr="00EA2362">
              <w:rPr>
                <w:rFonts w:ascii="Tahoma" w:hAnsi="Tahoma" w:cs="Tahoma"/>
                <w:sz w:val="18"/>
                <w:szCs w:val="18"/>
              </w:rPr>
              <w:t>)</w:t>
            </w:r>
          </w:p>
          <w:p w14:paraId="14823242"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194EDC" w:rsidRPr="00EA2362" w:rsidRDefault="00194EDC"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79312651" w14:textId="77777777" w:rsidR="00261462" w:rsidRPr="00EC5AFE" w:rsidRDefault="00261462" w:rsidP="00EC5AFE">
      <w:pPr>
        <w:rPr>
          <w:rFonts w:ascii="Tahoma" w:hAnsi="Tahoma" w:cs="Tahoma"/>
          <w:b/>
          <w:lang w:eastAsia="en-US"/>
        </w:rPr>
        <w:sectPr w:rsidR="00261462" w:rsidRPr="00EC5AFE" w:rsidSect="00182FB2">
          <w:headerReference w:type="default" r:id="rId12"/>
          <w:pgSz w:w="11907" w:h="16840" w:code="9"/>
          <w:pgMar w:top="284" w:right="1134" w:bottom="851" w:left="1134" w:header="285" w:footer="284" w:gutter="0"/>
          <w:cols w:space="708"/>
          <w:docGrid w:linePitch="360"/>
        </w:sectPr>
      </w:pPr>
    </w:p>
    <w:p w14:paraId="105DE52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151E53D3" w14:textId="235B519F" w:rsidR="000F6065" w:rsidRPr="000F6065" w:rsidRDefault="00AD01A9" w:rsidP="000F6065">
      <w:pPr>
        <w:jc w:val="both"/>
        <w:rPr>
          <w:rFonts w:ascii="Tahoma" w:hAnsi="Tahoma" w:cs="Tahoma"/>
          <w:sz w:val="20"/>
          <w:szCs w:val="20"/>
        </w:rPr>
      </w:pPr>
      <w:r w:rsidRPr="00F146B0">
        <w:rPr>
          <w:rFonts w:ascii="Tahoma" w:hAnsi="Tahoma" w:cs="Tahoma"/>
          <w:sz w:val="20"/>
          <w:szCs w:val="20"/>
        </w:rPr>
        <w:t>The Council of Europe is currently implementing a Project on “Support to the Constitutional Court   in Applying and Disseminating European Human Rights Standards – Phase II”, for a duration of two years with a foreseen end on 31 December 2025</w:t>
      </w:r>
      <w:r>
        <w:rPr>
          <w:rFonts w:ascii="Tahoma" w:hAnsi="Tahoma" w:cs="Tahoma"/>
          <w:sz w:val="20"/>
          <w:szCs w:val="20"/>
        </w:rPr>
        <w:t xml:space="preserve">. </w:t>
      </w:r>
      <w:r w:rsidR="000F6065">
        <w:rPr>
          <w:rFonts w:ascii="Tahoma" w:hAnsi="Tahoma" w:cs="Tahoma"/>
          <w:color w:val="000000" w:themeColor="text1"/>
          <w:sz w:val="20"/>
          <w:szCs w:val="20"/>
        </w:rPr>
        <w:t xml:space="preserve">Expected outcomes of the action are:   </w:t>
      </w:r>
    </w:p>
    <w:p w14:paraId="47827947" w14:textId="77777777" w:rsidR="000F6065" w:rsidRDefault="000F6065" w:rsidP="000F6065">
      <w:pPr>
        <w:jc w:val="both"/>
        <w:rPr>
          <w:rFonts w:ascii="Tahoma" w:hAnsi="Tahoma" w:cs="Tahoma"/>
          <w:color w:val="000000" w:themeColor="text1"/>
          <w:sz w:val="20"/>
          <w:szCs w:val="20"/>
        </w:rPr>
      </w:pPr>
    </w:p>
    <w:p w14:paraId="73737866" w14:textId="3A0B3B91" w:rsidR="000F6065" w:rsidRPr="000F6065" w:rsidRDefault="000F6065" w:rsidP="000F6065">
      <w:pPr>
        <w:jc w:val="both"/>
        <w:rPr>
          <w:rFonts w:ascii="Tahoma" w:hAnsi="Tahoma" w:cs="Tahoma"/>
          <w:color w:val="000000" w:themeColor="text1"/>
          <w:sz w:val="20"/>
          <w:szCs w:val="20"/>
        </w:rPr>
      </w:pPr>
      <w:r>
        <w:rPr>
          <w:rFonts w:ascii="Tahoma" w:hAnsi="Tahoma" w:cs="Tahoma"/>
          <w:color w:val="000000" w:themeColor="text1"/>
          <w:sz w:val="20"/>
          <w:szCs w:val="20"/>
        </w:rPr>
        <w:t>-</w:t>
      </w:r>
      <w:r w:rsidRPr="000F6065">
        <w:rPr>
          <w:rFonts w:ascii="Tahoma" w:hAnsi="Tahoma" w:cs="Tahoma"/>
          <w:color w:val="000000" w:themeColor="text1"/>
          <w:sz w:val="20"/>
          <w:szCs w:val="20"/>
        </w:rPr>
        <w:t xml:space="preserve">Enhanced implementation of the European Convention on Human Rights (ECHR) in the judicial decisions of the Constitutional Court, through further strengthening of the professional capacities of judges and legal advisors of the Constitutional Court and support to the development of the Juris Consult Unit.   </w:t>
      </w:r>
    </w:p>
    <w:p w14:paraId="2FDED891" w14:textId="77777777" w:rsidR="000F6065" w:rsidRDefault="000F6065" w:rsidP="000F6065">
      <w:pPr>
        <w:jc w:val="both"/>
        <w:rPr>
          <w:rFonts w:ascii="Tahoma" w:hAnsi="Tahoma" w:cs="Tahoma"/>
          <w:color w:val="000000" w:themeColor="text1"/>
          <w:sz w:val="20"/>
          <w:szCs w:val="20"/>
        </w:rPr>
      </w:pPr>
      <w:r>
        <w:rPr>
          <w:rFonts w:ascii="Tahoma" w:hAnsi="Tahoma" w:cs="Tahoma"/>
          <w:color w:val="000000" w:themeColor="text1"/>
          <w:sz w:val="20"/>
          <w:szCs w:val="20"/>
        </w:rPr>
        <w:t>﻿</w:t>
      </w:r>
    </w:p>
    <w:p w14:paraId="132701BA" w14:textId="6DA137A9" w:rsidR="000F6065" w:rsidRPr="000F6065" w:rsidRDefault="000F6065" w:rsidP="000F6065">
      <w:pPr>
        <w:jc w:val="both"/>
        <w:rPr>
          <w:rFonts w:ascii="Tahoma" w:hAnsi="Tahoma" w:cs="Tahoma"/>
          <w:color w:val="000000" w:themeColor="text1"/>
          <w:sz w:val="20"/>
          <w:szCs w:val="20"/>
        </w:rPr>
      </w:pPr>
      <w:r>
        <w:rPr>
          <w:rFonts w:ascii="Tahoma" w:hAnsi="Tahoma" w:cs="Tahoma"/>
          <w:color w:val="000000" w:themeColor="text1"/>
          <w:sz w:val="20"/>
          <w:szCs w:val="20"/>
        </w:rPr>
        <w:t>-</w:t>
      </w:r>
      <w:r w:rsidRPr="000F6065">
        <w:rPr>
          <w:rFonts w:ascii="Tahoma" w:hAnsi="Tahoma" w:cs="Tahoma"/>
          <w:color w:val="000000" w:themeColor="text1"/>
          <w:sz w:val="20"/>
          <w:szCs w:val="20"/>
        </w:rPr>
        <w:t xml:space="preserve">Consolidation of the role of the Constitutional Court in the national judicial system, through: a) the development of a monitoring mechanism to improve the execution of judgements, b)  an enhanced judicial dialogue with Supreme, Appellate and Basic Courts, c) the development of effective tools to ensure consistency of case law and its alignment with the ECHR, and d) the optimisation of the upgraded electronic case management system of the Constitutional Court, </w:t>
      </w:r>
      <w:r w:rsidRPr="000F6065">
        <w:rPr>
          <w:rFonts w:ascii="Tahoma" w:hAnsi="Tahoma" w:cs="Tahoma"/>
          <w:i/>
          <w:iCs/>
          <w:color w:val="000000" w:themeColor="text1"/>
          <w:sz w:val="20"/>
          <w:szCs w:val="20"/>
        </w:rPr>
        <w:t>inter alia</w:t>
      </w:r>
      <w:r w:rsidRPr="000F6065">
        <w:rPr>
          <w:rFonts w:ascii="Tahoma" w:hAnsi="Tahoma" w:cs="Tahoma"/>
          <w:color w:val="000000" w:themeColor="text1"/>
          <w:sz w:val="20"/>
          <w:szCs w:val="20"/>
        </w:rPr>
        <w:t xml:space="preserve"> to facilitate interoperability with ordinary courts.   </w:t>
      </w:r>
    </w:p>
    <w:p w14:paraId="5A7A083F" w14:textId="77777777" w:rsidR="000F6065" w:rsidRDefault="000F6065" w:rsidP="000F6065">
      <w:pPr>
        <w:jc w:val="both"/>
        <w:rPr>
          <w:rFonts w:ascii="Tahoma" w:hAnsi="Tahoma" w:cs="Tahoma"/>
          <w:color w:val="000000" w:themeColor="text1"/>
          <w:sz w:val="20"/>
          <w:szCs w:val="20"/>
        </w:rPr>
      </w:pPr>
      <w:r>
        <w:rPr>
          <w:rFonts w:ascii="Tahoma" w:hAnsi="Tahoma" w:cs="Tahoma"/>
          <w:color w:val="000000" w:themeColor="text1"/>
          <w:sz w:val="20"/>
          <w:szCs w:val="20"/>
        </w:rPr>
        <w:t>﻿</w:t>
      </w:r>
    </w:p>
    <w:p w14:paraId="169B4443" w14:textId="4A95751F" w:rsidR="000F6065" w:rsidRPr="000F6065" w:rsidRDefault="000F6065" w:rsidP="000F6065">
      <w:pPr>
        <w:jc w:val="both"/>
        <w:rPr>
          <w:rFonts w:ascii="Tahoma" w:hAnsi="Tahoma" w:cs="Tahoma"/>
          <w:color w:val="000000" w:themeColor="text1"/>
          <w:sz w:val="20"/>
          <w:szCs w:val="20"/>
        </w:rPr>
      </w:pPr>
      <w:r>
        <w:rPr>
          <w:rFonts w:ascii="Tahoma" w:hAnsi="Tahoma" w:cs="Tahoma"/>
          <w:color w:val="000000" w:themeColor="text1"/>
          <w:sz w:val="20"/>
          <w:szCs w:val="20"/>
        </w:rPr>
        <w:t>-</w:t>
      </w:r>
      <w:r w:rsidRPr="000F6065">
        <w:rPr>
          <w:rFonts w:ascii="Tahoma" w:hAnsi="Tahoma" w:cs="Tahoma"/>
          <w:color w:val="000000" w:themeColor="text1"/>
          <w:sz w:val="20"/>
          <w:szCs w:val="20"/>
        </w:rPr>
        <w:t xml:space="preserve">Enhanced capacity of lawyers to represent right holders and to claim rights before the Constitutional Court, through thematic workshops for lawyers/bar associations on different human rights standards (corresponding to ECHR Articles 2, 3, 5, 6, 8, 10, 14), and placement of lawyers with European courts and/ or the European Court of Human Rights (ECtHR).   </w:t>
      </w:r>
    </w:p>
    <w:p w14:paraId="5D967CFA" w14:textId="77777777" w:rsidR="000F6065" w:rsidRDefault="000F6065" w:rsidP="000F6065">
      <w:pPr>
        <w:jc w:val="both"/>
        <w:rPr>
          <w:rFonts w:ascii="Tahoma" w:hAnsi="Tahoma" w:cs="Tahoma"/>
          <w:color w:val="000000" w:themeColor="text1"/>
          <w:sz w:val="20"/>
          <w:szCs w:val="20"/>
        </w:rPr>
      </w:pPr>
      <w:r>
        <w:rPr>
          <w:rFonts w:ascii="Tahoma" w:hAnsi="Tahoma" w:cs="Tahoma"/>
          <w:color w:val="000000" w:themeColor="text1"/>
          <w:sz w:val="20"/>
          <w:szCs w:val="20"/>
        </w:rPr>
        <w:t>﻿</w:t>
      </w:r>
    </w:p>
    <w:p w14:paraId="71457D53" w14:textId="5A8E03BC" w:rsidR="000F6065" w:rsidRPr="000F6065" w:rsidRDefault="000F6065" w:rsidP="000F6065">
      <w:pPr>
        <w:jc w:val="both"/>
        <w:rPr>
          <w:rFonts w:ascii="Tahoma" w:hAnsi="Tahoma" w:cs="Tahoma"/>
          <w:color w:val="000000" w:themeColor="text1"/>
          <w:sz w:val="20"/>
          <w:szCs w:val="20"/>
        </w:rPr>
      </w:pPr>
      <w:r>
        <w:rPr>
          <w:rFonts w:ascii="Tahoma" w:hAnsi="Tahoma" w:cs="Tahoma"/>
          <w:color w:val="000000" w:themeColor="text1"/>
          <w:sz w:val="20"/>
          <w:szCs w:val="20"/>
        </w:rPr>
        <w:t>-</w:t>
      </w:r>
      <w:r w:rsidRPr="000F6065">
        <w:rPr>
          <w:rFonts w:ascii="Tahoma" w:hAnsi="Tahoma" w:cs="Tahoma"/>
          <w:color w:val="000000" w:themeColor="text1"/>
          <w:sz w:val="20"/>
          <w:szCs w:val="20"/>
        </w:rPr>
        <w:t xml:space="preserve">Reinforced public outreach of the Constitutional Court, through the implementation of the Constitutional Court’s Communication Strategy, follow-up on the recommendations of surveys on public perception, promotion of the cooperation of the Constitutional Court with the Faculty of Law and the Justice Academy. </w:t>
      </w:r>
    </w:p>
    <w:p w14:paraId="1E981B77" w14:textId="77777777" w:rsidR="000F6065" w:rsidRDefault="000F6065" w:rsidP="003E0A41">
      <w:pPr>
        <w:spacing w:line="276" w:lineRule="auto"/>
        <w:jc w:val="both"/>
        <w:rPr>
          <w:rFonts w:ascii="Tahoma" w:hAnsi="Tahoma" w:cs="Tahoma"/>
          <w:sz w:val="20"/>
          <w:szCs w:val="20"/>
        </w:rPr>
      </w:pPr>
    </w:p>
    <w:p w14:paraId="049E2725" w14:textId="4C9A40FD" w:rsidR="00E55F69" w:rsidRDefault="00322061" w:rsidP="003E0A41">
      <w:pPr>
        <w:spacing w:line="276" w:lineRule="auto"/>
        <w:jc w:val="both"/>
        <w:rPr>
          <w:rFonts w:ascii="Tahoma" w:eastAsia="Calibri" w:hAnsi="Tahoma" w:cs="Tahoma"/>
          <w:sz w:val="20"/>
          <w:szCs w:val="20"/>
          <w:lang w:eastAsia="en-US"/>
        </w:rPr>
      </w:pPr>
      <w:r w:rsidRPr="00907DFD">
        <w:rPr>
          <w:rFonts w:ascii="Tahoma" w:hAnsi="Tahoma" w:cs="Tahoma"/>
          <w:sz w:val="20"/>
          <w:szCs w:val="20"/>
        </w:rPr>
        <w:t>In that context, it is looking for a provider for the implementation of the</w:t>
      </w:r>
      <w:r w:rsidR="00344E9C">
        <w:rPr>
          <w:rFonts w:ascii="Tahoma" w:hAnsi="Tahoma" w:cs="Tahoma"/>
          <w:sz w:val="20"/>
          <w:szCs w:val="20"/>
        </w:rPr>
        <w:t xml:space="preserve"> survey on public perception of the </w:t>
      </w:r>
      <w:r w:rsidRPr="00907DFD">
        <w:rPr>
          <w:rFonts w:ascii="Tahoma" w:eastAsia="Calibri" w:hAnsi="Tahoma" w:cs="Tahoma"/>
          <w:sz w:val="20"/>
          <w:szCs w:val="20"/>
          <w:lang w:eastAsia="en-US"/>
        </w:rPr>
        <w:t>Constitutional Court</w:t>
      </w:r>
      <w:r>
        <w:rPr>
          <w:rFonts w:ascii="Tahoma" w:eastAsia="Calibri" w:hAnsi="Tahoma" w:cs="Tahoma"/>
          <w:sz w:val="20"/>
          <w:szCs w:val="20"/>
          <w:lang w:eastAsia="en-US"/>
        </w:rPr>
        <w:t>.</w:t>
      </w:r>
      <w:r w:rsidR="00685888">
        <w:rPr>
          <w:rFonts w:ascii="Tahoma" w:eastAsia="Calibri" w:hAnsi="Tahoma" w:cs="Tahoma"/>
          <w:sz w:val="20"/>
          <w:szCs w:val="20"/>
          <w:lang w:eastAsia="en-US"/>
        </w:rPr>
        <w:t xml:space="preserve"> </w:t>
      </w:r>
    </w:p>
    <w:p w14:paraId="19951980" w14:textId="77777777" w:rsidR="00685888" w:rsidRDefault="00685888" w:rsidP="003E0A41">
      <w:pPr>
        <w:spacing w:line="276" w:lineRule="auto"/>
        <w:jc w:val="both"/>
        <w:rPr>
          <w:rFonts w:ascii="Tahoma" w:eastAsia="Calibri" w:hAnsi="Tahoma" w:cs="Tahoma"/>
          <w:sz w:val="20"/>
          <w:szCs w:val="20"/>
          <w:lang w:eastAsia="en-US"/>
        </w:rPr>
      </w:pPr>
    </w:p>
    <w:p w14:paraId="790B59FC" w14:textId="24FD0427" w:rsidR="00685888" w:rsidRDefault="00685888" w:rsidP="003E0A41">
      <w:pPr>
        <w:spacing w:line="276" w:lineRule="auto"/>
        <w:jc w:val="both"/>
        <w:rPr>
          <w:rFonts w:ascii="Tahoma" w:eastAsia="Calibri" w:hAnsi="Tahoma" w:cs="Tahoma"/>
          <w:b/>
          <w:bCs/>
          <w:sz w:val="20"/>
          <w:szCs w:val="20"/>
          <w:lang w:eastAsia="en-US"/>
        </w:rPr>
      </w:pPr>
      <w:r w:rsidRPr="00C56C3B">
        <w:rPr>
          <w:rFonts w:ascii="Tahoma" w:eastAsia="Calibri" w:hAnsi="Tahoma" w:cs="Tahoma"/>
          <w:b/>
          <w:bCs/>
          <w:sz w:val="20"/>
          <w:szCs w:val="20"/>
          <w:lang w:eastAsia="en-US"/>
        </w:rPr>
        <w:t xml:space="preserve">Minimum requirements concerning the survey are the following: </w:t>
      </w:r>
    </w:p>
    <w:p w14:paraId="2F046F03" w14:textId="77777777" w:rsidR="00C56C3B" w:rsidRPr="00C56C3B" w:rsidRDefault="00C56C3B" w:rsidP="003E0A41">
      <w:pPr>
        <w:spacing w:line="276" w:lineRule="auto"/>
        <w:jc w:val="both"/>
        <w:rPr>
          <w:rFonts w:ascii="Tahoma" w:eastAsia="Calibri" w:hAnsi="Tahoma" w:cs="Tahoma"/>
          <w:b/>
          <w:bCs/>
          <w:sz w:val="20"/>
          <w:szCs w:val="20"/>
          <w:lang w:eastAsia="en-US"/>
        </w:rPr>
      </w:pPr>
    </w:p>
    <w:p w14:paraId="50EF689E" w14:textId="16A1F87D" w:rsidR="00685888" w:rsidRPr="00FF3232" w:rsidRDefault="00685888" w:rsidP="000C4FFE">
      <w:pPr>
        <w:pStyle w:val="ListParagraph"/>
        <w:numPr>
          <w:ilvl w:val="0"/>
          <w:numId w:val="48"/>
        </w:numPr>
        <w:spacing w:line="276" w:lineRule="auto"/>
        <w:jc w:val="both"/>
        <w:rPr>
          <w:rFonts w:ascii="Tahoma" w:eastAsia="Calibri" w:hAnsi="Tahoma" w:cs="Tahoma"/>
          <w:sz w:val="20"/>
          <w:szCs w:val="20"/>
          <w:lang w:eastAsia="en-US"/>
        </w:rPr>
      </w:pPr>
      <w:r w:rsidRPr="00FF3232">
        <w:rPr>
          <w:rFonts w:ascii="Tahoma" w:eastAsia="Calibri" w:hAnsi="Tahoma" w:cs="Tahoma"/>
          <w:b/>
          <w:bCs/>
          <w:sz w:val="20"/>
          <w:szCs w:val="20"/>
          <w:lang w:eastAsia="en-US"/>
        </w:rPr>
        <w:t>Sampling:</w:t>
      </w:r>
      <w:r w:rsidRPr="00FF3232">
        <w:rPr>
          <w:rFonts w:ascii="Tahoma" w:eastAsia="Calibri" w:hAnsi="Tahoma" w:cs="Tahoma"/>
          <w:sz w:val="20"/>
          <w:szCs w:val="20"/>
          <w:lang w:eastAsia="en-US"/>
        </w:rPr>
        <w:t xml:space="preserve"> </w:t>
      </w:r>
      <w:r w:rsidRPr="00FF3232">
        <w:rPr>
          <w:rFonts w:ascii="Tahoma" w:hAnsi="Tahoma" w:cs="Tahoma"/>
          <w:sz w:val="20"/>
          <w:szCs w:val="20"/>
          <w:lang w:eastAsia="en-US"/>
        </w:rPr>
        <w:t xml:space="preserve">At least 1300 randomly selected respondents, including proportionally </w:t>
      </w:r>
      <w:r w:rsidRPr="00FF3232">
        <w:rPr>
          <w:rFonts w:ascii="Tahoma" w:hAnsi="Tahoma" w:cs="Tahoma"/>
          <w:b/>
          <w:bCs/>
          <w:sz w:val="20"/>
          <w:szCs w:val="20"/>
          <w:lang w:eastAsia="en-US"/>
        </w:rPr>
        <w:t xml:space="preserve">adult </w:t>
      </w:r>
      <w:r w:rsidRPr="00FF3232">
        <w:rPr>
          <w:rFonts w:ascii="Tahoma" w:hAnsi="Tahoma" w:cs="Tahoma"/>
          <w:sz w:val="20"/>
          <w:szCs w:val="20"/>
          <w:lang w:eastAsia="en-US"/>
        </w:rPr>
        <w:t xml:space="preserve">women and men of all age groups, from urban and rural areas of all 38 municipalities, and from all communities proportionally to population. </w:t>
      </w:r>
    </w:p>
    <w:p w14:paraId="159E7789" w14:textId="73D7FCBB" w:rsidR="00685888" w:rsidRPr="00FF3232" w:rsidRDefault="00685888" w:rsidP="00FF3232">
      <w:pPr>
        <w:pStyle w:val="ListParagraph"/>
        <w:numPr>
          <w:ilvl w:val="0"/>
          <w:numId w:val="48"/>
        </w:numPr>
        <w:spacing w:line="276" w:lineRule="auto"/>
        <w:jc w:val="both"/>
        <w:rPr>
          <w:rFonts w:ascii="Tahoma" w:eastAsia="Calibri" w:hAnsi="Tahoma" w:cs="Tahoma"/>
          <w:sz w:val="20"/>
          <w:szCs w:val="20"/>
          <w:lang w:eastAsia="en-US"/>
        </w:rPr>
      </w:pPr>
      <w:r w:rsidRPr="00FF3232">
        <w:rPr>
          <w:rFonts w:ascii="Tahoma" w:eastAsia="Calibri" w:hAnsi="Tahoma" w:cs="Tahoma"/>
          <w:b/>
          <w:bCs/>
          <w:sz w:val="20"/>
          <w:szCs w:val="20"/>
          <w:lang w:eastAsia="en-US"/>
        </w:rPr>
        <w:t>Methodology:</w:t>
      </w:r>
      <w:r>
        <w:rPr>
          <w:rFonts w:ascii="Tahoma" w:eastAsia="Calibri" w:hAnsi="Tahoma" w:cs="Tahoma"/>
          <w:sz w:val="20"/>
          <w:szCs w:val="20"/>
          <w:lang w:eastAsia="en-US"/>
        </w:rPr>
        <w:t xml:space="preserve"> Out of 1300 </w:t>
      </w:r>
      <w:r w:rsidRPr="003C5C13">
        <w:rPr>
          <w:rFonts w:ascii="Tahoma" w:hAnsi="Tahoma" w:cs="Tahoma"/>
          <w:sz w:val="18"/>
          <w:szCs w:val="18"/>
          <w:lang w:eastAsia="en-US"/>
        </w:rPr>
        <w:t>respondents</w:t>
      </w:r>
      <w:r>
        <w:rPr>
          <w:rFonts w:ascii="Tahoma" w:hAnsi="Tahoma" w:cs="Tahoma"/>
          <w:sz w:val="18"/>
          <w:szCs w:val="18"/>
          <w:lang w:eastAsia="en-US"/>
        </w:rPr>
        <w:t>,</w:t>
      </w:r>
      <w:r>
        <w:rPr>
          <w:rFonts w:ascii="Tahoma" w:eastAsia="Calibri" w:hAnsi="Tahoma" w:cs="Tahoma"/>
          <w:sz w:val="20"/>
          <w:szCs w:val="20"/>
          <w:lang w:eastAsia="en-US"/>
        </w:rPr>
        <w:t xml:space="preserve"> a</w:t>
      </w:r>
      <w:r w:rsidRPr="00685888">
        <w:rPr>
          <w:rFonts w:ascii="Tahoma" w:eastAsia="Calibri" w:hAnsi="Tahoma" w:cs="Tahoma"/>
          <w:sz w:val="20"/>
          <w:szCs w:val="20"/>
          <w:lang w:eastAsia="en-US"/>
        </w:rPr>
        <w:t xml:space="preserve">t least 50% </w:t>
      </w:r>
      <w:r>
        <w:rPr>
          <w:rFonts w:ascii="Tahoma" w:eastAsia="Calibri" w:hAnsi="Tahoma" w:cs="Tahoma"/>
          <w:sz w:val="20"/>
          <w:szCs w:val="20"/>
          <w:lang w:eastAsia="en-US"/>
        </w:rPr>
        <w:t xml:space="preserve">will be conducted as </w:t>
      </w:r>
      <w:r w:rsidRPr="00685888">
        <w:rPr>
          <w:rFonts w:ascii="Tahoma" w:eastAsia="Calibri" w:hAnsi="Tahoma" w:cs="Tahoma"/>
          <w:sz w:val="20"/>
          <w:szCs w:val="20"/>
          <w:lang w:eastAsia="en-US"/>
        </w:rPr>
        <w:t>in-person interviews</w:t>
      </w:r>
      <w:r>
        <w:rPr>
          <w:rFonts w:ascii="Tahoma" w:eastAsia="Calibri" w:hAnsi="Tahoma" w:cs="Tahoma"/>
          <w:sz w:val="20"/>
          <w:szCs w:val="20"/>
          <w:lang w:eastAsia="en-US"/>
        </w:rPr>
        <w:t xml:space="preserve">. </w:t>
      </w:r>
      <w:r w:rsidR="000C4FFE" w:rsidRPr="000C4FFE">
        <w:rPr>
          <w:rFonts w:ascii="Tahoma" w:eastAsia="Calibri" w:hAnsi="Tahoma" w:cs="Tahoma"/>
          <w:sz w:val="20"/>
          <w:szCs w:val="20"/>
          <w:lang w:eastAsia="en-US"/>
        </w:rPr>
        <w:t>Interviewees to be selected through software package associated with Computer Assisted Telephone Interviewing (CATI)</w:t>
      </w:r>
      <w:r w:rsidR="000C4FFE">
        <w:rPr>
          <w:rFonts w:ascii="Tahoma" w:eastAsia="Calibri" w:hAnsi="Tahoma" w:cs="Tahoma"/>
          <w:sz w:val="20"/>
          <w:szCs w:val="20"/>
          <w:lang w:eastAsia="en-US"/>
        </w:rPr>
        <w:t xml:space="preserve">. </w:t>
      </w:r>
      <w:r>
        <w:rPr>
          <w:rFonts w:ascii="Tahoma" w:eastAsia="Calibri" w:hAnsi="Tahoma" w:cs="Tahoma"/>
          <w:sz w:val="20"/>
          <w:szCs w:val="20"/>
          <w:lang w:eastAsia="en-US"/>
        </w:rPr>
        <w:t>O</w:t>
      </w:r>
      <w:r w:rsidRPr="00685888">
        <w:rPr>
          <w:rFonts w:ascii="Tahoma" w:eastAsia="Calibri" w:hAnsi="Tahoma" w:cs="Tahoma"/>
          <w:sz w:val="20"/>
          <w:szCs w:val="20"/>
          <w:lang w:eastAsia="en-US"/>
        </w:rPr>
        <w:t xml:space="preserve">thers could be online </w:t>
      </w:r>
      <w:r w:rsidR="000C4FFE">
        <w:rPr>
          <w:rFonts w:ascii="Tahoma" w:eastAsia="Calibri" w:hAnsi="Tahoma" w:cs="Tahoma"/>
          <w:sz w:val="20"/>
          <w:szCs w:val="20"/>
          <w:lang w:eastAsia="en-US"/>
        </w:rPr>
        <w:t>or</w:t>
      </w:r>
      <w:r w:rsidRPr="00685888">
        <w:rPr>
          <w:rFonts w:ascii="Tahoma" w:eastAsia="Calibri" w:hAnsi="Tahoma" w:cs="Tahoma"/>
          <w:sz w:val="20"/>
          <w:szCs w:val="20"/>
          <w:lang w:eastAsia="en-US"/>
        </w:rPr>
        <w:t xml:space="preserve"> by phone</w:t>
      </w:r>
      <w:r>
        <w:rPr>
          <w:rFonts w:ascii="Tahoma" w:eastAsia="Calibri" w:hAnsi="Tahoma" w:cs="Tahoma"/>
          <w:sz w:val="20"/>
          <w:szCs w:val="20"/>
          <w:lang w:eastAsia="en-US"/>
        </w:rPr>
        <w:t>. B</w:t>
      </w:r>
      <w:r w:rsidRPr="00685888">
        <w:rPr>
          <w:rFonts w:ascii="Tahoma" w:eastAsia="Calibri" w:hAnsi="Tahoma" w:cs="Tahoma"/>
          <w:sz w:val="20"/>
          <w:szCs w:val="20"/>
          <w:lang w:eastAsia="en-US"/>
        </w:rPr>
        <w:t xml:space="preserve">ack-check interviews with at least 30% of respondents </w:t>
      </w:r>
      <w:r w:rsidR="000C4FFE">
        <w:rPr>
          <w:rFonts w:ascii="Tahoma" w:eastAsia="Calibri" w:hAnsi="Tahoma" w:cs="Tahoma"/>
          <w:sz w:val="20"/>
          <w:szCs w:val="20"/>
          <w:lang w:eastAsia="en-US"/>
        </w:rPr>
        <w:t xml:space="preserve">should be also </w:t>
      </w:r>
      <w:r w:rsidRPr="00685888">
        <w:rPr>
          <w:rFonts w:ascii="Tahoma" w:eastAsia="Calibri" w:hAnsi="Tahoma" w:cs="Tahoma"/>
          <w:sz w:val="20"/>
          <w:szCs w:val="20"/>
          <w:lang w:eastAsia="en-US"/>
        </w:rPr>
        <w:t>included</w:t>
      </w:r>
      <w:r>
        <w:rPr>
          <w:rFonts w:ascii="Tahoma" w:eastAsia="Calibri" w:hAnsi="Tahoma" w:cs="Tahoma"/>
          <w:sz w:val="20"/>
          <w:szCs w:val="20"/>
          <w:lang w:eastAsia="en-US"/>
        </w:rPr>
        <w:t xml:space="preserve">. </w:t>
      </w:r>
    </w:p>
    <w:p w14:paraId="5D96BFA9" w14:textId="77777777" w:rsidR="00322061" w:rsidRPr="00EA2362" w:rsidRDefault="00322061"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3D77E59F" w14:textId="356A19B8" w:rsidR="006A1C42" w:rsidRPr="000F6065" w:rsidRDefault="00261462" w:rsidP="00261462">
      <w:pPr>
        <w:spacing w:line="276" w:lineRule="auto"/>
        <w:jc w:val="both"/>
        <w:rPr>
          <w:rFonts w:ascii="Tahoma" w:hAnsi="Tahoma" w:cs="Tahoma"/>
          <w:color w:val="000000"/>
          <w:sz w:val="20"/>
          <w:szCs w:val="20"/>
          <w:lang w:eastAsia="en-US"/>
        </w:rPr>
      </w:pPr>
      <w:r w:rsidRPr="00322061">
        <w:rPr>
          <w:rFonts w:ascii="Tahoma" w:hAnsi="Tahoma" w:cs="Tahoma"/>
          <w:color w:val="000000"/>
          <w:sz w:val="20"/>
          <w:szCs w:val="20"/>
          <w:lang w:eastAsia="en-US"/>
        </w:rPr>
        <w:t>Prices are indicated in Euros without VAT</w:t>
      </w:r>
      <w:r w:rsidRPr="00EA2362">
        <w:rPr>
          <w:rFonts w:ascii="Tahoma" w:hAnsi="Tahoma" w:cs="Tahoma"/>
          <w:color w:val="000000"/>
          <w:sz w:val="20"/>
          <w:szCs w:val="20"/>
          <w:lang w:eastAsia="en-US"/>
        </w:rPr>
        <w:t xml:space="preserve">. For the VAT regime to be mentioned on the invoice(s), please refer to Article 4.2 of the Legal Conditions (See Section C. below). </w:t>
      </w:r>
    </w:p>
    <w:p w14:paraId="58BFE52B" w14:textId="2BD21486" w:rsidR="006A1C42" w:rsidRDefault="006A1C42" w:rsidP="000F6065">
      <w:pPr>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60F59FDB" w14:textId="77777777" w:rsidR="000F6065" w:rsidRPr="000F6065" w:rsidRDefault="000F6065" w:rsidP="000F6065">
      <w:pPr>
        <w:rPr>
          <w:rFonts w:ascii="Tahoma" w:eastAsia="Calibri" w:hAnsi="Tahoma" w:cs="Tahoma"/>
          <w:b/>
          <w:sz w:val="20"/>
          <w:szCs w:val="20"/>
          <w:lang w:val="en-US" w:eastAsia="en-US"/>
        </w:rPr>
      </w:pPr>
    </w:p>
    <w:p w14:paraId="693551F8" w14:textId="3B444F66" w:rsidR="00261462" w:rsidRPr="00375BEA" w:rsidRDefault="00C025B1"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sidDel="00C025B1">
        <w:rPr>
          <w:rFonts w:ascii="Tahoma" w:hAnsi="Tahoma" w:cs="Tahoma"/>
          <w:color w:val="FF0000"/>
          <w:sz w:val="16"/>
          <w:szCs w:val="16"/>
        </w:rPr>
        <w:t xml:space="preserve"> </w:t>
      </w:r>
      <w:r w:rsidR="00261462" w:rsidRPr="00375BEA">
        <w:rPr>
          <w:rFonts w:ascii="Tahoma" w:hAnsi="Tahoma" w:cs="Tahoma"/>
          <w:color w:val="FF0000"/>
          <w:sz w:val="18"/>
          <w:szCs w:val="18"/>
        </w:rPr>
        <w:t>in the box(es) below.</w:t>
      </w:r>
    </w:p>
    <w:p w14:paraId="3D969486" w14:textId="0326058F" w:rsidR="00261462" w:rsidRPr="00EA2362" w:rsidRDefault="00261462" w:rsidP="00261462">
      <w:pPr>
        <w:spacing w:line="276" w:lineRule="auto"/>
        <w:jc w:val="both"/>
        <w:rPr>
          <w:rFonts w:ascii="Tahoma" w:hAnsi="Tahoma" w:cs="Tahoma"/>
          <w:sz w:val="18"/>
          <w:szCs w:val="18"/>
          <w:highlight w:val="yellow"/>
          <w:lang w:eastAsia="en-US"/>
        </w:rPr>
      </w:pPr>
    </w:p>
    <w:tbl>
      <w:tblPr>
        <w:tblW w:w="834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tblGrid>
      <w:tr w:rsidR="00322061" w:rsidRPr="00EA2362" w14:paraId="0166D4C8" w14:textId="77777777" w:rsidTr="00322061">
        <w:trPr>
          <w:trHeight w:val="688"/>
          <w:jc w:val="center"/>
        </w:trPr>
        <w:tc>
          <w:tcPr>
            <w:tcW w:w="5606" w:type="dxa"/>
            <w:shd w:val="clear" w:color="auto" w:fill="DBE5F1" w:themeFill="accent1" w:themeFillTint="33"/>
            <w:vAlign w:val="center"/>
          </w:tcPr>
          <w:p w14:paraId="7C25DC9A" w14:textId="77777777" w:rsidR="00322061" w:rsidRDefault="00322061"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Deliverables</w:t>
            </w:r>
          </w:p>
          <w:p w14:paraId="54CCB511" w14:textId="5F7DE778" w:rsidR="00322061" w:rsidRPr="00EA2362" w:rsidRDefault="00322061"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70" w:type="dxa"/>
            <w:shd w:val="clear" w:color="auto" w:fill="DBE5F1" w:themeFill="accent1" w:themeFillTint="33"/>
            <w:vAlign w:val="center"/>
          </w:tcPr>
          <w:p w14:paraId="4C4B2597" w14:textId="77777777" w:rsidR="00322061" w:rsidRPr="00EA2362" w:rsidRDefault="00322061"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322061" w:rsidRPr="00EA2362" w:rsidRDefault="00322061"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322061" w:rsidRPr="00EA2362" w:rsidRDefault="00322061"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322061" w:rsidRPr="00EA2362" w:rsidRDefault="00322061"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F809B7" w:rsidRPr="00EA2362" w14:paraId="20443013" w14:textId="77777777" w:rsidTr="00987498">
        <w:trPr>
          <w:trHeight w:val="432"/>
          <w:jc w:val="center"/>
        </w:trPr>
        <w:tc>
          <w:tcPr>
            <w:tcW w:w="5606" w:type="dxa"/>
            <w:shd w:val="clear" w:color="auto" w:fill="F2F2F2" w:themeFill="background1" w:themeFillShade="F2"/>
            <w:vAlign w:val="center"/>
          </w:tcPr>
          <w:p w14:paraId="0D65E2F8" w14:textId="77777777" w:rsidR="003C5C13" w:rsidRDefault="001E05B1" w:rsidP="001E05B1">
            <w:pPr>
              <w:tabs>
                <w:tab w:val="left" w:pos="6463"/>
              </w:tabs>
              <w:rPr>
                <w:rFonts w:ascii="Tahoma" w:hAnsi="Tahoma" w:cs="Tahoma"/>
                <w:sz w:val="18"/>
                <w:szCs w:val="18"/>
                <w:lang w:eastAsia="en-US"/>
              </w:rPr>
            </w:pPr>
            <w:r w:rsidRPr="003C5C13">
              <w:rPr>
                <w:rFonts w:ascii="Tahoma" w:hAnsi="Tahoma" w:cs="Tahoma"/>
                <w:b/>
                <w:bCs/>
                <w:sz w:val="18"/>
                <w:szCs w:val="18"/>
                <w:u w:val="single"/>
                <w:lang w:eastAsia="en-US"/>
              </w:rPr>
              <w:t>Deliverable 1:</w:t>
            </w:r>
            <w:r>
              <w:rPr>
                <w:rFonts w:ascii="Tahoma" w:hAnsi="Tahoma" w:cs="Tahoma"/>
                <w:sz w:val="18"/>
                <w:szCs w:val="18"/>
                <w:lang w:eastAsia="en-US"/>
              </w:rPr>
              <w:t xml:space="preserve"> A</w:t>
            </w:r>
            <w:r w:rsidR="008D0FE3">
              <w:rPr>
                <w:rFonts w:ascii="Tahoma" w:hAnsi="Tahoma" w:cs="Tahoma"/>
                <w:sz w:val="18"/>
                <w:szCs w:val="18"/>
                <w:lang w:eastAsia="en-US"/>
              </w:rPr>
              <w:t>nalytical d</w:t>
            </w:r>
            <w:r w:rsidR="008D0FE3" w:rsidRPr="008D0FE3">
              <w:rPr>
                <w:rFonts w:ascii="Tahoma" w:hAnsi="Tahoma" w:cs="Tahoma"/>
                <w:sz w:val="18"/>
                <w:szCs w:val="18"/>
                <w:lang w:eastAsia="en-US"/>
              </w:rPr>
              <w:t>ocument containing all information related to</w:t>
            </w:r>
            <w:r w:rsidR="003C5C13">
              <w:rPr>
                <w:rFonts w:ascii="Tahoma" w:hAnsi="Tahoma" w:cs="Tahoma"/>
                <w:sz w:val="18"/>
                <w:szCs w:val="18"/>
                <w:lang w:eastAsia="en-US"/>
              </w:rPr>
              <w:t>:</w:t>
            </w:r>
          </w:p>
          <w:p w14:paraId="4782627A" w14:textId="15056DC8" w:rsidR="003C5C13" w:rsidRDefault="008D0FE3" w:rsidP="003C5C13">
            <w:pPr>
              <w:pStyle w:val="ListParagraph"/>
              <w:numPr>
                <w:ilvl w:val="0"/>
                <w:numId w:val="47"/>
              </w:numPr>
              <w:tabs>
                <w:tab w:val="left" w:pos="6463"/>
              </w:tabs>
              <w:rPr>
                <w:rFonts w:ascii="Tahoma" w:hAnsi="Tahoma" w:cs="Tahoma"/>
                <w:sz w:val="18"/>
                <w:szCs w:val="18"/>
                <w:lang w:eastAsia="en-US"/>
              </w:rPr>
            </w:pPr>
            <w:r w:rsidRPr="003C5C13">
              <w:rPr>
                <w:rFonts w:ascii="Tahoma" w:hAnsi="Tahoma" w:cs="Tahoma"/>
                <w:sz w:val="18"/>
                <w:szCs w:val="18"/>
                <w:lang w:eastAsia="en-US"/>
              </w:rPr>
              <w:t>the design of sample size and composition</w:t>
            </w:r>
            <w:r w:rsidR="001E05B1" w:rsidRPr="003C5C13">
              <w:rPr>
                <w:rFonts w:ascii="Tahoma" w:hAnsi="Tahoma" w:cs="Tahoma"/>
                <w:sz w:val="18"/>
                <w:szCs w:val="18"/>
                <w:lang w:eastAsia="en-US"/>
              </w:rPr>
              <w:t>, for public perception of the Constitutional Court</w:t>
            </w:r>
            <w:r w:rsidRPr="003C5C13">
              <w:rPr>
                <w:rFonts w:ascii="Tahoma" w:hAnsi="Tahoma" w:cs="Tahoma"/>
                <w:sz w:val="18"/>
                <w:szCs w:val="18"/>
                <w:lang w:eastAsia="en-US"/>
              </w:rPr>
              <w:t xml:space="preserve"> using international</w:t>
            </w:r>
            <w:r w:rsidR="00C9400B">
              <w:rPr>
                <w:rFonts w:ascii="Tahoma" w:hAnsi="Tahoma" w:cs="Tahoma"/>
                <w:sz w:val="18"/>
                <w:szCs w:val="18"/>
                <w:lang w:eastAsia="en-US"/>
              </w:rPr>
              <w:t xml:space="preserve">ly recognised </w:t>
            </w:r>
            <w:r w:rsidRPr="003C5C13">
              <w:rPr>
                <w:rFonts w:ascii="Tahoma" w:hAnsi="Tahoma" w:cs="Tahoma"/>
                <w:sz w:val="18"/>
                <w:szCs w:val="18"/>
                <w:lang w:eastAsia="en-US"/>
              </w:rPr>
              <w:t>methodological framework relevant for the national level as agreed with project team</w:t>
            </w:r>
            <w:r w:rsidR="001E05B1" w:rsidRPr="003C5C13">
              <w:rPr>
                <w:rFonts w:ascii="Tahoma" w:hAnsi="Tahoma" w:cs="Tahoma"/>
                <w:sz w:val="18"/>
                <w:szCs w:val="18"/>
                <w:lang w:eastAsia="en-US"/>
              </w:rPr>
              <w:t>;</w:t>
            </w:r>
            <w:r w:rsidR="006B15F0">
              <w:t xml:space="preserve"> </w:t>
            </w:r>
          </w:p>
          <w:p w14:paraId="638CE8BF" w14:textId="3E15A4B8" w:rsidR="00F809B7" w:rsidRPr="003C5C13" w:rsidRDefault="003C5C13" w:rsidP="008D0FE3">
            <w:pPr>
              <w:pStyle w:val="ListParagraph"/>
              <w:numPr>
                <w:ilvl w:val="0"/>
                <w:numId w:val="47"/>
              </w:numPr>
              <w:tabs>
                <w:tab w:val="left" w:pos="6463"/>
              </w:tabs>
              <w:rPr>
                <w:rFonts w:ascii="Tahoma" w:hAnsi="Tahoma" w:cs="Tahoma"/>
                <w:sz w:val="18"/>
                <w:szCs w:val="18"/>
                <w:lang w:eastAsia="en-US"/>
              </w:rPr>
            </w:pPr>
            <w:r>
              <w:rPr>
                <w:rFonts w:ascii="Tahoma" w:hAnsi="Tahoma" w:cs="Tahoma"/>
                <w:sz w:val="18"/>
                <w:szCs w:val="18"/>
                <w:lang w:eastAsia="en-US"/>
              </w:rPr>
              <w:t>Perception S</w:t>
            </w:r>
            <w:r w:rsidR="008D0FE3" w:rsidRPr="003C5C13">
              <w:rPr>
                <w:rFonts w:ascii="Tahoma" w:hAnsi="Tahoma" w:cs="Tahoma"/>
                <w:sz w:val="18"/>
                <w:szCs w:val="18"/>
                <w:lang w:eastAsia="en-US"/>
              </w:rPr>
              <w:t xml:space="preserve">urvey </w:t>
            </w:r>
            <w:r w:rsidR="00FF0CD1">
              <w:rPr>
                <w:rFonts w:ascii="Tahoma" w:hAnsi="Tahoma" w:cs="Tahoma"/>
                <w:sz w:val="18"/>
                <w:szCs w:val="18"/>
                <w:lang w:eastAsia="en-US"/>
              </w:rPr>
              <w:t>Q</w:t>
            </w:r>
            <w:r w:rsidR="008D0FE3" w:rsidRPr="003C5C13">
              <w:rPr>
                <w:rFonts w:ascii="Tahoma" w:hAnsi="Tahoma" w:cs="Tahoma"/>
                <w:sz w:val="18"/>
                <w:szCs w:val="18"/>
                <w:lang w:eastAsia="en-US"/>
              </w:rPr>
              <w:t>uestionnai</w:t>
            </w:r>
            <w:r>
              <w:rPr>
                <w:rFonts w:ascii="Tahoma" w:hAnsi="Tahoma" w:cs="Tahoma"/>
                <w:sz w:val="18"/>
                <w:szCs w:val="18"/>
                <w:lang w:eastAsia="en-US"/>
              </w:rPr>
              <w:t>re</w:t>
            </w:r>
            <w:r w:rsidR="00163AF8">
              <w:rPr>
                <w:rFonts w:ascii="Tahoma" w:hAnsi="Tahoma" w:cs="Tahoma"/>
                <w:sz w:val="18"/>
                <w:szCs w:val="18"/>
                <w:lang w:eastAsia="en-US"/>
              </w:rPr>
              <w:t xml:space="preserve"> developed in cooperation with project team and beneficiary (review and pilot testing included)</w:t>
            </w:r>
            <w:r>
              <w:rPr>
                <w:rFonts w:ascii="Tahoma" w:hAnsi="Tahoma" w:cs="Tahoma"/>
                <w:sz w:val="18"/>
                <w:szCs w:val="18"/>
                <w:lang w:eastAsia="en-US"/>
              </w:rPr>
              <w:t xml:space="preserve"> </w:t>
            </w:r>
            <w:r w:rsidR="008D0FE3" w:rsidRPr="003C5C13">
              <w:rPr>
                <w:rFonts w:ascii="Tahoma" w:hAnsi="Tahoma" w:cs="Tahoma"/>
                <w:sz w:val="18"/>
                <w:szCs w:val="18"/>
                <w:lang w:eastAsia="en-US"/>
              </w:rPr>
              <w:tab/>
            </w:r>
          </w:p>
        </w:tc>
        <w:tc>
          <w:tcPr>
            <w:tcW w:w="1370" w:type="dxa"/>
            <w:vMerge w:val="restart"/>
            <w:tcBorders>
              <w:right w:val="single" w:sz="2" w:space="0" w:color="FF0000"/>
            </w:tcBorders>
            <w:shd w:val="clear" w:color="auto" w:fill="F2F2F2" w:themeFill="background1" w:themeFillShade="F2"/>
            <w:vAlign w:val="center"/>
          </w:tcPr>
          <w:p w14:paraId="2F2457A7" w14:textId="77777777" w:rsidR="00FF3232" w:rsidRDefault="00FF3232" w:rsidP="00261462">
            <w:pPr>
              <w:tabs>
                <w:tab w:val="left" w:pos="-139"/>
              </w:tabs>
              <w:spacing w:line="276" w:lineRule="auto"/>
              <w:ind w:right="-140"/>
              <w:jc w:val="center"/>
              <w:rPr>
                <w:rFonts w:ascii="Tahoma" w:hAnsi="Tahoma" w:cs="Tahoma"/>
                <w:sz w:val="18"/>
                <w:szCs w:val="18"/>
                <w:lang w:eastAsia="en-US"/>
              </w:rPr>
            </w:pPr>
          </w:p>
          <w:p w14:paraId="55FD51E2" w14:textId="77777777" w:rsidR="00FF3232" w:rsidRDefault="00FF3232" w:rsidP="00261462">
            <w:pPr>
              <w:tabs>
                <w:tab w:val="left" w:pos="-139"/>
              </w:tabs>
              <w:spacing w:line="276" w:lineRule="auto"/>
              <w:ind w:right="-140"/>
              <w:jc w:val="center"/>
              <w:rPr>
                <w:rFonts w:ascii="Tahoma" w:hAnsi="Tahoma" w:cs="Tahoma"/>
                <w:sz w:val="18"/>
                <w:szCs w:val="18"/>
                <w:lang w:eastAsia="en-US"/>
              </w:rPr>
            </w:pPr>
          </w:p>
          <w:p w14:paraId="78768FEB" w14:textId="77777777" w:rsidR="00975942" w:rsidRDefault="00975942" w:rsidP="00975942">
            <w:pPr>
              <w:tabs>
                <w:tab w:val="left" w:pos="-139"/>
              </w:tabs>
              <w:spacing w:line="276" w:lineRule="auto"/>
              <w:ind w:right="-140"/>
              <w:rPr>
                <w:rFonts w:ascii="Tahoma" w:hAnsi="Tahoma" w:cs="Tahoma"/>
                <w:sz w:val="18"/>
                <w:szCs w:val="18"/>
                <w:lang w:eastAsia="en-US"/>
              </w:rPr>
            </w:pPr>
          </w:p>
          <w:p w14:paraId="2B021601" w14:textId="29C15214" w:rsidR="00FF3232" w:rsidRDefault="00731E51" w:rsidP="00975942">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31</w:t>
            </w:r>
            <w:r w:rsidR="00FF3232">
              <w:rPr>
                <w:rFonts w:ascii="Tahoma" w:hAnsi="Tahoma" w:cs="Tahoma"/>
                <w:sz w:val="18"/>
                <w:szCs w:val="18"/>
                <w:lang w:eastAsia="en-US"/>
              </w:rPr>
              <w:t xml:space="preserve"> August 2024</w:t>
            </w:r>
          </w:p>
          <w:p w14:paraId="13C6388D" w14:textId="77777777" w:rsidR="00FF3232" w:rsidRDefault="00FF3232" w:rsidP="00261462">
            <w:pPr>
              <w:tabs>
                <w:tab w:val="left" w:pos="-139"/>
              </w:tabs>
              <w:spacing w:line="276" w:lineRule="auto"/>
              <w:ind w:right="-140"/>
              <w:jc w:val="center"/>
              <w:rPr>
                <w:rFonts w:ascii="Tahoma" w:hAnsi="Tahoma" w:cs="Tahoma"/>
                <w:sz w:val="18"/>
                <w:szCs w:val="18"/>
                <w:lang w:eastAsia="en-US"/>
              </w:rPr>
            </w:pPr>
          </w:p>
          <w:p w14:paraId="23539026" w14:textId="77777777" w:rsidR="00FF3232" w:rsidRDefault="00FF3232" w:rsidP="00261462">
            <w:pPr>
              <w:tabs>
                <w:tab w:val="left" w:pos="-139"/>
              </w:tabs>
              <w:spacing w:line="276" w:lineRule="auto"/>
              <w:ind w:right="-140"/>
              <w:jc w:val="center"/>
              <w:rPr>
                <w:rFonts w:ascii="Tahoma" w:hAnsi="Tahoma" w:cs="Tahoma"/>
                <w:sz w:val="18"/>
                <w:szCs w:val="18"/>
                <w:lang w:eastAsia="en-US"/>
              </w:rPr>
            </w:pPr>
          </w:p>
          <w:p w14:paraId="0B0F0D0E" w14:textId="77777777" w:rsidR="00FF3232" w:rsidRDefault="00FF3232" w:rsidP="00261462">
            <w:pPr>
              <w:tabs>
                <w:tab w:val="left" w:pos="-139"/>
              </w:tabs>
              <w:spacing w:line="276" w:lineRule="auto"/>
              <w:ind w:right="-140"/>
              <w:jc w:val="center"/>
              <w:rPr>
                <w:rFonts w:ascii="Tahoma" w:hAnsi="Tahoma" w:cs="Tahoma"/>
                <w:sz w:val="18"/>
                <w:szCs w:val="18"/>
                <w:lang w:eastAsia="en-US"/>
              </w:rPr>
            </w:pPr>
          </w:p>
          <w:p w14:paraId="1F883EBF" w14:textId="77777777" w:rsidR="00FF3232" w:rsidRDefault="00FF3232" w:rsidP="00261462">
            <w:pPr>
              <w:tabs>
                <w:tab w:val="left" w:pos="-139"/>
              </w:tabs>
              <w:spacing w:line="276" w:lineRule="auto"/>
              <w:ind w:right="-140"/>
              <w:jc w:val="center"/>
              <w:rPr>
                <w:rFonts w:ascii="Tahoma" w:hAnsi="Tahoma" w:cs="Tahoma"/>
                <w:sz w:val="18"/>
                <w:szCs w:val="18"/>
                <w:lang w:eastAsia="en-US"/>
              </w:rPr>
            </w:pPr>
          </w:p>
          <w:p w14:paraId="37998B3F" w14:textId="77777777" w:rsidR="00FF3232" w:rsidRDefault="00FF3232" w:rsidP="00261462">
            <w:pPr>
              <w:tabs>
                <w:tab w:val="left" w:pos="-139"/>
              </w:tabs>
              <w:spacing w:line="276" w:lineRule="auto"/>
              <w:ind w:right="-140"/>
              <w:jc w:val="center"/>
              <w:rPr>
                <w:rFonts w:ascii="Tahoma" w:hAnsi="Tahoma" w:cs="Tahoma"/>
                <w:sz w:val="18"/>
                <w:szCs w:val="18"/>
                <w:lang w:eastAsia="en-US"/>
              </w:rPr>
            </w:pPr>
          </w:p>
          <w:p w14:paraId="100A0AE9" w14:textId="7235E885" w:rsidR="00FF3232" w:rsidRDefault="00731E51"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15</w:t>
            </w:r>
            <w:r w:rsidRPr="000F6065">
              <w:rPr>
                <w:rFonts w:ascii="Tahoma" w:hAnsi="Tahoma" w:cs="Tahoma"/>
                <w:sz w:val="18"/>
                <w:szCs w:val="18"/>
                <w:lang w:eastAsia="en-US"/>
              </w:rPr>
              <w:t xml:space="preserve"> </w:t>
            </w:r>
            <w:r>
              <w:rPr>
                <w:rFonts w:ascii="Tahoma" w:hAnsi="Tahoma" w:cs="Tahoma"/>
                <w:sz w:val="18"/>
                <w:szCs w:val="18"/>
                <w:lang w:eastAsia="en-US"/>
              </w:rPr>
              <w:t>October</w:t>
            </w:r>
            <w:r w:rsidRPr="000F6065">
              <w:rPr>
                <w:rFonts w:ascii="Tahoma" w:hAnsi="Tahoma" w:cs="Tahoma"/>
                <w:sz w:val="18"/>
                <w:szCs w:val="18"/>
                <w:lang w:eastAsia="en-US"/>
              </w:rPr>
              <w:t xml:space="preserve"> 2024</w:t>
            </w:r>
          </w:p>
          <w:p w14:paraId="0543895C" w14:textId="77777777" w:rsidR="00FF3232" w:rsidRDefault="00FF3232" w:rsidP="00261462">
            <w:pPr>
              <w:tabs>
                <w:tab w:val="left" w:pos="-139"/>
              </w:tabs>
              <w:spacing w:line="276" w:lineRule="auto"/>
              <w:ind w:right="-140"/>
              <w:jc w:val="center"/>
              <w:rPr>
                <w:rFonts w:ascii="Tahoma" w:hAnsi="Tahoma" w:cs="Tahoma"/>
                <w:sz w:val="18"/>
                <w:szCs w:val="18"/>
                <w:lang w:eastAsia="en-US"/>
              </w:rPr>
            </w:pPr>
          </w:p>
          <w:p w14:paraId="15B8795F" w14:textId="77777777" w:rsidR="00FF3232" w:rsidRDefault="00FF3232" w:rsidP="00261462">
            <w:pPr>
              <w:tabs>
                <w:tab w:val="left" w:pos="-139"/>
              </w:tabs>
              <w:spacing w:line="276" w:lineRule="auto"/>
              <w:ind w:right="-140"/>
              <w:jc w:val="center"/>
              <w:rPr>
                <w:rFonts w:ascii="Tahoma" w:hAnsi="Tahoma" w:cs="Tahoma"/>
                <w:sz w:val="18"/>
                <w:szCs w:val="18"/>
                <w:lang w:eastAsia="en-US"/>
              </w:rPr>
            </w:pPr>
          </w:p>
          <w:p w14:paraId="78FAD714" w14:textId="77777777" w:rsidR="00FF3232" w:rsidRDefault="00FF3232" w:rsidP="00261462">
            <w:pPr>
              <w:tabs>
                <w:tab w:val="left" w:pos="-139"/>
              </w:tabs>
              <w:spacing w:line="276" w:lineRule="auto"/>
              <w:ind w:right="-140"/>
              <w:jc w:val="center"/>
              <w:rPr>
                <w:rFonts w:ascii="Tahoma" w:hAnsi="Tahoma" w:cs="Tahoma"/>
                <w:sz w:val="18"/>
                <w:szCs w:val="18"/>
                <w:lang w:eastAsia="en-US"/>
              </w:rPr>
            </w:pPr>
          </w:p>
          <w:p w14:paraId="2FC9E1AC" w14:textId="57BC3061" w:rsidR="00F809B7" w:rsidRPr="000F6065" w:rsidRDefault="00731E51" w:rsidP="00261462">
            <w:pPr>
              <w:tabs>
                <w:tab w:val="left" w:pos="-139"/>
              </w:tabs>
              <w:spacing w:line="276" w:lineRule="auto"/>
              <w:ind w:right="-140"/>
              <w:jc w:val="center"/>
              <w:rPr>
                <w:rFonts w:ascii="Tahoma" w:hAnsi="Tahoma" w:cs="Tahoma"/>
                <w:sz w:val="18"/>
                <w:szCs w:val="18"/>
              </w:rPr>
            </w:pPr>
            <w:r>
              <w:rPr>
                <w:rFonts w:ascii="Tahoma" w:hAnsi="Tahoma" w:cs="Tahoma"/>
                <w:sz w:val="18"/>
                <w:szCs w:val="18"/>
                <w:lang w:eastAsia="en-US"/>
              </w:rPr>
              <w:t>31</w:t>
            </w:r>
            <w:r w:rsidR="00F809B7" w:rsidRPr="000F6065">
              <w:rPr>
                <w:rFonts w:ascii="Tahoma" w:hAnsi="Tahoma" w:cs="Tahoma"/>
                <w:sz w:val="18"/>
                <w:szCs w:val="18"/>
                <w:lang w:eastAsia="en-US"/>
              </w:rPr>
              <w:t xml:space="preserve"> </w:t>
            </w:r>
            <w:r w:rsidR="00F809B7">
              <w:rPr>
                <w:rFonts w:ascii="Tahoma" w:hAnsi="Tahoma" w:cs="Tahoma"/>
                <w:sz w:val="18"/>
                <w:szCs w:val="18"/>
                <w:lang w:eastAsia="en-US"/>
              </w:rPr>
              <w:t>October</w:t>
            </w:r>
            <w:r w:rsidR="00F809B7" w:rsidRPr="000F6065">
              <w:rPr>
                <w:rFonts w:ascii="Tahoma" w:hAnsi="Tahoma" w:cs="Tahoma"/>
                <w:sz w:val="18"/>
                <w:szCs w:val="18"/>
                <w:lang w:eastAsia="en-US"/>
              </w:rPr>
              <w:t xml:space="preserve"> 2024</w:t>
            </w:r>
          </w:p>
        </w:tc>
        <w:tc>
          <w:tcPr>
            <w:tcW w:w="1370" w:type="dxa"/>
            <w:vMerge w:val="restart"/>
            <w:tcBorders>
              <w:top w:val="single" w:sz="2" w:space="0" w:color="FF0000"/>
              <w:left w:val="single" w:sz="2" w:space="0" w:color="FF0000"/>
              <w:right w:val="single" w:sz="2" w:space="0" w:color="FF0000"/>
            </w:tcBorders>
            <w:shd w:val="clear" w:color="auto" w:fill="FFFFFF" w:themeFill="background1"/>
            <w:vAlign w:val="center"/>
          </w:tcPr>
          <w:p w14:paraId="6EE347BE" w14:textId="77777777" w:rsidR="00F809B7" w:rsidRPr="00EA2362" w:rsidRDefault="00F809B7" w:rsidP="00261462">
            <w:pPr>
              <w:tabs>
                <w:tab w:val="left" w:pos="-139"/>
              </w:tabs>
              <w:spacing w:line="276" w:lineRule="auto"/>
              <w:ind w:right="-140"/>
              <w:jc w:val="center"/>
              <w:rPr>
                <w:rFonts w:ascii="Tahoma" w:hAnsi="Tahoma" w:cs="Tahoma"/>
                <w:sz w:val="18"/>
                <w:szCs w:val="18"/>
                <w:highlight w:val="yellow"/>
                <w:lang w:eastAsia="en-US"/>
              </w:rPr>
            </w:pPr>
          </w:p>
        </w:tc>
      </w:tr>
      <w:tr w:rsidR="00F809B7" w:rsidRPr="00EA2362" w14:paraId="6CA125F2" w14:textId="77777777" w:rsidTr="00987498">
        <w:trPr>
          <w:trHeight w:val="432"/>
          <w:jc w:val="center"/>
        </w:trPr>
        <w:tc>
          <w:tcPr>
            <w:tcW w:w="5606" w:type="dxa"/>
            <w:shd w:val="clear" w:color="auto" w:fill="F2F2F2" w:themeFill="background1" w:themeFillShade="F2"/>
            <w:vAlign w:val="center"/>
          </w:tcPr>
          <w:p w14:paraId="60FDA710" w14:textId="7AA6F61E" w:rsidR="00F809B7" w:rsidRPr="00AD01A9" w:rsidRDefault="003C5C13" w:rsidP="006B15F0">
            <w:pPr>
              <w:tabs>
                <w:tab w:val="left" w:pos="6463"/>
              </w:tabs>
              <w:rPr>
                <w:rFonts w:ascii="Tahoma" w:hAnsi="Tahoma" w:cs="Tahoma"/>
                <w:sz w:val="18"/>
                <w:szCs w:val="18"/>
              </w:rPr>
            </w:pPr>
            <w:r w:rsidRPr="003C5C13">
              <w:rPr>
                <w:rFonts w:ascii="Tahoma" w:hAnsi="Tahoma" w:cs="Tahoma"/>
                <w:b/>
                <w:bCs/>
                <w:sz w:val="18"/>
                <w:szCs w:val="18"/>
                <w:u w:val="single"/>
              </w:rPr>
              <w:lastRenderedPageBreak/>
              <w:t>Deliverable 2:</w:t>
            </w:r>
            <w:r w:rsidRPr="003C5C13">
              <w:rPr>
                <w:rFonts w:ascii="Tahoma" w:hAnsi="Tahoma" w:cs="Tahoma"/>
                <w:sz w:val="18"/>
                <w:szCs w:val="18"/>
              </w:rPr>
              <w:t xml:space="preserve"> </w:t>
            </w:r>
            <w:r w:rsidR="001E05B1" w:rsidRPr="003C5C13">
              <w:rPr>
                <w:rFonts w:ascii="Tahoma" w:hAnsi="Tahoma" w:cs="Tahoma"/>
                <w:sz w:val="18"/>
                <w:szCs w:val="18"/>
              </w:rPr>
              <w:t>D</w:t>
            </w:r>
            <w:r w:rsidR="001E05B1" w:rsidRPr="003C5C13">
              <w:rPr>
                <w:rFonts w:ascii="Tahoma" w:hAnsi="Tahoma" w:cs="Tahoma"/>
                <w:sz w:val="18"/>
                <w:szCs w:val="18"/>
                <w:lang w:eastAsia="en-US"/>
              </w:rPr>
              <w:t>istribution of questionnaires</w:t>
            </w:r>
            <w:r w:rsidR="00163AF8">
              <w:rPr>
                <w:rFonts w:ascii="Tahoma" w:hAnsi="Tahoma" w:cs="Tahoma"/>
                <w:sz w:val="18"/>
                <w:szCs w:val="18"/>
                <w:lang w:eastAsia="en-US"/>
              </w:rPr>
              <w:t xml:space="preserve"> </w:t>
            </w:r>
            <w:r w:rsidR="00056C9E">
              <w:rPr>
                <w:rFonts w:ascii="Tahoma" w:hAnsi="Tahoma" w:cs="Tahoma"/>
                <w:sz w:val="18"/>
                <w:szCs w:val="18"/>
                <w:lang w:eastAsia="en-US"/>
              </w:rPr>
              <w:t>(</w:t>
            </w:r>
            <w:r w:rsidR="006B15F0">
              <w:rPr>
                <w:rFonts w:ascii="Tahoma" w:hAnsi="Tahoma" w:cs="Tahoma"/>
                <w:sz w:val="18"/>
                <w:szCs w:val="18"/>
                <w:lang w:eastAsia="en-US"/>
              </w:rPr>
              <w:t xml:space="preserve">also </w:t>
            </w:r>
            <w:r w:rsidR="00163AF8">
              <w:rPr>
                <w:rFonts w:ascii="Tahoma" w:hAnsi="Tahoma" w:cs="Tahoma"/>
                <w:sz w:val="18"/>
                <w:szCs w:val="18"/>
                <w:lang w:eastAsia="en-US"/>
              </w:rPr>
              <w:t>encoded in relevant software</w:t>
            </w:r>
            <w:r w:rsidR="00056C9E">
              <w:rPr>
                <w:rFonts w:ascii="Tahoma" w:hAnsi="Tahoma" w:cs="Tahoma"/>
                <w:sz w:val="18"/>
                <w:szCs w:val="18"/>
                <w:lang w:eastAsia="en-US"/>
              </w:rPr>
              <w:t>)</w:t>
            </w:r>
            <w:r w:rsidR="001E05B1" w:rsidRPr="003C5C13">
              <w:rPr>
                <w:rFonts w:ascii="Tahoma" w:hAnsi="Tahoma" w:cs="Tahoma"/>
                <w:sz w:val="18"/>
                <w:szCs w:val="18"/>
                <w:lang w:eastAsia="en-US"/>
              </w:rPr>
              <w:t xml:space="preserve"> and collection of responses </w:t>
            </w:r>
            <w:r w:rsidR="001E05B1">
              <w:rPr>
                <w:rFonts w:ascii="Tahoma" w:hAnsi="Tahoma" w:cs="Tahoma"/>
                <w:sz w:val="18"/>
                <w:szCs w:val="18"/>
                <w:lang w:eastAsia="en-US"/>
              </w:rPr>
              <w:t>to be done</w:t>
            </w:r>
            <w:r w:rsidR="00F809B7" w:rsidRPr="00AD01A9">
              <w:rPr>
                <w:rFonts w:ascii="Tahoma" w:hAnsi="Tahoma" w:cs="Tahoma"/>
                <w:sz w:val="18"/>
                <w:szCs w:val="18"/>
                <w:lang w:eastAsia="en-US"/>
              </w:rPr>
              <w:t xml:space="preserve"> based on the designed sample and questionnaire</w:t>
            </w:r>
            <w:r w:rsidR="006B15F0">
              <w:rPr>
                <w:rFonts w:ascii="Tahoma" w:hAnsi="Tahoma" w:cs="Tahoma"/>
                <w:sz w:val="18"/>
                <w:szCs w:val="18"/>
                <w:lang w:eastAsia="en-US"/>
              </w:rPr>
              <w:t xml:space="preserve"> in Deliverable 1</w:t>
            </w:r>
            <w:r w:rsidR="00163AF8">
              <w:rPr>
                <w:rFonts w:ascii="Tahoma" w:hAnsi="Tahoma" w:cs="Tahoma"/>
                <w:sz w:val="18"/>
                <w:szCs w:val="18"/>
                <w:lang w:eastAsia="en-US"/>
              </w:rPr>
              <w:t xml:space="preserve">; </w:t>
            </w:r>
            <w:r w:rsidR="00056C9E">
              <w:rPr>
                <w:rFonts w:ascii="Tahoma" w:hAnsi="Tahoma" w:cs="Tahoma"/>
                <w:sz w:val="18"/>
                <w:szCs w:val="18"/>
                <w:lang w:eastAsia="en-US"/>
              </w:rPr>
              <w:t xml:space="preserve"> </w:t>
            </w:r>
          </w:p>
        </w:tc>
        <w:tc>
          <w:tcPr>
            <w:tcW w:w="1370" w:type="dxa"/>
            <w:vMerge/>
            <w:tcBorders>
              <w:right w:val="single" w:sz="2" w:space="0" w:color="FF0000"/>
            </w:tcBorders>
            <w:shd w:val="clear" w:color="auto" w:fill="F2F2F2" w:themeFill="background1" w:themeFillShade="F2"/>
            <w:vAlign w:val="center"/>
          </w:tcPr>
          <w:p w14:paraId="7DFF09AB" w14:textId="6E123F22" w:rsidR="00F809B7" w:rsidRPr="000F6065" w:rsidRDefault="00F809B7" w:rsidP="00261462">
            <w:pPr>
              <w:tabs>
                <w:tab w:val="left" w:pos="-139"/>
              </w:tabs>
              <w:spacing w:line="276" w:lineRule="auto"/>
              <w:ind w:right="-140"/>
              <w:jc w:val="center"/>
              <w:rPr>
                <w:rFonts w:ascii="Tahoma" w:hAnsi="Tahoma" w:cs="Tahoma"/>
                <w:sz w:val="18"/>
                <w:szCs w:val="18"/>
                <w:lang w:eastAsia="en-US"/>
              </w:rPr>
            </w:pPr>
          </w:p>
        </w:tc>
        <w:tc>
          <w:tcPr>
            <w:tcW w:w="1370" w:type="dxa"/>
            <w:vMerge/>
            <w:tcBorders>
              <w:left w:val="single" w:sz="2" w:space="0" w:color="FF0000"/>
              <w:right w:val="single" w:sz="2" w:space="0" w:color="FF0000"/>
            </w:tcBorders>
            <w:shd w:val="clear" w:color="auto" w:fill="FFFFFF" w:themeFill="background1"/>
            <w:vAlign w:val="center"/>
          </w:tcPr>
          <w:p w14:paraId="3C22F043" w14:textId="77777777" w:rsidR="00F809B7" w:rsidRPr="00EA2362" w:rsidRDefault="00F809B7" w:rsidP="00261462">
            <w:pPr>
              <w:tabs>
                <w:tab w:val="left" w:pos="-139"/>
              </w:tabs>
              <w:spacing w:line="276" w:lineRule="auto"/>
              <w:ind w:right="-140"/>
              <w:jc w:val="center"/>
              <w:rPr>
                <w:rFonts w:ascii="Tahoma" w:hAnsi="Tahoma" w:cs="Tahoma"/>
                <w:sz w:val="18"/>
                <w:szCs w:val="18"/>
                <w:highlight w:val="yellow"/>
                <w:lang w:eastAsia="en-US"/>
              </w:rPr>
            </w:pPr>
          </w:p>
        </w:tc>
      </w:tr>
      <w:tr w:rsidR="00F809B7" w:rsidRPr="00EA2362" w14:paraId="3DA9B33C" w14:textId="77777777" w:rsidTr="00987498">
        <w:trPr>
          <w:trHeight w:val="432"/>
          <w:jc w:val="center"/>
        </w:trPr>
        <w:tc>
          <w:tcPr>
            <w:tcW w:w="5606" w:type="dxa"/>
            <w:shd w:val="clear" w:color="auto" w:fill="F2F2F2" w:themeFill="background1" w:themeFillShade="F2"/>
            <w:vAlign w:val="center"/>
          </w:tcPr>
          <w:p w14:paraId="270433AE" w14:textId="1C5E0BDF" w:rsidR="00F809B7" w:rsidRPr="00AD01A9" w:rsidRDefault="003C5C13" w:rsidP="00AD01A9">
            <w:pPr>
              <w:tabs>
                <w:tab w:val="left" w:pos="6463"/>
              </w:tabs>
              <w:rPr>
                <w:rFonts w:ascii="Tahoma" w:hAnsi="Tahoma" w:cs="Tahoma"/>
                <w:sz w:val="18"/>
                <w:szCs w:val="18"/>
                <w:lang w:eastAsia="en-US"/>
              </w:rPr>
            </w:pPr>
            <w:r w:rsidRPr="003C5C13">
              <w:rPr>
                <w:rFonts w:ascii="Tahoma" w:hAnsi="Tahoma" w:cs="Tahoma"/>
                <w:b/>
                <w:bCs/>
                <w:sz w:val="18"/>
                <w:szCs w:val="18"/>
                <w:u w:val="single"/>
                <w:lang w:eastAsia="en-US"/>
              </w:rPr>
              <w:t>Deliverable 3:</w:t>
            </w:r>
            <w:r>
              <w:rPr>
                <w:rFonts w:ascii="Tahoma" w:hAnsi="Tahoma" w:cs="Tahoma"/>
                <w:sz w:val="18"/>
                <w:szCs w:val="18"/>
                <w:lang w:eastAsia="en-US"/>
              </w:rPr>
              <w:t xml:space="preserve"> </w:t>
            </w:r>
            <w:r w:rsidR="008D0FE3">
              <w:rPr>
                <w:rFonts w:ascii="Tahoma" w:hAnsi="Tahoma" w:cs="Tahoma"/>
                <w:sz w:val="18"/>
                <w:szCs w:val="18"/>
                <w:lang w:eastAsia="en-US"/>
              </w:rPr>
              <w:t>Comprehensive r</w:t>
            </w:r>
            <w:r w:rsidR="00F809B7" w:rsidRPr="00AD01A9">
              <w:rPr>
                <w:rFonts w:ascii="Tahoma" w:hAnsi="Tahoma" w:cs="Tahoma"/>
                <w:sz w:val="18"/>
                <w:szCs w:val="18"/>
                <w:lang w:eastAsia="en-US"/>
              </w:rPr>
              <w:t>eport that contains the following products:</w:t>
            </w:r>
          </w:p>
          <w:p w14:paraId="673F5E18" w14:textId="77777777" w:rsidR="00F809B7" w:rsidRPr="000F6065" w:rsidRDefault="00F809B7" w:rsidP="00322061">
            <w:pPr>
              <w:pStyle w:val="ListParagraph"/>
              <w:numPr>
                <w:ilvl w:val="0"/>
                <w:numId w:val="43"/>
              </w:numPr>
              <w:tabs>
                <w:tab w:val="left" w:pos="6463"/>
              </w:tabs>
              <w:rPr>
                <w:rFonts w:ascii="Tahoma" w:hAnsi="Tahoma" w:cs="Tahoma"/>
                <w:sz w:val="18"/>
                <w:szCs w:val="18"/>
              </w:rPr>
            </w:pPr>
            <w:r w:rsidRPr="000F6065">
              <w:rPr>
                <w:rFonts w:ascii="Tahoma" w:hAnsi="Tahoma" w:cs="Tahoma"/>
                <w:sz w:val="18"/>
                <w:szCs w:val="18"/>
              </w:rPr>
              <w:t>A cleaned datafile in Excel format and in SPSS format with clear coding explanations</w:t>
            </w:r>
          </w:p>
          <w:p w14:paraId="0509AE4A" w14:textId="77777777" w:rsidR="00F809B7" w:rsidRPr="000F6065" w:rsidRDefault="00F809B7" w:rsidP="00322061">
            <w:pPr>
              <w:pStyle w:val="ListParagraph"/>
              <w:numPr>
                <w:ilvl w:val="0"/>
                <w:numId w:val="43"/>
              </w:numPr>
              <w:tabs>
                <w:tab w:val="left" w:pos="6463"/>
              </w:tabs>
              <w:rPr>
                <w:rFonts w:ascii="Tahoma" w:hAnsi="Tahoma" w:cs="Tahoma"/>
                <w:sz w:val="18"/>
                <w:szCs w:val="18"/>
              </w:rPr>
            </w:pPr>
            <w:r w:rsidRPr="000F6065">
              <w:rPr>
                <w:rFonts w:ascii="Tahoma" w:hAnsi="Tahoma" w:cs="Tahoma"/>
                <w:sz w:val="18"/>
                <w:szCs w:val="18"/>
              </w:rPr>
              <w:t>Results per closed-ended question in table format and graphic format, to be defined</w:t>
            </w:r>
          </w:p>
          <w:p w14:paraId="5F70121D" w14:textId="77777777" w:rsidR="00F809B7" w:rsidRPr="000F6065" w:rsidRDefault="00F809B7" w:rsidP="00322061">
            <w:pPr>
              <w:pStyle w:val="ListParagraph"/>
              <w:numPr>
                <w:ilvl w:val="0"/>
                <w:numId w:val="43"/>
              </w:numPr>
              <w:tabs>
                <w:tab w:val="left" w:pos="6463"/>
              </w:tabs>
              <w:rPr>
                <w:rFonts w:ascii="Tahoma" w:hAnsi="Tahoma" w:cs="Tahoma"/>
                <w:sz w:val="18"/>
                <w:szCs w:val="18"/>
              </w:rPr>
            </w:pPr>
            <w:r w:rsidRPr="000F6065">
              <w:rPr>
                <w:rFonts w:ascii="Tahoma" w:hAnsi="Tahoma" w:cs="Tahoma"/>
                <w:sz w:val="18"/>
                <w:szCs w:val="18"/>
              </w:rPr>
              <w:t>Results of coded open-ended question with clear coding explanations</w:t>
            </w:r>
          </w:p>
          <w:p w14:paraId="6973DC71" w14:textId="77777777" w:rsidR="00F809B7" w:rsidRPr="000F6065" w:rsidRDefault="00F809B7" w:rsidP="00322061">
            <w:pPr>
              <w:pStyle w:val="ListParagraph"/>
              <w:numPr>
                <w:ilvl w:val="0"/>
                <w:numId w:val="43"/>
              </w:numPr>
              <w:tabs>
                <w:tab w:val="left" w:pos="6463"/>
              </w:tabs>
              <w:rPr>
                <w:rFonts w:ascii="Tahoma" w:hAnsi="Tahoma" w:cs="Tahoma"/>
                <w:sz w:val="18"/>
                <w:szCs w:val="18"/>
              </w:rPr>
            </w:pPr>
            <w:r w:rsidRPr="000F6065">
              <w:rPr>
                <w:rFonts w:ascii="Tahoma" w:hAnsi="Tahoma" w:cs="Tahoma"/>
                <w:sz w:val="18"/>
                <w:szCs w:val="18"/>
              </w:rPr>
              <w:t>Basic cross tables of some specific crossings of variables, to be defined</w:t>
            </w:r>
          </w:p>
          <w:p w14:paraId="7D39B5B6" w14:textId="47354736" w:rsidR="00F809B7" w:rsidRPr="00AD01A9" w:rsidRDefault="00F809B7" w:rsidP="00AD01A9">
            <w:pPr>
              <w:pStyle w:val="ListParagraph"/>
              <w:numPr>
                <w:ilvl w:val="0"/>
                <w:numId w:val="43"/>
              </w:numPr>
              <w:tabs>
                <w:tab w:val="left" w:pos="6463"/>
              </w:tabs>
              <w:rPr>
                <w:rFonts w:ascii="Tahoma" w:hAnsi="Tahoma" w:cs="Tahoma"/>
                <w:sz w:val="18"/>
                <w:szCs w:val="18"/>
              </w:rPr>
            </w:pPr>
            <w:r w:rsidRPr="000F6065">
              <w:rPr>
                <w:rFonts w:ascii="Tahoma" w:hAnsi="Tahoma" w:cs="Tahoma"/>
                <w:sz w:val="18"/>
                <w:szCs w:val="18"/>
              </w:rPr>
              <w:t>Response analysis (analysis of the bruto and netto samples)</w:t>
            </w:r>
          </w:p>
        </w:tc>
        <w:tc>
          <w:tcPr>
            <w:tcW w:w="1370" w:type="dxa"/>
            <w:vMerge/>
            <w:tcBorders>
              <w:right w:val="single" w:sz="2" w:space="0" w:color="FF0000"/>
            </w:tcBorders>
            <w:shd w:val="clear" w:color="auto" w:fill="F2F2F2" w:themeFill="background1" w:themeFillShade="F2"/>
            <w:vAlign w:val="center"/>
          </w:tcPr>
          <w:p w14:paraId="29FD109D" w14:textId="749F0E9A" w:rsidR="00F809B7" w:rsidRPr="000F6065" w:rsidRDefault="00F809B7" w:rsidP="00261462">
            <w:pPr>
              <w:tabs>
                <w:tab w:val="left" w:pos="-139"/>
              </w:tabs>
              <w:spacing w:line="276" w:lineRule="auto"/>
              <w:ind w:right="-140"/>
              <w:jc w:val="center"/>
              <w:rPr>
                <w:rFonts w:ascii="Tahoma" w:hAnsi="Tahoma" w:cs="Tahoma"/>
                <w:sz w:val="18"/>
                <w:szCs w:val="18"/>
                <w:lang w:eastAsia="en-US"/>
              </w:rPr>
            </w:pPr>
          </w:p>
        </w:tc>
        <w:tc>
          <w:tcPr>
            <w:tcW w:w="1370" w:type="dxa"/>
            <w:vMerge/>
            <w:tcBorders>
              <w:left w:val="single" w:sz="2" w:space="0" w:color="FF0000"/>
              <w:bottom w:val="single" w:sz="2" w:space="0" w:color="FF0000"/>
              <w:right w:val="single" w:sz="2" w:space="0" w:color="FF0000"/>
            </w:tcBorders>
            <w:shd w:val="clear" w:color="auto" w:fill="FFFFFF" w:themeFill="background1"/>
            <w:vAlign w:val="center"/>
          </w:tcPr>
          <w:p w14:paraId="6C73167F" w14:textId="77777777" w:rsidR="00F809B7" w:rsidRPr="00EA2362" w:rsidRDefault="00F809B7" w:rsidP="00261462">
            <w:pPr>
              <w:tabs>
                <w:tab w:val="left" w:pos="-139"/>
              </w:tabs>
              <w:spacing w:line="276" w:lineRule="auto"/>
              <w:ind w:right="-140"/>
              <w:jc w:val="center"/>
              <w:rPr>
                <w:rFonts w:ascii="Tahoma" w:hAnsi="Tahoma" w:cs="Tahoma"/>
                <w:sz w:val="18"/>
                <w:szCs w:val="18"/>
                <w:highlight w:val="yellow"/>
                <w:lang w:eastAsia="en-US"/>
              </w:rPr>
            </w:pPr>
          </w:p>
        </w:tc>
      </w:tr>
      <w:tr w:rsidR="00322061" w:rsidRPr="00EA2362" w14:paraId="1564909A" w14:textId="77777777" w:rsidTr="00322061">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322061" w:rsidRPr="00EA2362" w:rsidRDefault="00322061"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322061" w:rsidRPr="00EA2362" w:rsidRDefault="00322061" w:rsidP="00261462">
            <w:pPr>
              <w:tabs>
                <w:tab w:val="left" w:pos="-139"/>
              </w:tabs>
              <w:spacing w:line="276" w:lineRule="auto"/>
              <w:ind w:right="-140"/>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37416BC8" w:rsidR="009A6460" w:rsidRPr="00A674BF" w:rsidRDefault="00A674BF" w:rsidP="00A674BF">
      <w:pPr>
        <w:numPr>
          <w:ilvl w:val="0"/>
          <w:numId w:val="2"/>
        </w:numPr>
        <w:tabs>
          <w:tab w:val="left" w:pos="0"/>
        </w:tabs>
        <w:ind w:left="0" w:hanging="142"/>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7869EB6" w14:textId="6ADC4131"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730C755" w14:textId="77777777" w:rsidR="00AD01A9" w:rsidRPr="00322061" w:rsidRDefault="00EF7F5D" w:rsidP="00EF7F5D">
      <w:pPr>
        <w:numPr>
          <w:ilvl w:val="0"/>
          <w:numId w:val="2"/>
        </w:numPr>
        <w:tabs>
          <w:tab w:val="left" w:pos="0"/>
        </w:tabs>
        <w:ind w:left="0" w:hanging="142"/>
        <w:jc w:val="both"/>
        <w:rPr>
          <w:rFonts w:ascii="Tahoma" w:hAnsi="Tahoma" w:cs="Tahoma"/>
          <w:sz w:val="20"/>
          <w:szCs w:val="20"/>
        </w:rPr>
      </w:pPr>
      <w:r w:rsidRPr="00322061">
        <w:rPr>
          <w:rFonts w:ascii="Tahoma" w:hAnsi="Tahoma" w:cs="Tahoma"/>
          <w:sz w:val="20"/>
          <w:szCs w:val="20"/>
        </w:rPr>
        <w:t>D</w:t>
      </w:r>
      <w:r w:rsidR="000F0280" w:rsidRPr="00322061">
        <w:rPr>
          <w:rFonts w:ascii="Tahoma" w:hAnsi="Tahoma" w:cs="Tahoma"/>
          <w:sz w:val="20"/>
          <w:szCs w:val="20"/>
        </w:rPr>
        <w:t>eclare that I am not a retired Council of Europe staff member or a Council of Europe staff member having benefitted from an early departure scheme;</w:t>
      </w:r>
    </w:p>
    <w:p w14:paraId="1EBDECC3" w14:textId="2AA7B218" w:rsidR="00EF7F5D" w:rsidRPr="00322061" w:rsidRDefault="00EF7F5D" w:rsidP="00EF7F5D">
      <w:pPr>
        <w:numPr>
          <w:ilvl w:val="0"/>
          <w:numId w:val="2"/>
        </w:numPr>
        <w:tabs>
          <w:tab w:val="left" w:pos="0"/>
        </w:tabs>
        <w:ind w:left="0" w:hanging="142"/>
        <w:jc w:val="both"/>
        <w:rPr>
          <w:rFonts w:ascii="Tahoma" w:hAnsi="Tahoma" w:cs="Tahoma"/>
          <w:sz w:val="20"/>
          <w:szCs w:val="20"/>
        </w:rPr>
      </w:pPr>
      <w:r w:rsidRPr="00322061">
        <w:rPr>
          <w:rFonts w:ascii="Tahoma" w:hAnsi="Tahoma" w:cs="Tahoma"/>
          <w:sz w:val="20"/>
          <w:szCs w:val="20"/>
          <w:lang w:val="en-US"/>
        </w:rPr>
        <w:t>[Declare that, in the previous three years, neither I, nor the Provider I represent, ha</w:t>
      </w:r>
      <w:r w:rsidR="00A674BF" w:rsidRPr="00322061">
        <w:rPr>
          <w:rFonts w:ascii="Tahoma" w:hAnsi="Tahoma" w:cs="Tahoma"/>
          <w:sz w:val="20"/>
          <w:szCs w:val="20"/>
          <w:lang w:val="en-US"/>
        </w:rPr>
        <w:t>ve</w:t>
      </w:r>
      <w:r w:rsidRPr="00322061">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322061">
        <w:rPr>
          <w:rFonts w:ascii="Tahoma" w:hAnsi="Tahoma" w:cs="Tahoma"/>
          <w:sz w:val="20"/>
          <w:szCs w:val="20"/>
        </w:rPr>
        <w:t>Undertake to update the Council with significant information changes within a reasonable time.</w:t>
      </w:r>
      <w:r w:rsidRPr="00EA2362">
        <w:rPr>
          <w:rFonts w:ascii="Tahoma" w:hAnsi="Tahoma" w:cs="Tahoma"/>
          <w:sz w:val="20"/>
          <w:szCs w:val="20"/>
        </w:rPr>
        <w:t xml:space="preserve"> Significant information changes include, but are not limited to change of legal status, ownership, name and address, loss of licence of registration, filing bankruptcy, suspension or debarment by any national or local governmental agency or assimilated;</w:t>
      </w:r>
    </w:p>
    <w:p w14:paraId="0218A125" w14:textId="3418B819" w:rsidR="00374142" w:rsidRPr="00AD01A9" w:rsidRDefault="009A6460" w:rsidP="00374142">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2CF6AB94" w:rsidR="009A6460" w:rsidRPr="00375BEA" w:rsidRDefault="00FF5621" w:rsidP="00374142">
            <w:pPr>
              <w:rPr>
                <w:rFonts w:ascii="Tahoma" w:hAnsi="Tahoma" w:cs="Tahoma"/>
                <w:b/>
                <w:sz w:val="20"/>
                <w:szCs w:val="20"/>
              </w:rPr>
            </w:pPr>
            <w:bookmarkStart w:id="0"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0"/>
            <w:r>
              <w:rPr>
                <w:rFonts w:ascii="Tahoma" w:hAnsi="Tahoma" w:cs="Tahoma"/>
                <w:color w:val="FF0000"/>
                <w:sz w:val="18"/>
                <w:szCs w:val="18"/>
              </w:rPr>
              <w:t xml:space="preserve"> (See Tender File Section F)</w:t>
            </w:r>
            <w:r w:rsidR="009A6460" w:rsidRPr="000F0280">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96708"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375BEA">
              <w:rPr>
                <w:rFonts w:ascii="Tahoma" w:hAnsi="Tahoma" w:cs="Tahoma"/>
                <w:sz w:val="16"/>
                <w:szCs w:val="16"/>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286A46">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286A46">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57B13B76" w14:textId="77777777" w:rsidR="009A6460" w:rsidRDefault="009A6460" w:rsidP="00FC7772">
            <w:pPr>
              <w:rPr>
                <w:rFonts w:ascii="Tahoma" w:hAnsi="Tahoma" w:cs="Tahoma"/>
                <w:sz w:val="20"/>
                <w:szCs w:val="20"/>
              </w:rPr>
            </w:pPr>
          </w:p>
          <w:p w14:paraId="39951958" w14:textId="77777777" w:rsidR="00D94AEA" w:rsidRDefault="00D94AEA" w:rsidP="00FC7772">
            <w:pPr>
              <w:rPr>
                <w:rFonts w:ascii="Tahoma" w:hAnsi="Tahoma" w:cs="Tahoma"/>
                <w:sz w:val="20"/>
                <w:szCs w:val="20"/>
              </w:rPr>
            </w:pPr>
          </w:p>
          <w:p w14:paraId="3EF03A3A" w14:textId="77777777" w:rsidR="00D94AEA" w:rsidRDefault="00D94AEA" w:rsidP="00FC7772">
            <w:pPr>
              <w:rPr>
                <w:rFonts w:ascii="Tahoma" w:hAnsi="Tahoma" w:cs="Tahoma"/>
                <w:sz w:val="20"/>
                <w:szCs w:val="20"/>
              </w:rPr>
            </w:pPr>
          </w:p>
          <w:p w14:paraId="32136F9E" w14:textId="77777777" w:rsidR="00D94AEA" w:rsidRDefault="00D94AEA" w:rsidP="00FC7772">
            <w:pPr>
              <w:rPr>
                <w:rFonts w:ascii="Tahoma" w:hAnsi="Tahoma" w:cs="Tahoma"/>
                <w:sz w:val="20"/>
                <w:szCs w:val="20"/>
              </w:rPr>
            </w:pPr>
          </w:p>
          <w:p w14:paraId="5B8F2AE1" w14:textId="77777777" w:rsidR="00D94AEA" w:rsidRDefault="00D94AEA" w:rsidP="00FC7772">
            <w:pPr>
              <w:rPr>
                <w:rFonts w:ascii="Tahoma" w:hAnsi="Tahoma" w:cs="Tahoma"/>
                <w:sz w:val="20"/>
                <w:szCs w:val="20"/>
              </w:rPr>
            </w:pPr>
          </w:p>
          <w:p w14:paraId="50903FD7" w14:textId="77777777" w:rsidR="00D94AEA" w:rsidRDefault="00D94AEA" w:rsidP="00FC7772">
            <w:pPr>
              <w:rPr>
                <w:rFonts w:ascii="Tahoma" w:hAnsi="Tahoma" w:cs="Tahoma"/>
                <w:sz w:val="20"/>
                <w:szCs w:val="20"/>
              </w:rPr>
            </w:pPr>
          </w:p>
          <w:p w14:paraId="6EC8F7D4" w14:textId="77777777" w:rsidR="00D94AEA" w:rsidRDefault="00D94AEA" w:rsidP="00FC7772">
            <w:pPr>
              <w:rPr>
                <w:rFonts w:ascii="Tahoma" w:hAnsi="Tahoma" w:cs="Tahoma"/>
                <w:sz w:val="20"/>
                <w:szCs w:val="20"/>
              </w:rPr>
            </w:pPr>
          </w:p>
          <w:p w14:paraId="4273D966" w14:textId="77777777" w:rsidR="00D94AEA" w:rsidRDefault="00D94AEA" w:rsidP="00FC7772">
            <w:pPr>
              <w:rPr>
                <w:rFonts w:ascii="Tahoma" w:hAnsi="Tahoma" w:cs="Tahoma"/>
                <w:sz w:val="20"/>
                <w:szCs w:val="20"/>
              </w:rPr>
            </w:pPr>
          </w:p>
          <w:p w14:paraId="3CD47B68" w14:textId="77777777" w:rsidR="00D94AEA" w:rsidRDefault="00D94AEA" w:rsidP="00FC7772">
            <w:pPr>
              <w:rPr>
                <w:rFonts w:ascii="Tahoma" w:hAnsi="Tahoma" w:cs="Tahoma"/>
                <w:sz w:val="20"/>
                <w:szCs w:val="20"/>
              </w:rPr>
            </w:pPr>
          </w:p>
          <w:p w14:paraId="134BCECD" w14:textId="77777777" w:rsidR="00D94AEA" w:rsidRDefault="00D94AEA" w:rsidP="00FC7772">
            <w:pPr>
              <w:rPr>
                <w:rFonts w:ascii="Tahoma" w:hAnsi="Tahoma" w:cs="Tahoma"/>
                <w:sz w:val="20"/>
                <w:szCs w:val="20"/>
              </w:rPr>
            </w:pPr>
          </w:p>
          <w:p w14:paraId="3A31E76F" w14:textId="77777777" w:rsidR="00D94AEA" w:rsidRDefault="00D94AEA" w:rsidP="00FC7772">
            <w:pPr>
              <w:rPr>
                <w:rFonts w:ascii="Tahoma" w:hAnsi="Tahoma" w:cs="Tahoma"/>
                <w:sz w:val="20"/>
                <w:szCs w:val="20"/>
              </w:rPr>
            </w:pPr>
          </w:p>
          <w:p w14:paraId="370746A3" w14:textId="77777777" w:rsidR="00D94AEA" w:rsidRDefault="00D94AEA" w:rsidP="00FC7772">
            <w:pPr>
              <w:rPr>
                <w:rFonts w:ascii="Tahoma" w:hAnsi="Tahoma" w:cs="Tahoma"/>
                <w:sz w:val="20"/>
                <w:szCs w:val="20"/>
              </w:rPr>
            </w:pPr>
          </w:p>
          <w:p w14:paraId="4D093173" w14:textId="77777777" w:rsidR="00D94AEA" w:rsidRDefault="00D94AEA" w:rsidP="00FC7772">
            <w:pPr>
              <w:rPr>
                <w:rFonts w:ascii="Tahoma" w:hAnsi="Tahoma" w:cs="Tahoma"/>
                <w:sz w:val="20"/>
                <w:szCs w:val="20"/>
              </w:rPr>
            </w:pPr>
          </w:p>
          <w:p w14:paraId="3EF0EBF4" w14:textId="77777777" w:rsidR="00D94AEA" w:rsidRDefault="00D94AEA" w:rsidP="00FC7772">
            <w:pPr>
              <w:rPr>
                <w:rFonts w:ascii="Tahoma" w:hAnsi="Tahoma" w:cs="Tahoma"/>
                <w:sz w:val="20"/>
                <w:szCs w:val="20"/>
              </w:rPr>
            </w:pPr>
          </w:p>
          <w:p w14:paraId="6D935B14" w14:textId="77777777" w:rsidR="00D94AEA" w:rsidRDefault="00D94AEA" w:rsidP="00FC7772">
            <w:pPr>
              <w:rPr>
                <w:rFonts w:ascii="Tahoma" w:hAnsi="Tahoma" w:cs="Tahoma"/>
                <w:sz w:val="20"/>
                <w:szCs w:val="20"/>
              </w:rPr>
            </w:pPr>
          </w:p>
          <w:p w14:paraId="7D43E3DB" w14:textId="3B98BCE4" w:rsidR="00D94AEA" w:rsidRPr="00EA2362" w:rsidRDefault="00D94AEA"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D94AEA" w:rsidRPr="000D371D" w14:paraId="51F18D2B"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85FE56E" w14:textId="77777777" w:rsidR="00D94AEA" w:rsidRPr="000D371D" w:rsidRDefault="00D94AEA"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D94AEA" w:rsidRPr="000D371D" w14:paraId="7082A6D6"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AC18D27" w14:textId="77777777" w:rsidR="00D94AEA" w:rsidRPr="000D371D" w:rsidRDefault="00D94AEA"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E50E58A" w14:textId="2C0F7816" w:rsidR="00D94AEA" w:rsidRPr="000D371D" w:rsidRDefault="00322061" w:rsidP="00073D9C">
            <w:pPr>
              <w:rPr>
                <w:rFonts w:ascii="Tahoma" w:eastAsia="Calibri" w:hAnsi="Tahoma" w:cs="Tahoma"/>
                <w:b/>
                <w:bCs/>
                <w:sz w:val="17"/>
                <w:szCs w:val="17"/>
                <w:lang w:eastAsia="en-US"/>
              </w:rPr>
            </w:pPr>
            <w:r>
              <w:rPr>
                <w:rFonts w:ascii="Tahoma" w:eastAsia="Calibri" w:hAnsi="Tahoma" w:cs="Tahoma"/>
                <w:b/>
                <w:bCs/>
                <w:sz w:val="17"/>
                <w:szCs w:val="17"/>
                <w:lang w:eastAsia="en-US"/>
              </w:rPr>
              <w:t>Council of Europe Office in Pristina, Bedri Pejani Street No. 17-18</w:t>
            </w:r>
          </w:p>
        </w:tc>
      </w:tr>
      <w:tr w:rsidR="00D94AEA" w:rsidRPr="000D371D" w14:paraId="2C548F65"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47596D"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3E83D6" w14:textId="77777777" w:rsidR="00D94AEA" w:rsidRPr="000D371D" w:rsidRDefault="00D94AEA"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D94AEA" w:rsidRPr="000D371D" w14:paraId="0AA0C330"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0DE9B0" w14:textId="3F58F030" w:rsidR="00D94AEA" w:rsidRPr="000D371D" w:rsidRDefault="00322061" w:rsidP="00073D9C">
            <w:pPr>
              <w:jc w:val="center"/>
              <w:rPr>
                <w:rFonts w:ascii="Tahoma" w:eastAsia="Calibri" w:hAnsi="Tahoma" w:cs="Tahoma"/>
                <w:sz w:val="24"/>
                <w:szCs w:val="24"/>
                <w:lang w:val="en-US" w:eastAsia="en-US"/>
              </w:rPr>
            </w:pPr>
            <w:r>
              <w:rPr>
                <w:rFonts w:ascii="MS UI Gothic" w:eastAsia="MS UI Gothic" w:hAnsi="MS UI Gothic" w:cs="MS UI Gothic" w:hint="eastAsia"/>
                <w:sz w:val="24"/>
                <w:szCs w:val="24"/>
                <w:lang w:val="en-US" w:eastAsia="en-US"/>
              </w:rPr>
              <w:t>x</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7CAD02B" w14:textId="77777777" w:rsidR="00D94AEA" w:rsidRPr="000D371D" w:rsidRDefault="00D94AEA"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D94AEA" w:rsidRPr="000D371D" w14:paraId="5C23607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6CB971"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A12F5F2"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4723335"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D94AEA" w:rsidRPr="000D371D" w14:paraId="2C9C4EBE"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391BA2"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E60499" w14:textId="77777777" w:rsidR="00D94AEA" w:rsidRDefault="00D94AEA" w:rsidP="00073D9C">
            <w:pPr>
              <w:rPr>
                <w:rFonts w:ascii="Tahoma" w:eastAsia="Calibri" w:hAnsi="Tahoma" w:cs="Tahoma"/>
                <w:sz w:val="17"/>
                <w:szCs w:val="17"/>
                <w:lang w:eastAsia="en-US"/>
              </w:rPr>
            </w:pPr>
          </w:p>
          <w:p w14:paraId="6C4B26E3"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1A1FD358" w14:textId="77777777" w:rsidR="00D94AEA" w:rsidRPr="000D371D" w:rsidRDefault="00D94AEA" w:rsidP="00073D9C">
            <w:pPr>
              <w:rPr>
                <w:rFonts w:ascii="Tahoma" w:eastAsia="Calibri" w:hAnsi="Tahoma" w:cs="Tahoma"/>
                <w:sz w:val="17"/>
                <w:szCs w:val="17"/>
                <w:lang w:eastAsia="en-US"/>
              </w:rPr>
            </w:pPr>
          </w:p>
          <w:p w14:paraId="51FB9AA1"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3C67ED27" w14:textId="77777777" w:rsidR="00D94AEA" w:rsidRDefault="00D94AEA" w:rsidP="00073D9C">
            <w:pPr>
              <w:rPr>
                <w:rFonts w:ascii="Tahoma" w:eastAsia="Calibri" w:hAnsi="Tahoma" w:cs="Tahoma"/>
                <w:sz w:val="17"/>
                <w:szCs w:val="17"/>
                <w:lang w:eastAsia="en-US"/>
              </w:rPr>
            </w:pPr>
          </w:p>
          <w:p w14:paraId="7A01C2C3" w14:textId="77777777" w:rsidR="00D94AEA" w:rsidRPr="00216918" w:rsidRDefault="00D94AEA"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3099ABA0" w14:textId="77777777" w:rsidR="00D94AEA" w:rsidRDefault="00D94AEA" w:rsidP="00073D9C">
            <w:pPr>
              <w:rPr>
                <w:rFonts w:ascii="Tahoma" w:eastAsia="Calibri" w:hAnsi="Tahoma" w:cs="Tahoma"/>
                <w:sz w:val="17"/>
                <w:szCs w:val="17"/>
                <w:lang w:eastAsia="en-US"/>
              </w:rPr>
            </w:pPr>
          </w:p>
          <w:p w14:paraId="1259EB79" w14:textId="77777777" w:rsidR="00D94AEA" w:rsidRPr="00C42AFF" w:rsidRDefault="00D94AEA"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EAB4C56" w14:textId="77777777" w:rsidR="00D94AEA" w:rsidRPr="000D371D" w:rsidRDefault="00D94AEA" w:rsidP="00073D9C">
            <w:pPr>
              <w:rPr>
                <w:rFonts w:ascii="Tahoma" w:eastAsia="Calibri" w:hAnsi="Tahoma" w:cs="Tahoma"/>
                <w:sz w:val="17"/>
                <w:szCs w:val="17"/>
              </w:rPr>
            </w:pPr>
          </w:p>
        </w:tc>
      </w:tr>
      <w:tr w:rsidR="00D94AEA" w:rsidRPr="000D371D" w14:paraId="7BFF2506"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859E27" w14:textId="77777777" w:rsidR="00D94AEA" w:rsidRPr="000D371D"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810EA74" w14:textId="77777777" w:rsidR="00D94AEA" w:rsidRPr="000D371D" w:rsidRDefault="00D94AEA" w:rsidP="00073D9C">
            <w:pPr>
              <w:rPr>
                <w:rFonts w:ascii="Tahoma" w:eastAsia="Calibri" w:hAnsi="Tahoma" w:cs="Tahoma"/>
                <w:sz w:val="17"/>
                <w:szCs w:val="17"/>
                <w:lang w:eastAsia="en-US"/>
              </w:rPr>
            </w:pPr>
          </w:p>
        </w:tc>
      </w:tr>
      <w:tr w:rsidR="00D94AEA" w:rsidRPr="000D371D" w14:paraId="55ABC86E"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63C62ED" w14:textId="77777777" w:rsidR="00D94AEA" w:rsidRPr="000D371D" w:rsidRDefault="00D94AEA"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bookmarkStart w:id="1" w:name="_Toc179868643"/>
    </w:p>
    <w:bookmarkEnd w:id="1"/>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1BC420B5" w:rsidR="005920E6" w:rsidRPr="00BB507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BB5076">
        <w:rPr>
          <w:rFonts w:ascii="Tahoma" w:eastAsia="Calibri" w:hAnsi="Tahoma" w:cs="Tahoma"/>
          <w:sz w:val="18"/>
          <w:szCs w:val="18"/>
          <w:lang w:eastAsia="en-US"/>
        </w:rPr>
        <w:t xml:space="preserve">; </w:t>
      </w:r>
    </w:p>
    <w:p w14:paraId="4E2785EC" w14:textId="3B103B6B" w:rsidR="00BB5076" w:rsidRDefault="00BB5076"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78C4384E" w14:textId="3BC727FC" w:rsidR="00BB5076" w:rsidRPr="001D5CF8" w:rsidRDefault="00BB5076"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2"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D6EABC3" w14:textId="39C011C3" w:rsidR="005F7814" w:rsidRDefault="005F7814" w:rsidP="005920E6">
      <w:pPr>
        <w:tabs>
          <w:tab w:val="left" w:pos="284"/>
        </w:tabs>
        <w:spacing w:after="60"/>
        <w:contextualSpacing/>
        <w:jc w:val="both"/>
        <w:rPr>
          <w:rFonts w:ascii="Tahoma" w:eastAsia="Calibri" w:hAnsi="Tahoma" w:cs="Tahoma"/>
          <w:sz w:val="18"/>
          <w:szCs w:val="18"/>
        </w:rPr>
      </w:pPr>
    </w:p>
    <w:p w14:paraId="187628FA"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285B9EDD" w14:textId="77777777" w:rsidR="00426BDB" w:rsidRPr="009F7987" w:rsidRDefault="00426BDB"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3" w:name="_Hlk102060581"/>
      <w:r w:rsidRPr="009F7987">
        <w:rPr>
          <w:rFonts w:ascii="Tahoma" w:hAnsi="Tahoma" w:cs="Tahoma"/>
          <w:b/>
          <w:color w:val="365F91"/>
          <w:sz w:val="18"/>
          <w:szCs w:val="18"/>
          <w:u w:val="single"/>
          <w:lang w:eastAsia="fr-FR"/>
        </w:rPr>
        <w:t>4.2 VAT</w:t>
      </w:r>
    </w:p>
    <w:p w14:paraId="5DEA3D01" w14:textId="77777777" w:rsid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E333C75"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EA34054"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270E98D" w14:textId="18D1D269" w:rsidR="00426BDB" w:rsidRP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3"/>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5" w:name="_Hlk62556333"/>
      <w:r>
        <w:rPr>
          <w:rFonts w:ascii="Tahoma" w:hAnsi="Tahoma" w:cs="Tahoma"/>
          <w:sz w:val="18"/>
          <w:szCs w:val="18"/>
          <w:lang w:eastAsia="fr-FR"/>
        </w:rPr>
        <w:t xml:space="preserve">        </w:t>
      </w:r>
      <w:r w:rsidRPr="00ED301C">
        <w:rPr>
          <w:rFonts w:ascii="Tahoma" w:hAnsi="Tahoma" w:cs="Tahoma"/>
          <w:sz w:val="18"/>
          <w:szCs w:val="18"/>
          <w:lang w:eastAsia="fr-FR"/>
        </w:rPr>
        <w:t>In the event that: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665FA46F" w:rsidR="005920E6" w:rsidRPr="005F7814" w:rsidRDefault="005F7814"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the Council may consider there to have been a breach of contract and may consequently refuse to pay to the Provider the amounts referred to in Article 4.1 and Article 4.4 above.</w:t>
      </w:r>
      <w:bookmarkEnd w:id="5"/>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61759"/>
      <w:bookmarkStart w:id="10"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monitor that the Deliverables are carried out timely and properly, in accordance with the terms of the contract;</w:t>
      </w:r>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request and review any documents or information required by the Council and verify their completeness and correctness before passing them on to the Council;</w:t>
      </w:r>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the Deliverables to the Council in accordance with the timing and terms of the contract;</w:t>
      </w:r>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9"/>
    </w:p>
    <w:bookmarkEnd w:id="10"/>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C3A429B"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7219FFD5"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8"/>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78DAD0"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2"/>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31C10" w14:textId="77777777" w:rsidR="008F2E6E" w:rsidRDefault="008F2E6E" w:rsidP="00D50F13">
      <w:r>
        <w:separator/>
      </w:r>
    </w:p>
  </w:endnote>
  <w:endnote w:type="continuationSeparator" w:id="0">
    <w:p w14:paraId="04FBB43D" w14:textId="77777777" w:rsidR="008F2E6E" w:rsidRDefault="008F2E6E" w:rsidP="00D50F13">
      <w:r>
        <w:continuationSeparator/>
      </w:r>
    </w:p>
  </w:endnote>
  <w:endnote w:type="continuationNotice" w:id="1">
    <w:p w14:paraId="3BDE52BB" w14:textId="77777777" w:rsidR="008F2E6E" w:rsidRDefault="008F2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0DF0CB05" w:rsidR="00F96680" w:rsidRPr="00AE2D2B" w:rsidRDefault="00322061" w:rsidP="00FC7772">
          <w:pPr>
            <w:rPr>
              <w:rFonts w:ascii="Arial Narrow" w:hAnsi="Arial Narrow"/>
              <w:caps/>
              <w:color w:val="000000"/>
              <w:sz w:val="18"/>
              <w:szCs w:val="18"/>
              <w:highlight w:val="cyan"/>
            </w:rPr>
          </w:pPr>
          <w:r w:rsidRPr="00D97822">
            <w:rPr>
              <w:rFonts w:ascii="Tahoma" w:hAnsi="Tahoma" w:cs="Tahoma"/>
              <w:caps/>
              <w:color w:val="000000" w:themeColor="text1"/>
              <w:sz w:val="18"/>
              <w:szCs w:val="18"/>
            </w:rPr>
            <w:t>BH9</w:t>
          </w:r>
          <w:r w:rsidR="00A937F0">
            <w:rPr>
              <w:rFonts w:ascii="Tahoma" w:hAnsi="Tahoma" w:cs="Tahoma"/>
              <w:caps/>
              <w:color w:val="000000" w:themeColor="text1"/>
              <w:sz w:val="18"/>
              <w:szCs w:val="18"/>
            </w:rPr>
            <w:t>196</w:t>
          </w:r>
          <w:r w:rsidRPr="00D97822">
            <w:rPr>
              <w:rFonts w:ascii="Tahoma" w:hAnsi="Tahoma" w:cs="Tahoma"/>
              <w:caps/>
              <w:color w:val="000000" w:themeColor="text1"/>
              <w:sz w:val="18"/>
              <w:szCs w:val="18"/>
            </w:rPr>
            <w:t>/</w:t>
          </w:r>
          <w:r w:rsidR="00F809B7">
            <w:rPr>
              <w:rFonts w:ascii="Tahoma" w:hAnsi="Tahoma" w:cs="Tahoma"/>
              <w:caps/>
              <w:color w:val="000000" w:themeColor="text1"/>
              <w:sz w:val="18"/>
              <w:szCs w:val="18"/>
            </w:rPr>
            <w:t>19</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0A07A" w14:textId="77777777" w:rsidR="008F2E6E" w:rsidRDefault="008F2E6E" w:rsidP="00D50F13">
      <w:r>
        <w:separator/>
      </w:r>
    </w:p>
  </w:footnote>
  <w:footnote w:type="continuationSeparator" w:id="0">
    <w:p w14:paraId="47809671" w14:textId="77777777" w:rsidR="008F2E6E" w:rsidRDefault="008F2E6E" w:rsidP="00D50F13">
      <w:r>
        <w:continuationSeparator/>
      </w:r>
    </w:p>
  </w:footnote>
  <w:footnote w:type="continuationNotice" w:id="1">
    <w:p w14:paraId="5F0DD75C" w14:textId="77777777" w:rsidR="008F2E6E" w:rsidRDefault="008F2E6E"/>
  </w:footnote>
  <w:footnote w:id="2">
    <w:p w14:paraId="4CF465B4" w14:textId="37C15939" w:rsidR="00F96680" w:rsidRPr="00672E5D" w:rsidRDefault="00F96680" w:rsidP="00261462">
      <w:pPr>
        <w:pStyle w:val="FootnoteText"/>
        <w:rPr>
          <w:rFonts w:ascii="Tahoma" w:hAnsi="Tahoma" w:cs="Tahoma"/>
          <w:sz w:val="18"/>
          <w:szCs w:val="18"/>
        </w:rPr>
      </w:pPr>
      <w:r w:rsidRPr="00672E5D">
        <w:rPr>
          <w:rStyle w:val="FootnoteReference"/>
          <w:rFonts w:ascii="Tahoma" w:hAnsi="Tahoma" w:cs="Tahoma"/>
          <w:sz w:val="18"/>
          <w:szCs w:val="18"/>
        </w:rPr>
        <w:footnoteRef/>
      </w:r>
      <w:r w:rsidRPr="00672E5D">
        <w:rPr>
          <w:rFonts w:ascii="Tahoma" w:hAnsi="Tahoma" w:cs="Tahoma"/>
          <w:sz w:val="18"/>
          <w:szCs w:val="18"/>
        </w:rPr>
        <w:t xml:space="preserve"> </w:t>
      </w:r>
      <w:r w:rsidR="00323EF2" w:rsidRPr="00672E5D">
        <w:rPr>
          <w:rFonts w:ascii="Tahoma" w:hAnsi="Tahoma" w:cs="Tahoma"/>
          <w:sz w:val="18"/>
          <w:szCs w:val="18"/>
          <w:lang w:val="en-US"/>
        </w:rPr>
        <w:t>Council of Europe headquarters:</w:t>
      </w:r>
      <w:r w:rsidRPr="00672E5D">
        <w:rPr>
          <w:rFonts w:ascii="Tahoma" w:hAnsi="Tahoma" w:cs="Tahoma"/>
          <w:sz w:val="18"/>
          <w:szCs w:val="18"/>
        </w:rPr>
        <w:t xml:space="preserve"> A</w:t>
      </w:r>
      <w:r w:rsidR="00042C08" w:rsidRPr="00672E5D">
        <w:rPr>
          <w:rFonts w:ascii="Tahoma" w:hAnsi="Tahoma" w:cs="Tahoma"/>
          <w:sz w:val="18"/>
          <w:szCs w:val="18"/>
        </w:rPr>
        <w:t>venue</w:t>
      </w:r>
      <w:r w:rsidRPr="00672E5D">
        <w:rPr>
          <w:rFonts w:ascii="Tahoma" w:hAnsi="Tahoma" w:cs="Tahoma"/>
          <w:sz w:val="18"/>
          <w:szCs w:val="18"/>
        </w:rPr>
        <w:t xml:space="preserve"> de l’Europe, </w:t>
      </w:r>
      <w:r w:rsidR="00E72188" w:rsidRPr="00672E5D">
        <w:rPr>
          <w:rFonts w:ascii="Tahoma" w:hAnsi="Tahoma" w:cs="Tahoma"/>
          <w:sz w:val="18"/>
          <w:szCs w:val="18"/>
        </w:rPr>
        <w:t>F-</w:t>
      </w:r>
      <w:r w:rsidRPr="00672E5D">
        <w:rPr>
          <w:rFonts w:ascii="Tahoma" w:hAnsi="Tahoma" w:cs="Tahoma"/>
          <w:sz w:val="18"/>
          <w:szCs w:val="18"/>
        </w:rPr>
        <w:t>67075 Strasbourg Cedex, France</w:t>
      </w:r>
    </w:p>
  </w:footnote>
  <w:footnote w:id="3">
    <w:p w14:paraId="2D6A9193" w14:textId="6337D522" w:rsidR="00194EDC" w:rsidRPr="00194EDC" w:rsidRDefault="00194EDC">
      <w:pPr>
        <w:pStyle w:val="FootnoteText"/>
        <w:rPr>
          <w:rFonts w:ascii="Tahoma" w:hAnsi="Tahoma" w:cs="Tahoma"/>
          <w:sz w:val="18"/>
          <w:szCs w:val="18"/>
        </w:rPr>
      </w:pPr>
      <w:r w:rsidRPr="00672E5D">
        <w:rPr>
          <w:rStyle w:val="FootnoteReference"/>
          <w:rFonts w:ascii="Tahoma" w:hAnsi="Tahoma" w:cs="Tahoma"/>
          <w:sz w:val="18"/>
          <w:szCs w:val="18"/>
        </w:rPr>
        <w:footnoteRef/>
      </w:r>
      <w:r w:rsidRPr="00672E5D">
        <w:rPr>
          <w:rFonts w:ascii="Tahoma" w:hAnsi="Tahoma" w:cs="Tahoma"/>
          <w:sz w:val="18"/>
          <w:szCs w:val="18"/>
        </w:rPr>
        <w:t xml:space="preserve"> The Council of Europe reserves the right to request documentary evidence.</w:t>
      </w:r>
    </w:p>
  </w:footnote>
  <w:footnote w:id="4">
    <w:p w14:paraId="73BAE27E" w14:textId="77777777" w:rsidR="005920E6" w:rsidRPr="0043265A" w:rsidRDefault="005920E6"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CM/Del/Dec(2010)1089/11.3 appendix 9 </w:t>
      </w:r>
      <w:hyperlink r:id="rId1" w:history="1">
        <w:r w:rsidRPr="0043265A">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34121"/>
    <w:multiLevelType w:val="hybridMultilevel"/>
    <w:tmpl w:val="C276C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223342"/>
    <w:multiLevelType w:val="hybridMultilevel"/>
    <w:tmpl w:val="87B4A7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B654ACE"/>
    <w:multiLevelType w:val="hybridMultilevel"/>
    <w:tmpl w:val="ECFE816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3427AEF"/>
    <w:multiLevelType w:val="hybridMultilevel"/>
    <w:tmpl w:val="054EFF86"/>
    <w:lvl w:ilvl="0" w:tplc="040C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9550EB8"/>
    <w:multiLevelType w:val="hybridMultilevel"/>
    <w:tmpl w:val="BC4C5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372904"/>
    <w:multiLevelType w:val="hybridMultilevel"/>
    <w:tmpl w:val="E4CC1210"/>
    <w:lvl w:ilvl="0" w:tplc="F05CB0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830563264">
    <w:abstractNumId w:val="43"/>
  </w:num>
  <w:num w:numId="2" w16cid:durableId="219244891">
    <w:abstractNumId w:val="44"/>
  </w:num>
  <w:num w:numId="3" w16cid:durableId="361129269">
    <w:abstractNumId w:val="2"/>
  </w:num>
  <w:num w:numId="4" w16cid:durableId="648750776">
    <w:abstractNumId w:val="28"/>
  </w:num>
  <w:num w:numId="5" w16cid:durableId="875579155">
    <w:abstractNumId w:val="1"/>
  </w:num>
  <w:num w:numId="6" w16cid:durableId="1572346761">
    <w:abstractNumId w:val="46"/>
  </w:num>
  <w:num w:numId="7" w16cid:durableId="534122090">
    <w:abstractNumId w:val="12"/>
  </w:num>
  <w:num w:numId="8" w16cid:durableId="932975666">
    <w:abstractNumId w:val="31"/>
  </w:num>
  <w:num w:numId="9" w16cid:durableId="964459740">
    <w:abstractNumId w:val="24"/>
  </w:num>
  <w:num w:numId="10" w16cid:durableId="1682119249">
    <w:abstractNumId w:val="39"/>
  </w:num>
  <w:num w:numId="11" w16cid:durableId="502359890">
    <w:abstractNumId w:val="20"/>
  </w:num>
  <w:num w:numId="12" w16cid:durableId="7215654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915013">
    <w:abstractNumId w:val="16"/>
  </w:num>
  <w:num w:numId="14" w16cid:durableId="1467505179">
    <w:abstractNumId w:val="22"/>
  </w:num>
  <w:num w:numId="15" w16cid:durableId="1628662115">
    <w:abstractNumId w:val="36"/>
  </w:num>
  <w:num w:numId="16" w16cid:durableId="1394154213">
    <w:abstractNumId w:val="13"/>
  </w:num>
  <w:num w:numId="17" w16cid:durableId="244732411">
    <w:abstractNumId w:val="37"/>
  </w:num>
  <w:num w:numId="18" w16cid:durableId="638265831">
    <w:abstractNumId w:val="0"/>
  </w:num>
  <w:num w:numId="19" w16cid:durableId="2124837627">
    <w:abstractNumId w:val="18"/>
  </w:num>
  <w:num w:numId="20" w16cid:durableId="80417891">
    <w:abstractNumId w:val="27"/>
  </w:num>
  <w:num w:numId="21" w16cid:durableId="376199772">
    <w:abstractNumId w:val="42"/>
  </w:num>
  <w:num w:numId="22" w16cid:durableId="520322283">
    <w:abstractNumId w:val="7"/>
  </w:num>
  <w:num w:numId="23" w16cid:durableId="1698311367">
    <w:abstractNumId w:val="41"/>
  </w:num>
  <w:num w:numId="24" w16cid:durableId="2166349">
    <w:abstractNumId w:val="33"/>
  </w:num>
  <w:num w:numId="25" w16cid:durableId="1014697170">
    <w:abstractNumId w:val="23"/>
  </w:num>
  <w:num w:numId="26" w16cid:durableId="1197111504">
    <w:abstractNumId w:val="19"/>
  </w:num>
  <w:num w:numId="27" w16cid:durableId="1652980945">
    <w:abstractNumId w:val="4"/>
  </w:num>
  <w:num w:numId="28" w16cid:durableId="991328407">
    <w:abstractNumId w:val="17"/>
  </w:num>
  <w:num w:numId="29" w16cid:durableId="803503082">
    <w:abstractNumId w:val="8"/>
  </w:num>
  <w:num w:numId="30" w16cid:durableId="1277561533">
    <w:abstractNumId w:val="6"/>
  </w:num>
  <w:num w:numId="31" w16cid:durableId="1901597300">
    <w:abstractNumId w:val="38"/>
  </w:num>
  <w:num w:numId="32" w16cid:durableId="1499535529">
    <w:abstractNumId w:val="29"/>
  </w:num>
  <w:num w:numId="33" w16cid:durableId="1685786547">
    <w:abstractNumId w:val="9"/>
  </w:num>
  <w:num w:numId="34" w16cid:durableId="227692858">
    <w:abstractNumId w:val="45"/>
  </w:num>
  <w:num w:numId="35" w16cid:durableId="900212238">
    <w:abstractNumId w:val="11"/>
  </w:num>
  <w:num w:numId="36" w16cid:durableId="1448083865">
    <w:abstractNumId w:val="34"/>
  </w:num>
  <w:num w:numId="37" w16cid:durableId="1902981825">
    <w:abstractNumId w:val="3"/>
  </w:num>
  <w:num w:numId="38" w16cid:durableId="1545486295">
    <w:abstractNumId w:val="35"/>
  </w:num>
  <w:num w:numId="39" w16cid:durableId="1159535704">
    <w:abstractNumId w:val="32"/>
  </w:num>
  <w:num w:numId="40" w16cid:durableId="1328558699">
    <w:abstractNumId w:val="5"/>
  </w:num>
  <w:num w:numId="41" w16cid:durableId="1043943359">
    <w:abstractNumId w:val="30"/>
  </w:num>
  <w:num w:numId="42" w16cid:durableId="1538817637">
    <w:abstractNumId w:val="14"/>
  </w:num>
  <w:num w:numId="43" w16cid:durableId="354231854">
    <w:abstractNumId w:val="21"/>
  </w:num>
  <w:num w:numId="44" w16cid:durableId="486214091">
    <w:abstractNumId w:val="25"/>
  </w:num>
  <w:num w:numId="45" w16cid:durableId="30691207">
    <w:abstractNumId w:val="15"/>
  </w:num>
  <w:num w:numId="46" w16cid:durableId="1387296694">
    <w:abstractNumId w:val="10"/>
  </w:num>
  <w:num w:numId="47" w16cid:durableId="1227715721">
    <w:abstractNumId w:val="40"/>
  </w:num>
  <w:num w:numId="48" w16cid:durableId="843973820">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D79"/>
    <w:rsid w:val="00007AEB"/>
    <w:rsid w:val="00007C19"/>
    <w:rsid w:val="0001537A"/>
    <w:rsid w:val="00023D4C"/>
    <w:rsid w:val="00037A7D"/>
    <w:rsid w:val="0004179C"/>
    <w:rsid w:val="00042C08"/>
    <w:rsid w:val="000478B8"/>
    <w:rsid w:val="00056C9E"/>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4FFE"/>
    <w:rsid w:val="000C6FA6"/>
    <w:rsid w:val="000E0285"/>
    <w:rsid w:val="000E0562"/>
    <w:rsid w:val="000E1C99"/>
    <w:rsid w:val="000E2871"/>
    <w:rsid w:val="000E59DC"/>
    <w:rsid w:val="000E5DF5"/>
    <w:rsid w:val="000F0280"/>
    <w:rsid w:val="000F08A5"/>
    <w:rsid w:val="000F1520"/>
    <w:rsid w:val="000F18A2"/>
    <w:rsid w:val="000F3067"/>
    <w:rsid w:val="000F3487"/>
    <w:rsid w:val="000F3CB2"/>
    <w:rsid w:val="000F6065"/>
    <w:rsid w:val="00111194"/>
    <w:rsid w:val="00113108"/>
    <w:rsid w:val="0011556A"/>
    <w:rsid w:val="00123D90"/>
    <w:rsid w:val="00126183"/>
    <w:rsid w:val="0012667B"/>
    <w:rsid w:val="00126BDD"/>
    <w:rsid w:val="0012748F"/>
    <w:rsid w:val="00127AB4"/>
    <w:rsid w:val="001359BE"/>
    <w:rsid w:val="00150C0F"/>
    <w:rsid w:val="00160002"/>
    <w:rsid w:val="0016172B"/>
    <w:rsid w:val="00163AF8"/>
    <w:rsid w:val="00163DF5"/>
    <w:rsid w:val="001666FE"/>
    <w:rsid w:val="00182FB2"/>
    <w:rsid w:val="00183E4D"/>
    <w:rsid w:val="0019283C"/>
    <w:rsid w:val="00194446"/>
    <w:rsid w:val="00194EDC"/>
    <w:rsid w:val="001A207E"/>
    <w:rsid w:val="001A5371"/>
    <w:rsid w:val="001A77F3"/>
    <w:rsid w:val="001B0127"/>
    <w:rsid w:val="001B138A"/>
    <w:rsid w:val="001C4BA2"/>
    <w:rsid w:val="001C5064"/>
    <w:rsid w:val="001C6878"/>
    <w:rsid w:val="001D40AD"/>
    <w:rsid w:val="001D5926"/>
    <w:rsid w:val="001E05B1"/>
    <w:rsid w:val="001E5424"/>
    <w:rsid w:val="001F5A87"/>
    <w:rsid w:val="001F69FC"/>
    <w:rsid w:val="002019A5"/>
    <w:rsid w:val="00202926"/>
    <w:rsid w:val="00206F03"/>
    <w:rsid w:val="00212B69"/>
    <w:rsid w:val="00213B7C"/>
    <w:rsid w:val="002211F3"/>
    <w:rsid w:val="00224D6D"/>
    <w:rsid w:val="00225B0D"/>
    <w:rsid w:val="00226241"/>
    <w:rsid w:val="0023030E"/>
    <w:rsid w:val="002336A0"/>
    <w:rsid w:val="002370A9"/>
    <w:rsid w:val="0024057A"/>
    <w:rsid w:val="00251355"/>
    <w:rsid w:val="00254F20"/>
    <w:rsid w:val="00255320"/>
    <w:rsid w:val="00261462"/>
    <w:rsid w:val="00273B5A"/>
    <w:rsid w:val="00274D7C"/>
    <w:rsid w:val="002805F8"/>
    <w:rsid w:val="00286A46"/>
    <w:rsid w:val="00290EAC"/>
    <w:rsid w:val="00293BC2"/>
    <w:rsid w:val="00293CBB"/>
    <w:rsid w:val="002948F1"/>
    <w:rsid w:val="002A2C42"/>
    <w:rsid w:val="002A56A1"/>
    <w:rsid w:val="002B4786"/>
    <w:rsid w:val="002C6F98"/>
    <w:rsid w:val="002D29CE"/>
    <w:rsid w:val="002D5425"/>
    <w:rsid w:val="002D5DC0"/>
    <w:rsid w:val="002E5606"/>
    <w:rsid w:val="002E5B9C"/>
    <w:rsid w:val="002F384D"/>
    <w:rsid w:val="00300098"/>
    <w:rsid w:val="00305CCD"/>
    <w:rsid w:val="003117F0"/>
    <w:rsid w:val="003120F1"/>
    <w:rsid w:val="00317013"/>
    <w:rsid w:val="003171F7"/>
    <w:rsid w:val="00320711"/>
    <w:rsid w:val="0032149F"/>
    <w:rsid w:val="00322061"/>
    <w:rsid w:val="00323EF2"/>
    <w:rsid w:val="00332AF4"/>
    <w:rsid w:val="00344E9C"/>
    <w:rsid w:val="0034681E"/>
    <w:rsid w:val="00350F4E"/>
    <w:rsid w:val="0035108E"/>
    <w:rsid w:val="00355DF5"/>
    <w:rsid w:val="003603A8"/>
    <w:rsid w:val="003712F2"/>
    <w:rsid w:val="00373C8A"/>
    <w:rsid w:val="00374142"/>
    <w:rsid w:val="00375BEA"/>
    <w:rsid w:val="00376FF0"/>
    <w:rsid w:val="00384F85"/>
    <w:rsid w:val="00386026"/>
    <w:rsid w:val="0039258A"/>
    <w:rsid w:val="00394B2C"/>
    <w:rsid w:val="003A2018"/>
    <w:rsid w:val="003A3501"/>
    <w:rsid w:val="003A4524"/>
    <w:rsid w:val="003A5AA7"/>
    <w:rsid w:val="003A5E16"/>
    <w:rsid w:val="003A7529"/>
    <w:rsid w:val="003A7E1D"/>
    <w:rsid w:val="003B1C2E"/>
    <w:rsid w:val="003B2E7E"/>
    <w:rsid w:val="003B4F53"/>
    <w:rsid w:val="003C1D13"/>
    <w:rsid w:val="003C5C13"/>
    <w:rsid w:val="003E0A41"/>
    <w:rsid w:val="003E2D84"/>
    <w:rsid w:val="003E6D30"/>
    <w:rsid w:val="003E7010"/>
    <w:rsid w:val="003F2594"/>
    <w:rsid w:val="003F5956"/>
    <w:rsid w:val="003F7D5B"/>
    <w:rsid w:val="00411D3E"/>
    <w:rsid w:val="004121E2"/>
    <w:rsid w:val="004122A5"/>
    <w:rsid w:val="0041668A"/>
    <w:rsid w:val="0041704D"/>
    <w:rsid w:val="00420CCA"/>
    <w:rsid w:val="00420E9A"/>
    <w:rsid w:val="00426BDB"/>
    <w:rsid w:val="0043265A"/>
    <w:rsid w:val="0043746B"/>
    <w:rsid w:val="00437926"/>
    <w:rsid w:val="00441D52"/>
    <w:rsid w:val="004470B4"/>
    <w:rsid w:val="00453769"/>
    <w:rsid w:val="00454D25"/>
    <w:rsid w:val="0046469D"/>
    <w:rsid w:val="004845C7"/>
    <w:rsid w:val="004859D2"/>
    <w:rsid w:val="004874F6"/>
    <w:rsid w:val="00487967"/>
    <w:rsid w:val="00490018"/>
    <w:rsid w:val="00491013"/>
    <w:rsid w:val="00491417"/>
    <w:rsid w:val="00494998"/>
    <w:rsid w:val="00494C86"/>
    <w:rsid w:val="00495856"/>
    <w:rsid w:val="004A017C"/>
    <w:rsid w:val="004A7AE3"/>
    <w:rsid w:val="004B0F2D"/>
    <w:rsid w:val="004B2022"/>
    <w:rsid w:val="004B3F9D"/>
    <w:rsid w:val="004B7473"/>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5FF1"/>
    <w:rsid w:val="00567F3E"/>
    <w:rsid w:val="0058109F"/>
    <w:rsid w:val="005845C2"/>
    <w:rsid w:val="005920E6"/>
    <w:rsid w:val="005A1721"/>
    <w:rsid w:val="005A22F8"/>
    <w:rsid w:val="005A6974"/>
    <w:rsid w:val="005B0078"/>
    <w:rsid w:val="005B0752"/>
    <w:rsid w:val="005B733C"/>
    <w:rsid w:val="005B7F25"/>
    <w:rsid w:val="005C0BFC"/>
    <w:rsid w:val="005C65E0"/>
    <w:rsid w:val="005D5924"/>
    <w:rsid w:val="005E2710"/>
    <w:rsid w:val="005E44E8"/>
    <w:rsid w:val="005E5D75"/>
    <w:rsid w:val="005F37BF"/>
    <w:rsid w:val="005F7814"/>
    <w:rsid w:val="00603878"/>
    <w:rsid w:val="00613313"/>
    <w:rsid w:val="006218FA"/>
    <w:rsid w:val="006232B4"/>
    <w:rsid w:val="00631B57"/>
    <w:rsid w:val="00632E31"/>
    <w:rsid w:val="006426F7"/>
    <w:rsid w:val="006436A1"/>
    <w:rsid w:val="00647C28"/>
    <w:rsid w:val="00647D98"/>
    <w:rsid w:val="00653BB6"/>
    <w:rsid w:val="00654D22"/>
    <w:rsid w:val="006550CA"/>
    <w:rsid w:val="006558F9"/>
    <w:rsid w:val="00660256"/>
    <w:rsid w:val="00660AB4"/>
    <w:rsid w:val="00662182"/>
    <w:rsid w:val="006717A7"/>
    <w:rsid w:val="00672E5D"/>
    <w:rsid w:val="0067529C"/>
    <w:rsid w:val="00680325"/>
    <w:rsid w:val="00681751"/>
    <w:rsid w:val="00682F97"/>
    <w:rsid w:val="00685888"/>
    <w:rsid w:val="00687D63"/>
    <w:rsid w:val="006912CB"/>
    <w:rsid w:val="006A1C42"/>
    <w:rsid w:val="006A51F8"/>
    <w:rsid w:val="006A7F07"/>
    <w:rsid w:val="006B0045"/>
    <w:rsid w:val="006B15F0"/>
    <w:rsid w:val="006B2D7D"/>
    <w:rsid w:val="006B71A1"/>
    <w:rsid w:val="006C7D58"/>
    <w:rsid w:val="006D00AF"/>
    <w:rsid w:val="006D3613"/>
    <w:rsid w:val="006D78F7"/>
    <w:rsid w:val="006E09FC"/>
    <w:rsid w:val="00711683"/>
    <w:rsid w:val="00714D53"/>
    <w:rsid w:val="00724107"/>
    <w:rsid w:val="00731E51"/>
    <w:rsid w:val="00734E93"/>
    <w:rsid w:val="00740755"/>
    <w:rsid w:val="007434E5"/>
    <w:rsid w:val="00743F00"/>
    <w:rsid w:val="00747ADB"/>
    <w:rsid w:val="00751959"/>
    <w:rsid w:val="007556CC"/>
    <w:rsid w:val="00762290"/>
    <w:rsid w:val="007638C0"/>
    <w:rsid w:val="00775FB5"/>
    <w:rsid w:val="007867C0"/>
    <w:rsid w:val="00791E04"/>
    <w:rsid w:val="007943AA"/>
    <w:rsid w:val="00794F30"/>
    <w:rsid w:val="007A0154"/>
    <w:rsid w:val="007A533C"/>
    <w:rsid w:val="007A7766"/>
    <w:rsid w:val="007B0925"/>
    <w:rsid w:val="007C19FF"/>
    <w:rsid w:val="007C267B"/>
    <w:rsid w:val="007C4BED"/>
    <w:rsid w:val="007D0BC9"/>
    <w:rsid w:val="007D37FA"/>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377F"/>
    <w:rsid w:val="00840C1E"/>
    <w:rsid w:val="008435DD"/>
    <w:rsid w:val="0084387C"/>
    <w:rsid w:val="00844DD8"/>
    <w:rsid w:val="00845F72"/>
    <w:rsid w:val="00860FEB"/>
    <w:rsid w:val="008628C7"/>
    <w:rsid w:val="008679F0"/>
    <w:rsid w:val="00873212"/>
    <w:rsid w:val="008756B1"/>
    <w:rsid w:val="00883C2D"/>
    <w:rsid w:val="00887B2A"/>
    <w:rsid w:val="00891CAA"/>
    <w:rsid w:val="00892D73"/>
    <w:rsid w:val="00896DA8"/>
    <w:rsid w:val="008A486B"/>
    <w:rsid w:val="008B03FE"/>
    <w:rsid w:val="008B2DB7"/>
    <w:rsid w:val="008B3EEE"/>
    <w:rsid w:val="008B4982"/>
    <w:rsid w:val="008B6FDD"/>
    <w:rsid w:val="008D0FE3"/>
    <w:rsid w:val="008D113B"/>
    <w:rsid w:val="008D11EA"/>
    <w:rsid w:val="008D3220"/>
    <w:rsid w:val="008D519F"/>
    <w:rsid w:val="008E4275"/>
    <w:rsid w:val="008E55CB"/>
    <w:rsid w:val="008E56BB"/>
    <w:rsid w:val="008F2DBD"/>
    <w:rsid w:val="008F2E6E"/>
    <w:rsid w:val="008F3844"/>
    <w:rsid w:val="008F3D21"/>
    <w:rsid w:val="008F3EA2"/>
    <w:rsid w:val="00904B93"/>
    <w:rsid w:val="009058FD"/>
    <w:rsid w:val="00905C45"/>
    <w:rsid w:val="00913B81"/>
    <w:rsid w:val="00914C3E"/>
    <w:rsid w:val="0091729C"/>
    <w:rsid w:val="009214B5"/>
    <w:rsid w:val="009245DB"/>
    <w:rsid w:val="00932425"/>
    <w:rsid w:val="009365EB"/>
    <w:rsid w:val="009461D5"/>
    <w:rsid w:val="0095095F"/>
    <w:rsid w:val="00951BB3"/>
    <w:rsid w:val="00956F45"/>
    <w:rsid w:val="00960D1E"/>
    <w:rsid w:val="00972222"/>
    <w:rsid w:val="00973EF1"/>
    <w:rsid w:val="00975942"/>
    <w:rsid w:val="00990987"/>
    <w:rsid w:val="00992761"/>
    <w:rsid w:val="00995C0C"/>
    <w:rsid w:val="009A100B"/>
    <w:rsid w:val="009A5B27"/>
    <w:rsid w:val="009A6460"/>
    <w:rsid w:val="009B76BE"/>
    <w:rsid w:val="009C04E7"/>
    <w:rsid w:val="009D175B"/>
    <w:rsid w:val="009D290D"/>
    <w:rsid w:val="009E2400"/>
    <w:rsid w:val="009E4346"/>
    <w:rsid w:val="009E55DF"/>
    <w:rsid w:val="009E7590"/>
    <w:rsid w:val="009F32D6"/>
    <w:rsid w:val="009F49A6"/>
    <w:rsid w:val="009F7FF4"/>
    <w:rsid w:val="00A00374"/>
    <w:rsid w:val="00A01BC9"/>
    <w:rsid w:val="00A045AD"/>
    <w:rsid w:val="00A04E44"/>
    <w:rsid w:val="00A11470"/>
    <w:rsid w:val="00A12241"/>
    <w:rsid w:val="00A26A5F"/>
    <w:rsid w:val="00A30FC9"/>
    <w:rsid w:val="00A34538"/>
    <w:rsid w:val="00A40899"/>
    <w:rsid w:val="00A46D6A"/>
    <w:rsid w:val="00A51EDA"/>
    <w:rsid w:val="00A52FA2"/>
    <w:rsid w:val="00A535BA"/>
    <w:rsid w:val="00A53BF2"/>
    <w:rsid w:val="00A661EC"/>
    <w:rsid w:val="00A674BF"/>
    <w:rsid w:val="00A675CC"/>
    <w:rsid w:val="00A801EB"/>
    <w:rsid w:val="00A8461F"/>
    <w:rsid w:val="00A85379"/>
    <w:rsid w:val="00A937F0"/>
    <w:rsid w:val="00A96A37"/>
    <w:rsid w:val="00AA1957"/>
    <w:rsid w:val="00AA7B01"/>
    <w:rsid w:val="00AB03AB"/>
    <w:rsid w:val="00AB13EF"/>
    <w:rsid w:val="00AC08D9"/>
    <w:rsid w:val="00AD01A9"/>
    <w:rsid w:val="00AD1176"/>
    <w:rsid w:val="00AD33C7"/>
    <w:rsid w:val="00AD40CD"/>
    <w:rsid w:val="00AD423A"/>
    <w:rsid w:val="00AD58AA"/>
    <w:rsid w:val="00AD5E4A"/>
    <w:rsid w:val="00AE2A99"/>
    <w:rsid w:val="00AE5507"/>
    <w:rsid w:val="00B018FC"/>
    <w:rsid w:val="00B11F35"/>
    <w:rsid w:val="00B14BC3"/>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67FAF"/>
    <w:rsid w:val="00B7067D"/>
    <w:rsid w:val="00B72357"/>
    <w:rsid w:val="00B74B45"/>
    <w:rsid w:val="00B74DC5"/>
    <w:rsid w:val="00BA0D1F"/>
    <w:rsid w:val="00BA1F2A"/>
    <w:rsid w:val="00BA355F"/>
    <w:rsid w:val="00BA535D"/>
    <w:rsid w:val="00BB11AE"/>
    <w:rsid w:val="00BB5076"/>
    <w:rsid w:val="00BB66CF"/>
    <w:rsid w:val="00BC56E5"/>
    <w:rsid w:val="00BC7984"/>
    <w:rsid w:val="00BE33D8"/>
    <w:rsid w:val="00BE43B2"/>
    <w:rsid w:val="00BE4FE4"/>
    <w:rsid w:val="00BE7C83"/>
    <w:rsid w:val="00C025B1"/>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6C3B"/>
    <w:rsid w:val="00C57EAD"/>
    <w:rsid w:val="00C62DFA"/>
    <w:rsid w:val="00C674A5"/>
    <w:rsid w:val="00C7643B"/>
    <w:rsid w:val="00C8260C"/>
    <w:rsid w:val="00C8439C"/>
    <w:rsid w:val="00C8528A"/>
    <w:rsid w:val="00C865A7"/>
    <w:rsid w:val="00C908CB"/>
    <w:rsid w:val="00C9400B"/>
    <w:rsid w:val="00CA4416"/>
    <w:rsid w:val="00CA533A"/>
    <w:rsid w:val="00CA6E6F"/>
    <w:rsid w:val="00CB5C26"/>
    <w:rsid w:val="00CD061B"/>
    <w:rsid w:val="00CD0677"/>
    <w:rsid w:val="00CD22FC"/>
    <w:rsid w:val="00CD7AE3"/>
    <w:rsid w:val="00CE0F61"/>
    <w:rsid w:val="00CE1ACB"/>
    <w:rsid w:val="00CE4E5E"/>
    <w:rsid w:val="00CE58F8"/>
    <w:rsid w:val="00CF6538"/>
    <w:rsid w:val="00D04381"/>
    <w:rsid w:val="00D10FC0"/>
    <w:rsid w:val="00D14044"/>
    <w:rsid w:val="00D225E4"/>
    <w:rsid w:val="00D237A7"/>
    <w:rsid w:val="00D322CA"/>
    <w:rsid w:val="00D32C12"/>
    <w:rsid w:val="00D34C9B"/>
    <w:rsid w:val="00D417C2"/>
    <w:rsid w:val="00D47F70"/>
    <w:rsid w:val="00D50229"/>
    <w:rsid w:val="00D50F13"/>
    <w:rsid w:val="00D51502"/>
    <w:rsid w:val="00D52157"/>
    <w:rsid w:val="00D5513E"/>
    <w:rsid w:val="00D65C3C"/>
    <w:rsid w:val="00D73100"/>
    <w:rsid w:val="00D90F8E"/>
    <w:rsid w:val="00D949C9"/>
    <w:rsid w:val="00D94AEA"/>
    <w:rsid w:val="00D97822"/>
    <w:rsid w:val="00DC11A1"/>
    <w:rsid w:val="00DD5282"/>
    <w:rsid w:val="00DE0239"/>
    <w:rsid w:val="00DE24D6"/>
    <w:rsid w:val="00DF57FB"/>
    <w:rsid w:val="00E00310"/>
    <w:rsid w:val="00E045AD"/>
    <w:rsid w:val="00E05457"/>
    <w:rsid w:val="00E05C41"/>
    <w:rsid w:val="00E0771D"/>
    <w:rsid w:val="00E1029D"/>
    <w:rsid w:val="00E11E01"/>
    <w:rsid w:val="00E160F4"/>
    <w:rsid w:val="00E16762"/>
    <w:rsid w:val="00E16839"/>
    <w:rsid w:val="00E244F2"/>
    <w:rsid w:val="00E24C61"/>
    <w:rsid w:val="00E44537"/>
    <w:rsid w:val="00E55F69"/>
    <w:rsid w:val="00E56FDA"/>
    <w:rsid w:val="00E57189"/>
    <w:rsid w:val="00E636DC"/>
    <w:rsid w:val="00E70C56"/>
    <w:rsid w:val="00E72188"/>
    <w:rsid w:val="00E77C35"/>
    <w:rsid w:val="00E90DC4"/>
    <w:rsid w:val="00E9309D"/>
    <w:rsid w:val="00EA2362"/>
    <w:rsid w:val="00EB2A19"/>
    <w:rsid w:val="00EB550D"/>
    <w:rsid w:val="00EB6C90"/>
    <w:rsid w:val="00EC3254"/>
    <w:rsid w:val="00EC5AFE"/>
    <w:rsid w:val="00ED72CA"/>
    <w:rsid w:val="00EE1A66"/>
    <w:rsid w:val="00EE1D09"/>
    <w:rsid w:val="00EE38EF"/>
    <w:rsid w:val="00EE7240"/>
    <w:rsid w:val="00EF66B8"/>
    <w:rsid w:val="00EF7F5D"/>
    <w:rsid w:val="00F03EB4"/>
    <w:rsid w:val="00F06E93"/>
    <w:rsid w:val="00F130D7"/>
    <w:rsid w:val="00F17C76"/>
    <w:rsid w:val="00F21315"/>
    <w:rsid w:val="00F25459"/>
    <w:rsid w:val="00F26952"/>
    <w:rsid w:val="00F270C4"/>
    <w:rsid w:val="00F30E47"/>
    <w:rsid w:val="00F54EF8"/>
    <w:rsid w:val="00F56682"/>
    <w:rsid w:val="00F57BB6"/>
    <w:rsid w:val="00F62704"/>
    <w:rsid w:val="00F809B7"/>
    <w:rsid w:val="00F84B26"/>
    <w:rsid w:val="00F94B2F"/>
    <w:rsid w:val="00F96680"/>
    <w:rsid w:val="00F96C47"/>
    <w:rsid w:val="00FA00EA"/>
    <w:rsid w:val="00FA3B2F"/>
    <w:rsid w:val="00FA6C39"/>
    <w:rsid w:val="00FA7021"/>
    <w:rsid w:val="00FA70E6"/>
    <w:rsid w:val="00FB03B1"/>
    <w:rsid w:val="00FB168A"/>
    <w:rsid w:val="00FC7772"/>
    <w:rsid w:val="00FC7A03"/>
    <w:rsid w:val="00FC7E0E"/>
    <w:rsid w:val="00FD4486"/>
    <w:rsid w:val="00FD7B8A"/>
    <w:rsid w:val="00FE2092"/>
    <w:rsid w:val="00FE4AC3"/>
    <w:rsid w:val="00FE4C32"/>
    <w:rsid w:val="00FE4FEF"/>
    <w:rsid w:val="00FF032A"/>
    <w:rsid w:val="00FF0CD1"/>
    <w:rsid w:val="00FF3232"/>
    <w:rsid w:val="00FF40AA"/>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customStyle="1" w:styleId="ListParagraphChar">
    <w:name w:val="List Paragraph Char"/>
    <w:basedOn w:val="DefaultParagraphFont"/>
    <w:link w:val="ListParagraph"/>
    <w:uiPriority w:val="34"/>
    <w:locked/>
    <w:rsid w:val="00322061"/>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6359479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29892329">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24587156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8E0772321341CA914252F5C658203D"/>
        <w:category>
          <w:name w:val="General"/>
          <w:gallery w:val="placeholder"/>
        </w:category>
        <w:types>
          <w:type w:val="bbPlcHdr"/>
        </w:types>
        <w:behaviors>
          <w:behavior w:val="content"/>
        </w:behaviors>
        <w:guid w:val="{020DD968-3D70-4561-B999-2ADB33C7596C}"/>
      </w:docPartPr>
      <w:docPartBody>
        <w:p w:rsidR="00C54FFA" w:rsidRDefault="005E28C4" w:rsidP="005E28C4">
          <w:pPr>
            <w:pStyle w:val="FE8E0772321341CA914252F5C658203D"/>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C4"/>
    <w:rsid w:val="001A2ABE"/>
    <w:rsid w:val="005E28C4"/>
    <w:rsid w:val="00C54FFA"/>
    <w:rsid w:val="00E812A9"/>
    <w:rsid w:val="00ED5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8C4"/>
    <w:rPr>
      <w:color w:val="808080"/>
    </w:rPr>
  </w:style>
  <w:style w:type="paragraph" w:customStyle="1" w:styleId="FE8E0772321341CA914252F5C658203D">
    <w:name w:val="FE8E0772321341CA914252F5C658203D"/>
    <w:rsid w:val="005E2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customXml/itemProps2.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1391A3-C315-41F3-9CA6-0088300E1D21}">
  <ds:schemaRefs>
    <ds:schemaRef ds:uri="http://schemas.microsoft.com/sharepoint/v3/contenttype/forms"/>
  </ds:schemaRefs>
</ds:datastoreItem>
</file>

<file path=customXml/itemProps4.xml><?xml version="1.0" encoding="utf-8"?>
<ds:datastoreItem xmlns:ds="http://schemas.openxmlformats.org/officeDocument/2006/customXml" ds:itemID="{1FDB44B3-72C5-4E4B-B114-DE95AF0D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6183</Words>
  <Characters>35247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2024-07-01T07:06:00Z</dcterms:created>
  <dcterms:modified xsi:type="dcterms:W3CDTF">2024-07-01T07:06:00Z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