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052B4D1" w:rsidR="00BE43B2" w:rsidRPr="005B14EE" w:rsidRDefault="005B14EE">
            <w:pPr>
              <w:rPr>
                <w:rFonts w:ascii="Tahoma" w:hAnsi="Tahoma" w:cs="Tahoma"/>
                <w:caps/>
                <w:color w:val="000000" w:themeColor="text1"/>
                <w:sz w:val="18"/>
                <w:szCs w:val="18"/>
                <w:lang/>
              </w:rPr>
            </w:pPr>
            <w:r w:rsidRPr="005B14EE">
              <w:rPr>
                <w:rFonts w:ascii="Tahoma" w:hAnsi="Tahoma" w:cs="Tahoma"/>
                <w:caps/>
                <w:color w:val="000000" w:themeColor="text1"/>
                <w:sz w:val="18"/>
                <w:szCs w:val="18"/>
                <w:lang/>
              </w:rPr>
              <w:t>OB/2024/01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2DF9464C" w:rsidR="00BE43B2" w:rsidRPr="005B14EE" w:rsidRDefault="005B14EE">
            <w:pPr>
              <w:rPr>
                <w:rFonts w:ascii="Tahoma" w:hAnsi="Tahoma" w:cs="Tahoma"/>
                <w:caps/>
                <w:color w:val="000000" w:themeColor="text1"/>
                <w:sz w:val="18"/>
                <w:szCs w:val="18"/>
                <w:lang/>
              </w:rPr>
            </w:pPr>
            <w:r w:rsidRPr="005B14EE">
              <w:rPr>
                <w:rFonts w:ascii="Tahoma" w:hAnsi="Tahoma" w:cs="Tahoma"/>
                <w:caps/>
                <w:color w:val="000000" w:themeColor="text1"/>
                <w:sz w:val="18"/>
                <w:szCs w:val="18"/>
                <w:lang/>
              </w:rPr>
              <w:t>Ordinary Budget</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9F42CE0" w:rsidR="00BE43B2" w:rsidRPr="005B14EE" w:rsidRDefault="005B14EE">
            <w:pPr>
              <w:rPr>
                <w:rFonts w:ascii="Tahoma" w:hAnsi="Tahoma" w:cs="Tahoma"/>
                <w:b/>
                <w:caps/>
                <w:color w:val="000000" w:themeColor="text1"/>
                <w:sz w:val="18"/>
                <w:szCs w:val="18"/>
                <w:lang/>
              </w:rPr>
            </w:pPr>
            <w:r w:rsidRPr="005B14EE">
              <w:rPr>
                <w:rFonts w:ascii="Tahoma" w:hAnsi="Tahoma" w:cs="Tahoma"/>
                <w:b/>
                <w:caps/>
                <w:color w:val="000000" w:themeColor="text1"/>
                <w:sz w:val="18"/>
                <w:szCs w:val="18"/>
                <w:lang/>
              </w:rPr>
              <w:t>Besim Stublla ; BESIM.STUBLLA@COE.INT</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6F9322B7" w:rsidR="00261462" w:rsidRPr="005B14EE" w:rsidRDefault="00261462" w:rsidP="005B14EE">
      <w:pPr>
        <w:jc w:val="both"/>
        <w:rPr>
          <w:rFonts w:ascii="Tahoma" w:hAnsi="Tahoma" w:cs="Tahoma"/>
          <w:b/>
          <w:lang/>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w:t>
      </w:r>
      <w:r w:rsidR="005B14EE">
        <w:rPr>
          <w:rFonts w:ascii="Tahoma" w:hAnsi="Tahoma" w:cs="Tahoma"/>
          <w:b/>
          <w:lang/>
        </w:rPr>
        <w:t xml:space="preserve">urchase of a multifuction printer/scanner. </w:t>
      </w:r>
    </w:p>
    <w:p w14:paraId="7A7EE32C" w14:textId="0E4200EB" w:rsidR="005B14EE" w:rsidRPr="005B14EE" w:rsidRDefault="005B14EE" w:rsidP="005B14EE">
      <w:pPr>
        <w:jc w:val="both"/>
        <w:rPr>
          <w:rFonts w:ascii="Tahoma" w:hAnsi="Tahoma" w:cs="Tahoma"/>
          <w:b/>
          <w:lang/>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FD643D" w14:textId="20FB6CC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887CD80" w14:textId="3CE399D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3AC9DCF0"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w:t>
      </w:r>
      <w:r w:rsidR="005B14EE">
        <w:rPr>
          <w:rFonts w:ascii="Tahoma" w:hAnsi="Tahoma" w:cs="Tahoma"/>
          <w:sz w:val="20"/>
          <w:szCs w:val="20"/>
          <w:lang/>
        </w:rPr>
        <w:t xml:space="preserve">Office in Pristina </w:t>
      </w:r>
      <w:r w:rsidRPr="00EA2362">
        <w:rPr>
          <w:rFonts w:ascii="Tahoma" w:hAnsi="Tahoma" w:cs="Tahoma"/>
          <w:sz w:val="20"/>
          <w:szCs w:val="20"/>
        </w:rPr>
        <w:t xml:space="preserve">is currently implementing </w:t>
      </w:r>
      <w:r w:rsidR="005B14EE">
        <w:rPr>
          <w:rFonts w:ascii="Tahoma" w:hAnsi="Tahoma" w:cs="Tahoma"/>
          <w:sz w:val="20"/>
          <w:szCs w:val="20"/>
          <w:lang/>
        </w:rPr>
        <w:t>several p</w:t>
      </w:r>
      <w:proofErr w:type="spellStart"/>
      <w:r w:rsidR="003E0A41" w:rsidRPr="00EA2362">
        <w:rPr>
          <w:rFonts w:ascii="Tahoma" w:hAnsi="Tahoma" w:cs="Tahoma"/>
          <w:sz w:val="20"/>
          <w:szCs w:val="20"/>
        </w:rPr>
        <w:t>roject</w:t>
      </w:r>
      <w:proofErr w:type="spellEnd"/>
      <w:r w:rsidR="005B14EE">
        <w:rPr>
          <w:rFonts w:ascii="Tahoma" w:hAnsi="Tahoma" w:cs="Tahoma"/>
          <w:sz w:val="20"/>
          <w:szCs w:val="20"/>
          <w:lang/>
        </w:rPr>
        <w:t>s</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w:t>
      </w:r>
      <w:r w:rsidR="005B14EE">
        <w:rPr>
          <w:rFonts w:ascii="Tahoma" w:hAnsi="Tahoma" w:cs="Tahoma"/>
          <w:sz w:val="20"/>
          <w:szCs w:val="20"/>
          <w:lang/>
        </w:rPr>
        <w:t>urchase a multifunction printer/scanner</w:t>
      </w:r>
      <w:r w:rsidR="00E55F69" w:rsidRPr="00EA2362">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4F765BF7"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5B14EE">
        <w:rPr>
          <w:rFonts w:ascii="Tahoma" w:hAnsi="Tahoma" w:cs="Tahoma"/>
          <w:color w:val="000000"/>
          <w:sz w:val="20"/>
          <w:szCs w:val="20"/>
          <w:lang w:eastAsia="en-US"/>
        </w:rPr>
        <w:t>Euros</w:t>
      </w:r>
      <w:r w:rsidR="005B14EE" w:rsidRPr="005B14EE">
        <w:rPr>
          <w:rFonts w:ascii="Tahoma" w:hAnsi="Tahoma" w:cs="Tahoma"/>
          <w:color w:val="000000"/>
          <w:sz w:val="20"/>
          <w:szCs w:val="20"/>
          <w:lang w:eastAsia="en-US"/>
        </w:rPr>
        <w:t xml:space="preserve"> </w:t>
      </w:r>
      <w:r w:rsidRPr="005B14EE">
        <w:rPr>
          <w:rFonts w:ascii="Tahoma" w:hAnsi="Tahoma" w:cs="Tahoma"/>
          <w:b/>
          <w:bCs/>
          <w:color w:val="000000"/>
          <w:sz w:val="20"/>
          <w:szCs w:val="20"/>
          <w:lang w:eastAsia="en-US"/>
        </w:rPr>
        <w:t>without VAT</w:t>
      </w:r>
      <w:r w:rsidRPr="00EA2362">
        <w:rPr>
          <w:rFonts w:ascii="Tahoma" w:hAnsi="Tahoma" w:cs="Tahoma"/>
          <w:color w:val="000000"/>
          <w:sz w:val="20"/>
          <w:szCs w:val="20"/>
          <w:lang w:eastAsia="en-US"/>
        </w:rPr>
        <w: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588AAD2E">
                <wp:simplePos x="0" y="0"/>
                <wp:positionH relativeFrom="column">
                  <wp:posOffset>4732020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ADA1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72.6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" adj="3973" strokecolor="red">
                <o:lock v:ext="edit" aspectratio="t"/>
                <v:textbox style="layout-flow:vertical-ideographic"/>
                <w10:anchorlock/>
              </v:shape>
            </w:pict>
          </mc:Fallback>
        </mc:AlternateContent>
      </w:r>
    </w:p>
    <w:tbl>
      <w:tblPr>
        <w:tblW w:w="892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952"/>
      </w:tblGrid>
      <w:tr w:rsidR="005B14EE" w:rsidRPr="00EA2362" w14:paraId="0166D4C8" w14:textId="77777777" w:rsidTr="005B14EE">
        <w:trPr>
          <w:trHeight w:val="688"/>
          <w:jc w:val="center"/>
        </w:trPr>
        <w:tc>
          <w:tcPr>
            <w:tcW w:w="5606" w:type="dxa"/>
            <w:shd w:val="clear" w:color="auto" w:fill="DBE5F1" w:themeFill="accent1" w:themeFillTint="33"/>
            <w:vAlign w:val="center"/>
          </w:tcPr>
          <w:p w14:paraId="7C25DC9A" w14:textId="77777777" w:rsidR="005B14EE" w:rsidRDefault="005B14E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5B14EE" w:rsidRPr="00EA2362" w:rsidRDefault="005B14E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0" w:type="dxa"/>
            <w:shd w:val="clear" w:color="auto" w:fill="DBE5F1" w:themeFill="accent1" w:themeFillTint="33"/>
            <w:vAlign w:val="center"/>
          </w:tcPr>
          <w:p w14:paraId="4C4B2597" w14:textId="77777777" w:rsidR="005B14EE" w:rsidRPr="00EA2362" w:rsidRDefault="005B14E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5B14EE" w:rsidRPr="00EA2362" w:rsidRDefault="005B14E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952" w:type="dxa"/>
            <w:tcBorders>
              <w:bottom w:val="single" w:sz="2" w:space="0" w:color="FF0000"/>
            </w:tcBorders>
            <w:shd w:val="clear" w:color="auto" w:fill="DBE5F1" w:themeFill="accent1" w:themeFillTint="33"/>
            <w:vAlign w:val="center"/>
          </w:tcPr>
          <w:p w14:paraId="39664718" w14:textId="20E4A8E2" w:rsidR="005B14EE" w:rsidRPr="005B14EE" w:rsidRDefault="005B14EE"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Total Amount</w:t>
            </w:r>
          </w:p>
          <w:p w14:paraId="23C22AD4" w14:textId="77777777" w:rsidR="005B14EE" w:rsidRPr="00EA2362" w:rsidRDefault="005B14E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5B14EE" w:rsidRPr="00EA2362" w14:paraId="6CA125F2" w14:textId="77777777" w:rsidTr="005B14EE">
        <w:trPr>
          <w:trHeight w:val="432"/>
          <w:jc w:val="center"/>
        </w:trPr>
        <w:tc>
          <w:tcPr>
            <w:tcW w:w="5606" w:type="dxa"/>
            <w:shd w:val="clear" w:color="auto" w:fill="F2F2F2" w:themeFill="background1" w:themeFillShade="F2"/>
            <w:vAlign w:val="center"/>
          </w:tcPr>
          <w:p w14:paraId="60FDA710" w14:textId="1494AB8F" w:rsidR="005B14EE" w:rsidRPr="005B14EE" w:rsidRDefault="005B14EE" w:rsidP="005B14EE">
            <w:pPr>
              <w:tabs>
                <w:tab w:val="left" w:pos="-139"/>
              </w:tabs>
              <w:spacing w:line="276" w:lineRule="auto"/>
              <w:ind w:right="-140"/>
              <w:jc w:val="center"/>
              <w:rPr>
                <w:rFonts w:ascii="Tahoma" w:hAnsi="Tahoma" w:cs="Tahoma"/>
                <w:sz w:val="18"/>
                <w:szCs w:val="18"/>
                <w:lang w:eastAsia="en-US"/>
              </w:rPr>
            </w:pPr>
            <w:r w:rsidRPr="005B14EE">
              <w:rPr>
                <w:rFonts w:ascii="Tahoma" w:hAnsi="Tahoma" w:cs="Tahoma"/>
                <w:sz w:val="18"/>
                <w:szCs w:val="18"/>
                <w:lang w:eastAsia="en-US"/>
              </w:rPr>
              <w:t>Multifuncion Printer/Scanner</w:t>
            </w:r>
          </w:p>
        </w:tc>
        <w:tc>
          <w:tcPr>
            <w:tcW w:w="1370" w:type="dxa"/>
            <w:tcBorders>
              <w:right w:val="single" w:sz="2" w:space="0" w:color="FF0000"/>
            </w:tcBorders>
            <w:shd w:val="clear" w:color="auto" w:fill="auto"/>
            <w:vAlign w:val="center"/>
          </w:tcPr>
          <w:p w14:paraId="7DFF09AB" w14:textId="2144A630" w:rsidR="005B14EE" w:rsidRPr="005B14EE" w:rsidRDefault="005B14EE" w:rsidP="00261462">
            <w:pPr>
              <w:tabs>
                <w:tab w:val="left" w:pos="-139"/>
              </w:tabs>
              <w:spacing w:line="276" w:lineRule="auto"/>
              <w:ind w:right="-140"/>
              <w:jc w:val="center"/>
              <w:rPr>
                <w:rFonts w:ascii="Tahoma" w:hAnsi="Tahoma" w:cs="Tahoma"/>
                <w:sz w:val="18"/>
                <w:szCs w:val="18"/>
                <w:highlight w:val="yellow"/>
                <w:lang w:eastAsia="en-US"/>
              </w:rPr>
            </w:pPr>
            <w:r w:rsidRPr="005B14EE">
              <w:rPr>
                <w:rFonts w:ascii="Tahoma" w:hAnsi="Tahoma" w:cs="Tahoma"/>
                <w:sz w:val="18"/>
                <w:szCs w:val="18"/>
                <w:lang w:eastAsia="en-US"/>
              </w:rPr>
              <w:t>10/06/2024</w:t>
            </w:r>
          </w:p>
        </w:tc>
        <w:tc>
          <w:tcPr>
            <w:tcW w:w="195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5B14EE" w:rsidRPr="00EA2362" w:rsidRDefault="005B14EE" w:rsidP="00261462">
            <w:pPr>
              <w:tabs>
                <w:tab w:val="left" w:pos="-139"/>
              </w:tabs>
              <w:spacing w:line="276" w:lineRule="auto"/>
              <w:ind w:right="-140"/>
              <w:jc w:val="center"/>
              <w:rPr>
                <w:rFonts w:ascii="Tahoma" w:hAnsi="Tahoma" w:cs="Tahoma"/>
                <w:sz w:val="18"/>
                <w:szCs w:val="18"/>
                <w:highlight w:val="yellow"/>
                <w:lang w:eastAsia="en-US"/>
              </w:rPr>
            </w:pPr>
          </w:p>
        </w:tc>
      </w:tr>
      <w:tr w:rsidR="005B14EE" w:rsidRPr="00EA2362" w14:paraId="1564909A" w14:textId="77777777" w:rsidTr="005B14EE">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5B14EE" w:rsidRPr="00EA2362" w:rsidRDefault="005B14E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95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5B14EE" w:rsidRPr="00EA2362" w:rsidRDefault="005B14EE"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C7241E"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C92B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5B14EE">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5B14EE">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5B14EE">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046A"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5B14EE">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5B14EE">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00592229"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of advance payment accepted</w:t>
            </w:r>
            <w:r w:rsidR="005B14EE">
              <w:rPr>
                <w:rFonts w:ascii="Tahoma" w:hAnsi="Tahoma" w:cs="Tahoma"/>
                <w:sz w:val="16"/>
                <w:szCs w:val="16"/>
                <w:lang/>
              </w:rPr>
              <w:t xml:space="preserv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5B14EE">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5B14EE">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5B14EE">
        <w:trPr>
          <w:trHeight w:val="1479"/>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5B14EE" w:rsidRPr="00EA2362" w14:paraId="69D72218" w14:textId="77777777" w:rsidTr="00472349">
        <w:trPr>
          <w:trHeight w:val="1125"/>
          <w:jc w:val="center"/>
        </w:trPr>
        <w:tc>
          <w:tcPr>
            <w:tcW w:w="438" w:type="dxa"/>
            <w:tcBorders>
              <w:top w:val="single" w:sz="2" w:space="0" w:color="808080"/>
              <w:left w:val="nil"/>
              <w:bottom w:val="single" w:sz="2" w:space="0" w:color="808080"/>
              <w:right w:val="nil"/>
            </w:tcBorders>
            <w:shd w:val="clear" w:color="auto" w:fill="auto"/>
          </w:tcPr>
          <w:p w14:paraId="103AD454" w14:textId="77777777" w:rsidR="005B14EE" w:rsidRPr="00EA2362" w:rsidRDefault="005B14EE" w:rsidP="00FC7772">
            <w:pPr>
              <w:rPr>
                <w:rFonts w:ascii="Tahoma" w:hAnsi="Tahoma" w:cs="Tahoma"/>
                <w:sz w:val="20"/>
                <w:szCs w:val="20"/>
              </w:rPr>
            </w:pPr>
          </w:p>
        </w:tc>
        <w:tc>
          <w:tcPr>
            <w:tcW w:w="1644" w:type="dxa"/>
            <w:tcBorders>
              <w:top w:val="single" w:sz="2" w:space="0" w:color="808080"/>
              <w:left w:val="nil"/>
              <w:bottom w:val="single" w:sz="2" w:space="0" w:color="808080"/>
              <w:right w:val="nil"/>
            </w:tcBorders>
            <w:shd w:val="clear" w:color="auto" w:fill="auto"/>
            <w:vAlign w:val="center"/>
          </w:tcPr>
          <w:p w14:paraId="3BF05C74" w14:textId="77777777" w:rsidR="005B14EE" w:rsidRPr="00EA2362" w:rsidRDefault="005B14EE"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5B14EE" w:rsidRPr="00EA2362" w:rsidRDefault="005B14EE"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5B14EE" w:rsidRPr="00EA2362" w:rsidRDefault="005B14EE"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5B14EE" w:rsidRPr="00375BEA" w:rsidRDefault="005B14EE"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5B14EE" w:rsidRPr="00EA2362" w:rsidRDefault="005B14EE" w:rsidP="00FC7772">
            <w:pPr>
              <w:rPr>
                <w:rFonts w:ascii="Tahoma" w:hAnsi="Tahoma" w:cs="Tahoma"/>
                <w:sz w:val="20"/>
                <w:szCs w:val="20"/>
              </w:rPr>
            </w:pPr>
          </w:p>
        </w:tc>
      </w:tr>
      <w:tr w:rsidR="005B14EE" w:rsidRPr="00EA2362" w14:paraId="70AC58FA" w14:textId="77777777" w:rsidTr="00472349">
        <w:trPr>
          <w:trHeight w:val="1125"/>
          <w:jc w:val="center"/>
        </w:trPr>
        <w:tc>
          <w:tcPr>
            <w:tcW w:w="438" w:type="dxa"/>
            <w:tcBorders>
              <w:top w:val="single" w:sz="2" w:space="0" w:color="808080"/>
              <w:left w:val="nil"/>
              <w:bottom w:val="nil"/>
              <w:right w:val="nil"/>
            </w:tcBorders>
            <w:shd w:val="clear" w:color="auto" w:fill="auto"/>
          </w:tcPr>
          <w:p w14:paraId="36FD662D" w14:textId="77777777" w:rsidR="005B14EE" w:rsidRPr="00EA2362" w:rsidRDefault="005B14EE"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2458F56" w14:textId="77777777" w:rsidR="005B14EE" w:rsidRPr="00EA2362" w:rsidRDefault="005B14EE"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3198988E" w14:textId="77777777" w:rsidR="005B14EE" w:rsidRPr="00EA2362" w:rsidRDefault="005B14EE"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6214FE9" w14:textId="77777777" w:rsidR="005B14EE" w:rsidRPr="00EA2362" w:rsidRDefault="005B14EE"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7036CB3" w14:textId="1EDE53D3" w:rsidR="005B14EE" w:rsidRPr="00375BEA" w:rsidRDefault="005B14EE" w:rsidP="00FC7772">
            <w:pPr>
              <w:ind w:left="-38"/>
              <w:jc w:val="right"/>
              <w:rPr>
                <w:rFonts w:ascii="Tahoma" w:hAnsi="Tahoma" w:cs="Tahoma"/>
                <w:sz w:val="16"/>
                <w:szCs w:val="16"/>
              </w:rPr>
            </w:pPr>
            <w:r w:rsidRPr="00375BEA">
              <w:rPr>
                <w:rFonts w:ascii="Tahoma" w:hAnsi="Tahoma" w:cs="Tahoma"/>
                <w:sz w:val="16"/>
                <w:szCs w:val="16"/>
              </w:rPr>
              <w:t>FIMS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96DB458" w14:textId="77777777" w:rsidR="005B14EE" w:rsidRPr="00EA2362" w:rsidRDefault="005B14EE"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563B3611" w:rsidR="00D94AEA" w:rsidRPr="005B14EE"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5B14EE">
              <w:rPr>
                <w:rFonts w:ascii="Tahoma" w:eastAsia="Calibri" w:hAnsi="Tahoma" w:cs="Tahoma"/>
                <w:b/>
                <w:bCs/>
                <w:sz w:val="17"/>
                <w:szCs w:val="17"/>
                <w:lang w:eastAsia="en-US"/>
              </w:rPr>
              <w:t xml:space="preserve"> Office in Pristina, Bedri Pejani 17/18, 10000 Pristina</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8"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19"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BDCD7FE"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w:t>
      </w:r>
      <w:r w:rsidR="000C76FA" w:rsidRPr="000C76F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7241E" w:rsidRPr="00C7241E">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7241E" w:rsidRPr="00C7241E">
        <w:rPr>
          <w:rFonts w:ascii="Tahoma" w:hAnsi="Tahoma" w:cs="Tahoma"/>
          <w:sz w:val="18"/>
          <w:szCs w:val="18"/>
          <w:lang w:eastAsia="fr-FR"/>
        </w:rPr>
        <w:t>+32 2 739 9991 (EN)</w:t>
      </w:r>
      <w:r w:rsidR="00C7241E">
        <w:rPr>
          <w:rFonts w:ascii="Tahoma" w:hAnsi="Tahoma" w:cs="Tahoma"/>
          <w:sz w:val="18"/>
          <w:szCs w:val="18"/>
          <w:lang w:eastAsia="fr-FR"/>
        </w:rPr>
        <w:t xml:space="preserve"> or</w:t>
      </w:r>
      <w:r w:rsidR="00C7241E" w:rsidRPr="00C7241E">
        <w:rPr>
          <w:rFonts w:ascii="Tahoma" w:hAnsi="Tahoma" w:cs="Tahoma"/>
          <w:sz w:val="18"/>
          <w:szCs w:val="18"/>
          <w:lang w:eastAsia="fr-FR"/>
        </w:rPr>
        <w:t xml:space="preserve"> +32 2 739 9990 (FR</w:t>
      </w:r>
      <w:r w:rsidRPr="00D10930">
        <w:rPr>
          <w:rFonts w:ascii="Tahoma" w:hAnsi="Tahoma" w:cs="Tahoma"/>
          <w:sz w:val="18"/>
          <w:szCs w:val="18"/>
          <w:lang w:eastAsia="fr-FR"/>
        </w:rPr>
        <w:t>).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9"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9"/>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3"/>
    </w:p>
    <w:bookmarkEnd w:id="14"/>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2"/>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lastRenderedPageBreak/>
        <w:t xml:space="preserve">The arbitral decision shall be binding upon the parties and there shall be no appeal from it. </w:t>
      </w:r>
    </w:p>
    <w:bookmarkEnd w:id="15"/>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351E7AF" w14:textId="0710B1E2" w:rsidR="00F06E93" w:rsidRPr="00EA2362" w:rsidRDefault="005920E6" w:rsidP="005B14EE">
      <w:pPr>
        <w:rPr>
          <w:rFonts w:ascii="Tahoma" w:hAnsi="Tahoma" w:cs="Tahoma"/>
          <w:b/>
          <w:sz w:val="18"/>
          <w:szCs w:val="18"/>
          <w:lang w:eastAsia="en-US"/>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2AE2" w14:textId="77777777" w:rsidR="00471E5A" w:rsidRDefault="00471E5A" w:rsidP="00D50F13">
      <w:r>
        <w:separator/>
      </w:r>
    </w:p>
  </w:endnote>
  <w:endnote w:type="continuationSeparator" w:id="0">
    <w:p w14:paraId="3E50113A" w14:textId="77777777" w:rsidR="00471E5A" w:rsidRDefault="00471E5A" w:rsidP="00D50F13">
      <w:r>
        <w:continuationSeparator/>
      </w:r>
    </w:p>
  </w:endnote>
  <w:endnote w:type="continuationNotice" w:id="1">
    <w:p w14:paraId="5F0B5EBE" w14:textId="77777777" w:rsidR="00471E5A" w:rsidRDefault="0047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F57E1DF" w:rsidR="00F96680" w:rsidRPr="005B14EE" w:rsidRDefault="005B14EE" w:rsidP="00FC7772">
          <w:pPr>
            <w:rPr>
              <w:rFonts w:ascii="Arial Narrow" w:hAnsi="Arial Narrow"/>
              <w:caps/>
              <w:color w:val="000000"/>
              <w:sz w:val="18"/>
              <w:szCs w:val="18"/>
              <w:highlight w:val="cyan"/>
              <w:lang/>
            </w:rPr>
          </w:pPr>
          <w:r w:rsidRPr="005B14EE">
            <w:rPr>
              <w:rFonts w:ascii="Arial Narrow" w:hAnsi="Arial Narrow"/>
              <w:caps/>
              <w:color w:val="000000"/>
              <w:sz w:val="18"/>
              <w:szCs w:val="18"/>
              <w:lang/>
            </w:rPr>
            <w:t>OB/2024/01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CA48" w14:textId="77777777" w:rsidR="00471E5A" w:rsidRDefault="00471E5A" w:rsidP="00D50F13">
      <w:r>
        <w:separator/>
      </w:r>
    </w:p>
  </w:footnote>
  <w:footnote w:type="continuationSeparator" w:id="0">
    <w:p w14:paraId="475C75A6" w14:textId="77777777" w:rsidR="00471E5A" w:rsidRDefault="00471E5A" w:rsidP="00D50F13">
      <w:r>
        <w:continuationSeparator/>
      </w:r>
    </w:p>
  </w:footnote>
  <w:footnote w:type="continuationNotice" w:id="1">
    <w:p w14:paraId="248FE0CF" w14:textId="77777777" w:rsidR="00471E5A" w:rsidRDefault="00471E5A"/>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37"/>
  </w:num>
  <w:num w:numId="2" w16cid:durableId="1187601403">
    <w:abstractNumId w:val="38"/>
  </w:num>
  <w:num w:numId="3" w16cid:durableId="341783579">
    <w:abstractNumId w:val="2"/>
  </w:num>
  <w:num w:numId="4" w16cid:durableId="2133671386">
    <w:abstractNumId w:val="23"/>
  </w:num>
  <w:num w:numId="5" w16cid:durableId="407003900">
    <w:abstractNumId w:val="1"/>
  </w:num>
  <w:num w:numId="6" w16cid:durableId="1367636509">
    <w:abstractNumId w:val="40"/>
  </w:num>
  <w:num w:numId="7" w16cid:durableId="362751363">
    <w:abstractNumId w:val="11"/>
  </w:num>
  <w:num w:numId="8" w16cid:durableId="906498470">
    <w:abstractNumId w:val="26"/>
  </w:num>
  <w:num w:numId="9" w16cid:durableId="1902860714">
    <w:abstractNumId w:val="21"/>
  </w:num>
  <w:num w:numId="10" w16cid:durableId="430400209">
    <w:abstractNumId w:val="34"/>
  </w:num>
  <w:num w:numId="11" w16cid:durableId="1785690607">
    <w:abstractNumId w:val="18"/>
  </w:num>
  <w:num w:numId="12" w16cid:durableId="1328636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4"/>
  </w:num>
  <w:num w:numId="14" w16cid:durableId="2131779252">
    <w:abstractNumId w:val="19"/>
  </w:num>
  <w:num w:numId="15" w16cid:durableId="1186290901">
    <w:abstractNumId w:val="31"/>
  </w:num>
  <w:num w:numId="16" w16cid:durableId="503055720">
    <w:abstractNumId w:val="12"/>
  </w:num>
  <w:num w:numId="17" w16cid:durableId="1123425499">
    <w:abstractNumId w:val="32"/>
  </w:num>
  <w:num w:numId="18" w16cid:durableId="496388016">
    <w:abstractNumId w:val="0"/>
  </w:num>
  <w:num w:numId="19" w16cid:durableId="1384257914">
    <w:abstractNumId w:val="16"/>
  </w:num>
  <w:num w:numId="20" w16cid:durableId="1231816209">
    <w:abstractNumId w:val="22"/>
  </w:num>
  <w:num w:numId="21" w16cid:durableId="831607834">
    <w:abstractNumId w:val="36"/>
  </w:num>
  <w:num w:numId="22" w16cid:durableId="963078309">
    <w:abstractNumId w:val="7"/>
  </w:num>
  <w:num w:numId="23" w16cid:durableId="1034574263">
    <w:abstractNumId w:val="35"/>
  </w:num>
  <w:num w:numId="24" w16cid:durableId="1262563496">
    <w:abstractNumId w:val="28"/>
  </w:num>
  <w:num w:numId="25" w16cid:durableId="1371883325">
    <w:abstractNumId w:val="20"/>
  </w:num>
  <w:num w:numId="26" w16cid:durableId="1138305144">
    <w:abstractNumId w:val="17"/>
  </w:num>
  <w:num w:numId="27" w16cid:durableId="1328097607">
    <w:abstractNumId w:val="4"/>
  </w:num>
  <w:num w:numId="28" w16cid:durableId="1240556618">
    <w:abstractNumId w:val="15"/>
  </w:num>
  <w:num w:numId="29" w16cid:durableId="984041419">
    <w:abstractNumId w:val="8"/>
  </w:num>
  <w:num w:numId="30" w16cid:durableId="1778717620">
    <w:abstractNumId w:val="6"/>
  </w:num>
  <w:num w:numId="31" w16cid:durableId="1300526644">
    <w:abstractNumId w:val="33"/>
  </w:num>
  <w:num w:numId="32" w16cid:durableId="367875218">
    <w:abstractNumId w:val="24"/>
  </w:num>
  <w:num w:numId="33" w16cid:durableId="1626159649">
    <w:abstractNumId w:val="9"/>
  </w:num>
  <w:num w:numId="34" w16cid:durableId="1709642165">
    <w:abstractNumId w:val="39"/>
  </w:num>
  <w:num w:numId="35" w16cid:durableId="1834104161">
    <w:abstractNumId w:val="10"/>
  </w:num>
  <w:num w:numId="36" w16cid:durableId="1618218479">
    <w:abstractNumId w:val="29"/>
  </w:num>
  <w:num w:numId="37" w16cid:durableId="1509565228">
    <w:abstractNumId w:val="3"/>
  </w:num>
  <w:num w:numId="38" w16cid:durableId="2064480601">
    <w:abstractNumId w:val="30"/>
  </w:num>
  <w:num w:numId="39" w16cid:durableId="648022619">
    <w:abstractNumId w:val="27"/>
  </w:num>
  <w:num w:numId="40" w16cid:durableId="1964725638">
    <w:abstractNumId w:val="5"/>
  </w:num>
  <w:num w:numId="41" w16cid:durableId="514423713">
    <w:abstractNumId w:val="25"/>
  </w:num>
  <w:num w:numId="42" w16cid:durableId="308289491">
    <w:abstractNumId w:val="13"/>
  </w:num>
  <w:num w:numId="43"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C76FA"/>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365EF"/>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71E5A"/>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14EE"/>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241E"/>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2024-05-09T07:29:00Z</dcterms:created>
  <dcterms:modified xsi:type="dcterms:W3CDTF">2024-05-09T07:29:00Z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