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7777777" w:rsidR="00BD67BE" w:rsidRPr="00ED526D" w:rsidRDefault="00BD67BE"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83BA17F"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w:t>
      </w:r>
      <w:r w:rsidR="00B57C6B">
        <w:rPr>
          <w:rFonts w:ascii="Tahoma" w:hAnsi="Tahoma" w:cs="Tahoma"/>
          <w:b/>
        </w:rPr>
        <w:t>Türkiye</w:t>
      </w:r>
      <w:r w:rsidR="00CF3C50">
        <w:rPr>
          <w:rFonts w:ascii="Tahoma" w:hAnsi="Tahoma" w:cs="Tahoma"/>
          <w:b/>
        </w:rPr>
        <w:t xml:space="preserve"> </w:t>
      </w:r>
      <w:r w:rsidR="00DA6D1C">
        <w:rPr>
          <w:rFonts w:ascii="Tahoma" w:hAnsi="Tahoma" w:cs="Tahoma"/>
          <w:b/>
        </w:rPr>
        <w:t xml:space="preserve">within the framework of the Roma Integration Phase III </w:t>
      </w:r>
      <w:r w:rsidR="000A49BF">
        <w:rPr>
          <w:rFonts w:ascii="Tahoma" w:hAnsi="Tahoma" w:cs="Tahoma"/>
          <w:b/>
        </w:rPr>
        <w:t xml:space="preserve">Project </w:t>
      </w:r>
      <w:r w:rsidR="00DA6D1C">
        <w:rPr>
          <w:rFonts w:ascii="Tahoma" w:hAnsi="Tahoma" w:cs="Tahoma"/>
          <w:b/>
        </w:rPr>
        <w:t xml:space="preserve">on </w:t>
      </w:r>
      <w:r w:rsidR="00B57C6B" w:rsidRPr="00B57C6B">
        <w:rPr>
          <w:rFonts w:ascii="Tahoma" w:hAnsi="Tahoma" w:cs="Tahoma"/>
          <w:b/>
        </w:rPr>
        <w:t>Roma inclusion policies</w:t>
      </w:r>
      <w:r w:rsidR="00B57C6B">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5BA209D"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B57C6B">
        <w:rPr>
          <w:rFonts w:ascii="Tahoma" w:hAnsi="Tahoma" w:cs="Tahoma"/>
          <w:b/>
          <w:bCs/>
          <w:sz w:val="20"/>
          <w:szCs w:val="20"/>
        </w:rPr>
        <w:t>Türkiye</w:t>
      </w:r>
      <w:r w:rsidR="00CF3C50">
        <w:rPr>
          <w:rFonts w:ascii="Tahoma" w:hAnsi="Tahoma" w:cs="Tahoma"/>
          <w:b/>
          <w:bCs/>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“Housing policies and leg</w:t>
            </w:r>
            <w:r w:rsidR="00B022CA">
              <w:rPr>
                <w:rFonts w:ascii="Tahoma" w:hAnsi="Tahoma" w:cs="Tahoma"/>
                <w:b/>
                <w:sz w:val="18"/>
                <w:szCs w:val="18"/>
              </w:rPr>
              <w:t>alisation</w:t>
            </w:r>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4FC89ED8"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0E0BD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215C85C9"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0E0BD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41D8F4E8"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0E0BD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“Housing policies and leg</w:t>
            </w:r>
            <w:r w:rsidR="00163373">
              <w:rPr>
                <w:rFonts w:ascii="Tahoma" w:hAnsi="Tahoma" w:cs="Tahoma"/>
                <w:b/>
                <w:sz w:val="18"/>
                <w:szCs w:val="18"/>
              </w:rPr>
              <w:t>alisation</w:t>
            </w:r>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77443C45"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0E0BD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239C85AB"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0E0BDF">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3"/>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r w:rsidR="007D2D72"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r w:rsidR="007D2D72"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9EB1" w14:textId="77777777" w:rsidR="008E313C" w:rsidRDefault="008E313C" w:rsidP="00D50F13">
      <w:r>
        <w:separator/>
      </w:r>
    </w:p>
  </w:endnote>
  <w:endnote w:type="continuationSeparator" w:id="0">
    <w:p w14:paraId="563645CD" w14:textId="77777777" w:rsidR="008E313C" w:rsidRDefault="008E313C" w:rsidP="00D50F13">
      <w:r>
        <w:continuationSeparator/>
      </w:r>
    </w:p>
  </w:endnote>
  <w:endnote w:type="continuationNotice" w:id="1">
    <w:p w14:paraId="2E45BB51" w14:textId="77777777" w:rsidR="008E313C" w:rsidRDefault="008E3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5B6CC9" w:rsidRPr="00AE2D2B" w:rsidRDefault="005B6CC9"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9A00" w14:textId="77777777" w:rsidR="008E313C" w:rsidRDefault="008E313C" w:rsidP="00D50F13">
      <w:r>
        <w:separator/>
      </w:r>
    </w:p>
  </w:footnote>
  <w:footnote w:type="continuationSeparator" w:id="0">
    <w:p w14:paraId="0BCD9E31" w14:textId="77777777" w:rsidR="008E313C" w:rsidRDefault="008E313C" w:rsidP="00D50F13">
      <w:r>
        <w:continuationSeparator/>
      </w:r>
    </w:p>
  </w:footnote>
  <w:footnote w:type="continuationNotice" w:id="1">
    <w:p w14:paraId="6120CB0E" w14:textId="77777777" w:rsidR="008E313C" w:rsidRDefault="008E313C"/>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0BDF"/>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B1F98"/>
    <w:rsid w:val="001C1EFE"/>
    <w:rsid w:val="001C4BA2"/>
    <w:rsid w:val="001C6878"/>
    <w:rsid w:val="001D1B75"/>
    <w:rsid w:val="001D40AD"/>
    <w:rsid w:val="001D5926"/>
    <w:rsid w:val="001E5424"/>
    <w:rsid w:val="001F5A87"/>
    <w:rsid w:val="002019A5"/>
    <w:rsid w:val="002073A3"/>
    <w:rsid w:val="002111B3"/>
    <w:rsid w:val="002133FA"/>
    <w:rsid w:val="00213A16"/>
    <w:rsid w:val="00213B9D"/>
    <w:rsid w:val="00215FF1"/>
    <w:rsid w:val="00225B0D"/>
    <w:rsid w:val="00230E7E"/>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B0F2D"/>
    <w:rsid w:val="004B2022"/>
    <w:rsid w:val="004B3F9D"/>
    <w:rsid w:val="004B56B1"/>
    <w:rsid w:val="004B5A34"/>
    <w:rsid w:val="004C3551"/>
    <w:rsid w:val="004C6F59"/>
    <w:rsid w:val="004D084E"/>
    <w:rsid w:val="004D1021"/>
    <w:rsid w:val="004D462B"/>
    <w:rsid w:val="004E1F03"/>
    <w:rsid w:val="004E67E1"/>
    <w:rsid w:val="004E796F"/>
    <w:rsid w:val="004E7A45"/>
    <w:rsid w:val="004E7D01"/>
    <w:rsid w:val="004F2CFB"/>
    <w:rsid w:val="004F71A4"/>
    <w:rsid w:val="005229E7"/>
    <w:rsid w:val="00523268"/>
    <w:rsid w:val="00527592"/>
    <w:rsid w:val="0053377B"/>
    <w:rsid w:val="00533BB1"/>
    <w:rsid w:val="00542FEE"/>
    <w:rsid w:val="00550849"/>
    <w:rsid w:val="00555FBB"/>
    <w:rsid w:val="00566A81"/>
    <w:rsid w:val="00567F3E"/>
    <w:rsid w:val="005714EC"/>
    <w:rsid w:val="005845C2"/>
    <w:rsid w:val="00593817"/>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754F"/>
    <w:rsid w:val="008D113B"/>
    <w:rsid w:val="008D3220"/>
    <w:rsid w:val="008E313C"/>
    <w:rsid w:val="008E4730"/>
    <w:rsid w:val="008E74E1"/>
    <w:rsid w:val="008F2664"/>
    <w:rsid w:val="008F2DBD"/>
    <w:rsid w:val="008F3844"/>
    <w:rsid w:val="008F3D21"/>
    <w:rsid w:val="00901C1A"/>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E05"/>
    <w:rsid w:val="00A65785"/>
    <w:rsid w:val="00A675CC"/>
    <w:rsid w:val="00A77DE0"/>
    <w:rsid w:val="00A80595"/>
    <w:rsid w:val="00A81336"/>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18FC"/>
    <w:rsid w:val="00B022CA"/>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57C6B"/>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34A74"/>
    <w:rsid w:val="00C35EB2"/>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B703B"/>
    <w:rsid w:val="00CD061B"/>
    <w:rsid w:val="00CE0F61"/>
    <w:rsid w:val="00CE4E5E"/>
    <w:rsid w:val="00CE58F8"/>
    <w:rsid w:val="00CF3C50"/>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6EB8"/>
    <w:rsid w:val="00EB550D"/>
    <w:rsid w:val="00EB6C90"/>
    <w:rsid w:val="00EC08A1"/>
    <w:rsid w:val="00EC42B2"/>
    <w:rsid w:val="00EC447C"/>
    <w:rsid w:val="00ED526D"/>
    <w:rsid w:val="00ED655B"/>
    <w:rsid w:val="00EE1D09"/>
    <w:rsid w:val="00EE7240"/>
    <w:rsid w:val="00EF4225"/>
    <w:rsid w:val="00EF66B8"/>
    <w:rsid w:val="00F130D7"/>
    <w:rsid w:val="00F17BA4"/>
    <w:rsid w:val="00F17C76"/>
    <w:rsid w:val="00F21315"/>
    <w:rsid w:val="00F25459"/>
    <w:rsid w:val="00F26952"/>
    <w:rsid w:val="00F270C4"/>
    <w:rsid w:val="00F27F58"/>
    <w:rsid w:val="00F30E47"/>
    <w:rsid w:val="00F37B5D"/>
    <w:rsid w:val="00F4362B"/>
    <w:rsid w:val="00F50D6C"/>
    <w:rsid w:val="00F56296"/>
    <w:rsid w:val="00F56682"/>
    <w:rsid w:val="00F57BB6"/>
    <w:rsid w:val="00F57EC4"/>
    <w:rsid w:val="00F7707C"/>
    <w:rsid w:val="00F77E7D"/>
    <w:rsid w:val="00F84B26"/>
    <w:rsid w:val="00F93046"/>
    <w:rsid w:val="00FA06F4"/>
    <w:rsid w:val="00FA7021"/>
    <w:rsid w:val="00FA70E6"/>
    <w:rsid w:val="00FB168A"/>
    <w:rsid w:val="00FB41ED"/>
    <w:rsid w:val="00FC0253"/>
    <w:rsid w:val="00FC29A5"/>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D1D82"/>
    <w:rsid w:val="000D7ABD"/>
    <w:rsid w:val="000E171C"/>
    <w:rsid w:val="00227D4B"/>
    <w:rsid w:val="002E1526"/>
    <w:rsid w:val="004312C2"/>
    <w:rsid w:val="004322B2"/>
    <w:rsid w:val="0045502F"/>
    <w:rsid w:val="005C0B51"/>
    <w:rsid w:val="005C43CD"/>
    <w:rsid w:val="006E2D27"/>
    <w:rsid w:val="008372D9"/>
    <w:rsid w:val="009B4103"/>
    <w:rsid w:val="00AA3852"/>
    <w:rsid w:val="00B20CD7"/>
    <w:rsid w:val="00B471B0"/>
    <w:rsid w:val="00B75064"/>
    <w:rsid w:val="00BC536C"/>
    <w:rsid w:val="00C9441A"/>
    <w:rsid w:val="00CA48E7"/>
    <w:rsid w:val="00D61263"/>
    <w:rsid w:val="00E43925"/>
    <w:rsid w:val="00E96536"/>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6389</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2023-08-30T08:40:00Z</dcterms:created>
  <dcterms:modified xsi:type="dcterms:W3CDTF">2023-09-13T12:30:00Z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