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D17B6BE"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F84BA3F" w:rsidR="00D70688" w:rsidRPr="00D0286A" w:rsidRDefault="00CB5E3A"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2794</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896B18A" w:rsidR="00D70688" w:rsidRPr="00D0286A" w:rsidRDefault="001E6CDF" w:rsidP="00D70688">
            <w:pPr>
              <w:rPr>
                <w:rFonts w:ascii="Tahoma" w:hAnsi="Tahoma" w:cs="Tahoma"/>
                <w:b/>
                <w:caps/>
                <w:color w:val="000000" w:themeColor="text1"/>
                <w:sz w:val="18"/>
                <w:szCs w:val="18"/>
                <w:highlight w:val="cyan"/>
              </w:rPr>
            </w:pPr>
            <w:r w:rsidRPr="001E6CDF">
              <w:rPr>
                <w:rFonts w:ascii="Tahoma" w:hAnsi="Tahoma" w:cs="Tahoma"/>
                <w:color w:val="000000" w:themeColor="text1"/>
                <w:sz w:val="18"/>
                <w:szCs w:val="18"/>
              </w:rPr>
              <w:t>ankara.office@coe.int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189223E"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2E495C">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1E6CDF" w:rsidRPr="001E6CDF">
        <w:rPr>
          <w:rFonts w:ascii="Tahoma" w:hAnsi="Tahoma" w:cs="Tahoma"/>
          <w:b/>
        </w:rPr>
        <w:t xml:space="preserve">for the provision of </w:t>
      </w:r>
      <w:r w:rsidR="002E495C">
        <w:rPr>
          <w:rFonts w:ascii="Tahoma" w:hAnsi="Tahoma" w:cs="Tahoma"/>
          <w:b/>
        </w:rPr>
        <w:t>National</w:t>
      </w:r>
      <w:r w:rsidR="001E6CDF" w:rsidRPr="001E6CDF">
        <w:rPr>
          <w:rFonts w:ascii="Tahoma" w:hAnsi="Tahoma" w:cs="Tahoma"/>
          <w:b/>
        </w:rPr>
        <w:t xml:space="preserve"> Short</w:t>
      </w:r>
      <w:r w:rsidR="002E495C">
        <w:rPr>
          <w:rFonts w:ascii="Tahoma" w:hAnsi="Tahoma" w:cs="Tahoma"/>
          <w:b/>
        </w:rPr>
        <w:t>-</w:t>
      </w:r>
      <w:r w:rsidR="001E6CDF" w:rsidRPr="001E6CDF">
        <w:rPr>
          <w:rFonts w:ascii="Tahoma" w:hAnsi="Tahoma" w:cs="Tahoma"/>
          <w:b/>
        </w:rPr>
        <w:t xml:space="preserve">Term Consultancy Services </w:t>
      </w:r>
      <w:r w:rsidR="00F73F03">
        <w:rPr>
          <w:rFonts w:ascii="Tahoma" w:hAnsi="Tahoma" w:cs="Tahoma"/>
          <w:b/>
        </w:rPr>
        <w:t xml:space="preserve">in the framework of the </w:t>
      </w:r>
      <w:r w:rsidR="00805B38">
        <w:rPr>
          <w:rFonts w:ascii="Tahoma" w:hAnsi="Tahoma" w:cs="Tahoma"/>
          <w:b/>
        </w:rPr>
        <w:t>P</w:t>
      </w:r>
      <w:r w:rsidR="00F73F03">
        <w:rPr>
          <w:rFonts w:ascii="Tahoma" w:hAnsi="Tahoma" w:cs="Tahoma"/>
          <w:b/>
        </w:rPr>
        <w:t>roject</w:t>
      </w:r>
      <w:r w:rsidR="001E6CDF" w:rsidRPr="001E6CDF">
        <w:rPr>
          <w:rFonts w:ascii="Tahoma" w:hAnsi="Tahoma" w:cs="Tahoma"/>
          <w:b/>
        </w:rPr>
        <w:t xml:space="preserve"> </w:t>
      </w:r>
      <w:r w:rsidR="00805B38">
        <w:rPr>
          <w:rFonts w:ascii="Tahoma" w:hAnsi="Tahoma" w:cs="Tahoma"/>
          <w:b/>
        </w:rPr>
        <w:t>“</w:t>
      </w:r>
      <w:r w:rsidR="001E6CDF" w:rsidRPr="001E6CDF">
        <w:rPr>
          <w:rFonts w:ascii="Tahoma" w:hAnsi="Tahoma" w:cs="Tahoma"/>
          <w:b/>
        </w:rPr>
        <w:t>Promoting Alternative Dispute Resolution (ADR) in Turkey</w:t>
      </w:r>
      <w:r w:rsidR="00805B38">
        <w:rPr>
          <w:rFonts w:ascii="Tahoma" w:hAnsi="Tahoma" w:cs="Tahoma"/>
          <w:b/>
        </w:rPr>
        <w:t>”</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96"/>
        <w:gridCol w:w="471"/>
        <w:gridCol w:w="3724"/>
      </w:tblGrid>
      <w:tr w:rsidR="005C0D68" w:rsidRPr="00D0286A" w14:paraId="424E3911" w14:textId="63A76E2D" w:rsidTr="005C0D6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D68" w:rsidRPr="00D0286A" w:rsidRDefault="005C0D68"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D68" w:rsidRPr="00D0286A" w:rsidRDefault="005C0D6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4034"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78BC6EB0" w:rsidR="005C0D68" w:rsidRPr="005C0824" w:rsidRDefault="00AD25BF"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D68" w:rsidRPr="005C0824">
                  <w:rPr>
                    <w:rFonts w:ascii="Segoe UI Symbol" w:hAnsi="Segoe UI Symbol" w:cs="Segoe UI Symbol"/>
                    <w:color w:val="000000"/>
                    <w:sz w:val="18"/>
                    <w:szCs w:val="18"/>
                    <w:lang w:val="es-ES_tradnl"/>
                  </w:rPr>
                  <w:t>☐</w:t>
                </w:r>
              </w:sdtContent>
            </w:sdt>
            <w:r w:rsidR="005C0D68" w:rsidRPr="005C0824">
              <w:rPr>
                <w:rFonts w:ascii="Tahoma" w:hAnsi="Tahoma" w:cs="Tahoma"/>
                <w:color w:val="000000"/>
                <w:sz w:val="18"/>
                <w:szCs w:val="18"/>
                <w:lang w:val="es-ES_tradnl"/>
              </w:rPr>
              <w:t xml:space="preserve"> Natural person </w:t>
            </w:r>
          </w:p>
        </w:tc>
        <w:tc>
          <w:tcPr>
            <w:tcW w:w="4195"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7BA89EDC" w14:textId="569EAB6C" w:rsidR="005C0D68" w:rsidRPr="005C0824" w:rsidRDefault="00AD25BF"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D68">
                  <w:rPr>
                    <w:rFonts w:ascii="MS Gothic" w:eastAsia="MS Gothic" w:hAnsi="MS Gothic" w:cs="Segoe UI Symbol" w:hint="eastAsia"/>
                    <w:color w:val="000000"/>
                    <w:sz w:val="18"/>
                    <w:szCs w:val="18"/>
                    <w:lang w:val="es-ES_tradnl"/>
                  </w:rPr>
                  <w:t>☐</w:t>
                </w:r>
              </w:sdtContent>
            </w:sdt>
            <w:r w:rsidR="005C0D68" w:rsidRPr="005C0824">
              <w:rPr>
                <w:rFonts w:ascii="Tahoma" w:hAnsi="Tahoma" w:cs="Tahoma"/>
                <w:color w:val="000000"/>
                <w:sz w:val="18"/>
                <w:szCs w:val="18"/>
                <w:lang w:val="es-ES_tradnl"/>
              </w:rPr>
              <w:t xml:space="preserve"> Legal person </w:t>
            </w:r>
          </w:p>
          <w:p w14:paraId="293A8E0A" w14:textId="04648794" w:rsidR="005C0D68" w:rsidRPr="005C0824" w:rsidRDefault="005C0D68" w:rsidP="005C0824">
            <w:pPr>
              <w:rPr>
                <w:rFonts w:ascii="Tahoma" w:hAnsi="Tahoma" w:cs="Tahoma"/>
                <w:color w:val="000000"/>
                <w:sz w:val="20"/>
                <w:szCs w:val="20"/>
              </w:rPr>
            </w:pP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76A3A2B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182D83">
        <w:rPr>
          <w:rFonts w:ascii="Tahoma" w:hAnsi="Tahoma" w:cs="Tahoma"/>
          <w:sz w:val="20"/>
          <w:szCs w:val="20"/>
        </w:rPr>
        <w:t>the</w:t>
      </w:r>
      <w:r w:rsidRPr="00D0286A">
        <w:rPr>
          <w:rFonts w:ascii="Tahoma" w:hAnsi="Tahoma" w:cs="Tahoma"/>
          <w:sz w:val="20"/>
          <w:szCs w:val="20"/>
        </w:rPr>
        <w:t xml:space="preserve"> Project on </w:t>
      </w:r>
      <w:r w:rsidR="001E6CDF" w:rsidRPr="001E6CDF">
        <w:rPr>
          <w:rFonts w:ascii="Tahoma" w:hAnsi="Tahoma" w:cs="Tahoma"/>
          <w:sz w:val="20"/>
          <w:szCs w:val="20"/>
        </w:rPr>
        <w:t xml:space="preserve">“Promoting Alternative Dispute Resolution (ADR) in Turkey” </w:t>
      </w:r>
      <w:r w:rsidRPr="00D0286A">
        <w:rPr>
          <w:rFonts w:ascii="Tahoma" w:hAnsi="Tahoma" w:cs="Tahoma"/>
          <w:sz w:val="20"/>
          <w:szCs w:val="20"/>
        </w:rPr>
        <w:t xml:space="preserve">In that context, it is looking for Provider(s) (see below) for the provision of </w:t>
      </w:r>
      <w:r w:rsidR="001E6CDF" w:rsidRPr="001E6CDF">
        <w:rPr>
          <w:rFonts w:ascii="Tahoma" w:hAnsi="Tahoma" w:cs="Tahoma"/>
          <w:sz w:val="20"/>
          <w:szCs w:val="20"/>
        </w:rPr>
        <w:t>local short-term consultancy services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E6CDF" w:rsidRDefault="00B133A9" w:rsidP="00B133A9">
      <w:pPr>
        <w:spacing w:line="276" w:lineRule="auto"/>
        <w:jc w:val="both"/>
        <w:rPr>
          <w:rFonts w:ascii="Tahoma" w:hAnsi="Tahoma" w:cs="Tahoma"/>
          <w:b/>
          <w:sz w:val="20"/>
          <w:szCs w:val="20"/>
        </w:rPr>
      </w:pPr>
      <w:r w:rsidRPr="001E6CDF">
        <w:rPr>
          <w:rFonts w:ascii="Tahoma" w:hAnsi="Tahoma" w:cs="Tahoma"/>
          <w:b/>
          <w:sz w:val="20"/>
          <w:szCs w:val="20"/>
        </w:rPr>
        <w:t>Pooling</w:t>
      </w:r>
    </w:p>
    <w:p w14:paraId="01A9D193" w14:textId="77777777" w:rsidR="00B133A9" w:rsidRPr="001E6CDF" w:rsidRDefault="00B133A9" w:rsidP="00B133A9">
      <w:pPr>
        <w:spacing w:line="276" w:lineRule="auto"/>
        <w:jc w:val="both"/>
        <w:rPr>
          <w:rFonts w:ascii="Tahoma" w:hAnsi="Tahoma" w:cs="Tahoma"/>
          <w:sz w:val="20"/>
          <w:szCs w:val="20"/>
        </w:rPr>
      </w:pPr>
      <w:r w:rsidRPr="001E6CD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E6CDF" w:rsidRDefault="00B133A9" w:rsidP="00311C90">
      <w:pPr>
        <w:pStyle w:val="Default"/>
        <w:numPr>
          <w:ilvl w:val="0"/>
          <w:numId w:val="6"/>
        </w:numPr>
        <w:ind w:left="709"/>
        <w:rPr>
          <w:rFonts w:ascii="Tahoma" w:hAnsi="Tahoma" w:cs="Tahoma"/>
          <w:sz w:val="20"/>
          <w:szCs w:val="20"/>
        </w:rPr>
      </w:pPr>
      <w:r w:rsidRPr="001E6CDF">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1E6CDF" w:rsidRDefault="00B133A9" w:rsidP="00311C90">
      <w:pPr>
        <w:pStyle w:val="Default"/>
        <w:numPr>
          <w:ilvl w:val="0"/>
          <w:numId w:val="6"/>
        </w:numPr>
        <w:ind w:left="709"/>
        <w:rPr>
          <w:rFonts w:ascii="Tahoma" w:hAnsi="Tahoma" w:cs="Tahoma"/>
          <w:sz w:val="20"/>
          <w:szCs w:val="20"/>
        </w:rPr>
      </w:pPr>
      <w:r w:rsidRPr="001E6CDF">
        <w:rPr>
          <w:rFonts w:ascii="Tahoma" w:hAnsi="Tahoma" w:cs="Tahoma"/>
          <w:sz w:val="20"/>
          <w:szCs w:val="20"/>
        </w:rPr>
        <w:t>availability (including, without limitation, capacity to meet required deadlines and, where relevant, geographical location); and</w:t>
      </w:r>
    </w:p>
    <w:p w14:paraId="75D10624" w14:textId="77777777" w:rsidR="00B133A9" w:rsidRPr="001E6CDF" w:rsidRDefault="00B133A9" w:rsidP="00311C90">
      <w:pPr>
        <w:pStyle w:val="Default"/>
        <w:numPr>
          <w:ilvl w:val="0"/>
          <w:numId w:val="6"/>
        </w:numPr>
        <w:ind w:left="709"/>
        <w:rPr>
          <w:rFonts w:ascii="Tahoma" w:hAnsi="Tahoma" w:cs="Tahoma"/>
          <w:sz w:val="20"/>
          <w:szCs w:val="20"/>
        </w:rPr>
      </w:pPr>
      <w:r w:rsidRPr="001E6CDF">
        <w:rPr>
          <w:rFonts w:ascii="Tahoma" w:hAnsi="Tahoma" w:cs="Tahoma"/>
          <w:sz w:val="20"/>
          <w:szCs w:val="20"/>
        </w:rPr>
        <w:t>price.</w:t>
      </w:r>
    </w:p>
    <w:p w14:paraId="6EE577A1" w14:textId="77777777" w:rsidR="00B133A9" w:rsidRPr="001E6CDF" w:rsidRDefault="00B133A9" w:rsidP="00B133A9">
      <w:pPr>
        <w:spacing w:line="276" w:lineRule="auto"/>
        <w:jc w:val="both"/>
        <w:rPr>
          <w:rFonts w:ascii="Tahoma" w:hAnsi="Tahoma" w:cs="Tahoma"/>
          <w:sz w:val="20"/>
          <w:szCs w:val="20"/>
        </w:rPr>
      </w:pPr>
      <w:r w:rsidRPr="001E6CD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7E0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4"/>
        <w:gridCol w:w="4819"/>
      </w:tblGrid>
      <w:tr w:rsidR="00B133A9" w:rsidRPr="00D0286A" w14:paraId="5C5B7FFB" w14:textId="77777777" w:rsidTr="00CB5E3A">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1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CB5E3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524B306E"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20BD8CB"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1E6CDF" w:rsidRPr="001E6CDF">
              <w:rPr>
                <w:rFonts w:ascii="Tahoma" w:hAnsi="Tahoma" w:cs="Tahoma"/>
                <w:color w:val="000000"/>
                <w:sz w:val="18"/>
                <w:szCs w:val="18"/>
              </w:rPr>
              <w:t>Conciliation in criminal matters</w:t>
            </w:r>
          </w:p>
        </w:tc>
        <w:tc>
          <w:tcPr>
            <w:tcW w:w="481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9A74290" w:rsidR="00B133A9" w:rsidRPr="00D0286A" w:rsidRDefault="001E6CD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5C0D68">
              <w:rPr>
                <w:rFonts w:ascii="Tahoma" w:eastAsia="Calibri" w:hAnsi="Tahoma" w:cs="Tahoma"/>
                <w:b/>
                <w:bCs/>
                <w:sz w:val="18"/>
                <w:szCs w:val="18"/>
                <w:lang w:val="en-US" w:eastAsia="en-US"/>
              </w:rPr>
              <w:t>5</w:t>
            </w:r>
          </w:p>
        </w:tc>
      </w:tr>
      <w:tr w:rsidR="00B133A9" w:rsidRPr="00D0286A" w14:paraId="0F91EE37" w14:textId="77777777" w:rsidTr="00CB5E3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7EAD2325" w:rsidR="00B133A9" w:rsidRPr="00D0286A" w:rsidRDefault="001E6CD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5E3CF25"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1E6CDF" w:rsidRPr="001E6CDF">
              <w:rPr>
                <w:rFonts w:ascii="Tahoma" w:hAnsi="Tahoma" w:cs="Tahoma"/>
                <w:color w:val="000000"/>
                <w:sz w:val="18"/>
                <w:szCs w:val="18"/>
              </w:rPr>
              <w:t>Mediation and arbitration</w:t>
            </w:r>
          </w:p>
        </w:tc>
        <w:tc>
          <w:tcPr>
            <w:tcW w:w="481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C3DE4EB" w:rsidR="00B133A9" w:rsidRPr="00D0286A" w:rsidRDefault="001E6CD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5C0D68">
              <w:rPr>
                <w:rFonts w:ascii="Tahoma" w:eastAsia="Calibri" w:hAnsi="Tahoma" w:cs="Tahoma"/>
                <w:b/>
                <w:bCs/>
                <w:sz w:val="18"/>
                <w:szCs w:val="18"/>
                <w:lang w:val="en-US" w:eastAsia="en-US"/>
              </w:rPr>
              <w:t>5</w:t>
            </w:r>
          </w:p>
        </w:tc>
      </w:tr>
      <w:tr w:rsidR="001E6CDF" w:rsidRPr="00D0286A" w14:paraId="2DE36487" w14:textId="77777777" w:rsidTr="00CB5E3A">
        <w:trPr>
          <w:trHeight w:val="420"/>
          <w:jc w:val="center"/>
        </w:trPr>
        <w:sdt>
          <w:sdtPr>
            <w:rPr>
              <w:rFonts w:ascii="Tahoma" w:eastAsia="Calibri" w:hAnsi="Tahoma" w:cs="Tahoma"/>
              <w:bCs/>
              <w:sz w:val="36"/>
              <w:szCs w:val="36"/>
              <w:lang w:val="en-US" w:eastAsia="en-US"/>
            </w:rPr>
            <w:id w:val="204223189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D9F520" w14:textId="6E4CBD01" w:rsidR="001E6CDF" w:rsidRDefault="001E6CD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5574655" w14:textId="77777777" w:rsidR="00902414" w:rsidRDefault="001E6CDF" w:rsidP="00512853">
            <w:pPr>
              <w:spacing w:before="60" w:after="60"/>
              <w:ind w:left="-142" w:right="-249"/>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  </w:t>
            </w:r>
            <w:r w:rsidRPr="001E6CDF">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1E6CDF">
              <w:rPr>
                <w:rFonts w:ascii="Tahoma" w:eastAsia="Calibri" w:hAnsi="Tahoma" w:cs="Tahoma"/>
                <w:b/>
                <w:bCs/>
                <w:sz w:val="18"/>
                <w:szCs w:val="18"/>
                <w:lang w:val="en-US" w:eastAsia="en-US"/>
              </w:rPr>
              <w:t xml:space="preserve"> - </w:t>
            </w:r>
            <w:r w:rsidR="00CB5E3A" w:rsidRPr="00CB5E3A">
              <w:rPr>
                <w:rFonts w:ascii="Tahoma" w:eastAsia="Calibri" w:hAnsi="Tahoma" w:cs="Tahoma"/>
                <w:sz w:val="18"/>
                <w:szCs w:val="18"/>
                <w:lang w:val="en-US" w:eastAsia="en-US"/>
              </w:rPr>
              <w:t xml:space="preserve">Strategic and policy development of </w:t>
            </w:r>
          </w:p>
          <w:p w14:paraId="169DC26A" w14:textId="5A485E52" w:rsidR="001E6CDF" w:rsidRDefault="00CB5E3A" w:rsidP="00512853">
            <w:pPr>
              <w:spacing w:before="60" w:after="60"/>
              <w:ind w:left="-142" w:right="-249"/>
              <w:rPr>
                <w:rFonts w:ascii="Tahoma" w:eastAsia="Calibri" w:hAnsi="Tahoma" w:cs="Tahoma"/>
                <w:b/>
                <w:bCs/>
                <w:sz w:val="18"/>
                <w:szCs w:val="18"/>
                <w:lang w:val="en-US" w:eastAsia="en-US"/>
              </w:rPr>
            </w:pPr>
            <w:r>
              <w:rPr>
                <w:rFonts w:ascii="Tahoma" w:eastAsia="Calibri" w:hAnsi="Tahoma" w:cs="Tahoma"/>
                <w:sz w:val="18"/>
                <w:szCs w:val="18"/>
                <w:lang w:val="en-US" w:eastAsia="en-US"/>
              </w:rPr>
              <w:t xml:space="preserve">   </w:t>
            </w:r>
            <w:r w:rsidRPr="00CB5E3A">
              <w:rPr>
                <w:rFonts w:ascii="Tahoma" w:eastAsia="Calibri" w:hAnsi="Tahoma" w:cs="Tahoma"/>
                <w:sz w:val="18"/>
                <w:szCs w:val="18"/>
                <w:lang w:val="en-US" w:eastAsia="en-US"/>
              </w:rPr>
              <w:t>ADR mechanisms</w:t>
            </w:r>
          </w:p>
        </w:tc>
        <w:tc>
          <w:tcPr>
            <w:tcW w:w="481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3824AA" w14:textId="4150A083" w:rsidR="001E6CDF" w:rsidRPr="00D0286A" w:rsidRDefault="001E6CDF" w:rsidP="00512853">
            <w:pPr>
              <w:spacing w:before="60" w:after="60"/>
              <w:ind w:left="-142"/>
              <w:jc w:val="center"/>
              <w:rPr>
                <w:rFonts w:ascii="Tahoma" w:eastAsia="Calibri" w:hAnsi="Tahoma" w:cs="Tahoma"/>
                <w:b/>
                <w:bCs/>
                <w:sz w:val="18"/>
                <w:szCs w:val="18"/>
                <w:highlight w:val="cyan"/>
                <w:lang w:val="en-US" w:eastAsia="en-US"/>
              </w:rPr>
            </w:pPr>
            <w:r w:rsidRPr="001E6CDF">
              <w:rPr>
                <w:rFonts w:ascii="Tahoma" w:eastAsia="Calibri" w:hAnsi="Tahoma" w:cs="Tahoma"/>
                <w:b/>
                <w:bCs/>
                <w:sz w:val="18"/>
                <w:szCs w:val="18"/>
                <w:lang w:val="en-US" w:eastAsia="en-US"/>
              </w:rPr>
              <w:t>1</w:t>
            </w:r>
            <w:r w:rsidR="005C0D68">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AF74533"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E6CDF">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1E6CDF">
        <w:rPr>
          <w:rFonts w:ascii="Tahoma" w:hAnsi="Tahoma" w:cs="Tahoma"/>
          <w:b/>
          <w:color w:val="000000"/>
          <w:sz w:val="20"/>
          <w:szCs w:val="20"/>
          <w:u w:val="single"/>
          <w:lang w:eastAsia="en-US"/>
        </w:rPr>
        <w:t>Tenders proposing a fee above the exclusion level will be entirely and automatically excluded from the tender procedure.</w:t>
      </w:r>
    </w:p>
    <w:p w14:paraId="3B2694E9" w14:textId="77777777" w:rsidR="00902414" w:rsidRPr="00D0286A" w:rsidRDefault="00902414" w:rsidP="00B133A9">
      <w:pPr>
        <w:spacing w:line="276" w:lineRule="auto"/>
        <w:jc w:val="both"/>
        <w:rPr>
          <w:rFonts w:ascii="Tahoma" w:hAnsi="Tahoma" w:cs="Tahoma"/>
          <w:b/>
          <w:color w:val="000000"/>
          <w:sz w:val="20"/>
          <w:szCs w:val="20"/>
          <w:u w:val="single"/>
          <w:lang w:eastAsia="en-US"/>
        </w:rPr>
      </w:pPr>
    </w:p>
    <w:p w14:paraId="7E5516B8" w14:textId="12240A5F" w:rsidR="00B133A9" w:rsidRDefault="00B133A9" w:rsidP="00B133A9">
      <w:pPr>
        <w:spacing w:line="276" w:lineRule="auto"/>
        <w:ind w:left="-142"/>
        <w:jc w:val="both"/>
        <w:rPr>
          <w:rFonts w:ascii="Tahoma" w:hAnsi="Tahoma" w:cs="Tahoma"/>
          <w:sz w:val="20"/>
          <w:szCs w:val="20"/>
        </w:rPr>
      </w:pPr>
    </w:p>
    <w:p w14:paraId="35E3D961" w14:textId="77777777" w:rsidR="00CB5E3A" w:rsidRPr="00756A82" w:rsidRDefault="00CB5E3A" w:rsidP="00CB5E3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1171E75" w14:textId="77777777" w:rsidR="00CB5E3A" w:rsidRPr="00756A82" w:rsidRDefault="00CB5E3A" w:rsidP="00CB5E3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4C6B198B" wp14:editId="43BFBB3E">
                <wp:simplePos x="0" y="0"/>
                <wp:positionH relativeFrom="column">
                  <wp:posOffset>5106035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DFAF" id="Up Arrow 7" o:spid="_x0000_s1026" type="#_x0000_t68" style="position:absolute;margin-left:402.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GUMrm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CB5E3A" w:rsidRPr="00756A82" w14:paraId="48879CE1" w14:textId="77777777" w:rsidTr="00EE37AC">
        <w:trPr>
          <w:trHeight w:val="688"/>
          <w:jc w:val="center"/>
        </w:trPr>
        <w:tc>
          <w:tcPr>
            <w:tcW w:w="6850" w:type="dxa"/>
            <w:shd w:val="clear" w:color="auto" w:fill="DBE5F1" w:themeFill="accent1" w:themeFillTint="33"/>
            <w:vAlign w:val="center"/>
          </w:tcPr>
          <w:p w14:paraId="6EF8152A" w14:textId="77777777" w:rsidR="00CB5E3A" w:rsidRPr="00756A82" w:rsidRDefault="00CB5E3A" w:rsidP="00EE37A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E50E1F9" w14:textId="77777777" w:rsidR="00CB5E3A" w:rsidRPr="00756A82" w:rsidRDefault="00CB5E3A" w:rsidP="00EE37A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3FF9DA42" w14:textId="77777777" w:rsidR="00CB5E3A" w:rsidRPr="00756A82" w:rsidRDefault="00CB5E3A" w:rsidP="00EE37AC">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6F36F6C8" w14:textId="77777777" w:rsidR="00CB5E3A" w:rsidRPr="00756A82" w:rsidRDefault="00CB5E3A" w:rsidP="00EE37AC">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2AA64A92" w14:textId="77777777" w:rsidR="00CB5E3A" w:rsidRPr="00756A82" w:rsidRDefault="00CB5E3A" w:rsidP="00EE37AC">
            <w:pPr>
              <w:spacing w:line="276" w:lineRule="auto"/>
              <w:ind w:left="-142" w:right="-126"/>
              <w:jc w:val="center"/>
              <w:rPr>
                <w:rFonts w:ascii="Tahoma" w:hAnsi="Tahoma" w:cs="Tahoma"/>
                <w:b/>
                <w:sz w:val="18"/>
                <w:szCs w:val="18"/>
                <w:lang w:eastAsia="en-US"/>
              </w:rPr>
            </w:pPr>
            <w:r w:rsidRPr="00756A82">
              <w:rPr>
                <w:b/>
                <w:sz w:val="18"/>
                <w:szCs w:val="18"/>
                <w:highlight w:val="cyan"/>
                <w:lang w:eastAsia="en-US"/>
              </w:rPr>
              <w:t>▼</w:t>
            </w:r>
          </w:p>
        </w:tc>
      </w:tr>
      <w:tr w:rsidR="00CB5E3A" w:rsidRPr="00756A82" w14:paraId="0BC9E965" w14:textId="77777777" w:rsidTr="00EE37AC">
        <w:trPr>
          <w:trHeight w:val="780"/>
          <w:jc w:val="center"/>
        </w:trPr>
        <w:tc>
          <w:tcPr>
            <w:tcW w:w="6850" w:type="dxa"/>
            <w:tcBorders>
              <w:right w:val="single" w:sz="2" w:space="0" w:color="FF0000"/>
            </w:tcBorders>
            <w:shd w:val="clear" w:color="auto" w:fill="F2F2F2" w:themeFill="background1" w:themeFillShade="F2"/>
            <w:vAlign w:val="center"/>
          </w:tcPr>
          <w:p w14:paraId="159A356A" w14:textId="77777777" w:rsidR="00CB5E3A" w:rsidRPr="00756A82" w:rsidRDefault="00CB5E3A" w:rsidP="00EE37AC">
            <w:pPr>
              <w:spacing w:line="276" w:lineRule="auto"/>
              <w:rPr>
                <w:rFonts w:ascii="Tahoma" w:hAnsi="Tahoma" w:cs="Tahoma"/>
                <w:sz w:val="18"/>
                <w:szCs w:val="18"/>
                <w:highlight w:val="yellow"/>
                <w:lang w:eastAsia="en-US"/>
              </w:rPr>
            </w:pPr>
            <w:r w:rsidRPr="007427FA">
              <w:rPr>
                <w:rFonts w:ascii="Tahoma" w:hAnsi="Tahoma" w:cs="Tahoma"/>
                <w:sz w:val="18"/>
                <w:szCs w:val="18"/>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FFD688" w14:textId="77777777" w:rsidR="00CB5E3A" w:rsidRPr="00756A82" w:rsidRDefault="00CB5E3A" w:rsidP="00EE37AC">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D61400" w14:textId="77777777" w:rsidR="00CB5E3A" w:rsidRPr="00756A82" w:rsidRDefault="00CB5E3A" w:rsidP="00EE37AC">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cyan"/>
                <w:lang w:eastAsia="en-US"/>
              </w:rPr>
              <w:t>200</w:t>
            </w:r>
          </w:p>
        </w:tc>
      </w:tr>
      <w:tr w:rsidR="00CB5E3A" w:rsidRPr="00756A82" w14:paraId="52C4361F" w14:textId="77777777" w:rsidTr="00EE37AC">
        <w:trPr>
          <w:trHeight w:val="780"/>
          <w:jc w:val="center"/>
        </w:trPr>
        <w:tc>
          <w:tcPr>
            <w:tcW w:w="6850" w:type="dxa"/>
            <w:tcBorders>
              <w:right w:val="single" w:sz="2" w:space="0" w:color="FF0000"/>
            </w:tcBorders>
            <w:shd w:val="clear" w:color="auto" w:fill="C6D9F1" w:themeFill="text2" w:themeFillTint="33"/>
            <w:vAlign w:val="center"/>
          </w:tcPr>
          <w:p w14:paraId="5C0B6D4E" w14:textId="77777777" w:rsidR="00CB5E3A" w:rsidRPr="007427FA" w:rsidRDefault="00CB5E3A" w:rsidP="00EE37AC">
            <w:pPr>
              <w:spacing w:line="276" w:lineRule="auto"/>
              <w:jc w:val="center"/>
              <w:rPr>
                <w:rFonts w:ascii="Tahoma" w:hAnsi="Tahoma" w:cs="Tahoma"/>
                <w:sz w:val="18"/>
                <w:szCs w:val="18"/>
                <w:lang w:eastAsia="en-US"/>
              </w:rPr>
            </w:pPr>
            <w:r>
              <w:rPr>
                <w:rFonts w:ascii="Tahoma" w:hAnsi="Tahoma" w:cs="Tahoma"/>
                <w:b/>
                <w:sz w:val="18"/>
                <w:szCs w:val="18"/>
                <w:lang w:eastAsia="en-US"/>
              </w:rPr>
              <w:lastRenderedPageBreak/>
              <w:t>LOT 2</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9" w:type="dxa"/>
            <w:shd w:val="clear" w:color="auto" w:fill="C6D9F1" w:themeFill="text2" w:themeFillTint="33"/>
            <w:vAlign w:val="center"/>
          </w:tcPr>
          <w:p w14:paraId="3D6D2A38" w14:textId="77777777" w:rsidR="00CB5E3A" w:rsidRPr="00756A82" w:rsidRDefault="00CB5E3A" w:rsidP="00EE37A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F97ADD" w14:textId="77777777" w:rsidR="00CB5E3A" w:rsidRPr="000E1F0C" w:rsidRDefault="00CB5E3A" w:rsidP="00EE37AC">
            <w:pPr>
              <w:ind w:left="-142"/>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40EB45EE" w14:textId="77777777" w:rsidR="00CB5E3A" w:rsidRPr="00756A82" w:rsidRDefault="00CB5E3A" w:rsidP="00EE37AC">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1CE6868B" w14:textId="77777777" w:rsidR="00CB5E3A" w:rsidRDefault="00CB5E3A" w:rsidP="00EE37AC">
            <w:pPr>
              <w:spacing w:line="276" w:lineRule="auto"/>
              <w:ind w:left="-142" w:right="-91"/>
              <w:jc w:val="center"/>
              <w:rPr>
                <w:rFonts w:ascii="Tahoma" w:hAnsi="Tahoma" w:cs="Tahoma"/>
                <w:sz w:val="18"/>
                <w:szCs w:val="18"/>
                <w:highlight w:val="cyan"/>
                <w:lang w:eastAsia="en-US"/>
              </w:rPr>
            </w:pPr>
            <w:r w:rsidRPr="00756A82">
              <w:rPr>
                <w:b/>
                <w:sz w:val="18"/>
                <w:szCs w:val="18"/>
                <w:highlight w:val="cyan"/>
                <w:lang w:eastAsia="en-US"/>
              </w:rPr>
              <w:t>▼</w:t>
            </w:r>
          </w:p>
        </w:tc>
      </w:tr>
      <w:tr w:rsidR="00CB5E3A" w:rsidRPr="00756A82" w14:paraId="451D3CB9" w14:textId="77777777" w:rsidTr="00EE37AC">
        <w:trPr>
          <w:trHeight w:val="780"/>
          <w:jc w:val="center"/>
        </w:trPr>
        <w:tc>
          <w:tcPr>
            <w:tcW w:w="6850" w:type="dxa"/>
            <w:tcBorders>
              <w:right w:val="single" w:sz="2" w:space="0" w:color="FF0000"/>
            </w:tcBorders>
            <w:shd w:val="clear" w:color="auto" w:fill="F2F2F2" w:themeFill="background1" w:themeFillShade="F2"/>
            <w:vAlign w:val="center"/>
          </w:tcPr>
          <w:p w14:paraId="4C5D22DF" w14:textId="77777777" w:rsidR="00CB5E3A" w:rsidRPr="00D13B64" w:rsidRDefault="00CB5E3A" w:rsidP="00EE37AC">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2C0F9629" w14:textId="77777777" w:rsidR="00CB5E3A" w:rsidRPr="00756A82" w:rsidRDefault="00CB5E3A" w:rsidP="00EE37AC">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0071DE" w14:textId="77777777" w:rsidR="00CB5E3A" w:rsidRPr="0024737C" w:rsidRDefault="00CB5E3A" w:rsidP="00EE37AC">
            <w:pPr>
              <w:spacing w:line="276" w:lineRule="auto"/>
              <w:ind w:left="-142" w:right="-126"/>
              <w:jc w:val="center"/>
              <w:rPr>
                <w:rFonts w:ascii="Tahoma" w:hAnsi="Tahoma" w:cs="Tahoma"/>
                <w:sz w:val="18"/>
                <w:szCs w:val="18"/>
                <w:highlight w:val="cyan"/>
                <w:lang w:eastAsia="en-US"/>
              </w:rPr>
            </w:pPr>
            <w:r w:rsidRPr="0024737C">
              <w:rPr>
                <w:rFonts w:ascii="Tahoma" w:hAnsi="Tahoma" w:cs="Tahoma"/>
                <w:sz w:val="18"/>
                <w:szCs w:val="18"/>
                <w:highlight w:val="cyan"/>
                <w:lang w:eastAsia="en-US"/>
              </w:rPr>
              <w:t>200</w:t>
            </w:r>
          </w:p>
        </w:tc>
      </w:tr>
      <w:tr w:rsidR="00CB5E3A" w:rsidRPr="00756A82" w14:paraId="2FFDBDE3" w14:textId="77777777" w:rsidTr="00EE37AC">
        <w:trPr>
          <w:trHeight w:val="780"/>
          <w:jc w:val="center"/>
        </w:trPr>
        <w:tc>
          <w:tcPr>
            <w:tcW w:w="6850" w:type="dxa"/>
            <w:tcBorders>
              <w:right w:val="single" w:sz="2" w:space="0" w:color="FF0000"/>
            </w:tcBorders>
            <w:shd w:val="clear" w:color="auto" w:fill="C6D9F1" w:themeFill="text2" w:themeFillTint="33"/>
            <w:vAlign w:val="center"/>
          </w:tcPr>
          <w:p w14:paraId="0DAF4E6A" w14:textId="77777777" w:rsidR="00CB5E3A" w:rsidRPr="00756A82" w:rsidRDefault="00CB5E3A" w:rsidP="00EE37AC">
            <w:pPr>
              <w:spacing w:line="276" w:lineRule="auto"/>
              <w:jc w:val="center"/>
              <w:rPr>
                <w:rFonts w:ascii="Tahoma" w:hAnsi="Tahoma" w:cs="Tahoma"/>
                <w:b/>
                <w:sz w:val="18"/>
                <w:szCs w:val="18"/>
                <w:lang w:eastAsia="en-US"/>
              </w:rPr>
            </w:pPr>
            <w:r>
              <w:rPr>
                <w:rFonts w:ascii="Tahoma" w:hAnsi="Tahoma" w:cs="Tahoma"/>
                <w:b/>
                <w:sz w:val="18"/>
                <w:szCs w:val="18"/>
                <w:lang w:eastAsia="en-US"/>
              </w:rPr>
              <w:t>LOT 3</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9" w:type="dxa"/>
            <w:shd w:val="clear" w:color="auto" w:fill="C6D9F1" w:themeFill="text2" w:themeFillTint="33"/>
            <w:vAlign w:val="center"/>
          </w:tcPr>
          <w:p w14:paraId="195FFDBF" w14:textId="77777777" w:rsidR="00CB5E3A" w:rsidRPr="00756A82" w:rsidRDefault="00CB5E3A" w:rsidP="00EE37A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2963592" w14:textId="77777777" w:rsidR="00CB5E3A" w:rsidRPr="00756A82" w:rsidRDefault="00CB5E3A" w:rsidP="00EE37AC">
            <w:pPr>
              <w:spacing w:line="276" w:lineRule="auto"/>
              <w:ind w:left="-142" w:right="-154"/>
              <w:jc w:val="center"/>
              <w:rPr>
                <w:rFonts w:ascii="Tahoma" w:hAnsi="Tahoma" w:cs="Tahoma"/>
                <w:b/>
                <w:sz w:val="18"/>
                <w:szCs w:val="18"/>
                <w:lang w:eastAsia="en-US"/>
              </w:rPr>
            </w:pPr>
            <w:r>
              <w:rPr>
                <w:b/>
                <w:sz w:val="18"/>
                <w:szCs w:val="18"/>
                <w:lang w:eastAsia="en-US"/>
              </w:rPr>
              <w:t xml:space="preserve"> </w:t>
            </w:r>
            <w:r w:rsidRPr="00756A82">
              <w:rPr>
                <w:b/>
                <w:sz w:val="18"/>
                <w:szCs w:val="18"/>
                <w:lang w:eastAsia="en-US"/>
              </w:rPr>
              <w:t>▼</w:t>
            </w:r>
          </w:p>
        </w:tc>
        <w:tc>
          <w:tcPr>
            <w:tcW w:w="1567" w:type="dxa"/>
            <w:tcBorders>
              <w:top w:val="single" w:sz="2" w:space="0" w:color="808080"/>
              <w:left w:val="single" w:sz="2" w:space="0" w:color="FF0000"/>
              <w:bottom w:val="single" w:sz="2" w:space="0" w:color="808080"/>
              <w:right w:val="single" w:sz="2" w:space="0" w:color="808080"/>
            </w:tcBorders>
            <w:shd w:val="clear" w:color="auto" w:fill="C6D9F1" w:themeFill="text2" w:themeFillTint="33"/>
            <w:vAlign w:val="center"/>
          </w:tcPr>
          <w:p w14:paraId="2791E9D2" w14:textId="77777777" w:rsidR="00CB5E3A" w:rsidRPr="00756A82" w:rsidRDefault="00CB5E3A" w:rsidP="00EE37AC">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23C3F794" w14:textId="77777777" w:rsidR="00CB5E3A" w:rsidRPr="00756A82" w:rsidRDefault="00CB5E3A" w:rsidP="00EE37AC">
            <w:pPr>
              <w:spacing w:line="276" w:lineRule="auto"/>
              <w:ind w:left="-142" w:right="-126"/>
              <w:jc w:val="center"/>
              <w:rPr>
                <w:rFonts w:ascii="Tahoma" w:hAnsi="Tahoma" w:cs="Tahoma"/>
                <w:b/>
                <w:sz w:val="18"/>
                <w:szCs w:val="18"/>
                <w:highlight w:val="cyan"/>
                <w:lang w:eastAsia="en-US"/>
              </w:rPr>
            </w:pPr>
            <w:r w:rsidRPr="00756A82">
              <w:rPr>
                <w:b/>
                <w:sz w:val="18"/>
                <w:szCs w:val="18"/>
                <w:highlight w:val="cyan"/>
                <w:lang w:eastAsia="en-US"/>
              </w:rPr>
              <w:t>▼</w:t>
            </w:r>
          </w:p>
        </w:tc>
      </w:tr>
      <w:tr w:rsidR="00CB5E3A" w:rsidRPr="00756A82" w14:paraId="6F178C11" w14:textId="77777777" w:rsidTr="00EE37AC">
        <w:trPr>
          <w:trHeight w:val="780"/>
          <w:jc w:val="center"/>
        </w:trPr>
        <w:tc>
          <w:tcPr>
            <w:tcW w:w="6850" w:type="dxa"/>
            <w:tcBorders>
              <w:right w:val="single" w:sz="2" w:space="0" w:color="FF0000"/>
            </w:tcBorders>
            <w:shd w:val="clear" w:color="auto" w:fill="F2F2F2" w:themeFill="background1" w:themeFillShade="F2"/>
            <w:vAlign w:val="center"/>
          </w:tcPr>
          <w:p w14:paraId="346A6E21" w14:textId="77777777" w:rsidR="00CB5E3A" w:rsidRPr="00D13B64" w:rsidRDefault="00CB5E3A" w:rsidP="00EE37AC">
            <w:pPr>
              <w:spacing w:line="276" w:lineRule="auto"/>
              <w:rPr>
                <w:rFonts w:ascii="Tahoma" w:hAnsi="Tahoma" w:cs="Tahoma"/>
                <w:sz w:val="18"/>
                <w:szCs w:val="18"/>
                <w:lang w:eastAsia="en-US"/>
              </w:rPr>
            </w:pPr>
            <w:r w:rsidRPr="00D13B64">
              <w:rPr>
                <w:rFonts w:ascii="Tahoma" w:hAnsi="Tahoma" w:cs="Tahoma"/>
                <w:sz w:val="18"/>
                <w:szCs w:val="18"/>
                <w:lang w:eastAsia="en-US"/>
              </w:rPr>
              <w:t>Daily fee</w:t>
            </w:r>
          </w:p>
        </w:tc>
        <w:tc>
          <w:tcPr>
            <w:tcW w:w="1499" w:type="dxa"/>
            <w:tcBorders>
              <w:bottom w:val="single" w:sz="2" w:space="0" w:color="FF0000"/>
            </w:tcBorders>
            <w:shd w:val="clear" w:color="auto" w:fill="FFFFFF" w:themeFill="background1"/>
            <w:vAlign w:val="center"/>
          </w:tcPr>
          <w:p w14:paraId="720FB875" w14:textId="77777777" w:rsidR="00CB5E3A" w:rsidRPr="00756A82" w:rsidRDefault="00CB5E3A" w:rsidP="00EE37AC">
            <w:pPr>
              <w:spacing w:line="276" w:lineRule="auto"/>
              <w:ind w:left="-142" w:right="-154"/>
              <w:jc w:val="center"/>
              <w:rPr>
                <w:rFonts w:ascii="Tahoma" w:hAnsi="Tahoma" w:cs="Tahoma"/>
                <w:b/>
                <w:sz w:val="18"/>
                <w:szCs w:val="18"/>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02463DA" w14:textId="77777777" w:rsidR="00CB5E3A" w:rsidRPr="0024737C" w:rsidRDefault="00CB5E3A" w:rsidP="00EE37AC">
            <w:pPr>
              <w:spacing w:line="276" w:lineRule="auto"/>
              <w:ind w:left="-142" w:right="-126"/>
              <w:jc w:val="center"/>
              <w:rPr>
                <w:rFonts w:ascii="Tahoma" w:hAnsi="Tahoma" w:cs="Tahoma"/>
                <w:sz w:val="18"/>
                <w:szCs w:val="18"/>
                <w:highlight w:val="cyan"/>
                <w:lang w:eastAsia="en-US"/>
              </w:rPr>
            </w:pPr>
            <w:r w:rsidRPr="0024737C">
              <w:rPr>
                <w:rFonts w:ascii="Tahoma" w:hAnsi="Tahoma" w:cs="Tahoma"/>
                <w:sz w:val="18"/>
                <w:szCs w:val="18"/>
                <w:highlight w:val="cyan"/>
                <w:lang w:eastAsia="en-US"/>
              </w:rPr>
              <w:t>200</w:t>
            </w:r>
          </w:p>
        </w:tc>
      </w:tr>
    </w:tbl>
    <w:p w14:paraId="75655B43" w14:textId="77777777" w:rsidR="00CB5E3A" w:rsidRPr="00756A82" w:rsidRDefault="00CB5E3A" w:rsidP="00CB5E3A">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635448" w:rsidRPr="00026E8A" w14:paraId="3B7D963B" w14:textId="77777777" w:rsidTr="007B0FD6">
        <w:tc>
          <w:tcPr>
            <w:tcW w:w="9105" w:type="dxa"/>
            <w:shd w:val="clear" w:color="auto" w:fill="DBE5F1" w:themeFill="accent1" w:themeFillTint="33"/>
            <w:vAlign w:val="center"/>
          </w:tcPr>
          <w:p w14:paraId="60D19A63" w14:textId="6733DE3C" w:rsidR="00635448" w:rsidRPr="00026E8A" w:rsidRDefault="000579E4" w:rsidP="007B0FD6">
            <w:pPr>
              <w:spacing w:before="120" w:after="120"/>
              <w:rPr>
                <w:rFonts w:ascii="Tahoma" w:hAnsi="Tahoma" w:cs="Tahoma"/>
                <w:sz w:val="20"/>
                <w:szCs w:val="20"/>
                <w:highlight w:val="cyan"/>
              </w:rPr>
            </w:pPr>
            <w:r w:rsidRPr="00902414">
              <w:rPr>
                <w:rFonts w:ascii="Tahoma" w:hAnsi="Tahoma" w:cs="Tahoma"/>
                <w:sz w:val="20"/>
                <w:szCs w:val="20"/>
              </w:rPr>
              <w:t>This Framework Contract</w:t>
            </w:r>
            <w:r w:rsidRPr="00902414">
              <w:rPr>
                <w:rFonts w:ascii="Tahoma" w:eastAsia="Calibri" w:hAnsi="Tahoma" w:cs="Tahoma"/>
                <w:sz w:val="20"/>
                <w:szCs w:val="20"/>
                <w:lang w:val="en-US" w:eastAsia="en-US"/>
              </w:rPr>
              <w:t xml:space="preserve"> takes effect as from the date of its signature by both parties</w:t>
            </w:r>
            <w:r w:rsidRPr="00902414">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530985778"/>
              <w:placeholder>
                <w:docPart w:val="B34DB347B62945B3A94515404FC5B9EA"/>
              </w:placeholder>
              <w:date w:fullDate="2023-12-15T00:00:00Z">
                <w:dateFormat w:val="dd/MM/yyyy"/>
                <w:lid w:val="fr-FR"/>
                <w:storeMappedDataAs w:val="dateTime"/>
                <w:calendar w:val="gregorian"/>
              </w:date>
            </w:sdtPr>
            <w:sdtEndPr>
              <w:rPr>
                <w:rStyle w:val="Heading1Char"/>
              </w:rPr>
            </w:sdtEndPr>
            <w:sdtContent>
              <w:p w14:paraId="641CAF4A" w14:textId="40884E59" w:rsidR="00635448" w:rsidRPr="00026E8A" w:rsidRDefault="00C70B70" w:rsidP="007B0FD6">
                <w:pPr>
                  <w:spacing w:before="120" w:after="120"/>
                  <w:rPr>
                    <w:rFonts w:ascii="Tahoma" w:hAnsi="Tahoma" w:cs="Tahoma"/>
                    <w:sz w:val="20"/>
                    <w:szCs w:val="20"/>
                    <w:highlight w:val="cyan"/>
                  </w:rPr>
                </w:pPr>
                <w:r>
                  <w:rPr>
                    <w:rStyle w:val="Heading1Char"/>
                    <w:rFonts w:ascii="Tahoma" w:hAnsi="Tahoma" w:cs="Tahoma"/>
                    <w:sz w:val="20"/>
                    <w:szCs w:val="20"/>
                    <w:lang w:val="fr-FR"/>
                  </w:rPr>
                  <w:t>15/12/2023</w:t>
                </w:r>
              </w:p>
            </w:sdtContent>
          </w:sdt>
        </w:tc>
      </w:tr>
      <w:tr w:rsidR="00635448" w:rsidRPr="00651235" w14:paraId="78B6311C" w14:textId="77777777" w:rsidTr="007B0FD6">
        <w:tc>
          <w:tcPr>
            <w:tcW w:w="10449" w:type="dxa"/>
            <w:gridSpan w:val="2"/>
            <w:shd w:val="clear" w:color="auto" w:fill="DBE5F1" w:themeFill="accent1" w:themeFillTint="33"/>
            <w:vAlign w:val="center"/>
          </w:tcPr>
          <w:p w14:paraId="5BF921EF" w14:textId="4D6F765D" w:rsidR="00635448" w:rsidRDefault="00635448" w:rsidP="007B0FD6">
            <w:pPr>
              <w:spacing w:before="120" w:after="120"/>
              <w:rPr>
                <w:rFonts w:ascii="Tahoma" w:hAnsi="Tahoma" w:cs="Tahoma"/>
                <w:sz w:val="20"/>
                <w:szCs w:val="20"/>
                <w:lang w:val="en-US"/>
              </w:rPr>
            </w:pPr>
            <w:r w:rsidRPr="000579E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0579E4" w:rsidRPr="000579E4">
              <w:rPr>
                <w:rFonts w:ascii="Tahoma" w:hAnsi="Tahoma" w:cs="Tahoma"/>
                <w:sz w:val="20"/>
                <w:szCs w:val="20"/>
                <w:lang w:val="en-US"/>
              </w:rPr>
              <w:t xml:space="preserve">one </w:t>
            </w:r>
            <w:r w:rsidRPr="000579E4">
              <w:rPr>
                <w:rFonts w:ascii="Tahoma" w:hAnsi="Tahoma" w:cs="Tahoma"/>
                <w:sz w:val="20"/>
                <w:szCs w:val="20"/>
                <w:lang w:val="en-US"/>
              </w:rPr>
              <w:t xml:space="preserve">month before the renewal date. The contract shall not be renewed beyond </w:t>
            </w:r>
            <w:r w:rsidR="000579E4" w:rsidRPr="000579E4">
              <w:rPr>
                <w:rFonts w:ascii="Tahoma" w:hAnsi="Tahoma" w:cs="Tahoma"/>
                <w:b/>
                <w:bCs/>
                <w:sz w:val="20"/>
                <w:szCs w:val="20"/>
                <w:lang w:val="en-US"/>
              </w:rPr>
              <w:t>15/1</w:t>
            </w:r>
            <w:r w:rsidR="00CE4AFA">
              <w:rPr>
                <w:rFonts w:ascii="Tahoma" w:hAnsi="Tahoma" w:cs="Tahoma"/>
                <w:b/>
                <w:bCs/>
                <w:sz w:val="20"/>
                <w:szCs w:val="20"/>
                <w:lang w:val="en-US"/>
              </w:rPr>
              <w:t>2</w:t>
            </w:r>
            <w:r w:rsidR="000579E4" w:rsidRPr="000579E4">
              <w:rPr>
                <w:rFonts w:ascii="Tahoma" w:hAnsi="Tahoma" w:cs="Tahoma"/>
                <w:b/>
                <w:bCs/>
                <w:sz w:val="20"/>
                <w:szCs w:val="20"/>
                <w:lang w:val="en-US"/>
              </w:rPr>
              <w:t>/2023</w:t>
            </w:r>
            <w:r w:rsidRPr="000579E4">
              <w:rPr>
                <w:rFonts w:ascii="Tahoma" w:hAnsi="Tahoma" w:cs="Tahoma"/>
                <w:sz w:val="20"/>
                <w:szCs w:val="20"/>
                <w:lang w:val="en-US"/>
              </w:rPr>
              <w:t xml:space="preserve"> </w:t>
            </w:r>
            <w:r w:rsidR="005C0D68">
              <w:rPr>
                <w:rFonts w:ascii="Tahoma" w:hAnsi="Tahoma" w:cs="Tahoma"/>
                <w:sz w:val="20"/>
                <w:szCs w:val="20"/>
                <w:lang w:val="en-US"/>
              </w:rPr>
              <w:t>(</w:t>
            </w:r>
            <w:r w:rsidR="005C0D68" w:rsidRPr="005C0D68">
              <w:rPr>
                <w:rFonts w:ascii="Tahoma" w:hAnsi="Tahoma" w:cs="Tahoma"/>
                <w:sz w:val="20"/>
                <w:szCs w:val="20"/>
                <w:lang w:val="en-US"/>
              </w:rPr>
              <w:t xml:space="preserve">the end date of the project can be changed if the project </w:t>
            </w:r>
            <w:r w:rsidR="005C0D68">
              <w:rPr>
                <w:rFonts w:ascii="Tahoma" w:hAnsi="Tahoma" w:cs="Tahoma"/>
                <w:sz w:val="20"/>
                <w:szCs w:val="20"/>
                <w:lang w:val="en-US"/>
              </w:rPr>
              <w:t xml:space="preserve">receives </w:t>
            </w:r>
            <w:r w:rsidR="005C0D68" w:rsidRPr="005C0D68">
              <w:rPr>
                <w:rFonts w:ascii="Tahoma" w:hAnsi="Tahoma" w:cs="Tahoma"/>
                <w:sz w:val="20"/>
                <w:szCs w:val="20"/>
                <w:lang w:val="en-US"/>
              </w:rPr>
              <w:t xml:space="preserve">an extension) </w:t>
            </w:r>
            <w:r w:rsidRPr="000579E4">
              <w:rPr>
                <w:rFonts w:ascii="Tahoma" w:hAnsi="Tahoma" w:cs="Tahoma"/>
                <w:sz w:val="20"/>
                <w:szCs w:val="20"/>
                <w:lang w:val="en-US"/>
              </w:rPr>
              <w:t>and shall end on this date unless either party has already validly terminated the contract.</w:t>
            </w:r>
          </w:p>
          <w:p w14:paraId="429C13F3" w14:textId="4E79028C" w:rsidR="00635448" w:rsidRPr="00AA1FEE" w:rsidRDefault="00635448" w:rsidP="007B0FD6">
            <w:pPr>
              <w:spacing w:before="120" w:after="120"/>
              <w:rPr>
                <w:rStyle w:val="Style71"/>
                <w:rFonts w:ascii="Tahoma" w:hAnsi="Tahoma" w:cs="Tahoma"/>
                <w:lang w:val="en-US"/>
              </w:rPr>
            </w:pPr>
          </w:p>
        </w:tc>
      </w:tr>
    </w:tbl>
    <w:p w14:paraId="0B123600" w14:textId="77777777" w:rsidR="00CB5E3A" w:rsidRDefault="00CB5E3A">
      <w:pPr>
        <w:rPr>
          <w:rFonts w:ascii="Tahoma" w:hAnsi="Tahoma" w:cs="Tahoma"/>
          <w:b/>
        </w:rPr>
      </w:pPr>
      <w:r>
        <w:rPr>
          <w:rFonts w:ascii="Tahoma" w:hAnsi="Tahoma" w:cs="Tahoma"/>
          <w:b/>
        </w:rPr>
        <w:br w:type="page"/>
      </w:r>
    </w:p>
    <w:p w14:paraId="3D68B47E" w14:textId="00E923E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332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5B31E3A6" w:rsidR="003A0F5F" w:rsidRPr="00D0286A" w:rsidRDefault="00C70B70" w:rsidP="00FA4CE5">
            <w:pPr>
              <w:rPr>
                <w:rFonts w:ascii="Tahoma" w:hAnsi="Tahoma" w:cs="Tahoma"/>
                <w:sz w:val="20"/>
                <w:szCs w:val="20"/>
              </w:rPr>
            </w:pPr>
            <w:r>
              <w:rPr>
                <w:rFonts w:ascii="Tahoma" w:hAnsi="Tahoma" w:cs="Tahoma"/>
                <w:sz w:val="20"/>
                <w:szCs w:val="20"/>
              </w:rPr>
              <w:t>Cristian Urse, Head of Office</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967EBB6" w:rsidR="003A0F5F" w:rsidRPr="00D0286A" w:rsidRDefault="00DD4C16" w:rsidP="003A0F5F">
            <w:pPr>
              <w:rPr>
                <w:rFonts w:ascii="Tahoma" w:hAnsi="Tahoma" w:cs="Tahoma"/>
                <w:sz w:val="20"/>
                <w:szCs w:val="20"/>
              </w:rPr>
            </w:pPr>
            <w:r w:rsidRPr="00D0286A">
              <w:rPr>
                <w:rFonts w:ascii="Tahoma" w:hAnsi="Tahoma" w:cs="Tahoma"/>
                <w:sz w:val="20"/>
                <w:szCs w:val="20"/>
              </w:rPr>
              <w:t>In</w:t>
            </w:r>
            <w:r w:rsidR="00C70B70">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52E2E"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52E2E" w:rsidRPr="00D0286A" w:rsidRDefault="00952E2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52E2E" w:rsidRPr="00D0286A" w:rsidRDefault="00952E2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52E2E" w:rsidRPr="00D0286A" w:rsidRDefault="00952E2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52E2E" w:rsidRPr="00D0286A" w:rsidRDefault="00952E2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52E2E" w:rsidRPr="00D0286A" w:rsidRDefault="00952E2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52E2E" w:rsidRPr="00D0286A" w:rsidRDefault="00952E2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5576A028" w:rsidR="00952E2E" w:rsidRPr="00D0286A" w:rsidRDefault="00952E2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952E2E" w:rsidRPr="00D0286A" w:rsidRDefault="00952E2E"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952E2E" w:rsidRPr="00D0286A" w14:paraId="74E7DA64" w14:textId="77777777" w:rsidTr="00952E2E">
        <w:trPr>
          <w:trHeight w:val="308"/>
          <w:jc w:val="center"/>
        </w:trPr>
        <w:tc>
          <w:tcPr>
            <w:tcW w:w="438" w:type="dxa"/>
            <w:tcBorders>
              <w:top w:val="nil"/>
              <w:left w:val="nil"/>
              <w:bottom w:val="nil"/>
              <w:right w:val="nil"/>
            </w:tcBorders>
            <w:shd w:val="clear" w:color="auto" w:fill="FFFFFF" w:themeFill="background1"/>
          </w:tcPr>
          <w:p w14:paraId="593950AC" w14:textId="77777777" w:rsidR="00952E2E" w:rsidRPr="00D0286A" w:rsidRDefault="00952E2E"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52E2E" w:rsidRPr="00D0286A" w:rsidRDefault="00952E2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52E2E" w:rsidRPr="00D0286A" w:rsidRDefault="00952E2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52E2E" w:rsidRPr="00D0286A" w:rsidRDefault="00952E2E"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52E2E" w:rsidRPr="00D0286A" w:rsidRDefault="00952E2E"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952E2E" w:rsidRPr="00D0286A" w:rsidRDefault="00952E2E"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952E2E" w:rsidRPr="00D0286A" w:rsidRDefault="00952E2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52E2E" w:rsidRPr="00D0286A" w:rsidRDefault="00952E2E"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952E2E" w:rsidRPr="00952E2E" w14:paraId="2E297039" w14:textId="77777777" w:rsidTr="00D0286A">
        <w:trPr>
          <w:trHeight w:val="308"/>
          <w:jc w:val="center"/>
        </w:trPr>
        <w:tc>
          <w:tcPr>
            <w:tcW w:w="438" w:type="dxa"/>
            <w:tcBorders>
              <w:top w:val="nil"/>
              <w:left w:val="nil"/>
              <w:bottom w:val="nil"/>
              <w:right w:val="nil"/>
            </w:tcBorders>
            <w:shd w:val="clear" w:color="auto" w:fill="FFFFFF" w:themeFill="background1"/>
          </w:tcPr>
          <w:p w14:paraId="49BD317B" w14:textId="77777777" w:rsidR="00952E2E" w:rsidRPr="00D0286A" w:rsidRDefault="00952E2E" w:rsidP="00952E2E">
            <w:pPr>
              <w:jc w:val="cente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A200EDA" w14:textId="77777777" w:rsidR="00952E2E" w:rsidRPr="00952E2E" w:rsidRDefault="00952E2E" w:rsidP="00952E2E">
            <w:pPr>
              <w:jc w:val="center"/>
              <w:rPr>
                <w:rFonts w:ascii="Tahoma" w:hAnsi="Tahoma" w:cs="Tahoma"/>
                <w:sz w:val="20"/>
                <w:szCs w:val="20"/>
              </w:rPr>
            </w:pPr>
          </w:p>
        </w:tc>
        <w:tc>
          <w:tcPr>
            <w:tcW w:w="2711" w:type="dxa"/>
            <w:tcBorders>
              <w:top w:val="nil"/>
              <w:left w:val="nil"/>
              <w:bottom w:val="nil"/>
              <w:right w:val="nil"/>
            </w:tcBorders>
            <w:shd w:val="clear" w:color="auto" w:fill="FFFFFF" w:themeFill="background1"/>
            <w:vAlign w:val="center"/>
          </w:tcPr>
          <w:p w14:paraId="3AE6B2DD" w14:textId="77777777" w:rsidR="00952E2E" w:rsidRPr="00D0286A" w:rsidRDefault="00952E2E" w:rsidP="00952E2E">
            <w:pPr>
              <w:jc w:val="cente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F6890E4" w14:textId="77777777" w:rsidR="00952E2E" w:rsidRPr="00D0286A" w:rsidRDefault="00952E2E" w:rsidP="00952E2E">
            <w:pPr>
              <w:jc w:val="cente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298B550B" w14:textId="77777777" w:rsidR="00952E2E" w:rsidRPr="00952E2E" w:rsidRDefault="00952E2E" w:rsidP="00952E2E">
            <w:pPr>
              <w:jc w:val="center"/>
              <w:rPr>
                <w:rFonts w:ascii="Tahoma" w:hAnsi="Tahoma" w:cs="Tahoma"/>
                <w:sz w:val="20"/>
                <w:szCs w:val="20"/>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14A5525" w14:textId="702952A2" w:rsidR="00952E2E" w:rsidRPr="00D0286A" w:rsidRDefault="00952E2E" w:rsidP="00952E2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12474308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BB15796" w14:textId="53483D82" w:rsidR="00952E2E" w:rsidRDefault="00952E2E" w:rsidP="00952E2E">
                <w:pPr>
                  <w:jc w:val="cente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7A0BF4" w14:textId="513BDB35" w:rsidR="00952E2E" w:rsidRPr="00952E2E" w:rsidRDefault="00952E2E" w:rsidP="00952E2E">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6"/>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7" w:name="_Hlk62555726"/>
      <w:bookmarkStart w:id="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7"/>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1E06" w14:textId="77777777" w:rsidR="00AD25BF" w:rsidRDefault="00AD25BF" w:rsidP="00D50F13">
      <w:r>
        <w:separator/>
      </w:r>
    </w:p>
  </w:endnote>
  <w:endnote w:type="continuationSeparator" w:id="0">
    <w:p w14:paraId="28AD8753" w14:textId="77777777" w:rsidR="00AD25BF" w:rsidRDefault="00AD25B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E81B352"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7A5E1" w14:textId="77777777" w:rsidR="00AD25BF" w:rsidRDefault="00AD25BF" w:rsidP="00D50F13">
      <w:r>
        <w:separator/>
      </w:r>
    </w:p>
  </w:footnote>
  <w:footnote w:type="continuationSeparator" w:id="0">
    <w:p w14:paraId="20CC174C" w14:textId="77777777" w:rsidR="00AD25BF" w:rsidRDefault="00AD25BF"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D68" w:rsidRPr="005C0824" w:rsidRDefault="005C0D68">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79E4"/>
    <w:rsid w:val="00072FB8"/>
    <w:rsid w:val="00075E56"/>
    <w:rsid w:val="00076705"/>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4FE7"/>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2D83"/>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E6CDF"/>
    <w:rsid w:val="001F5A87"/>
    <w:rsid w:val="002019A5"/>
    <w:rsid w:val="002111B3"/>
    <w:rsid w:val="002133FA"/>
    <w:rsid w:val="00213A16"/>
    <w:rsid w:val="00225B0D"/>
    <w:rsid w:val="00227857"/>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495C"/>
    <w:rsid w:val="002E5606"/>
    <w:rsid w:val="00300098"/>
    <w:rsid w:val="00311C90"/>
    <w:rsid w:val="00320711"/>
    <w:rsid w:val="003215FC"/>
    <w:rsid w:val="00332AF4"/>
    <w:rsid w:val="003347E8"/>
    <w:rsid w:val="00335D9C"/>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22CD8"/>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B4442"/>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5896"/>
    <w:rsid w:val="005A6974"/>
    <w:rsid w:val="005B0752"/>
    <w:rsid w:val="005C0824"/>
    <w:rsid w:val="005C0D68"/>
    <w:rsid w:val="005C5D6E"/>
    <w:rsid w:val="005D62CF"/>
    <w:rsid w:val="005E2710"/>
    <w:rsid w:val="005E5511"/>
    <w:rsid w:val="005F2DF8"/>
    <w:rsid w:val="005F65E7"/>
    <w:rsid w:val="005F7249"/>
    <w:rsid w:val="00602C82"/>
    <w:rsid w:val="00611175"/>
    <w:rsid w:val="00613313"/>
    <w:rsid w:val="006232B4"/>
    <w:rsid w:val="00630B61"/>
    <w:rsid w:val="00635448"/>
    <w:rsid w:val="006426F7"/>
    <w:rsid w:val="00642813"/>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3C25"/>
    <w:rsid w:val="007B0925"/>
    <w:rsid w:val="007C267B"/>
    <w:rsid w:val="007C4BED"/>
    <w:rsid w:val="007D46B2"/>
    <w:rsid w:val="007E335A"/>
    <w:rsid w:val="007F79F8"/>
    <w:rsid w:val="00801181"/>
    <w:rsid w:val="00801703"/>
    <w:rsid w:val="00805B38"/>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0C72"/>
    <w:rsid w:val="008B3EEE"/>
    <w:rsid w:val="008B6FDD"/>
    <w:rsid w:val="008C0AFB"/>
    <w:rsid w:val="008C754F"/>
    <w:rsid w:val="008D0D34"/>
    <w:rsid w:val="008D113B"/>
    <w:rsid w:val="008D3220"/>
    <w:rsid w:val="008F2664"/>
    <w:rsid w:val="008F2DBD"/>
    <w:rsid w:val="008F3844"/>
    <w:rsid w:val="008F3D21"/>
    <w:rsid w:val="00901C1A"/>
    <w:rsid w:val="00902414"/>
    <w:rsid w:val="00904568"/>
    <w:rsid w:val="00904B93"/>
    <w:rsid w:val="009058FD"/>
    <w:rsid w:val="009117D6"/>
    <w:rsid w:val="009214B5"/>
    <w:rsid w:val="0093185B"/>
    <w:rsid w:val="009368B1"/>
    <w:rsid w:val="0095095F"/>
    <w:rsid w:val="00952B5A"/>
    <w:rsid w:val="00952E2E"/>
    <w:rsid w:val="00956F45"/>
    <w:rsid w:val="0097037F"/>
    <w:rsid w:val="00973EF1"/>
    <w:rsid w:val="0097528A"/>
    <w:rsid w:val="0098229E"/>
    <w:rsid w:val="00987B83"/>
    <w:rsid w:val="00990987"/>
    <w:rsid w:val="0099327E"/>
    <w:rsid w:val="009A0589"/>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25ED"/>
    <w:rsid w:val="00A77DE0"/>
    <w:rsid w:val="00A8461F"/>
    <w:rsid w:val="00A85379"/>
    <w:rsid w:val="00A8672C"/>
    <w:rsid w:val="00A96A37"/>
    <w:rsid w:val="00AA1957"/>
    <w:rsid w:val="00AA7B01"/>
    <w:rsid w:val="00AB03AB"/>
    <w:rsid w:val="00AB13EF"/>
    <w:rsid w:val="00AB1B8D"/>
    <w:rsid w:val="00AD25BF"/>
    <w:rsid w:val="00AD33C7"/>
    <w:rsid w:val="00AD423A"/>
    <w:rsid w:val="00AD5E4A"/>
    <w:rsid w:val="00AE2A99"/>
    <w:rsid w:val="00AE4BCA"/>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B70"/>
    <w:rsid w:val="00C70E44"/>
    <w:rsid w:val="00C73C2F"/>
    <w:rsid w:val="00C7643B"/>
    <w:rsid w:val="00C8260C"/>
    <w:rsid w:val="00C84006"/>
    <w:rsid w:val="00CA4416"/>
    <w:rsid w:val="00CA6E6F"/>
    <w:rsid w:val="00CB066E"/>
    <w:rsid w:val="00CB597F"/>
    <w:rsid w:val="00CB5E3A"/>
    <w:rsid w:val="00CD061B"/>
    <w:rsid w:val="00CE0F61"/>
    <w:rsid w:val="00CE4AFA"/>
    <w:rsid w:val="00CE4E5E"/>
    <w:rsid w:val="00CE58F8"/>
    <w:rsid w:val="00CF0D02"/>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A544D"/>
    <w:rsid w:val="00DC3F97"/>
    <w:rsid w:val="00DD4C16"/>
    <w:rsid w:val="00DE0239"/>
    <w:rsid w:val="00DF2843"/>
    <w:rsid w:val="00E00310"/>
    <w:rsid w:val="00E0039F"/>
    <w:rsid w:val="00E045AD"/>
    <w:rsid w:val="00E0502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2D29"/>
    <w:rsid w:val="00EA472D"/>
    <w:rsid w:val="00EA4F37"/>
    <w:rsid w:val="00EB550D"/>
    <w:rsid w:val="00EB6C90"/>
    <w:rsid w:val="00EC08A1"/>
    <w:rsid w:val="00EE1D09"/>
    <w:rsid w:val="00EE7240"/>
    <w:rsid w:val="00EF66B8"/>
    <w:rsid w:val="00F069C5"/>
    <w:rsid w:val="00F130D7"/>
    <w:rsid w:val="00F151B4"/>
    <w:rsid w:val="00F17C76"/>
    <w:rsid w:val="00F21315"/>
    <w:rsid w:val="00F25459"/>
    <w:rsid w:val="00F26952"/>
    <w:rsid w:val="00F270C4"/>
    <w:rsid w:val="00F30E47"/>
    <w:rsid w:val="00F56296"/>
    <w:rsid w:val="00F56682"/>
    <w:rsid w:val="00F57BB6"/>
    <w:rsid w:val="00F57DB5"/>
    <w:rsid w:val="00F57EC4"/>
    <w:rsid w:val="00F6665F"/>
    <w:rsid w:val="00F73F03"/>
    <w:rsid w:val="00F77E7D"/>
    <w:rsid w:val="00F84B26"/>
    <w:rsid w:val="00FA4CE5"/>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4DB347B62945B3A94515404FC5B9EA"/>
        <w:category>
          <w:name w:val="General"/>
          <w:gallery w:val="placeholder"/>
        </w:category>
        <w:types>
          <w:type w:val="bbPlcHdr"/>
        </w:types>
        <w:behaviors>
          <w:behavior w:val="content"/>
        </w:behaviors>
        <w:guid w:val="{0148C484-9107-4272-9A91-D2A5098EA0D3}"/>
      </w:docPartPr>
      <w:docPartBody>
        <w:p w:rsidR="000D5157" w:rsidRDefault="0013300A" w:rsidP="0013300A">
          <w:pPr>
            <w:pStyle w:val="B34DB347B62945B3A94515404FC5B9E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54259"/>
    <w:rsid w:val="000D5157"/>
    <w:rsid w:val="0013300A"/>
    <w:rsid w:val="00204A06"/>
    <w:rsid w:val="0025517C"/>
    <w:rsid w:val="00497419"/>
    <w:rsid w:val="004F0EE3"/>
    <w:rsid w:val="00520B83"/>
    <w:rsid w:val="00734FA4"/>
    <w:rsid w:val="008A68C7"/>
    <w:rsid w:val="00B023FA"/>
    <w:rsid w:val="00CE664C"/>
    <w:rsid w:val="00F85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300A"/>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B34DB347B62945B3A94515404FC5B9EA">
    <w:name w:val="B34DB347B62945B3A94515404FC5B9EA"/>
    <w:rsid w:val="001330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5813</Words>
  <Characters>33138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2021-03-19T07:09:00Z</cp:lastPrinted>
  <dcterms:created xsi:type="dcterms:W3CDTF">2021-03-23T11:56:00Z</dcterms:created>
  <dcterms:modified xsi:type="dcterms:W3CDTF">2021-03-23T11:56:00Z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