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5136887" w:rsidR="00BE43B2" w:rsidRPr="005810C9" w:rsidRDefault="005810C9">
            <w:pPr>
              <w:rPr>
                <w:rFonts w:ascii="Tahoma" w:hAnsi="Tahoma" w:cs="Tahoma"/>
                <w:caps/>
                <w:color w:val="000000" w:themeColor="text1"/>
                <w:sz w:val="18"/>
                <w:szCs w:val="18"/>
                <w:highlight w:val="cyan"/>
              </w:rPr>
            </w:pPr>
            <w:r w:rsidRPr="005810C9">
              <w:rPr>
                <w:rFonts w:ascii="Tahoma" w:hAnsi="Tahoma" w:cs="Tahoma"/>
                <w:iCs/>
                <w:sz w:val="18"/>
                <w:szCs w:val="18"/>
              </w:rPr>
              <w:t>8683/2021/</w:t>
            </w:r>
            <w:r w:rsidR="009031B7">
              <w:rPr>
                <w:rFonts w:ascii="Tahoma" w:hAnsi="Tahoma" w:cs="Tahoma"/>
                <w:iCs/>
                <w:sz w:val="18"/>
                <w:szCs w:val="18"/>
              </w:rPr>
              <w:t>8</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1243948" w:rsidR="00BE43B2" w:rsidRPr="00EA2362" w:rsidRDefault="00351570">
            <w:pPr>
              <w:rPr>
                <w:rFonts w:ascii="Tahoma" w:hAnsi="Tahoma" w:cs="Tahoma"/>
                <w:caps/>
                <w:color w:val="000000" w:themeColor="text1"/>
                <w:sz w:val="18"/>
                <w:szCs w:val="18"/>
                <w:highlight w:val="cyan"/>
              </w:rPr>
            </w:pPr>
            <w:r w:rsidRPr="00D76515">
              <w:rPr>
                <w:rFonts w:ascii="Tahoma" w:hAnsi="Tahoma" w:cs="Tahoma"/>
                <w:caps/>
                <w:color w:val="000000" w:themeColor="text1"/>
                <w:sz w:val="18"/>
                <w:szCs w:val="18"/>
              </w:rPr>
              <w:t>2627</w:t>
            </w:r>
            <w:r>
              <w:rPr>
                <w:rFonts w:ascii="Tahoma" w:hAnsi="Tahoma" w:cs="Tahoma"/>
                <w:caps/>
                <w:color w:val="000000" w:themeColor="text1"/>
                <w:sz w:val="18"/>
                <w:szCs w:val="18"/>
              </w:rPr>
              <w:t>, BH 8683</w:t>
            </w:r>
            <w:r w:rsidRPr="00D76515">
              <w:rPr>
                <w:rFonts w:ascii="Tahoma" w:hAnsi="Tahoma" w:cs="Tahoma"/>
                <w:caps/>
                <w:color w:val="000000" w:themeColor="text1"/>
                <w:sz w:val="18"/>
                <w:szCs w:val="18"/>
              </w:rPr>
              <w:t>/Further support for the execution by ukraine of judgments in respect of article 6 of the european convention on human rights</w:t>
            </w:r>
          </w:p>
        </w:tc>
      </w:tr>
      <w:tr w:rsidR="00BE43B2" w:rsidRPr="0063292B"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573961E" w14:textId="77777777" w:rsidR="00351570" w:rsidRPr="00276F96" w:rsidRDefault="00351570" w:rsidP="00351570">
            <w:pPr>
              <w:rPr>
                <w:rFonts w:ascii="Tahoma" w:hAnsi="Tahoma" w:cs="Tahoma"/>
                <w:color w:val="000000" w:themeColor="text1"/>
                <w:sz w:val="18"/>
                <w:szCs w:val="18"/>
                <w:lang w:val="fr-FR"/>
              </w:rPr>
            </w:pPr>
            <w:r w:rsidRPr="00276F96">
              <w:rPr>
                <w:rFonts w:ascii="Tahoma" w:hAnsi="Tahoma" w:cs="Tahoma"/>
                <w:color w:val="000000" w:themeColor="text1"/>
                <w:sz w:val="18"/>
                <w:szCs w:val="18"/>
                <w:lang w:val="fr-FR"/>
              </w:rPr>
              <w:t>Ms Marta BASYSTIUK</w:t>
            </w:r>
          </w:p>
          <w:p w14:paraId="7BE6CB41" w14:textId="45B66416" w:rsidR="00BE43B2" w:rsidRPr="00D07BB9" w:rsidRDefault="0063292B" w:rsidP="00351570">
            <w:pPr>
              <w:rPr>
                <w:rFonts w:ascii="Tahoma" w:hAnsi="Tahoma" w:cs="Tahoma"/>
                <w:b/>
                <w:caps/>
                <w:color w:val="000000" w:themeColor="text1"/>
                <w:sz w:val="18"/>
                <w:szCs w:val="18"/>
                <w:highlight w:val="cyan"/>
                <w:lang w:val="fr-FR"/>
              </w:rPr>
            </w:pPr>
            <w:hyperlink r:id="rId11" w:history="1">
              <w:r w:rsidR="00351570" w:rsidRPr="00D07BB9">
                <w:rPr>
                  <w:rStyle w:val="Hyperlink"/>
                  <w:rFonts w:ascii="Tahoma" w:hAnsi="Tahoma" w:cs="Tahoma"/>
                  <w:sz w:val="18"/>
                  <w:szCs w:val="18"/>
                  <w:lang w:val="fr-FR"/>
                </w:rPr>
                <w:t>Marta.BASYSTIUK@coe.int</w:t>
              </w:r>
            </w:hyperlink>
            <w:r w:rsidR="00351570" w:rsidRPr="00D07BB9">
              <w:rPr>
                <w:rFonts w:ascii="Tahoma" w:hAnsi="Tahoma" w:cs="Tahoma"/>
                <w:color w:val="000000" w:themeColor="text1"/>
                <w:sz w:val="18"/>
                <w:szCs w:val="18"/>
                <w:lang w:val="fr-FR"/>
              </w:rPr>
              <w:t xml:space="preserve"> / 0444253370 (ext. 163)</w:t>
            </w:r>
          </w:p>
        </w:tc>
      </w:tr>
    </w:tbl>
    <w:p w14:paraId="7732789B" w14:textId="0A4A631C" w:rsidR="00261462" w:rsidRPr="00D07BB9" w:rsidRDefault="00EC5AFE"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D07BB9" w:rsidRDefault="00261462" w:rsidP="005D5924">
      <w:pPr>
        <w:rPr>
          <w:rFonts w:ascii="Tahoma" w:hAnsi="Tahoma" w:cs="Tahoma"/>
          <w:b/>
          <w:caps/>
          <w:sz w:val="28"/>
          <w:szCs w:val="28"/>
          <w:lang w:val="fr-FR"/>
        </w:rPr>
      </w:pPr>
    </w:p>
    <w:p w14:paraId="2AEC75C2" w14:textId="541788A0" w:rsidR="00261462" w:rsidRPr="00D07BB9" w:rsidRDefault="00261462" w:rsidP="005D5924">
      <w:pPr>
        <w:rPr>
          <w:rFonts w:ascii="Tahoma" w:hAnsi="Tahoma" w:cs="Tahoma"/>
          <w:b/>
          <w:caps/>
          <w:sz w:val="28"/>
          <w:szCs w:val="28"/>
          <w:lang w:val="fr-FR"/>
        </w:rPr>
      </w:pPr>
    </w:p>
    <w:p w14:paraId="2D1D594F" w14:textId="70F2FC75" w:rsidR="00261462" w:rsidRPr="00D07BB9" w:rsidRDefault="00261462" w:rsidP="005D5924">
      <w:pPr>
        <w:rPr>
          <w:rFonts w:ascii="Tahoma" w:hAnsi="Tahoma" w:cs="Tahoma"/>
          <w:b/>
          <w:caps/>
          <w:sz w:val="28"/>
          <w:szCs w:val="28"/>
          <w:lang w:val="fr-FR"/>
        </w:rPr>
      </w:pPr>
    </w:p>
    <w:p w14:paraId="4AD2904E" w14:textId="59F5490A" w:rsidR="00261462" w:rsidRPr="00D07BB9" w:rsidRDefault="00261462" w:rsidP="005D5924">
      <w:pPr>
        <w:rPr>
          <w:rFonts w:ascii="Tahoma" w:hAnsi="Tahoma" w:cs="Tahoma"/>
          <w:b/>
          <w:caps/>
          <w:sz w:val="28"/>
          <w:szCs w:val="28"/>
          <w:lang w:val="fr-FR"/>
        </w:rPr>
      </w:pPr>
    </w:p>
    <w:p w14:paraId="1065BBBE" w14:textId="77777777" w:rsidR="00ED74AE" w:rsidRPr="00D07BB9" w:rsidRDefault="00ED74AE" w:rsidP="005D5924">
      <w:pPr>
        <w:rPr>
          <w:rFonts w:ascii="Tahoma" w:hAnsi="Tahoma" w:cs="Tahoma"/>
          <w:b/>
          <w:caps/>
          <w:sz w:val="28"/>
          <w:szCs w:val="28"/>
          <w:lang w:val="fr-FR"/>
        </w:rPr>
      </w:pPr>
    </w:p>
    <w:p w14:paraId="29E02A7D" w14:textId="77777777" w:rsidR="00ED74AE" w:rsidRPr="00D07BB9" w:rsidRDefault="00ED74AE" w:rsidP="005D5924">
      <w:pPr>
        <w:rPr>
          <w:rFonts w:ascii="Tahoma" w:hAnsi="Tahoma" w:cs="Tahoma"/>
          <w:b/>
          <w:caps/>
          <w:sz w:val="28"/>
          <w:szCs w:val="28"/>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2C5FECEF" w14:textId="25DE4AF3" w:rsidR="00F36A4E" w:rsidRPr="003A3AEE" w:rsidRDefault="00261462" w:rsidP="00F36A4E">
      <w:pPr>
        <w:jc w:val="both"/>
        <w:rPr>
          <w:rFonts w:ascii="Tahoma" w:hAnsi="Tahoma" w:cs="Tahoma"/>
          <w:b/>
        </w:rPr>
      </w:pPr>
      <w:r w:rsidRPr="00F36A4E">
        <w:rPr>
          <w:rFonts w:ascii="Tahoma" w:hAnsi="Tahoma" w:cs="Tahoma"/>
          <w:b/>
        </w:rPr>
        <w:t>This Act of Engagement lays down the terms and conditions of the contract between the Pro</w:t>
      </w:r>
      <w:r w:rsidRPr="00D422F2">
        <w:rPr>
          <w:rFonts w:ascii="Tahoma" w:hAnsi="Tahoma" w:cs="Tahoma"/>
          <w:b/>
        </w:rPr>
        <w:t xml:space="preserve">vider, </w:t>
      </w:r>
      <w:r w:rsidR="00453769" w:rsidRPr="00D422F2">
        <w:rPr>
          <w:rFonts w:ascii="Tahoma" w:hAnsi="Tahoma" w:cs="Tahoma"/>
          <w:b/>
        </w:rPr>
        <w:t>as described below,</w:t>
      </w:r>
      <w:r w:rsidRPr="00D422F2">
        <w:rPr>
          <w:rFonts w:ascii="Tahoma" w:hAnsi="Tahoma" w:cs="Tahoma"/>
          <w:b/>
        </w:rPr>
        <w:t xml:space="preserve"> and the Council of Europe</w:t>
      </w:r>
      <w:r w:rsidRPr="00D422F2">
        <w:rPr>
          <w:rStyle w:val="FootnoteReference"/>
          <w:rFonts w:ascii="Tahoma" w:hAnsi="Tahoma" w:cs="Tahoma"/>
          <w:b/>
        </w:rPr>
        <w:footnoteReference w:id="2"/>
      </w:r>
      <w:r w:rsidRPr="00D422F2">
        <w:rPr>
          <w:rFonts w:ascii="Tahoma" w:hAnsi="Tahoma" w:cs="Tahoma"/>
          <w:b/>
        </w:rPr>
        <w:t xml:space="preserve"> for the provision of </w:t>
      </w:r>
      <w:r w:rsidR="00F36A4E" w:rsidRPr="00D422F2">
        <w:rPr>
          <w:rFonts w:ascii="Tahoma" w:hAnsi="Tahoma" w:cs="Tahoma"/>
          <w:b/>
        </w:rPr>
        <w:t>intellectual services for the</w:t>
      </w:r>
      <w:r w:rsidR="00334796">
        <w:rPr>
          <w:rFonts w:ascii="Tahoma" w:hAnsi="Tahoma" w:cs="Tahoma"/>
          <w:b/>
        </w:rPr>
        <w:t xml:space="preserve"> organization and</w:t>
      </w:r>
      <w:r w:rsidR="00F36A4E" w:rsidRPr="00D422F2">
        <w:rPr>
          <w:rFonts w:ascii="Tahoma" w:hAnsi="Tahoma" w:cs="Tahoma"/>
          <w:b/>
        </w:rPr>
        <w:t xml:space="preserve"> delivery </w:t>
      </w:r>
      <w:r w:rsidR="00B4793C" w:rsidRPr="00D422F2">
        <w:rPr>
          <w:rFonts w:ascii="Tahoma" w:hAnsi="Tahoma" w:cs="Tahoma"/>
          <w:b/>
        </w:rPr>
        <w:t>of a sociological s</w:t>
      </w:r>
      <w:r w:rsidR="00984EE6">
        <w:rPr>
          <w:rFonts w:ascii="Tahoma" w:hAnsi="Tahoma" w:cs="Tahoma"/>
          <w:b/>
        </w:rPr>
        <w:t>tudy</w:t>
      </w:r>
      <w:r w:rsidR="00B4793C" w:rsidRPr="00D422F2">
        <w:rPr>
          <w:rFonts w:ascii="Tahoma" w:hAnsi="Tahoma" w:cs="Tahoma"/>
          <w:b/>
        </w:rPr>
        <w:t xml:space="preserve"> on </w:t>
      </w:r>
      <w:r w:rsidR="00D422F2" w:rsidRPr="00D422F2">
        <w:rPr>
          <w:rFonts w:ascii="Tahoma" w:hAnsi="Tahoma" w:cs="Tahoma"/>
          <w:b/>
          <w:color w:val="000000" w:themeColor="text1"/>
        </w:rPr>
        <w:t>factors leading to excessive length of court proceedings and effective mechanisms for reducing the</w:t>
      </w:r>
      <w:r w:rsidR="00C136E4">
        <w:rPr>
          <w:rFonts w:ascii="Tahoma" w:hAnsi="Tahoma" w:cs="Tahoma"/>
          <w:b/>
          <w:color w:val="000000" w:themeColor="text1"/>
        </w:rPr>
        <w:t xml:space="preserve"> excessive</w:t>
      </w:r>
      <w:r w:rsidR="00D422F2" w:rsidRPr="00D422F2">
        <w:rPr>
          <w:rFonts w:ascii="Tahoma" w:hAnsi="Tahoma" w:cs="Tahoma"/>
          <w:b/>
          <w:color w:val="000000" w:themeColor="text1"/>
        </w:rPr>
        <w:t xml:space="preserve"> length of court proceedings</w:t>
      </w:r>
      <w:r w:rsidR="00F36A4E" w:rsidRPr="00D422F2">
        <w:rPr>
          <w:rFonts w:ascii="Tahoma" w:hAnsi="Tahoma" w:cs="Tahoma"/>
          <w:b/>
          <w:color w:val="000000" w:themeColor="text1"/>
        </w:rPr>
        <w:t xml:space="preserve"> in the framework of the project “Further support for the execution by Ukraine of judgment</w:t>
      </w:r>
      <w:r w:rsidR="00F36A4E" w:rsidRPr="00D422F2">
        <w:rPr>
          <w:rFonts w:ascii="Tahoma" w:hAnsi="Tahoma" w:cs="Tahoma"/>
          <w:b/>
        </w:rPr>
        <w:t>s in respect of Article 6 of the European Convention of Human Rights”.</w:t>
      </w:r>
    </w:p>
    <w:p w14:paraId="00829377" w14:textId="72C89789" w:rsidR="00F36A4E" w:rsidRPr="00EA2362" w:rsidRDefault="003A3AEE" w:rsidP="003A3AEE">
      <w:pPr>
        <w:tabs>
          <w:tab w:val="left" w:pos="3424"/>
        </w:tabs>
        <w:rPr>
          <w:rFonts w:ascii="Tahoma" w:hAnsi="Tahoma" w:cs="Tahoma"/>
          <w:b/>
        </w:rPr>
      </w:pPr>
      <w:r>
        <w:rPr>
          <w:rFonts w:ascii="Tahoma" w:hAnsi="Tahoma" w:cs="Tahoma"/>
          <w:b/>
        </w:rPr>
        <w:tab/>
      </w: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w:t>
      </w:r>
      <w:r w:rsidRPr="00842E9B">
        <w:rPr>
          <w:rFonts w:ascii="Tahoma" w:hAnsi="Tahoma" w:cs="Tahoma"/>
          <w:b/>
          <w:sz w:val="20"/>
          <w:szCs w:val="20"/>
        </w:rPr>
        <w:t xml:space="preserve">contractually binding only </w:t>
      </w:r>
      <w:r w:rsidRPr="00842E9B">
        <w:rPr>
          <w:rFonts w:ascii="Tahoma" w:hAnsi="Tahoma" w:cs="Tahoma"/>
          <w:b/>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10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751"/>
        <w:gridCol w:w="2598"/>
        <w:gridCol w:w="238"/>
        <w:gridCol w:w="1667"/>
        <w:gridCol w:w="693"/>
        <w:gridCol w:w="2599"/>
      </w:tblGrid>
      <w:tr w:rsidR="00194EDC" w:rsidRPr="00EA2362" w14:paraId="0CDD5CD9" w14:textId="01548DCB" w:rsidTr="005362FF">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63292B"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63292B"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63292B"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5362FF">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5362FF">
        <w:trPr>
          <w:trHeight w:val="632"/>
          <w:jc w:val="center"/>
        </w:trPr>
        <w:tc>
          <w:tcPr>
            <w:tcW w:w="564"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5362FF">
        <w:trPr>
          <w:trHeight w:val="632"/>
          <w:jc w:val="center"/>
        </w:trPr>
        <w:tc>
          <w:tcPr>
            <w:tcW w:w="564"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5362FF">
        <w:trPr>
          <w:trHeight w:val="632"/>
          <w:jc w:val="center"/>
        </w:trPr>
        <w:tc>
          <w:tcPr>
            <w:tcW w:w="564"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5362FF">
        <w:trPr>
          <w:trHeight w:val="632"/>
          <w:jc w:val="center"/>
        </w:trPr>
        <w:tc>
          <w:tcPr>
            <w:tcW w:w="564"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5362FF">
        <w:trPr>
          <w:trHeight w:val="632"/>
          <w:jc w:val="center"/>
        </w:trPr>
        <w:tc>
          <w:tcPr>
            <w:tcW w:w="564"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362FF">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362FF">
        <w:trPr>
          <w:trHeight w:val="632"/>
          <w:jc w:val="center"/>
        </w:trPr>
        <w:tc>
          <w:tcPr>
            <w:tcW w:w="564"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362FF">
        <w:trPr>
          <w:trHeight w:val="632"/>
          <w:jc w:val="center"/>
        </w:trPr>
        <w:tc>
          <w:tcPr>
            <w:tcW w:w="564"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362FF">
        <w:trPr>
          <w:trHeight w:val="632"/>
          <w:jc w:val="center"/>
        </w:trPr>
        <w:tc>
          <w:tcPr>
            <w:tcW w:w="564"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362FF">
        <w:trPr>
          <w:trHeight w:val="632"/>
          <w:jc w:val="center"/>
        </w:trPr>
        <w:tc>
          <w:tcPr>
            <w:tcW w:w="564"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5362FF">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4063FD7" w14:textId="40EBC049" w:rsidR="00B44D10" w:rsidRDefault="006B0045" w:rsidP="00B44D10">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r w:rsidR="001A125D">
        <w:rPr>
          <w:rFonts w:ascii="Tahoma" w:hAnsi="Tahoma" w:cs="Tahoma"/>
          <w:sz w:val="20"/>
          <w:szCs w:val="20"/>
        </w:rPr>
        <w:t>implements</w:t>
      </w:r>
      <w:r w:rsidRPr="00EA2362">
        <w:rPr>
          <w:rFonts w:ascii="Tahoma" w:hAnsi="Tahoma" w:cs="Tahoma"/>
          <w:sz w:val="20"/>
          <w:szCs w:val="20"/>
        </w:rPr>
        <w:t xml:space="preserve"> </w:t>
      </w:r>
      <w:r w:rsidR="00D07BB9">
        <w:rPr>
          <w:rFonts w:ascii="Tahoma" w:hAnsi="Tahoma" w:cs="Tahoma"/>
          <w:sz w:val="20"/>
          <w:szCs w:val="20"/>
        </w:rPr>
        <w:t>the p</w:t>
      </w:r>
      <w:r w:rsidR="001A125D" w:rsidRPr="005451C3">
        <w:rPr>
          <w:rFonts w:ascii="Tahoma" w:hAnsi="Tahoma" w:cs="Tahoma"/>
          <w:sz w:val="20"/>
          <w:szCs w:val="20"/>
        </w:rPr>
        <w:t xml:space="preserve">roject “Further support for the execution by Ukraine of judgments in respect of Article 6 of the European Convention on Human Rights” (hereinafter – the Project), which assists the Ukrainian authorities in providing accessible, full, and effective justice through the execution of judgments of the European Court of Human Rights (ECtHR) in which a violation of Article 6 of the European Convention on Human Rights (ECHR) was found. </w:t>
      </w:r>
      <w:r w:rsidR="00B44D10" w:rsidRPr="00AB53D1">
        <w:rPr>
          <w:rFonts w:ascii="Tahoma" w:hAnsi="Tahoma" w:cs="Tahoma"/>
          <w:sz w:val="20"/>
          <w:szCs w:val="20"/>
        </w:rPr>
        <w:t xml:space="preserve">The major </w:t>
      </w:r>
      <w:r w:rsidR="00B44D10">
        <w:rPr>
          <w:rFonts w:ascii="Tahoma" w:hAnsi="Tahoma" w:cs="Tahoma"/>
          <w:sz w:val="20"/>
          <w:szCs w:val="20"/>
        </w:rPr>
        <w:t>issues</w:t>
      </w:r>
      <w:r w:rsidR="00B44D10" w:rsidRPr="00AB53D1">
        <w:rPr>
          <w:rFonts w:ascii="Tahoma" w:hAnsi="Tahoma" w:cs="Tahoma"/>
          <w:sz w:val="20"/>
          <w:szCs w:val="20"/>
        </w:rPr>
        <w:t xml:space="preserve"> of </w:t>
      </w:r>
      <w:r w:rsidR="00B44D10">
        <w:rPr>
          <w:rFonts w:ascii="Tahoma" w:hAnsi="Tahoma" w:cs="Tahoma"/>
          <w:sz w:val="20"/>
          <w:szCs w:val="20"/>
        </w:rPr>
        <w:t>these</w:t>
      </w:r>
      <w:r w:rsidR="00B44D10" w:rsidRPr="00AB53D1">
        <w:rPr>
          <w:rFonts w:ascii="Tahoma" w:hAnsi="Tahoma" w:cs="Tahoma"/>
          <w:sz w:val="20"/>
          <w:szCs w:val="20"/>
        </w:rPr>
        <w:t xml:space="preserve"> judgments include: improvement of access to justice and independence of judiciary, prevention of the non-execution of judgments of national courts, development of remedies against an excessive length of judicial proceedings, further implementation of Protocol No. 16 to the ECHR (as regards the requests for advisory opinions) and re-opening of judicial proceeding following a judgment of the ECtHR</w:t>
      </w:r>
      <w:r w:rsidR="00B44D10">
        <w:rPr>
          <w:rFonts w:ascii="Tahoma" w:hAnsi="Tahoma" w:cs="Tahoma"/>
          <w:sz w:val="20"/>
          <w:szCs w:val="20"/>
        </w:rPr>
        <w:t>.</w:t>
      </w:r>
    </w:p>
    <w:p w14:paraId="06790AA0" w14:textId="38171FE0" w:rsidR="00C72E3E" w:rsidRDefault="00B44D10" w:rsidP="003E0A41">
      <w:pPr>
        <w:spacing w:line="276" w:lineRule="auto"/>
        <w:jc w:val="both"/>
        <w:rPr>
          <w:rFonts w:ascii="Tahoma" w:hAnsi="Tahoma" w:cs="Tahoma"/>
          <w:color w:val="000000"/>
          <w:sz w:val="20"/>
          <w:szCs w:val="20"/>
        </w:rPr>
      </w:pPr>
      <w:r w:rsidRPr="00991069">
        <w:rPr>
          <w:rFonts w:ascii="Tahoma" w:hAnsi="Tahoma" w:cs="Tahoma"/>
          <w:sz w:val="20"/>
          <w:szCs w:val="20"/>
        </w:rPr>
        <w:t xml:space="preserve">In the context of the Project component on the issue of </w:t>
      </w:r>
      <w:r w:rsidR="00C96069" w:rsidRPr="00AB53D1">
        <w:rPr>
          <w:rFonts w:ascii="Tahoma" w:hAnsi="Tahoma" w:cs="Tahoma"/>
          <w:sz w:val="20"/>
          <w:szCs w:val="20"/>
        </w:rPr>
        <w:t>excessive length</w:t>
      </w:r>
      <w:r w:rsidR="00C96069">
        <w:rPr>
          <w:rFonts w:ascii="Tahoma" w:hAnsi="Tahoma" w:cs="Tahoma"/>
          <w:sz w:val="20"/>
          <w:szCs w:val="20"/>
        </w:rPr>
        <w:t xml:space="preserve"> of</w:t>
      </w:r>
      <w:r w:rsidR="00C72E3E">
        <w:rPr>
          <w:rFonts w:ascii="Tahoma" w:hAnsi="Tahoma" w:cs="Tahoma"/>
          <w:sz w:val="20"/>
          <w:szCs w:val="20"/>
        </w:rPr>
        <w:t xml:space="preserve"> court proceedings</w:t>
      </w:r>
      <w:r w:rsidRPr="00991069">
        <w:rPr>
          <w:rFonts w:ascii="Tahoma" w:hAnsi="Tahoma" w:cs="Tahoma"/>
          <w:sz w:val="20"/>
          <w:szCs w:val="20"/>
        </w:rPr>
        <w:t xml:space="preserve"> </w:t>
      </w:r>
      <w:r>
        <w:rPr>
          <w:rFonts w:ascii="Tahoma" w:hAnsi="Tahoma" w:cs="Tahoma"/>
          <w:sz w:val="20"/>
          <w:szCs w:val="20"/>
        </w:rPr>
        <w:t xml:space="preserve">and with the account of the </w:t>
      </w:r>
      <w:r w:rsidR="00C72E3E">
        <w:rPr>
          <w:rFonts w:ascii="Tahoma" w:hAnsi="Tahoma" w:cs="Tahoma"/>
          <w:sz w:val="20"/>
          <w:szCs w:val="20"/>
        </w:rPr>
        <w:t>ECtHR</w:t>
      </w:r>
      <w:r w:rsidRPr="00991069">
        <w:rPr>
          <w:rFonts w:ascii="Tahoma" w:hAnsi="Tahoma" w:cs="Tahoma"/>
          <w:sz w:val="20"/>
          <w:szCs w:val="20"/>
        </w:rPr>
        <w:t xml:space="preserve"> </w:t>
      </w:r>
      <w:r>
        <w:rPr>
          <w:rFonts w:ascii="Tahoma" w:hAnsi="Tahoma" w:cs="Tahoma"/>
          <w:sz w:val="20"/>
          <w:szCs w:val="20"/>
        </w:rPr>
        <w:t xml:space="preserve">judgments in </w:t>
      </w:r>
      <w:r w:rsidRPr="00991069">
        <w:rPr>
          <w:rFonts w:ascii="Tahoma" w:hAnsi="Tahoma" w:cs="Tahoma"/>
          <w:sz w:val="20"/>
          <w:szCs w:val="20"/>
        </w:rPr>
        <w:t xml:space="preserve">the </w:t>
      </w:r>
      <w:r w:rsidR="00C72E3E">
        <w:rPr>
          <w:rFonts w:ascii="Tahoma" w:hAnsi="Tahoma" w:cs="Tahoma"/>
          <w:sz w:val="20"/>
          <w:szCs w:val="20"/>
        </w:rPr>
        <w:t>ca</w:t>
      </w:r>
      <w:r w:rsidR="00A869D3">
        <w:rPr>
          <w:rFonts w:ascii="Tahoma" w:hAnsi="Tahoma" w:cs="Tahoma"/>
          <w:sz w:val="20"/>
          <w:szCs w:val="20"/>
        </w:rPr>
        <w:t>ses</w:t>
      </w:r>
      <w:r w:rsidR="00C72E3E">
        <w:rPr>
          <w:rFonts w:ascii="Tahoma" w:hAnsi="Tahoma" w:cs="Tahoma"/>
          <w:sz w:val="20"/>
          <w:szCs w:val="20"/>
        </w:rPr>
        <w:t xml:space="preserve"> of “Svetlana Naumenko v. Ukraine” and “Merit v. Ukraine”</w:t>
      </w:r>
      <w:r w:rsidRPr="00991069">
        <w:rPr>
          <w:rFonts w:ascii="Tahoma" w:hAnsi="Tahoma" w:cs="Tahoma"/>
          <w:sz w:val="20"/>
          <w:szCs w:val="20"/>
        </w:rPr>
        <w:t>, based on the respective decisions of the Committee of Ministers of the Council of Europe, as well as the request from the</w:t>
      </w:r>
      <w:r w:rsidR="00C72E3E">
        <w:rPr>
          <w:rFonts w:ascii="Tahoma" w:hAnsi="Tahoma" w:cs="Tahoma"/>
          <w:sz w:val="20"/>
          <w:szCs w:val="20"/>
        </w:rPr>
        <w:t xml:space="preserve"> Supreme Court</w:t>
      </w:r>
      <w:r>
        <w:rPr>
          <w:rFonts w:ascii="Tahoma" w:hAnsi="Tahoma" w:cs="Tahoma"/>
          <w:sz w:val="20"/>
          <w:szCs w:val="20"/>
        </w:rPr>
        <w:t>, the Project provides</w:t>
      </w:r>
      <w:r w:rsidRPr="00991069">
        <w:rPr>
          <w:rFonts w:ascii="Tahoma" w:hAnsi="Tahoma" w:cs="Tahoma"/>
          <w:sz w:val="20"/>
          <w:szCs w:val="20"/>
        </w:rPr>
        <w:t xml:space="preserve"> expert assistance for the </w:t>
      </w:r>
      <w:r w:rsidR="003D7F76">
        <w:rPr>
          <w:rFonts w:ascii="Tahoma" w:hAnsi="Tahoma" w:cs="Tahoma"/>
          <w:sz w:val="20"/>
          <w:szCs w:val="20"/>
        </w:rPr>
        <w:t>introduction and implementation</w:t>
      </w:r>
      <w:r w:rsidR="00496451">
        <w:rPr>
          <w:rFonts w:ascii="Tahoma" w:hAnsi="Tahoma" w:cs="Tahoma"/>
          <w:sz w:val="20"/>
          <w:szCs w:val="20"/>
        </w:rPr>
        <w:t xml:space="preserve"> of </w:t>
      </w:r>
      <w:r w:rsidR="00C72E3E">
        <w:rPr>
          <w:rFonts w:ascii="Tahoma" w:hAnsi="Tahoma" w:cs="Tahoma"/>
          <w:sz w:val="20"/>
          <w:szCs w:val="20"/>
        </w:rPr>
        <w:t>effective</w:t>
      </w:r>
      <w:r w:rsidR="00496451">
        <w:rPr>
          <w:rFonts w:ascii="Tahoma" w:hAnsi="Tahoma" w:cs="Tahoma"/>
          <w:sz w:val="20"/>
          <w:szCs w:val="20"/>
        </w:rPr>
        <w:t xml:space="preserve"> measures </w:t>
      </w:r>
      <w:r w:rsidR="00C72E3E">
        <w:rPr>
          <w:rFonts w:ascii="Tahoma" w:hAnsi="Tahoma" w:cs="Tahoma"/>
          <w:sz w:val="20"/>
          <w:szCs w:val="20"/>
        </w:rPr>
        <w:t xml:space="preserve">intended to remedy all the shortcomings </w:t>
      </w:r>
      <w:r w:rsidR="00C72E3E">
        <w:rPr>
          <w:rFonts w:ascii="Tahoma" w:hAnsi="Tahoma" w:cs="Tahoma"/>
          <w:color w:val="000000"/>
          <w:sz w:val="20"/>
          <w:szCs w:val="20"/>
        </w:rPr>
        <w:t>identified by the ECtHR in the aforementioned cases</w:t>
      </w:r>
      <w:r w:rsidR="00280CD9">
        <w:rPr>
          <w:rFonts w:ascii="Tahoma" w:hAnsi="Tahoma" w:cs="Tahoma"/>
          <w:color w:val="000000"/>
          <w:sz w:val="20"/>
          <w:szCs w:val="20"/>
        </w:rPr>
        <w:t xml:space="preserve"> and ensure the reasonable length of court proceedings</w:t>
      </w:r>
      <w:r w:rsidR="00C72E3E">
        <w:rPr>
          <w:rFonts w:ascii="Tahoma" w:hAnsi="Tahoma" w:cs="Tahoma"/>
          <w:color w:val="000000"/>
          <w:sz w:val="20"/>
          <w:szCs w:val="20"/>
        </w:rPr>
        <w:t xml:space="preserve">. </w:t>
      </w:r>
      <w:r w:rsidRPr="00F74F4D">
        <w:rPr>
          <w:rFonts w:ascii="Tahoma" w:hAnsi="Tahoma" w:cs="Tahoma"/>
          <w:color w:val="000000"/>
          <w:sz w:val="20"/>
          <w:szCs w:val="20"/>
        </w:rPr>
        <w:t xml:space="preserve"> </w:t>
      </w:r>
    </w:p>
    <w:p w14:paraId="3EA639D7" w14:textId="115C2CF3" w:rsidR="00D730F9" w:rsidRPr="00390667" w:rsidRDefault="00A901F2" w:rsidP="003E0A41">
      <w:pPr>
        <w:spacing w:line="276" w:lineRule="auto"/>
        <w:jc w:val="both"/>
        <w:rPr>
          <w:rFonts w:ascii="Tahoma" w:hAnsi="Tahoma" w:cs="Tahoma"/>
          <w:sz w:val="20"/>
          <w:szCs w:val="20"/>
          <w:lang w:val="uk-UA"/>
        </w:rPr>
      </w:pPr>
      <w:r>
        <w:rPr>
          <w:rFonts w:ascii="Tahoma" w:hAnsi="Tahoma" w:cs="Tahoma"/>
          <w:color w:val="000000"/>
          <w:sz w:val="20"/>
          <w:szCs w:val="20"/>
          <w:lang w:val="en-US"/>
        </w:rPr>
        <w:t>The issue of excess</w:t>
      </w:r>
      <w:r w:rsidRPr="003273E7">
        <w:rPr>
          <w:rFonts w:ascii="Tahoma" w:hAnsi="Tahoma" w:cs="Tahoma"/>
          <w:color w:val="000000"/>
          <w:sz w:val="20"/>
          <w:szCs w:val="20"/>
          <w:lang w:val="en-US"/>
        </w:rPr>
        <w:t>ive length of court proceedings in Ukraine reveal</w:t>
      </w:r>
      <w:r w:rsidR="000B7F25">
        <w:rPr>
          <w:rFonts w:ascii="Tahoma" w:hAnsi="Tahoma" w:cs="Tahoma"/>
          <w:color w:val="000000"/>
          <w:sz w:val="20"/>
          <w:szCs w:val="20"/>
          <w:lang w:val="en-US"/>
        </w:rPr>
        <w:t>s</w:t>
      </w:r>
      <w:r w:rsidRPr="003273E7">
        <w:rPr>
          <w:rFonts w:ascii="Tahoma" w:hAnsi="Tahoma" w:cs="Tahoma"/>
          <w:color w:val="000000"/>
          <w:sz w:val="20"/>
          <w:szCs w:val="20"/>
          <w:lang w:val="en-US"/>
        </w:rPr>
        <w:t xml:space="preserve"> </w:t>
      </w:r>
      <w:r w:rsidR="000B7F25">
        <w:rPr>
          <w:rFonts w:ascii="Tahoma" w:hAnsi="Tahoma" w:cs="Tahoma"/>
          <w:color w:val="000000"/>
          <w:sz w:val="20"/>
          <w:szCs w:val="20"/>
          <w:lang w:val="en-US"/>
        </w:rPr>
        <w:t xml:space="preserve">systemic </w:t>
      </w:r>
      <w:r w:rsidRPr="003273E7">
        <w:rPr>
          <w:rFonts w:ascii="Tahoma" w:hAnsi="Tahoma" w:cs="Tahoma"/>
          <w:color w:val="000000"/>
          <w:sz w:val="20"/>
          <w:szCs w:val="20"/>
          <w:lang w:val="en-US"/>
        </w:rPr>
        <w:t xml:space="preserve">deficiencies in the functioning of the justice system. </w:t>
      </w:r>
      <w:r w:rsidR="00280CD9" w:rsidRPr="003273E7">
        <w:rPr>
          <w:rFonts w:ascii="Tahoma" w:hAnsi="Tahoma" w:cs="Tahoma"/>
          <w:color w:val="000000"/>
          <w:sz w:val="20"/>
          <w:szCs w:val="20"/>
          <w:lang w:val="en-US"/>
        </w:rPr>
        <w:t xml:space="preserve">Over the last years, </w:t>
      </w:r>
      <w:r w:rsidR="006F07F8" w:rsidRPr="003273E7">
        <w:rPr>
          <w:rFonts w:ascii="Tahoma" w:hAnsi="Tahoma" w:cs="Tahoma"/>
          <w:color w:val="000000"/>
          <w:sz w:val="20"/>
          <w:szCs w:val="20"/>
          <w:lang w:val="en-US"/>
        </w:rPr>
        <w:t xml:space="preserve">some changes to the </w:t>
      </w:r>
      <w:r w:rsidR="0043137D" w:rsidRPr="003273E7">
        <w:rPr>
          <w:rFonts w:ascii="Tahoma" w:hAnsi="Tahoma" w:cs="Tahoma"/>
          <w:color w:val="000000"/>
          <w:sz w:val="20"/>
          <w:szCs w:val="20"/>
          <w:lang w:val="en-US"/>
        </w:rPr>
        <w:t xml:space="preserve">Ukrainian </w:t>
      </w:r>
      <w:r w:rsidR="006F07F8" w:rsidRPr="003273E7">
        <w:rPr>
          <w:rFonts w:ascii="Tahoma" w:hAnsi="Tahoma" w:cs="Tahoma"/>
          <w:color w:val="000000"/>
          <w:sz w:val="20"/>
          <w:szCs w:val="20"/>
          <w:lang w:val="en-US"/>
        </w:rPr>
        <w:t xml:space="preserve">procedural codes and respective court practice </w:t>
      </w:r>
      <w:r w:rsidR="000B7F25">
        <w:rPr>
          <w:rFonts w:ascii="Tahoma" w:hAnsi="Tahoma" w:cs="Tahoma"/>
          <w:color w:val="000000"/>
          <w:sz w:val="20"/>
          <w:szCs w:val="20"/>
          <w:lang w:val="en-US"/>
        </w:rPr>
        <w:t>were</w:t>
      </w:r>
      <w:r w:rsidR="006F07F8" w:rsidRPr="003273E7">
        <w:rPr>
          <w:rFonts w:ascii="Tahoma" w:hAnsi="Tahoma" w:cs="Tahoma"/>
          <w:color w:val="000000"/>
          <w:sz w:val="20"/>
          <w:szCs w:val="20"/>
          <w:lang w:val="en-US"/>
        </w:rPr>
        <w:t xml:space="preserve"> introduced </w:t>
      </w:r>
      <w:r w:rsidR="0043137D" w:rsidRPr="003273E7">
        <w:rPr>
          <w:rFonts w:ascii="Tahoma" w:hAnsi="Tahoma" w:cs="Tahoma"/>
          <w:color w:val="000000"/>
          <w:sz w:val="20"/>
          <w:szCs w:val="20"/>
          <w:lang w:val="en-US"/>
        </w:rPr>
        <w:t xml:space="preserve">with a purpose to reduce the length of court proceedings. </w:t>
      </w:r>
      <w:r w:rsidR="003273E7">
        <w:rPr>
          <w:rFonts w:ascii="Tahoma" w:hAnsi="Tahoma" w:cs="Tahoma"/>
          <w:color w:val="000000"/>
          <w:sz w:val="20"/>
          <w:szCs w:val="20"/>
          <w:lang w:val="en-US"/>
        </w:rPr>
        <w:t>However</w:t>
      </w:r>
      <w:r w:rsidR="0043137D" w:rsidRPr="003273E7">
        <w:rPr>
          <w:rFonts w:ascii="Tahoma" w:hAnsi="Tahoma" w:cs="Tahoma"/>
          <w:color w:val="000000"/>
          <w:sz w:val="20"/>
          <w:szCs w:val="20"/>
          <w:lang w:val="en-US"/>
        </w:rPr>
        <w:t>, a</w:t>
      </w:r>
      <w:r w:rsidR="0043137D" w:rsidRPr="003273E7">
        <w:rPr>
          <w:rFonts w:ascii="Tahoma" w:hAnsi="Tahoma" w:cs="Tahoma"/>
          <w:sz w:val="20"/>
          <w:szCs w:val="20"/>
        </w:rPr>
        <w:t xml:space="preserve"> new cycle of judicial reform </w:t>
      </w:r>
      <w:r w:rsidR="003273E7" w:rsidRPr="003273E7">
        <w:rPr>
          <w:rFonts w:ascii="Tahoma" w:hAnsi="Tahoma" w:cs="Tahoma"/>
          <w:sz w:val="20"/>
          <w:szCs w:val="20"/>
        </w:rPr>
        <w:t xml:space="preserve">was launched in 2020 and </w:t>
      </w:r>
      <w:r w:rsidR="00390667">
        <w:rPr>
          <w:rFonts w:ascii="Tahoma" w:hAnsi="Tahoma" w:cs="Tahoma"/>
          <w:sz w:val="20"/>
          <w:szCs w:val="20"/>
        </w:rPr>
        <w:t xml:space="preserve">the </w:t>
      </w:r>
      <w:r w:rsidR="003273E7" w:rsidRPr="003273E7">
        <w:rPr>
          <w:rFonts w:ascii="Tahoma" w:hAnsi="Tahoma" w:cs="Tahoma"/>
          <w:sz w:val="20"/>
          <w:szCs w:val="20"/>
        </w:rPr>
        <w:t>COVID-19 pandemic caused various difficulties</w:t>
      </w:r>
      <w:r w:rsidR="006B5E0D">
        <w:rPr>
          <w:rFonts w:ascii="Tahoma" w:hAnsi="Tahoma" w:cs="Tahoma"/>
          <w:sz w:val="20"/>
          <w:szCs w:val="20"/>
        </w:rPr>
        <w:t xml:space="preserve"> </w:t>
      </w:r>
      <w:r w:rsidR="00390667">
        <w:rPr>
          <w:rFonts w:ascii="Tahoma" w:hAnsi="Tahoma" w:cs="Tahoma"/>
          <w:sz w:val="20"/>
          <w:szCs w:val="20"/>
        </w:rPr>
        <w:t xml:space="preserve">and </w:t>
      </w:r>
      <w:r w:rsidR="000B7F25">
        <w:rPr>
          <w:rFonts w:ascii="Tahoma" w:hAnsi="Tahoma" w:cs="Tahoma"/>
          <w:sz w:val="20"/>
          <w:szCs w:val="20"/>
        </w:rPr>
        <w:t xml:space="preserve">made a </w:t>
      </w:r>
      <w:r w:rsidR="00390667">
        <w:rPr>
          <w:rFonts w:ascii="Tahoma" w:hAnsi="Tahoma" w:cs="Tahoma"/>
          <w:sz w:val="20"/>
          <w:szCs w:val="20"/>
        </w:rPr>
        <w:t>negative impact</w:t>
      </w:r>
      <w:r w:rsidR="000B7F25">
        <w:rPr>
          <w:rFonts w:ascii="Tahoma" w:hAnsi="Tahoma" w:cs="Tahoma"/>
          <w:sz w:val="20"/>
          <w:szCs w:val="20"/>
        </w:rPr>
        <w:t xml:space="preserve"> on </w:t>
      </w:r>
      <w:r w:rsidR="003273E7" w:rsidRPr="003273E7">
        <w:rPr>
          <w:rFonts w:ascii="Tahoma" w:hAnsi="Tahoma" w:cs="Tahoma"/>
          <w:sz w:val="20"/>
          <w:szCs w:val="20"/>
        </w:rPr>
        <w:t>the functioning of the judiciary</w:t>
      </w:r>
      <w:r w:rsidR="003273E7">
        <w:rPr>
          <w:rFonts w:ascii="Tahoma" w:hAnsi="Tahoma" w:cs="Tahoma"/>
          <w:sz w:val="20"/>
          <w:szCs w:val="20"/>
        </w:rPr>
        <w:t xml:space="preserve"> in general. Thus, </w:t>
      </w:r>
      <w:r w:rsidR="00390667">
        <w:rPr>
          <w:rFonts w:ascii="Tahoma" w:hAnsi="Tahoma" w:cs="Tahoma"/>
          <w:sz w:val="20"/>
          <w:szCs w:val="20"/>
        </w:rPr>
        <w:t xml:space="preserve">the Project was approached by the national authorities to </w:t>
      </w:r>
      <w:r w:rsidR="00576647">
        <w:rPr>
          <w:rFonts w:ascii="Tahoma" w:hAnsi="Tahoma" w:cs="Tahoma"/>
          <w:sz w:val="20"/>
          <w:szCs w:val="20"/>
        </w:rPr>
        <w:t>assist</w:t>
      </w:r>
      <w:r w:rsidR="00390667">
        <w:rPr>
          <w:rFonts w:ascii="Tahoma" w:hAnsi="Tahoma" w:cs="Tahoma"/>
          <w:sz w:val="20"/>
          <w:szCs w:val="20"/>
        </w:rPr>
        <w:t xml:space="preserve"> with assessing the impact of this situation on the factors</w:t>
      </w:r>
      <w:r w:rsidR="00DD4A66">
        <w:rPr>
          <w:rFonts w:ascii="Tahoma" w:hAnsi="Tahoma" w:cs="Tahoma"/>
          <w:sz w:val="20"/>
          <w:szCs w:val="20"/>
        </w:rPr>
        <w:t xml:space="preserve"> </w:t>
      </w:r>
      <w:r w:rsidR="00390667">
        <w:rPr>
          <w:rFonts w:ascii="Tahoma" w:hAnsi="Tahoma" w:cs="Tahoma"/>
          <w:sz w:val="20"/>
          <w:szCs w:val="20"/>
        </w:rPr>
        <w:t>causing</w:t>
      </w:r>
      <w:r w:rsidR="00576647">
        <w:rPr>
          <w:rFonts w:ascii="Tahoma" w:hAnsi="Tahoma" w:cs="Tahoma"/>
          <w:sz w:val="20"/>
          <w:szCs w:val="20"/>
        </w:rPr>
        <w:t xml:space="preserve"> </w:t>
      </w:r>
      <w:r w:rsidR="00390667">
        <w:rPr>
          <w:rFonts w:ascii="Tahoma" w:hAnsi="Tahoma" w:cs="Tahoma"/>
          <w:sz w:val="20"/>
          <w:szCs w:val="20"/>
        </w:rPr>
        <w:t xml:space="preserve">excessive length of court proceedings. </w:t>
      </w:r>
    </w:p>
    <w:p w14:paraId="1740570B" w14:textId="4F81F546" w:rsidR="00EE5B36" w:rsidRPr="007F4F2B" w:rsidRDefault="00A869D3" w:rsidP="003E0A41">
      <w:pPr>
        <w:spacing w:line="276" w:lineRule="auto"/>
        <w:jc w:val="both"/>
        <w:rPr>
          <w:rFonts w:ascii="Tahoma" w:hAnsi="Tahoma" w:cs="Tahoma"/>
          <w:color w:val="FF0000"/>
          <w:sz w:val="20"/>
          <w:szCs w:val="20"/>
          <w:lang w:val="en-US"/>
        </w:rPr>
      </w:pPr>
      <w:r w:rsidRPr="001E5342">
        <w:rPr>
          <w:rFonts w:ascii="Tahoma" w:hAnsi="Tahoma" w:cs="Tahoma"/>
          <w:color w:val="000000" w:themeColor="text1"/>
          <w:sz w:val="20"/>
          <w:szCs w:val="20"/>
        </w:rPr>
        <w:t>In that context, the Project</w:t>
      </w:r>
      <w:r w:rsidR="006B0045" w:rsidRPr="001E5342">
        <w:rPr>
          <w:rFonts w:ascii="Tahoma" w:hAnsi="Tahoma" w:cs="Tahoma"/>
          <w:color w:val="000000" w:themeColor="text1"/>
          <w:sz w:val="20"/>
          <w:szCs w:val="20"/>
        </w:rPr>
        <w:t xml:space="preserve"> is looking</w:t>
      </w:r>
      <w:r w:rsidR="00E55F69" w:rsidRPr="001E5342">
        <w:rPr>
          <w:rFonts w:ascii="Tahoma" w:hAnsi="Tahoma" w:cs="Tahoma"/>
          <w:color w:val="000000" w:themeColor="text1"/>
          <w:sz w:val="20"/>
          <w:szCs w:val="20"/>
        </w:rPr>
        <w:t xml:space="preserve"> for a Provider to </w:t>
      </w:r>
      <w:r w:rsidR="000B7F25" w:rsidRPr="001E5342">
        <w:rPr>
          <w:rFonts w:ascii="Tahoma" w:hAnsi="Tahoma" w:cs="Tahoma"/>
          <w:color w:val="000000" w:themeColor="text1"/>
          <w:sz w:val="20"/>
          <w:szCs w:val="20"/>
        </w:rPr>
        <w:t xml:space="preserve">organise and deliver </w:t>
      </w:r>
      <w:r w:rsidR="00B4793C" w:rsidRPr="001E5342">
        <w:rPr>
          <w:rFonts w:ascii="Tahoma" w:hAnsi="Tahoma" w:cs="Tahoma"/>
          <w:color w:val="000000" w:themeColor="text1"/>
          <w:sz w:val="20"/>
          <w:szCs w:val="20"/>
        </w:rPr>
        <w:t xml:space="preserve">a sociological </w:t>
      </w:r>
      <w:r w:rsidR="00D07BB9" w:rsidRPr="001E5342">
        <w:rPr>
          <w:rFonts w:ascii="Tahoma" w:hAnsi="Tahoma" w:cs="Tahoma"/>
          <w:color w:val="000000" w:themeColor="text1"/>
          <w:sz w:val="20"/>
          <w:szCs w:val="20"/>
        </w:rPr>
        <w:t xml:space="preserve">study </w:t>
      </w:r>
      <w:r w:rsidR="00B4793C" w:rsidRPr="001E5342">
        <w:rPr>
          <w:rFonts w:ascii="Tahoma" w:hAnsi="Tahoma" w:cs="Tahoma"/>
          <w:color w:val="000000" w:themeColor="text1"/>
          <w:sz w:val="20"/>
          <w:szCs w:val="20"/>
        </w:rPr>
        <w:t xml:space="preserve">on </w:t>
      </w:r>
      <w:r w:rsidR="00E629A3" w:rsidRPr="001E5342">
        <w:rPr>
          <w:rFonts w:ascii="Tahoma" w:hAnsi="Tahoma" w:cs="Tahoma"/>
          <w:color w:val="000000" w:themeColor="text1"/>
          <w:sz w:val="20"/>
          <w:szCs w:val="20"/>
        </w:rPr>
        <w:t>the</w:t>
      </w:r>
      <w:r w:rsidR="00595288" w:rsidRPr="001E5342">
        <w:rPr>
          <w:rFonts w:ascii="Tahoma" w:hAnsi="Tahoma" w:cs="Tahoma"/>
          <w:color w:val="000000" w:themeColor="text1"/>
          <w:sz w:val="20"/>
          <w:szCs w:val="20"/>
        </w:rPr>
        <w:t xml:space="preserve"> </w:t>
      </w:r>
      <w:r w:rsidR="00390667" w:rsidRPr="001E5342">
        <w:rPr>
          <w:rFonts w:ascii="Tahoma" w:hAnsi="Tahoma" w:cs="Tahoma"/>
          <w:color w:val="000000" w:themeColor="text1"/>
          <w:sz w:val="20"/>
          <w:szCs w:val="20"/>
        </w:rPr>
        <w:t xml:space="preserve">main factors </w:t>
      </w:r>
      <w:r w:rsidR="00576647" w:rsidRPr="001E5342">
        <w:rPr>
          <w:rFonts w:ascii="Tahoma" w:hAnsi="Tahoma" w:cs="Tahoma"/>
          <w:color w:val="000000" w:themeColor="text1"/>
          <w:sz w:val="20"/>
          <w:szCs w:val="20"/>
        </w:rPr>
        <w:t>leading to excessive length of</w:t>
      </w:r>
      <w:r w:rsidR="00595288" w:rsidRPr="001E5342">
        <w:rPr>
          <w:rFonts w:ascii="Tahoma" w:hAnsi="Tahoma" w:cs="Tahoma"/>
          <w:color w:val="000000" w:themeColor="text1"/>
          <w:sz w:val="20"/>
          <w:szCs w:val="20"/>
        </w:rPr>
        <w:t xml:space="preserve"> court proceedings</w:t>
      </w:r>
      <w:r w:rsidR="00EE5B36" w:rsidRPr="001E5342">
        <w:rPr>
          <w:rFonts w:ascii="Tahoma" w:hAnsi="Tahoma" w:cs="Tahoma"/>
          <w:color w:val="000000" w:themeColor="text1"/>
          <w:sz w:val="20"/>
          <w:szCs w:val="20"/>
        </w:rPr>
        <w:t xml:space="preserve"> </w:t>
      </w:r>
      <w:r w:rsidR="00EE5B36" w:rsidRPr="001E5342">
        <w:rPr>
          <w:rFonts w:ascii="Tahoma" w:hAnsi="Tahoma" w:cs="Tahoma"/>
          <w:color w:val="000000" w:themeColor="text1"/>
          <w:sz w:val="20"/>
          <w:szCs w:val="20"/>
          <w:lang w:val="en-US"/>
        </w:rPr>
        <w:t>and</w:t>
      </w:r>
      <w:r w:rsidR="007F4F2B" w:rsidRPr="001E5342">
        <w:rPr>
          <w:rFonts w:ascii="Tahoma" w:hAnsi="Tahoma" w:cs="Tahoma"/>
          <w:color w:val="000000" w:themeColor="text1"/>
          <w:sz w:val="20"/>
          <w:szCs w:val="20"/>
          <w:lang w:val="en-US"/>
        </w:rPr>
        <w:t xml:space="preserve"> </w:t>
      </w:r>
      <w:r w:rsidR="00EE5B36" w:rsidRPr="001E5342">
        <w:rPr>
          <w:rFonts w:ascii="Tahoma" w:hAnsi="Tahoma" w:cs="Tahoma"/>
          <w:color w:val="000000" w:themeColor="text1"/>
          <w:sz w:val="20"/>
          <w:szCs w:val="20"/>
        </w:rPr>
        <w:t>effective mechanisms for reducing the excessive length of court proceedings</w:t>
      </w:r>
      <w:r w:rsidR="007F4F2B" w:rsidRPr="001E5342">
        <w:rPr>
          <w:rFonts w:ascii="Tahoma" w:hAnsi="Tahoma" w:cs="Tahoma"/>
          <w:color w:val="000000" w:themeColor="text1"/>
          <w:sz w:val="20"/>
          <w:szCs w:val="20"/>
        </w:rPr>
        <w:t>.</w:t>
      </w:r>
    </w:p>
    <w:p w14:paraId="31124A04" w14:textId="7CC16152" w:rsidR="00C10B0F" w:rsidRDefault="00C10B0F" w:rsidP="003E0A41">
      <w:pPr>
        <w:spacing w:line="276" w:lineRule="auto"/>
        <w:jc w:val="both"/>
        <w:rPr>
          <w:rFonts w:ascii="Tahoma" w:hAnsi="Tahoma" w:cs="Tahoma"/>
          <w:sz w:val="20"/>
          <w:szCs w:val="20"/>
        </w:rPr>
      </w:pPr>
    </w:p>
    <w:p w14:paraId="7246ED9E" w14:textId="4321F671" w:rsidR="00C10B0F" w:rsidRDefault="00C10B0F" w:rsidP="003E0A41">
      <w:pPr>
        <w:spacing w:line="276" w:lineRule="auto"/>
        <w:jc w:val="both"/>
        <w:rPr>
          <w:rFonts w:ascii="Tahoma" w:hAnsi="Tahoma" w:cs="Tahoma"/>
          <w:sz w:val="20"/>
          <w:szCs w:val="20"/>
        </w:rPr>
      </w:pPr>
      <w:r>
        <w:rPr>
          <w:rFonts w:ascii="Tahoma" w:hAnsi="Tahoma" w:cs="Tahoma"/>
          <w:sz w:val="20"/>
          <w:szCs w:val="20"/>
          <w:lang w:val="en-US"/>
        </w:rPr>
        <w:t>For the purpose of this</w:t>
      </w:r>
      <w:r w:rsidRPr="00C10B0F">
        <w:rPr>
          <w:rFonts w:ascii="Tahoma" w:hAnsi="Tahoma" w:cs="Tahoma"/>
          <w:sz w:val="20"/>
          <w:szCs w:val="20"/>
        </w:rPr>
        <w:t xml:space="preserve"> </w:t>
      </w:r>
      <w:r w:rsidRPr="00BC16A2">
        <w:rPr>
          <w:rFonts w:ascii="Tahoma" w:hAnsi="Tahoma" w:cs="Tahoma"/>
          <w:sz w:val="20"/>
          <w:szCs w:val="20"/>
        </w:rPr>
        <w:t xml:space="preserve">sociological </w:t>
      </w:r>
      <w:r w:rsidR="00D07BB9">
        <w:rPr>
          <w:rFonts w:ascii="Tahoma" w:hAnsi="Tahoma" w:cs="Tahoma"/>
          <w:sz w:val="20"/>
          <w:szCs w:val="20"/>
        </w:rPr>
        <w:t>study</w:t>
      </w:r>
      <w:r>
        <w:rPr>
          <w:rFonts w:ascii="Tahoma" w:hAnsi="Tahoma" w:cs="Tahoma"/>
          <w:sz w:val="20"/>
          <w:szCs w:val="20"/>
          <w:lang w:val="en-US"/>
        </w:rPr>
        <w:t>,</w:t>
      </w:r>
      <w:r w:rsidR="00CB422D">
        <w:rPr>
          <w:rFonts w:ascii="Tahoma" w:hAnsi="Tahoma" w:cs="Tahoma"/>
          <w:sz w:val="20"/>
          <w:szCs w:val="20"/>
          <w:lang w:val="en-US"/>
        </w:rPr>
        <w:t xml:space="preserve"> the Provider </w:t>
      </w:r>
      <w:r w:rsidR="00D07BB9">
        <w:rPr>
          <w:rFonts w:ascii="Tahoma" w:hAnsi="Tahoma" w:cs="Tahoma"/>
          <w:sz w:val="20"/>
          <w:szCs w:val="20"/>
          <w:lang w:val="en-US"/>
        </w:rPr>
        <w:t>shall deliver</w:t>
      </w:r>
      <w:r w:rsidR="00CB422D">
        <w:rPr>
          <w:rFonts w:ascii="Tahoma" w:hAnsi="Tahoma" w:cs="Tahoma"/>
          <w:sz w:val="20"/>
          <w:szCs w:val="20"/>
          <w:lang w:val="en-US"/>
        </w:rPr>
        <w:t xml:space="preserve"> the </w:t>
      </w:r>
      <w:r w:rsidR="000B7F25">
        <w:rPr>
          <w:rFonts w:ascii="Tahoma" w:hAnsi="Tahoma" w:cs="Tahoma"/>
          <w:sz w:val="20"/>
          <w:szCs w:val="20"/>
          <w:lang w:val="en-US"/>
        </w:rPr>
        <w:t>sociological study</w:t>
      </w:r>
      <w:r w:rsidR="00CB422D">
        <w:rPr>
          <w:rFonts w:ascii="Tahoma" w:hAnsi="Tahoma" w:cs="Tahoma"/>
          <w:sz w:val="20"/>
          <w:szCs w:val="20"/>
          <w:lang w:val="en-US"/>
        </w:rPr>
        <w:t xml:space="preserve"> </w:t>
      </w:r>
      <w:r w:rsidR="00CB422D">
        <w:rPr>
          <w:rFonts w:ascii="Tahoma" w:hAnsi="Tahoma" w:cs="Tahoma"/>
          <w:sz w:val="20"/>
          <w:szCs w:val="20"/>
        </w:rPr>
        <w:t>in accordance with the following requirements:</w:t>
      </w:r>
    </w:p>
    <w:tbl>
      <w:tblPr>
        <w:tblStyle w:val="TableGrid"/>
        <w:tblW w:w="0" w:type="auto"/>
        <w:tblLook w:val="04A0" w:firstRow="1" w:lastRow="0" w:firstColumn="1" w:lastColumn="0" w:noHBand="0" w:noVBand="1"/>
      </w:tblPr>
      <w:tblGrid>
        <w:gridCol w:w="3277"/>
        <w:gridCol w:w="6352"/>
      </w:tblGrid>
      <w:tr w:rsidR="00CB422D" w14:paraId="22819EA4" w14:textId="77777777" w:rsidTr="00A419ED">
        <w:trPr>
          <w:trHeight w:val="975"/>
        </w:trPr>
        <w:tc>
          <w:tcPr>
            <w:tcW w:w="3277" w:type="dxa"/>
          </w:tcPr>
          <w:p w14:paraId="424F5A86" w14:textId="7BA86117" w:rsidR="00CB422D" w:rsidRPr="00B16D85" w:rsidRDefault="00CB422D" w:rsidP="00DD4A66">
            <w:pPr>
              <w:spacing w:line="276" w:lineRule="auto"/>
              <w:jc w:val="both"/>
              <w:rPr>
                <w:rFonts w:ascii="Tahoma" w:hAnsi="Tahoma" w:cs="Tahoma"/>
                <w:sz w:val="20"/>
                <w:szCs w:val="20"/>
              </w:rPr>
            </w:pPr>
            <w:r w:rsidRPr="00B16D85">
              <w:rPr>
                <w:rFonts w:ascii="Tahoma" w:hAnsi="Tahoma" w:cs="Tahoma"/>
                <w:sz w:val="20"/>
                <w:szCs w:val="20"/>
              </w:rPr>
              <w:t>Met</w:t>
            </w:r>
            <w:r w:rsidR="00C05C21">
              <w:rPr>
                <w:rFonts w:ascii="Tahoma" w:hAnsi="Tahoma" w:cs="Tahoma"/>
                <w:sz w:val="20"/>
                <w:szCs w:val="20"/>
              </w:rPr>
              <w:t>hod of conducting sociological s</w:t>
            </w:r>
            <w:r w:rsidR="00DD4A66">
              <w:rPr>
                <w:rFonts w:ascii="Tahoma" w:hAnsi="Tahoma" w:cs="Tahoma"/>
                <w:sz w:val="20"/>
                <w:szCs w:val="20"/>
              </w:rPr>
              <w:t>tudy</w:t>
            </w:r>
          </w:p>
        </w:tc>
        <w:tc>
          <w:tcPr>
            <w:tcW w:w="6352" w:type="dxa"/>
          </w:tcPr>
          <w:p w14:paraId="79508EC2" w14:textId="14138629" w:rsidR="00CB422D" w:rsidRPr="009E5960" w:rsidRDefault="00C96069" w:rsidP="005362FF">
            <w:pPr>
              <w:pStyle w:val="ListParagraph"/>
              <w:numPr>
                <w:ilvl w:val="0"/>
                <w:numId w:val="29"/>
              </w:numPr>
              <w:spacing w:line="276" w:lineRule="auto"/>
              <w:jc w:val="both"/>
              <w:rPr>
                <w:rFonts w:ascii="Tahoma" w:hAnsi="Tahoma" w:cs="Lucida Grande"/>
                <w:color w:val="000000" w:themeColor="text1"/>
                <w:sz w:val="20"/>
                <w:szCs w:val="20"/>
                <w:lang w:val="en-US"/>
              </w:rPr>
            </w:pPr>
            <w:r w:rsidRPr="009E5960">
              <w:rPr>
                <w:rFonts w:ascii="Tahoma" w:hAnsi="Tahoma" w:cs="Tahoma"/>
                <w:color w:val="000000" w:themeColor="text1"/>
                <w:sz w:val="20"/>
                <w:szCs w:val="20"/>
              </w:rPr>
              <w:t>Questionnaire</w:t>
            </w:r>
            <w:r w:rsidR="000B7F25">
              <w:rPr>
                <w:rFonts w:ascii="Tahoma" w:hAnsi="Tahoma" w:cs="Tahoma"/>
                <w:color w:val="000000" w:themeColor="text1"/>
                <w:sz w:val="20"/>
                <w:szCs w:val="20"/>
              </w:rPr>
              <w:t>s</w:t>
            </w:r>
            <w:r w:rsidR="00BD571A" w:rsidRPr="009E5960">
              <w:rPr>
                <w:rFonts w:ascii="Tahoma" w:hAnsi="Tahoma" w:cs="Tahoma"/>
                <w:color w:val="000000" w:themeColor="text1"/>
                <w:sz w:val="20"/>
                <w:szCs w:val="20"/>
              </w:rPr>
              <w:t xml:space="preserve"> for conducting </w:t>
            </w:r>
            <w:r w:rsidR="009E5960">
              <w:rPr>
                <w:rFonts w:ascii="Tahoma" w:hAnsi="Tahoma" w:cs="Tahoma"/>
                <w:color w:val="000000" w:themeColor="text1"/>
                <w:sz w:val="20"/>
                <w:szCs w:val="20"/>
                <w:lang w:val="en-US"/>
              </w:rPr>
              <w:t>two</w:t>
            </w:r>
            <w:r w:rsidR="00CB422D" w:rsidRPr="009E5960">
              <w:rPr>
                <w:rFonts w:ascii="Tahoma" w:hAnsi="Tahoma" w:cs="Tahoma"/>
                <w:color w:val="000000" w:themeColor="text1"/>
                <w:sz w:val="20"/>
                <w:szCs w:val="20"/>
                <w:lang w:val="en-US"/>
              </w:rPr>
              <w:t xml:space="preserve"> sociological survey</w:t>
            </w:r>
            <w:r w:rsidR="00BD571A" w:rsidRPr="009E5960">
              <w:rPr>
                <w:rFonts w:ascii="Tahoma" w:hAnsi="Tahoma" w:cs="Tahoma"/>
                <w:color w:val="000000" w:themeColor="text1"/>
                <w:sz w:val="20"/>
                <w:szCs w:val="20"/>
                <w:lang w:val="en-US"/>
              </w:rPr>
              <w:t>s</w:t>
            </w:r>
            <w:r w:rsidR="000B7F25">
              <w:rPr>
                <w:rFonts w:ascii="Tahoma" w:hAnsi="Tahoma" w:cs="Tahoma"/>
                <w:color w:val="000000" w:themeColor="text1"/>
                <w:sz w:val="20"/>
                <w:szCs w:val="20"/>
                <w:lang w:val="en-US"/>
              </w:rPr>
              <w:t xml:space="preserve"> (one for judges, the other - for relevant court staff)</w:t>
            </w:r>
            <w:r w:rsidR="00BD571A" w:rsidRPr="009E5960">
              <w:rPr>
                <w:rFonts w:ascii="Tahoma" w:hAnsi="Tahoma" w:cs="Tahoma"/>
                <w:color w:val="000000" w:themeColor="text1"/>
                <w:sz w:val="20"/>
                <w:szCs w:val="20"/>
                <w:lang w:val="en-US"/>
              </w:rPr>
              <w:t xml:space="preserve">; the </w:t>
            </w:r>
            <w:r w:rsidR="009E5960">
              <w:rPr>
                <w:rFonts w:ascii="Tahoma" w:hAnsi="Tahoma" w:cs="Tahoma"/>
                <w:color w:val="000000" w:themeColor="text1"/>
                <w:sz w:val="20"/>
                <w:szCs w:val="20"/>
                <w:lang w:val="en-US"/>
              </w:rPr>
              <w:t>results of both</w:t>
            </w:r>
            <w:r w:rsidR="00BD571A" w:rsidRPr="009E5960">
              <w:rPr>
                <w:rFonts w:ascii="Tahoma" w:hAnsi="Tahoma" w:cs="Tahoma"/>
                <w:color w:val="000000" w:themeColor="text1"/>
                <w:sz w:val="20"/>
                <w:szCs w:val="20"/>
                <w:lang w:val="en-US"/>
              </w:rPr>
              <w:t xml:space="preserve"> surveys </w:t>
            </w:r>
            <w:r w:rsidR="006F61B8" w:rsidRPr="009E5960">
              <w:rPr>
                <w:rFonts w:ascii="Tahoma" w:hAnsi="Tahoma" w:cs="Tahoma"/>
                <w:color w:val="000000" w:themeColor="text1"/>
                <w:sz w:val="20"/>
                <w:szCs w:val="20"/>
                <w:lang w:val="en-US"/>
              </w:rPr>
              <w:t>to be analys</w:t>
            </w:r>
            <w:r w:rsidR="00CB422D" w:rsidRPr="009E5960">
              <w:rPr>
                <w:rFonts w:ascii="Tahoma" w:hAnsi="Tahoma" w:cs="Tahoma"/>
                <w:color w:val="000000" w:themeColor="text1"/>
                <w:sz w:val="20"/>
                <w:szCs w:val="20"/>
                <w:lang w:val="en-US"/>
              </w:rPr>
              <w:t xml:space="preserve">ed in </w:t>
            </w:r>
            <w:r w:rsidR="000B7F25">
              <w:rPr>
                <w:rFonts w:ascii="Tahoma" w:hAnsi="Tahoma" w:cs="Tahoma"/>
                <w:color w:val="000000" w:themeColor="text1"/>
                <w:sz w:val="20"/>
                <w:szCs w:val="20"/>
                <w:lang w:val="en-US"/>
              </w:rPr>
              <w:t xml:space="preserve">the </w:t>
            </w:r>
            <w:r w:rsidR="00CB422D" w:rsidRPr="009E5960">
              <w:rPr>
                <w:rFonts w:ascii="Tahoma" w:hAnsi="Tahoma" w:cs="Tahoma"/>
                <w:color w:val="000000" w:themeColor="text1"/>
                <w:sz w:val="20"/>
                <w:szCs w:val="20"/>
                <w:lang w:val="en-US"/>
              </w:rPr>
              <w:t>context of international standards and national legal framework</w:t>
            </w:r>
            <w:r w:rsidR="000B7F25">
              <w:rPr>
                <w:rFonts w:ascii="Tahoma" w:hAnsi="Tahoma" w:cs="Tahoma"/>
                <w:color w:val="000000" w:themeColor="text1"/>
                <w:sz w:val="20"/>
                <w:szCs w:val="20"/>
                <w:lang w:val="en-US"/>
              </w:rPr>
              <w:t>, recomme</w:t>
            </w:r>
            <w:r w:rsidR="001C16DD">
              <w:rPr>
                <w:rFonts w:ascii="Tahoma" w:hAnsi="Tahoma" w:cs="Tahoma"/>
                <w:color w:val="000000" w:themeColor="text1"/>
                <w:sz w:val="20"/>
                <w:szCs w:val="20"/>
                <w:lang w:val="en-US"/>
              </w:rPr>
              <w:t xml:space="preserve">ndations as to the improvement </w:t>
            </w:r>
            <w:r w:rsidR="000B7F25">
              <w:rPr>
                <w:rFonts w:ascii="Tahoma" w:hAnsi="Tahoma" w:cs="Tahoma"/>
                <w:color w:val="000000" w:themeColor="text1"/>
                <w:sz w:val="20"/>
                <w:szCs w:val="20"/>
                <w:lang w:val="en-US"/>
              </w:rPr>
              <w:t>o</w:t>
            </w:r>
            <w:r w:rsidR="001C16DD">
              <w:rPr>
                <w:rFonts w:ascii="Tahoma" w:hAnsi="Tahoma" w:cs="Tahoma"/>
                <w:color w:val="000000" w:themeColor="text1"/>
                <w:sz w:val="20"/>
                <w:szCs w:val="20"/>
                <w:lang w:val="en-US"/>
              </w:rPr>
              <w:t>f</w:t>
            </w:r>
            <w:r w:rsidR="000B7F25">
              <w:rPr>
                <w:rFonts w:ascii="Tahoma" w:hAnsi="Tahoma" w:cs="Tahoma"/>
                <w:color w:val="000000" w:themeColor="text1"/>
                <w:sz w:val="20"/>
                <w:szCs w:val="20"/>
                <w:lang w:val="en-US"/>
              </w:rPr>
              <w:t xml:space="preserve"> the situation to be provided</w:t>
            </w:r>
            <w:r w:rsidR="00CB422D" w:rsidRPr="009E5960">
              <w:rPr>
                <w:rFonts w:ascii="Tahoma" w:hAnsi="Tahoma" w:cs="Tahoma"/>
                <w:color w:val="000000" w:themeColor="text1"/>
                <w:sz w:val="20"/>
                <w:szCs w:val="20"/>
                <w:lang w:val="en-US"/>
              </w:rPr>
              <w:t>.</w:t>
            </w:r>
          </w:p>
        </w:tc>
      </w:tr>
      <w:tr w:rsidR="00CB422D" w14:paraId="3EE89B83" w14:textId="77777777" w:rsidTr="004047FC">
        <w:trPr>
          <w:trHeight w:val="1299"/>
        </w:trPr>
        <w:tc>
          <w:tcPr>
            <w:tcW w:w="3277" w:type="dxa"/>
          </w:tcPr>
          <w:p w14:paraId="61AFBE49" w14:textId="77777777" w:rsidR="00CB422D" w:rsidRPr="001824A9" w:rsidRDefault="00CB422D" w:rsidP="00367A1E">
            <w:pPr>
              <w:spacing w:line="276" w:lineRule="auto"/>
              <w:jc w:val="both"/>
              <w:rPr>
                <w:rFonts w:ascii="Tahoma" w:hAnsi="Tahoma" w:cs="Tahoma"/>
                <w:sz w:val="20"/>
                <w:szCs w:val="20"/>
              </w:rPr>
            </w:pPr>
            <w:r w:rsidRPr="001824A9">
              <w:rPr>
                <w:rFonts w:ascii="Tahoma" w:hAnsi="Tahoma" w:cs="Tahoma"/>
                <w:sz w:val="20"/>
                <w:szCs w:val="20"/>
              </w:rPr>
              <w:t xml:space="preserve">Minimum sample and geography </w:t>
            </w:r>
          </w:p>
        </w:tc>
        <w:tc>
          <w:tcPr>
            <w:tcW w:w="6352" w:type="dxa"/>
          </w:tcPr>
          <w:p w14:paraId="323BE5B8" w14:textId="170696F8" w:rsidR="00CB422D" w:rsidRPr="00D36F23" w:rsidRDefault="000B7F25" w:rsidP="005362FF">
            <w:pPr>
              <w:pStyle w:val="ListParagraph"/>
              <w:numPr>
                <w:ilvl w:val="0"/>
                <w:numId w:val="28"/>
              </w:numPr>
              <w:spacing w:line="276"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Two samples should be developed for a </w:t>
            </w:r>
            <w:r w:rsidRPr="007F4F2B">
              <w:rPr>
                <w:rFonts w:ascii="Tahoma" w:hAnsi="Tahoma" w:cs="Tahoma"/>
                <w:color w:val="000000" w:themeColor="text1"/>
                <w:sz w:val="20"/>
                <w:szCs w:val="20"/>
              </w:rPr>
              <w:t xml:space="preserve">survey of </w:t>
            </w:r>
            <w:r w:rsidR="007F4F2B" w:rsidRPr="007F4F2B">
              <w:rPr>
                <w:rFonts w:ascii="Tahoma" w:hAnsi="Tahoma" w:cs="Tahoma"/>
                <w:color w:val="000000" w:themeColor="text1"/>
                <w:sz w:val="20"/>
                <w:szCs w:val="20"/>
              </w:rPr>
              <w:t xml:space="preserve">around </w:t>
            </w:r>
            <w:r w:rsidR="0093088A" w:rsidRPr="007F4F2B">
              <w:rPr>
                <w:rFonts w:ascii="Tahoma" w:hAnsi="Tahoma" w:cs="Tahoma"/>
                <w:color w:val="000000" w:themeColor="text1"/>
                <w:sz w:val="20"/>
                <w:szCs w:val="20"/>
              </w:rPr>
              <w:t>1</w:t>
            </w:r>
            <w:r w:rsidR="00C96069" w:rsidRPr="007F4F2B">
              <w:rPr>
                <w:rFonts w:ascii="Tahoma" w:hAnsi="Tahoma" w:cs="Tahoma"/>
                <w:color w:val="000000" w:themeColor="text1"/>
                <w:sz w:val="20"/>
                <w:szCs w:val="20"/>
              </w:rPr>
              <w:t>0</w:t>
            </w:r>
            <w:r w:rsidR="00CB422D" w:rsidRPr="007F4F2B">
              <w:rPr>
                <w:rFonts w:ascii="Tahoma" w:hAnsi="Tahoma" w:cs="Tahoma"/>
                <w:color w:val="000000" w:themeColor="text1"/>
                <w:sz w:val="20"/>
                <w:szCs w:val="20"/>
              </w:rPr>
              <w:t>00 respondents</w:t>
            </w:r>
            <w:r w:rsidR="00BD571A" w:rsidRPr="007F4F2B">
              <w:rPr>
                <w:rFonts w:ascii="Tahoma" w:hAnsi="Tahoma" w:cs="Tahoma"/>
                <w:color w:val="000000" w:themeColor="text1"/>
                <w:sz w:val="20"/>
                <w:szCs w:val="20"/>
              </w:rPr>
              <w:t xml:space="preserve"> </w:t>
            </w:r>
            <w:r w:rsidRPr="007F4F2B">
              <w:rPr>
                <w:rFonts w:ascii="Tahoma" w:hAnsi="Tahoma" w:cs="Tahoma"/>
                <w:color w:val="000000" w:themeColor="text1"/>
                <w:sz w:val="20"/>
                <w:szCs w:val="20"/>
              </w:rPr>
              <w:t>each, to include</w:t>
            </w:r>
            <w:r w:rsidR="009E5960" w:rsidRPr="007F4F2B">
              <w:rPr>
                <w:rFonts w:ascii="Tahoma" w:hAnsi="Tahoma" w:cs="Tahoma"/>
                <w:color w:val="000000" w:themeColor="text1"/>
                <w:sz w:val="20"/>
                <w:szCs w:val="20"/>
              </w:rPr>
              <w:t xml:space="preserve"> </w:t>
            </w:r>
            <w:r w:rsidR="00866EC7" w:rsidRPr="007F4F2B">
              <w:rPr>
                <w:rFonts w:ascii="Tahoma" w:hAnsi="Tahoma" w:cs="Tahoma"/>
                <w:color w:val="000000" w:themeColor="text1"/>
                <w:sz w:val="20"/>
                <w:szCs w:val="20"/>
              </w:rPr>
              <w:t>various</w:t>
            </w:r>
            <w:r w:rsidR="00CB422D" w:rsidRPr="007F4F2B">
              <w:rPr>
                <w:rFonts w:ascii="Tahoma" w:hAnsi="Tahoma" w:cs="Tahoma"/>
                <w:color w:val="000000" w:themeColor="text1"/>
                <w:sz w:val="20"/>
                <w:szCs w:val="20"/>
              </w:rPr>
              <w:t xml:space="preserve"> regions of </w:t>
            </w:r>
            <w:r w:rsidR="00CB422D" w:rsidRPr="009E5960">
              <w:rPr>
                <w:rFonts w:ascii="Tahoma" w:hAnsi="Tahoma" w:cs="Tahoma"/>
                <w:color w:val="000000" w:themeColor="text1"/>
                <w:sz w:val="20"/>
                <w:szCs w:val="20"/>
              </w:rPr>
              <w:t>Ukraine</w:t>
            </w:r>
            <w:r w:rsidR="009E5960">
              <w:rPr>
                <w:rFonts w:ascii="Tahoma" w:hAnsi="Tahoma" w:cs="Tahoma"/>
                <w:color w:val="000000" w:themeColor="text1"/>
                <w:sz w:val="20"/>
                <w:szCs w:val="20"/>
              </w:rPr>
              <w:t xml:space="preserve"> </w:t>
            </w:r>
            <w:r w:rsidR="009E5960" w:rsidRPr="009E5960">
              <w:rPr>
                <w:rFonts w:ascii="Tahoma" w:hAnsi="Tahoma" w:cs="Tahoma"/>
                <w:color w:val="000000" w:themeColor="text1"/>
                <w:sz w:val="20"/>
                <w:szCs w:val="20"/>
              </w:rPr>
              <w:t>(</w:t>
            </w:r>
            <w:r w:rsidR="009E5960">
              <w:rPr>
                <w:rFonts w:ascii="Tahoma" w:hAnsi="Tahoma" w:cs="Tahoma"/>
                <w:color w:val="000000" w:themeColor="text1"/>
                <w:sz w:val="20"/>
                <w:szCs w:val="20"/>
              </w:rPr>
              <w:t>t</w:t>
            </w:r>
            <w:r w:rsidR="009E5960" w:rsidRPr="009E5960">
              <w:rPr>
                <w:rFonts w:ascii="Tahoma" w:hAnsi="Tahoma" w:cs="Tahoma"/>
                <w:color w:val="000000" w:themeColor="text1"/>
                <w:sz w:val="20"/>
                <w:szCs w:val="20"/>
              </w:rPr>
              <w:t>he number</w:t>
            </w:r>
            <w:r w:rsidR="009E5960">
              <w:rPr>
                <w:rFonts w:ascii="Tahoma" w:hAnsi="Tahoma" w:cs="Tahoma"/>
                <w:color w:val="000000" w:themeColor="text1"/>
                <w:sz w:val="20"/>
                <w:szCs w:val="20"/>
              </w:rPr>
              <w:t xml:space="preserve"> of respondents</w:t>
            </w:r>
            <w:r w:rsidR="009E5960" w:rsidRPr="009E5960">
              <w:rPr>
                <w:rFonts w:ascii="Tahoma" w:hAnsi="Tahoma" w:cs="Tahoma"/>
                <w:color w:val="000000" w:themeColor="text1"/>
                <w:sz w:val="20"/>
                <w:szCs w:val="20"/>
              </w:rPr>
              <w:t xml:space="preserve"> is tentative and is subject to an agreement</w:t>
            </w:r>
            <w:r w:rsidR="009E5960">
              <w:rPr>
                <w:rFonts w:ascii="Tahoma" w:hAnsi="Tahoma" w:cs="Tahoma"/>
                <w:color w:val="000000" w:themeColor="text1"/>
                <w:sz w:val="20"/>
                <w:szCs w:val="20"/>
              </w:rPr>
              <w:t xml:space="preserve"> with the Project</w:t>
            </w:r>
            <w:r w:rsidR="009E5960" w:rsidRPr="009E5960">
              <w:rPr>
                <w:rFonts w:ascii="Tahoma" w:hAnsi="Tahoma" w:cs="Tahoma"/>
                <w:color w:val="000000" w:themeColor="text1"/>
                <w:sz w:val="20"/>
                <w:szCs w:val="20"/>
              </w:rPr>
              <w:t>)</w:t>
            </w:r>
            <w:r w:rsidR="009E5960">
              <w:rPr>
                <w:rFonts w:ascii="Tahoma" w:hAnsi="Tahoma" w:cs="Tahoma"/>
                <w:color w:val="000000" w:themeColor="text1"/>
                <w:sz w:val="20"/>
                <w:szCs w:val="20"/>
              </w:rPr>
              <w:t>.</w:t>
            </w:r>
            <w:r w:rsidR="009E5960" w:rsidRPr="009E5960">
              <w:rPr>
                <w:rFonts w:ascii="Tahoma" w:hAnsi="Tahoma" w:cs="Tahoma"/>
                <w:color w:val="000000" w:themeColor="text1"/>
                <w:sz w:val="20"/>
                <w:szCs w:val="20"/>
              </w:rPr>
              <w:t xml:space="preserve"> </w:t>
            </w:r>
          </w:p>
        </w:tc>
      </w:tr>
      <w:tr w:rsidR="00CB422D" w14:paraId="3F39D9DB" w14:textId="77777777" w:rsidTr="00CB422D">
        <w:tc>
          <w:tcPr>
            <w:tcW w:w="3277" w:type="dxa"/>
          </w:tcPr>
          <w:p w14:paraId="48D60DDE" w14:textId="77777777" w:rsidR="00CB422D" w:rsidRPr="001824A9" w:rsidRDefault="00CB422D" w:rsidP="00367A1E">
            <w:pPr>
              <w:spacing w:line="276" w:lineRule="auto"/>
              <w:jc w:val="both"/>
              <w:rPr>
                <w:rFonts w:ascii="Tahoma" w:hAnsi="Tahoma" w:cs="Tahoma"/>
                <w:sz w:val="20"/>
                <w:szCs w:val="20"/>
              </w:rPr>
            </w:pPr>
            <w:r w:rsidRPr="001824A9">
              <w:rPr>
                <w:rFonts w:ascii="Tahoma" w:hAnsi="Tahoma" w:cs="Tahoma"/>
                <w:sz w:val="20"/>
                <w:szCs w:val="20"/>
              </w:rPr>
              <w:t>Respondents (target audience)</w:t>
            </w:r>
          </w:p>
        </w:tc>
        <w:tc>
          <w:tcPr>
            <w:tcW w:w="6352" w:type="dxa"/>
          </w:tcPr>
          <w:p w14:paraId="56DEDFBA" w14:textId="5CFE126C" w:rsidR="00CB422D" w:rsidRPr="009E5960" w:rsidRDefault="00CB422D" w:rsidP="005362FF">
            <w:pPr>
              <w:pStyle w:val="ListParagraph"/>
              <w:numPr>
                <w:ilvl w:val="0"/>
                <w:numId w:val="28"/>
              </w:numPr>
              <w:spacing w:line="276" w:lineRule="auto"/>
              <w:jc w:val="both"/>
              <w:rPr>
                <w:rFonts w:ascii="Tahoma" w:hAnsi="Tahoma" w:cs="Tahoma"/>
                <w:color w:val="000000" w:themeColor="text1"/>
                <w:sz w:val="20"/>
                <w:szCs w:val="20"/>
              </w:rPr>
            </w:pPr>
            <w:r w:rsidRPr="009E5960">
              <w:rPr>
                <w:rFonts w:ascii="Tahoma" w:hAnsi="Tahoma" w:cs="Tahoma"/>
                <w:color w:val="000000" w:themeColor="text1"/>
                <w:sz w:val="20"/>
                <w:szCs w:val="20"/>
              </w:rPr>
              <w:t>Persons 18-75 years old</w:t>
            </w:r>
            <w:r w:rsidR="006F1AF5" w:rsidRPr="009E5960">
              <w:rPr>
                <w:rFonts w:ascii="Tahoma" w:hAnsi="Tahoma" w:cs="Tahoma"/>
                <w:color w:val="000000" w:themeColor="text1"/>
                <w:sz w:val="20"/>
                <w:szCs w:val="20"/>
              </w:rPr>
              <w:t xml:space="preserve">, </w:t>
            </w:r>
            <w:r w:rsidR="00F10574" w:rsidRPr="009E5960">
              <w:rPr>
                <w:rFonts w:ascii="Tahoma" w:hAnsi="Tahoma" w:cs="Tahoma"/>
                <w:color w:val="000000" w:themeColor="text1"/>
                <w:sz w:val="20"/>
                <w:szCs w:val="20"/>
              </w:rPr>
              <w:t>judges and court staff</w:t>
            </w:r>
            <w:r w:rsidR="00BD571A" w:rsidRPr="009E5960">
              <w:rPr>
                <w:rFonts w:ascii="Tahoma" w:hAnsi="Tahoma" w:cs="Tahoma"/>
                <w:color w:val="000000" w:themeColor="text1"/>
                <w:sz w:val="20"/>
                <w:szCs w:val="20"/>
              </w:rPr>
              <w:t xml:space="preserve"> </w:t>
            </w:r>
          </w:p>
        </w:tc>
      </w:tr>
      <w:tr w:rsidR="00CB422D" w14:paraId="74321156" w14:textId="77777777" w:rsidTr="00DD4A66">
        <w:trPr>
          <w:trHeight w:val="255"/>
        </w:trPr>
        <w:tc>
          <w:tcPr>
            <w:tcW w:w="3277" w:type="dxa"/>
          </w:tcPr>
          <w:p w14:paraId="296786FE" w14:textId="283782EC" w:rsidR="00CB422D" w:rsidRPr="001824A9" w:rsidRDefault="00CB422D" w:rsidP="00DD4A66">
            <w:pPr>
              <w:spacing w:line="276" w:lineRule="auto"/>
              <w:jc w:val="both"/>
              <w:rPr>
                <w:rFonts w:ascii="Tahoma" w:hAnsi="Tahoma" w:cs="Tahoma"/>
                <w:sz w:val="20"/>
                <w:szCs w:val="20"/>
              </w:rPr>
            </w:pPr>
            <w:r w:rsidRPr="001824A9">
              <w:rPr>
                <w:rFonts w:ascii="Tahoma" w:hAnsi="Tahoma" w:cs="Tahoma"/>
                <w:sz w:val="20"/>
                <w:szCs w:val="20"/>
              </w:rPr>
              <w:t xml:space="preserve">Period for </w:t>
            </w:r>
            <w:r w:rsidR="00B30357">
              <w:rPr>
                <w:rFonts w:ascii="Tahoma" w:hAnsi="Tahoma" w:cs="Tahoma"/>
                <w:sz w:val="20"/>
                <w:szCs w:val="20"/>
              </w:rPr>
              <w:t>conducting s</w:t>
            </w:r>
            <w:r w:rsidR="00DD4A66">
              <w:rPr>
                <w:rFonts w:ascii="Tahoma" w:hAnsi="Tahoma" w:cs="Tahoma"/>
                <w:sz w:val="20"/>
                <w:szCs w:val="20"/>
              </w:rPr>
              <w:t>tudy</w:t>
            </w:r>
          </w:p>
        </w:tc>
        <w:tc>
          <w:tcPr>
            <w:tcW w:w="6352" w:type="dxa"/>
          </w:tcPr>
          <w:p w14:paraId="03B28F5A" w14:textId="692A4FF8" w:rsidR="00CB422D" w:rsidRPr="009E5960" w:rsidRDefault="006A6F11" w:rsidP="005362FF">
            <w:pPr>
              <w:pStyle w:val="ListParagraph"/>
              <w:numPr>
                <w:ilvl w:val="0"/>
                <w:numId w:val="31"/>
              </w:numPr>
              <w:spacing w:line="276" w:lineRule="auto"/>
              <w:ind w:left="722"/>
              <w:jc w:val="both"/>
              <w:rPr>
                <w:rFonts w:ascii="Tahoma" w:hAnsi="Tahoma" w:cs="Tahoma"/>
                <w:color w:val="000000" w:themeColor="text1"/>
                <w:sz w:val="20"/>
                <w:szCs w:val="20"/>
              </w:rPr>
            </w:pPr>
            <w:r w:rsidRPr="009E5960">
              <w:rPr>
                <w:rFonts w:ascii="Tahoma" w:hAnsi="Tahoma" w:cs="Tahoma"/>
                <w:color w:val="000000" w:themeColor="text1"/>
                <w:sz w:val="20"/>
                <w:szCs w:val="20"/>
              </w:rPr>
              <w:t>March</w:t>
            </w:r>
            <w:r w:rsidR="005E7C32">
              <w:rPr>
                <w:rFonts w:ascii="Tahoma" w:hAnsi="Tahoma" w:cs="Tahoma"/>
                <w:color w:val="000000" w:themeColor="text1"/>
                <w:sz w:val="20"/>
                <w:szCs w:val="20"/>
              </w:rPr>
              <w:t xml:space="preserve"> – m</w:t>
            </w:r>
            <w:r w:rsidR="003618E9">
              <w:rPr>
                <w:rFonts w:ascii="Tahoma" w:hAnsi="Tahoma" w:cs="Tahoma"/>
                <w:color w:val="000000" w:themeColor="text1"/>
                <w:sz w:val="20"/>
                <w:szCs w:val="20"/>
              </w:rPr>
              <w:t>id May</w:t>
            </w:r>
            <w:r w:rsidR="00CB422D" w:rsidRPr="009E5960">
              <w:rPr>
                <w:rFonts w:ascii="Tahoma" w:hAnsi="Tahoma" w:cs="Tahoma"/>
                <w:color w:val="000000" w:themeColor="text1"/>
                <w:sz w:val="20"/>
                <w:szCs w:val="20"/>
              </w:rPr>
              <w:t xml:space="preserve"> 202</w:t>
            </w:r>
            <w:r w:rsidR="0063292B">
              <w:rPr>
                <w:rFonts w:ascii="Tahoma" w:hAnsi="Tahoma" w:cs="Tahoma"/>
                <w:color w:val="000000" w:themeColor="text1"/>
                <w:sz w:val="20"/>
                <w:szCs w:val="20"/>
                <w:lang w:val="uk-UA"/>
              </w:rPr>
              <w:t>1</w:t>
            </w:r>
            <w:r w:rsidR="009E5960">
              <w:rPr>
                <w:rFonts w:ascii="Tahoma" w:hAnsi="Tahoma" w:cs="Tahoma"/>
                <w:color w:val="000000" w:themeColor="text1"/>
                <w:sz w:val="20"/>
                <w:szCs w:val="20"/>
              </w:rPr>
              <w:t>.</w:t>
            </w:r>
          </w:p>
        </w:tc>
      </w:tr>
    </w:tbl>
    <w:p w14:paraId="0FB96ED0" w14:textId="77777777" w:rsidR="00CB422D" w:rsidRPr="00EA2362" w:rsidRDefault="00CB422D"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3D77E59F" w14:textId="54C7836D" w:rsidR="006A1C42" w:rsidRDefault="006A1C42" w:rsidP="00261462">
      <w:pPr>
        <w:spacing w:line="276" w:lineRule="auto"/>
        <w:jc w:val="both"/>
        <w:rPr>
          <w:rFonts w:ascii="Tahoma" w:hAnsi="Tahoma" w:cs="Tahoma"/>
          <w:b/>
          <w:color w:val="000000"/>
          <w:sz w:val="20"/>
          <w:szCs w:val="20"/>
          <w:u w:val="single"/>
          <w:lang w:eastAsia="en-US"/>
        </w:rPr>
      </w:pPr>
    </w:p>
    <w:p w14:paraId="18F2E70C" w14:textId="77777777" w:rsidR="003F4702" w:rsidRPr="00EA2362" w:rsidRDefault="003F4702" w:rsidP="003F470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w:t>
      </w:r>
      <w:r w:rsidRPr="007753BD">
        <w:rPr>
          <w:rFonts w:ascii="Tahoma" w:hAnsi="Tahoma" w:cs="Tahoma"/>
          <w:color w:val="000000"/>
          <w:sz w:val="20"/>
          <w:szCs w:val="20"/>
          <w:lang w:eastAsia="en-US"/>
        </w:rPr>
        <w:t xml:space="preserve">indicated in Euros </w:t>
      </w:r>
      <w:r>
        <w:rPr>
          <w:rFonts w:ascii="Tahoma" w:hAnsi="Tahoma" w:cs="Tahoma"/>
          <w:color w:val="000000"/>
          <w:sz w:val="20"/>
          <w:szCs w:val="20"/>
          <w:lang w:eastAsia="en-US"/>
        </w:rPr>
        <w:t xml:space="preserve">including all taxes with </w:t>
      </w:r>
      <w:r w:rsidRPr="00EA2362">
        <w:rPr>
          <w:rFonts w:ascii="Tahoma" w:hAnsi="Tahoma" w:cs="Tahoma"/>
          <w:color w:val="000000"/>
          <w:sz w:val="20"/>
          <w:szCs w:val="20"/>
          <w:lang w:eastAsia="en-US"/>
        </w:rPr>
        <w:t>VAT</w:t>
      </w:r>
      <w:r>
        <w:rPr>
          <w:rFonts w:ascii="Tahoma" w:hAnsi="Tahoma" w:cs="Tahoma"/>
          <w:color w:val="000000"/>
          <w:sz w:val="20"/>
          <w:szCs w:val="20"/>
          <w:lang w:eastAsia="en-US"/>
        </w:rPr>
        <w:t xml:space="preserve"> indicated separately</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01E06798" w14:textId="77777777" w:rsidR="003F4702" w:rsidRPr="00EA2362" w:rsidRDefault="003F4702" w:rsidP="00261462">
      <w:pPr>
        <w:spacing w:line="276" w:lineRule="auto"/>
        <w:jc w:val="both"/>
        <w:rPr>
          <w:rFonts w:ascii="Tahoma" w:hAnsi="Tahoma" w:cs="Tahoma"/>
          <w:b/>
          <w:color w:val="000000"/>
          <w:sz w:val="20"/>
          <w:szCs w:val="20"/>
          <w:u w:val="single"/>
          <w:lang w:eastAsia="en-US"/>
        </w:rPr>
      </w:pPr>
    </w:p>
    <w:p w14:paraId="5671D50A" w14:textId="3D7218FE" w:rsidR="00C96069"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lastRenderedPageBreak/>
        <w:t>For the VAT regime to be mentioned on the invoice, please refer to Section B below.</w:t>
      </w:r>
    </w:p>
    <w:p w14:paraId="38DA6570" w14:textId="77777777" w:rsidR="001E5342" w:rsidRDefault="001E5342" w:rsidP="001E5342">
      <w:pPr>
        <w:spacing w:line="276" w:lineRule="auto"/>
        <w:jc w:val="both"/>
        <w:rPr>
          <w:rFonts w:ascii="Tahoma" w:hAnsi="Tahoma" w:cs="Tahoma"/>
          <w:b/>
          <w:color w:val="000000"/>
          <w:sz w:val="20"/>
          <w:szCs w:val="20"/>
          <w:u w:val="single"/>
          <w:lang w:eastAsia="en-US"/>
        </w:rPr>
      </w:pPr>
    </w:p>
    <w:p w14:paraId="58BFE52B" w14:textId="1D2754E2" w:rsidR="006A1C42" w:rsidRPr="00EA2362" w:rsidRDefault="001E5342" w:rsidP="00261462">
      <w:pPr>
        <w:spacing w:line="276" w:lineRule="auto"/>
        <w:jc w:val="both"/>
        <w:rPr>
          <w:rFonts w:ascii="Tahoma" w:hAnsi="Tahoma" w:cs="Tahoma"/>
          <w:b/>
          <w:color w:val="000000"/>
          <w:sz w:val="20"/>
          <w:szCs w:val="20"/>
          <w:u w:val="single"/>
          <w:lang w:eastAsia="en-US"/>
        </w:rPr>
      </w:pPr>
      <w:r w:rsidRPr="00E3056F">
        <w:rPr>
          <w:rFonts w:ascii="Tahoma" w:hAnsi="Tahoma" w:cs="Tahoma"/>
          <w:b/>
          <w:color w:val="000000"/>
          <w:sz w:val="20"/>
          <w:szCs w:val="20"/>
          <w:u w:val="single"/>
          <w:lang w:eastAsia="en-US"/>
        </w:rPr>
        <w:t>Tenders proposing a fee above the exclusion level will be entirely and automatically excluded from the tender procedure.</w:t>
      </w: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4F7F1A10">
                <wp:simplePos x="0" y="0"/>
                <wp:positionH relativeFrom="column">
                  <wp:posOffset>5004435</wp:posOffset>
                </wp:positionH>
                <wp:positionV relativeFrom="paragraph">
                  <wp:posOffset>34290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FBC59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4.05pt;margin-top:2.7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" adj="3973" strokecolor="red">
                <o:lock v:ext="edit" aspectratio="t"/>
                <v:textbox style="layout-flow:vertical-ideographic"/>
                <w10:anchorlock/>
              </v:shape>
            </w:pict>
          </mc:Fallback>
        </mc:AlternateContent>
      </w:r>
    </w:p>
    <w:tbl>
      <w:tblPr>
        <w:tblW w:w="100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05"/>
        <w:gridCol w:w="1347"/>
        <w:gridCol w:w="1224"/>
        <w:gridCol w:w="1134"/>
      </w:tblGrid>
      <w:tr w:rsidR="008667B4" w:rsidRPr="00EA2362" w14:paraId="0166D4C8" w14:textId="107F3D69" w:rsidTr="005E7C32">
        <w:trPr>
          <w:trHeight w:val="719"/>
          <w:jc w:val="center"/>
        </w:trPr>
        <w:tc>
          <w:tcPr>
            <w:tcW w:w="6305" w:type="dxa"/>
            <w:shd w:val="clear" w:color="auto" w:fill="DBE5F1" w:themeFill="accent1" w:themeFillTint="33"/>
            <w:vAlign w:val="center"/>
          </w:tcPr>
          <w:p w14:paraId="7C25DC9A" w14:textId="77777777" w:rsidR="008F31A8" w:rsidRDefault="008F31A8"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8F31A8" w:rsidRPr="00EA2362" w:rsidRDefault="008F31A8"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47" w:type="dxa"/>
            <w:shd w:val="clear" w:color="auto" w:fill="DBE5F1" w:themeFill="accent1" w:themeFillTint="33"/>
            <w:vAlign w:val="center"/>
          </w:tcPr>
          <w:p w14:paraId="4C4B2597" w14:textId="77777777" w:rsidR="008F31A8" w:rsidRPr="00EA2362" w:rsidRDefault="008F31A8" w:rsidP="00F44AB8">
            <w:pPr>
              <w:tabs>
                <w:tab w:val="left" w:pos="-139"/>
                <w:tab w:val="left" w:pos="0"/>
              </w:tabs>
              <w:spacing w:line="276" w:lineRule="auto"/>
              <w:ind w:right="-140" w:hanging="17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8F31A8" w:rsidRPr="00EA2362" w:rsidRDefault="008F31A8" w:rsidP="00F44AB8">
            <w:pPr>
              <w:tabs>
                <w:tab w:val="left" w:pos="-139"/>
                <w:tab w:val="left" w:pos="0"/>
              </w:tabs>
              <w:spacing w:line="276" w:lineRule="auto"/>
              <w:ind w:right="-140" w:hanging="17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24" w:type="dxa"/>
            <w:tcBorders>
              <w:bottom w:val="single" w:sz="2" w:space="0" w:color="FF0000"/>
            </w:tcBorders>
            <w:shd w:val="clear" w:color="auto" w:fill="DBE5F1" w:themeFill="accent1" w:themeFillTint="33"/>
            <w:vAlign w:val="center"/>
          </w:tcPr>
          <w:p w14:paraId="39664718" w14:textId="77777777" w:rsidR="008F31A8" w:rsidRPr="00EA2362" w:rsidRDefault="008F31A8" w:rsidP="00F44AB8">
            <w:pPr>
              <w:tabs>
                <w:tab w:val="left" w:pos="-139"/>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8F31A8" w:rsidRPr="00EA2362" w:rsidRDefault="008F31A8" w:rsidP="00F44AB8">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4" w:type="dxa"/>
            <w:tcBorders>
              <w:bottom w:val="single" w:sz="2" w:space="0" w:color="FF0000"/>
            </w:tcBorders>
            <w:shd w:val="clear" w:color="auto" w:fill="DBE5F1" w:themeFill="accent1" w:themeFillTint="33"/>
          </w:tcPr>
          <w:p w14:paraId="4E55C6E1" w14:textId="77777777" w:rsidR="008F31A8" w:rsidRPr="00E3056F" w:rsidRDefault="008F31A8" w:rsidP="008F31A8">
            <w:pPr>
              <w:tabs>
                <w:tab w:val="left" w:pos="-139"/>
              </w:tabs>
              <w:spacing w:line="276" w:lineRule="auto"/>
              <w:ind w:left="-193" w:right="-140" w:firstLine="79"/>
              <w:jc w:val="center"/>
              <w:rPr>
                <w:rFonts w:ascii="Tahoma" w:hAnsi="Tahoma" w:cs="Tahoma"/>
                <w:b/>
                <w:sz w:val="18"/>
                <w:szCs w:val="18"/>
                <w:lang w:eastAsia="en-US"/>
              </w:rPr>
            </w:pPr>
            <w:r w:rsidRPr="00E3056F">
              <w:rPr>
                <w:rFonts w:ascii="Tahoma" w:hAnsi="Tahoma" w:cs="Tahoma"/>
                <w:b/>
                <w:sz w:val="18"/>
                <w:szCs w:val="18"/>
                <w:lang w:eastAsia="en-US"/>
              </w:rPr>
              <w:t>Exclusion level</w:t>
            </w:r>
            <w:r>
              <w:rPr>
                <w:rFonts w:ascii="Tahoma" w:hAnsi="Tahoma" w:cs="Tahoma"/>
                <w:b/>
                <w:sz w:val="18"/>
                <w:szCs w:val="18"/>
                <w:lang w:eastAsia="en-US"/>
              </w:rPr>
              <w:t>, EUR</w:t>
            </w:r>
          </w:p>
          <w:p w14:paraId="7C6395EB" w14:textId="4BBB9575" w:rsidR="008F31A8" w:rsidRPr="00EA2362" w:rsidRDefault="008F31A8" w:rsidP="008F31A8">
            <w:pPr>
              <w:tabs>
                <w:tab w:val="left" w:pos="-99"/>
              </w:tabs>
              <w:spacing w:line="276" w:lineRule="auto"/>
              <w:ind w:right="-140" w:hanging="99"/>
              <w:jc w:val="center"/>
              <w:rPr>
                <w:rFonts w:ascii="Tahoma" w:hAnsi="Tahoma" w:cs="Tahoma"/>
                <w:b/>
                <w:sz w:val="18"/>
                <w:szCs w:val="18"/>
                <w:lang w:eastAsia="en-US"/>
              </w:rPr>
            </w:pPr>
            <w:r w:rsidRPr="00E3056F">
              <w:rPr>
                <w:b/>
                <w:sz w:val="18"/>
                <w:szCs w:val="18"/>
                <w:lang w:eastAsia="en-US"/>
              </w:rPr>
              <w:t>▼</w:t>
            </w:r>
          </w:p>
        </w:tc>
      </w:tr>
      <w:tr w:rsidR="008667B4" w:rsidRPr="00EA2362" w14:paraId="6CA125F2" w14:textId="137B6218" w:rsidTr="005E7C32">
        <w:trPr>
          <w:trHeight w:val="827"/>
          <w:jc w:val="center"/>
        </w:trPr>
        <w:tc>
          <w:tcPr>
            <w:tcW w:w="6305" w:type="dxa"/>
            <w:shd w:val="clear" w:color="auto" w:fill="F2F2F2" w:themeFill="background1" w:themeFillShade="F2"/>
            <w:vAlign w:val="center"/>
          </w:tcPr>
          <w:p w14:paraId="60FDA710" w14:textId="20F66EAE" w:rsidR="00F44AB8" w:rsidRPr="008F31A8" w:rsidRDefault="00F44AB8" w:rsidP="00DD4A66">
            <w:pPr>
              <w:tabs>
                <w:tab w:val="left" w:pos="-139"/>
              </w:tabs>
              <w:ind w:right="-140"/>
              <w:rPr>
                <w:rFonts w:ascii="Tahoma" w:hAnsi="Tahoma" w:cs="Tahoma"/>
                <w:b/>
                <w:i/>
                <w:sz w:val="18"/>
                <w:szCs w:val="18"/>
                <w:highlight w:val="yellow"/>
                <w:lang w:eastAsia="en-US"/>
              </w:rPr>
            </w:pPr>
            <w:r>
              <w:rPr>
                <w:rFonts w:ascii="Tahoma" w:hAnsi="Tahoma" w:cs="Tahoma"/>
                <w:b/>
                <w:i/>
                <w:color w:val="000000" w:themeColor="text1"/>
                <w:sz w:val="18"/>
                <w:szCs w:val="18"/>
                <w:lang w:eastAsia="en-US"/>
              </w:rPr>
              <w:t xml:space="preserve">Design and delivery of two </w:t>
            </w:r>
            <w:r w:rsidRPr="008F31A8">
              <w:rPr>
                <w:rFonts w:ascii="Tahoma" w:hAnsi="Tahoma" w:cs="Tahoma"/>
                <w:b/>
                <w:i/>
                <w:color w:val="000000" w:themeColor="text1"/>
                <w:sz w:val="18"/>
                <w:szCs w:val="18"/>
                <w:lang w:eastAsia="en-US"/>
              </w:rPr>
              <w:t>survey</w:t>
            </w:r>
            <w:r>
              <w:rPr>
                <w:rFonts w:ascii="Tahoma" w:hAnsi="Tahoma" w:cs="Tahoma"/>
                <w:b/>
                <w:i/>
                <w:color w:val="000000" w:themeColor="text1"/>
                <w:sz w:val="18"/>
                <w:szCs w:val="18"/>
                <w:lang w:eastAsia="en-US"/>
              </w:rPr>
              <w:t>s</w:t>
            </w:r>
            <w:r w:rsidRPr="008F31A8">
              <w:rPr>
                <w:rFonts w:ascii="Tahoma" w:hAnsi="Tahoma" w:cs="Tahoma"/>
                <w:b/>
                <w:i/>
                <w:color w:val="000000" w:themeColor="text1"/>
                <w:sz w:val="18"/>
                <w:szCs w:val="18"/>
                <w:lang w:eastAsia="en-US"/>
              </w:rPr>
              <w:t xml:space="preserve"> among the </w:t>
            </w:r>
            <w:r w:rsidRPr="008F31A8">
              <w:rPr>
                <w:rFonts w:ascii="Tahoma" w:hAnsi="Tahoma" w:cs="Tahoma"/>
                <w:b/>
                <w:i/>
                <w:color w:val="000000" w:themeColor="text1"/>
                <w:sz w:val="18"/>
                <w:szCs w:val="18"/>
                <w:lang w:val="en-US" w:eastAsia="en-US"/>
              </w:rPr>
              <w:t>respondents</w:t>
            </w:r>
            <w:r w:rsidRPr="008F31A8">
              <w:rPr>
                <w:rFonts w:ascii="Tahoma" w:hAnsi="Tahoma" w:cs="Tahoma"/>
                <w:b/>
                <w:i/>
                <w:color w:val="000000" w:themeColor="text1"/>
                <w:sz w:val="18"/>
                <w:szCs w:val="18"/>
                <w:lang w:eastAsia="en-US"/>
              </w:rPr>
              <w:t xml:space="preserve"> in order to obtain necessary quantitative data for the</w:t>
            </w:r>
            <w:r>
              <w:rPr>
                <w:rFonts w:ascii="Tahoma" w:hAnsi="Tahoma" w:cs="Tahoma"/>
                <w:b/>
                <w:i/>
                <w:color w:val="000000" w:themeColor="text1"/>
                <w:sz w:val="18"/>
                <w:szCs w:val="18"/>
                <w:lang w:eastAsia="en-US"/>
              </w:rPr>
              <w:t xml:space="preserve"> sociological study</w:t>
            </w:r>
          </w:p>
        </w:tc>
        <w:tc>
          <w:tcPr>
            <w:tcW w:w="1347" w:type="dxa"/>
            <w:tcBorders>
              <w:right w:val="single" w:sz="2" w:space="0" w:color="FF0000"/>
            </w:tcBorders>
            <w:shd w:val="clear" w:color="auto" w:fill="F2F2F2" w:themeFill="background1" w:themeFillShade="F2"/>
            <w:vAlign w:val="center"/>
          </w:tcPr>
          <w:p w14:paraId="7DFF09AB" w14:textId="3C805B78" w:rsidR="00F44AB8" w:rsidRPr="005501BB" w:rsidRDefault="00F44AB8" w:rsidP="00F44AB8">
            <w:pPr>
              <w:tabs>
                <w:tab w:val="left" w:pos="-139"/>
                <w:tab w:val="left" w:pos="0"/>
              </w:tabs>
              <w:spacing w:line="276" w:lineRule="auto"/>
              <w:ind w:right="-140" w:hanging="170"/>
              <w:jc w:val="center"/>
              <w:rPr>
                <w:rFonts w:ascii="Tahoma" w:hAnsi="Tahoma" w:cs="Tahoma"/>
                <w:sz w:val="18"/>
                <w:szCs w:val="18"/>
                <w:highlight w:val="yellow"/>
                <w:lang w:val="en-US" w:eastAsia="en-US"/>
              </w:rPr>
            </w:pP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val="restart"/>
            <w:tcBorders>
              <w:top w:val="single" w:sz="2" w:space="0" w:color="FF0000"/>
              <w:left w:val="single" w:sz="2" w:space="0" w:color="FF0000"/>
            </w:tcBorders>
            <w:shd w:val="clear" w:color="auto" w:fill="FFFFFF" w:themeFill="background1"/>
          </w:tcPr>
          <w:p w14:paraId="5A4CEBC3" w14:textId="77777777" w:rsidR="00F44AB8" w:rsidRDefault="00F44AB8" w:rsidP="00261462">
            <w:pPr>
              <w:tabs>
                <w:tab w:val="left" w:pos="-139"/>
              </w:tabs>
              <w:spacing w:line="276" w:lineRule="auto"/>
              <w:ind w:right="-140"/>
              <w:jc w:val="center"/>
              <w:rPr>
                <w:rFonts w:ascii="Tahoma" w:hAnsi="Tahoma" w:cs="Tahoma"/>
                <w:sz w:val="18"/>
                <w:szCs w:val="18"/>
                <w:lang w:eastAsia="en-US"/>
              </w:rPr>
            </w:pPr>
          </w:p>
          <w:p w14:paraId="53FD8BAE" w14:textId="77777777" w:rsidR="00F44AB8" w:rsidRDefault="00F44AB8" w:rsidP="00261462">
            <w:pPr>
              <w:tabs>
                <w:tab w:val="left" w:pos="-139"/>
              </w:tabs>
              <w:spacing w:line="276" w:lineRule="auto"/>
              <w:ind w:right="-140"/>
              <w:jc w:val="center"/>
              <w:rPr>
                <w:rFonts w:ascii="Tahoma" w:hAnsi="Tahoma" w:cs="Tahoma"/>
                <w:sz w:val="18"/>
                <w:szCs w:val="18"/>
                <w:lang w:eastAsia="en-US"/>
              </w:rPr>
            </w:pPr>
          </w:p>
          <w:p w14:paraId="40E46502" w14:textId="77777777" w:rsidR="00F44AB8" w:rsidRDefault="00F44AB8" w:rsidP="00261462">
            <w:pPr>
              <w:tabs>
                <w:tab w:val="left" w:pos="-139"/>
              </w:tabs>
              <w:spacing w:line="276" w:lineRule="auto"/>
              <w:ind w:right="-140"/>
              <w:jc w:val="center"/>
              <w:rPr>
                <w:rFonts w:ascii="Tahoma" w:hAnsi="Tahoma" w:cs="Tahoma"/>
                <w:sz w:val="18"/>
                <w:szCs w:val="18"/>
                <w:lang w:eastAsia="en-US"/>
              </w:rPr>
            </w:pPr>
          </w:p>
          <w:p w14:paraId="1503CC8E" w14:textId="77777777" w:rsidR="00F44AB8" w:rsidRDefault="00F44AB8" w:rsidP="00261462">
            <w:pPr>
              <w:tabs>
                <w:tab w:val="left" w:pos="-139"/>
              </w:tabs>
              <w:spacing w:line="276" w:lineRule="auto"/>
              <w:ind w:right="-140"/>
              <w:jc w:val="center"/>
              <w:rPr>
                <w:rFonts w:ascii="Tahoma" w:hAnsi="Tahoma" w:cs="Tahoma"/>
                <w:sz w:val="18"/>
                <w:szCs w:val="18"/>
                <w:lang w:eastAsia="en-US"/>
              </w:rPr>
            </w:pPr>
          </w:p>
          <w:p w14:paraId="4DCB1A5C" w14:textId="77777777" w:rsidR="00F44AB8" w:rsidRDefault="00F44AB8" w:rsidP="00261462">
            <w:pPr>
              <w:tabs>
                <w:tab w:val="left" w:pos="-139"/>
              </w:tabs>
              <w:spacing w:line="276" w:lineRule="auto"/>
              <w:ind w:right="-140"/>
              <w:jc w:val="center"/>
              <w:rPr>
                <w:rFonts w:ascii="Tahoma" w:hAnsi="Tahoma" w:cs="Tahoma"/>
                <w:sz w:val="18"/>
                <w:szCs w:val="18"/>
                <w:lang w:eastAsia="en-US"/>
              </w:rPr>
            </w:pPr>
          </w:p>
          <w:p w14:paraId="76F896D4"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454A85DF"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56FE99E5"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0062D6E3"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6ADA7D22"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5AFF63CF"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12A4D7FD"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58FECBF1"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41E2BDE2"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329B5F12"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0D9AF276"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0C543FD5"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1721933E"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7E1A6239"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55372775" w14:textId="77777777" w:rsidR="00F44AB8" w:rsidRDefault="00F44AB8" w:rsidP="00261462">
            <w:pPr>
              <w:tabs>
                <w:tab w:val="left" w:pos="-139"/>
              </w:tabs>
              <w:spacing w:line="276" w:lineRule="auto"/>
              <w:ind w:right="-140"/>
              <w:jc w:val="center"/>
              <w:rPr>
                <w:rFonts w:ascii="Tahoma" w:hAnsi="Tahoma" w:cs="Tahoma"/>
                <w:color w:val="000000" w:themeColor="text1"/>
                <w:sz w:val="18"/>
                <w:szCs w:val="18"/>
                <w:lang w:eastAsia="en-US"/>
              </w:rPr>
            </w:pPr>
          </w:p>
          <w:p w14:paraId="7F6EE0CC" w14:textId="0E500C94" w:rsidR="00F44AB8" w:rsidRPr="008C2548" w:rsidRDefault="00F44AB8" w:rsidP="00261462">
            <w:pPr>
              <w:tabs>
                <w:tab w:val="left" w:pos="-139"/>
              </w:tabs>
              <w:spacing w:line="276" w:lineRule="auto"/>
              <w:ind w:right="-140"/>
              <w:jc w:val="center"/>
              <w:rPr>
                <w:rFonts w:ascii="Tahoma" w:hAnsi="Tahoma" w:cs="Tahoma"/>
                <w:sz w:val="18"/>
                <w:szCs w:val="18"/>
                <w:highlight w:val="yellow"/>
                <w:lang w:eastAsia="en-US"/>
              </w:rPr>
            </w:pPr>
            <w:r w:rsidRPr="008C2548">
              <w:rPr>
                <w:rFonts w:ascii="Tahoma" w:hAnsi="Tahoma" w:cs="Tahoma"/>
                <w:color w:val="000000" w:themeColor="text1"/>
                <w:sz w:val="18"/>
                <w:szCs w:val="18"/>
                <w:lang w:eastAsia="en-US"/>
              </w:rPr>
              <w:t>54</w:t>
            </w:r>
            <w:r w:rsidR="008C2548" w:rsidRPr="008C2548">
              <w:rPr>
                <w:rFonts w:ascii="Tahoma" w:hAnsi="Tahoma" w:cs="Tahoma"/>
                <w:color w:val="000000" w:themeColor="text1"/>
                <w:sz w:val="18"/>
                <w:szCs w:val="18"/>
                <w:lang w:eastAsia="en-US"/>
              </w:rPr>
              <w:t> </w:t>
            </w:r>
            <w:r w:rsidRPr="008C2548">
              <w:rPr>
                <w:rFonts w:ascii="Tahoma" w:hAnsi="Tahoma" w:cs="Tahoma"/>
                <w:color w:val="000000" w:themeColor="text1"/>
                <w:sz w:val="18"/>
                <w:szCs w:val="18"/>
                <w:lang w:eastAsia="en-US"/>
              </w:rPr>
              <w:t>900</w:t>
            </w:r>
            <w:r w:rsidR="008C2548" w:rsidRPr="008C2548">
              <w:rPr>
                <w:rFonts w:ascii="Tahoma" w:hAnsi="Tahoma" w:cs="Tahoma"/>
                <w:color w:val="000000" w:themeColor="text1"/>
                <w:sz w:val="18"/>
                <w:szCs w:val="18"/>
                <w:lang w:eastAsia="en-US"/>
              </w:rPr>
              <w:t>,00</w:t>
            </w:r>
          </w:p>
        </w:tc>
      </w:tr>
      <w:tr w:rsidR="008667B4" w:rsidRPr="00EA2362" w14:paraId="339C4929" w14:textId="77777777" w:rsidTr="005E7C32">
        <w:trPr>
          <w:trHeight w:val="1137"/>
          <w:jc w:val="center"/>
        </w:trPr>
        <w:tc>
          <w:tcPr>
            <w:tcW w:w="6305" w:type="dxa"/>
            <w:shd w:val="clear" w:color="auto" w:fill="F2F2F2" w:themeFill="background1" w:themeFillShade="F2"/>
            <w:vAlign w:val="center"/>
          </w:tcPr>
          <w:p w14:paraId="5FA40A4C" w14:textId="63E4E910" w:rsidR="00F44AB8" w:rsidRPr="00723A49" w:rsidRDefault="00F44AB8" w:rsidP="00C4752E">
            <w:pPr>
              <w:tabs>
                <w:tab w:val="left" w:pos="-139"/>
              </w:tabs>
              <w:ind w:right="-140"/>
              <w:rPr>
                <w:rFonts w:ascii="Tahoma" w:hAnsi="Tahoma" w:cs="Tahoma"/>
                <w:color w:val="000000" w:themeColor="text1"/>
                <w:sz w:val="18"/>
                <w:szCs w:val="18"/>
                <w:lang w:eastAsia="en-US"/>
              </w:rPr>
            </w:pPr>
            <w:r w:rsidRPr="005E369A">
              <w:rPr>
                <w:rFonts w:ascii="Tahoma" w:hAnsi="Tahoma" w:cs="Tahoma"/>
                <w:color w:val="000000" w:themeColor="text1"/>
                <w:sz w:val="18"/>
                <w:szCs w:val="18"/>
                <w:lang w:eastAsia="en-US"/>
              </w:rPr>
              <w:t xml:space="preserve">To develop </w:t>
            </w:r>
            <w:r>
              <w:rPr>
                <w:rFonts w:ascii="Tahoma" w:hAnsi="Tahoma" w:cs="Tahoma"/>
                <w:color w:val="000000" w:themeColor="text1"/>
                <w:sz w:val="18"/>
                <w:szCs w:val="18"/>
                <w:lang w:eastAsia="en-US"/>
              </w:rPr>
              <w:t xml:space="preserve">samples for two surveys of the respective target groups – judges and </w:t>
            </w:r>
            <w:r w:rsidRPr="008667B4">
              <w:rPr>
                <w:rFonts w:ascii="Tahoma" w:hAnsi="Tahoma" w:cs="Tahoma"/>
                <w:color w:val="000000" w:themeColor="text1"/>
                <w:sz w:val="18"/>
                <w:szCs w:val="18"/>
                <w:lang w:eastAsia="en-US"/>
              </w:rPr>
              <w:t>the relevant court s</w:t>
            </w:r>
            <w:r w:rsidR="00C4752E" w:rsidRPr="008667B4">
              <w:rPr>
                <w:rFonts w:ascii="Tahoma" w:hAnsi="Tahoma" w:cs="Tahoma"/>
                <w:color w:val="000000" w:themeColor="text1"/>
                <w:sz w:val="18"/>
                <w:szCs w:val="18"/>
                <w:lang w:eastAsia="en-US"/>
              </w:rPr>
              <w:t>taff. Each sample should cover around</w:t>
            </w:r>
            <w:r w:rsidRPr="008667B4">
              <w:rPr>
                <w:rFonts w:ascii="Tahoma" w:hAnsi="Tahoma" w:cs="Tahoma"/>
                <w:color w:val="000000" w:themeColor="text1"/>
                <w:sz w:val="18"/>
                <w:szCs w:val="18"/>
                <w:lang w:eastAsia="en-US"/>
              </w:rPr>
              <w:t xml:space="preserve"> 1000 respondents, the figures are tentative, and the final number of respondents </w:t>
            </w:r>
            <w:r w:rsidR="008667B4" w:rsidRPr="008667B4">
              <w:rPr>
                <w:rFonts w:ascii="Tahoma" w:hAnsi="Tahoma" w:cs="Tahoma"/>
                <w:color w:val="000000" w:themeColor="text1"/>
                <w:sz w:val="18"/>
                <w:szCs w:val="18"/>
                <w:lang w:eastAsia="en-US"/>
              </w:rPr>
              <w:t xml:space="preserve">and the final version of the samples </w:t>
            </w:r>
            <w:r w:rsidRPr="008667B4">
              <w:rPr>
                <w:rFonts w:ascii="Tahoma" w:hAnsi="Tahoma" w:cs="Tahoma"/>
                <w:color w:val="000000" w:themeColor="text1"/>
                <w:sz w:val="18"/>
                <w:szCs w:val="18"/>
                <w:lang w:eastAsia="en-US"/>
              </w:rPr>
              <w:t xml:space="preserve">should be agreed with the Project. </w:t>
            </w:r>
          </w:p>
        </w:tc>
        <w:tc>
          <w:tcPr>
            <w:tcW w:w="1347" w:type="dxa"/>
            <w:tcBorders>
              <w:right w:val="single" w:sz="2" w:space="0" w:color="FF0000"/>
            </w:tcBorders>
            <w:shd w:val="clear" w:color="auto" w:fill="F2F2F2" w:themeFill="background1" w:themeFillShade="F2"/>
            <w:vAlign w:val="center"/>
          </w:tcPr>
          <w:p w14:paraId="332BE286" w14:textId="5A63E9C2" w:rsidR="00F44AB8" w:rsidRPr="00DB6C4B" w:rsidRDefault="00F44AB8" w:rsidP="00F44AB8">
            <w:pPr>
              <w:tabs>
                <w:tab w:val="left" w:pos="-139"/>
                <w:tab w:val="left" w:pos="0"/>
              </w:tabs>
              <w:spacing w:line="276" w:lineRule="auto"/>
              <w:ind w:right="-140" w:hanging="170"/>
              <w:jc w:val="center"/>
              <w:rPr>
                <w:rFonts w:ascii="Tahoma" w:hAnsi="Tahoma" w:cs="Tahoma"/>
                <w:sz w:val="18"/>
                <w:szCs w:val="18"/>
                <w:lang w:val="en-US" w:eastAsia="en-US"/>
              </w:rPr>
            </w:pPr>
            <w:r w:rsidRPr="00DB6C4B">
              <w:rPr>
                <w:rFonts w:ascii="Tahoma" w:hAnsi="Tahoma" w:cs="Tahoma"/>
                <w:sz w:val="18"/>
                <w:szCs w:val="18"/>
                <w:lang w:val="en-US" w:eastAsia="en-US"/>
              </w:rPr>
              <w:t>5 April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9DEB26"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0652DAB0" w14:textId="5944F3D1" w:rsidR="00F44AB8" w:rsidRDefault="00F44AB8" w:rsidP="00261462">
            <w:pPr>
              <w:tabs>
                <w:tab w:val="left" w:pos="-139"/>
              </w:tabs>
              <w:spacing w:line="276" w:lineRule="auto"/>
              <w:ind w:right="-140"/>
              <w:jc w:val="center"/>
              <w:rPr>
                <w:rFonts w:ascii="Tahoma" w:hAnsi="Tahoma" w:cs="Tahoma"/>
                <w:sz w:val="18"/>
                <w:szCs w:val="18"/>
                <w:lang w:eastAsia="en-US"/>
              </w:rPr>
            </w:pPr>
          </w:p>
        </w:tc>
      </w:tr>
      <w:tr w:rsidR="008667B4" w:rsidRPr="00EA2362" w14:paraId="604783B6" w14:textId="77777777" w:rsidTr="005E7C32">
        <w:trPr>
          <w:trHeight w:val="3788"/>
          <w:jc w:val="center"/>
        </w:trPr>
        <w:tc>
          <w:tcPr>
            <w:tcW w:w="6305" w:type="dxa"/>
            <w:shd w:val="clear" w:color="auto" w:fill="F2F2F2" w:themeFill="background1" w:themeFillShade="F2"/>
            <w:vAlign w:val="center"/>
          </w:tcPr>
          <w:p w14:paraId="0933C2BB" w14:textId="0D12B827" w:rsidR="00F44AB8" w:rsidRPr="005E369A" w:rsidRDefault="00F44AB8" w:rsidP="00A97DA6">
            <w:pPr>
              <w:tabs>
                <w:tab w:val="left" w:pos="-139"/>
              </w:tabs>
              <w:ind w:right="-140"/>
              <w:rPr>
                <w:rFonts w:ascii="Tahoma" w:hAnsi="Tahoma" w:cs="Tahoma"/>
                <w:color w:val="000000" w:themeColor="text1"/>
                <w:sz w:val="18"/>
                <w:szCs w:val="18"/>
              </w:rPr>
            </w:pPr>
            <w:r>
              <w:rPr>
                <w:rFonts w:ascii="Tahoma" w:hAnsi="Tahoma" w:cs="Tahoma"/>
                <w:color w:val="000000" w:themeColor="text1"/>
                <w:sz w:val="18"/>
                <w:szCs w:val="18"/>
              </w:rPr>
              <w:t xml:space="preserve">To develop </w:t>
            </w:r>
            <w:r w:rsidRPr="008667B4">
              <w:rPr>
                <w:rFonts w:ascii="Tahoma" w:hAnsi="Tahoma" w:cs="Tahoma"/>
                <w:color w:val="000000" w:themeColor="text1"/>
                <w:sz w:val="18"/>
                <w:szCs w:val="18"/>
              </w:rPr>
              <w:t>two questionnaires</w:t>
            </w:r>
            <w:r w:rsidR="0086476E" w:rsidRPr="008667B4">
              <w:rPr>
                <w:rFonts w:ascii="Tahoma" w:hAnsi="Tahoma" w:cs="Tahoma"/>
                <w:color w:val="000000" w:themeColor="text1"/>
                <w:sz w:val="18"/>
                <w:szCs w:val="18"/>
              </w:rPr>
              <w:t xml:space="preserve"> (around</w:t>
            </w:r>
            <w:r w:rsidR="00F87B1B" w:rsidRPr="008667B4">
              <w:rPr>
                <w:rFonts w:ascii="Tahoma" w:hAnsi="Tahoma" w:cs="Tahoma"/>
                <w:color w:val="000000" w:themeColor="text1"/>
                <w:sz w:val="18"/>
                <w:szCs w:val="18"/>
              </w:rPr>
              <w:t xml:space="preserve"> 25</w:t>
            </w:r>
            <w:r w:rsidR="0086476E" w:rsidRPr="008667B4">
              <w:rPr>
                <w:rFonts w:ascii="Tahoma" w:hAnsi="Tahoma" w:cs="Tahoma"/>
                <w:color w:val="000000" w:themeColor="text1"/>
                <w:sz w:val="18"/>
                <w:szCs w:val="18"/>
              </w:rPr>
              <w:t xml:space="preserve"> questions each)</w:t>
            </w:r>
            <w:r w:rsidRPr="008667B4">
              <w:rPr>
                <w:rFonts w:ascii="Tahoma" w:hAnsi="Tahoma" w:cs="Tahoma"/>
                <w:color w:val="000000" w:themeColor="text1"/>
                <w:sz w:val="18"/>
                <w:szCs w:val="18"/>
              </w:rPr>
              <w:t xml:space="preserve"> for the target groups of the two surveys. The questionnaires should contain questions to reveal the main factors affecting the length of court proceedings. Also, the questions should focus on possible mechanisms to be i</w:t>
            </w:r>
            <w:r w:rsidRPr="005E369A">
              <w:rPr>
                <w:rFonts w:ascii="Tahoma" w:hAnsi="Tahoma" w:cs="Tahoma"/>
                <w:color w:val="000000" w:themeColor="text1"/>
                <w:sz w:val="18"/>
                <w:szCs w:val="18"/>
              </w:rPr>
              <w:t>mplemented to ensure the reasonable length of court proceedings.</w:t>
            </w:r>
          </w:p>
          <w:p w14:paraId="21C24385" w14:textId="77777777" w:rsidR="00F44AB8" w:rsidRPr="00C54444" w:rsidRDefault="00F44AB8" w:rsidP="00A97DA6">
            <w:pPr>
              <w:contextualSpacing/>
              <w:rPr>
                <w:rFonts w:ascii="Tahoma" w:hAnsi="Tahoma" w:cs="Tahoma"/>
                <w:color w:val="000000" w:themeColor="text1"/>
                <w:sz w:val="18"/>
                <w:szCs w:val="18"/>
              </w:rPr>
            </w:pPr>
          </w:p>
          <w:p w14:paraId="34A51903" w14:textId="77777777" w:rsidR="00F44AB8" w:rsidRPr="005E369A" w:rsidRDefault="00F44AB8" w:rsidP="00A97DA6">
            <w:pPr>
              <w:contextualSpacing/>
              <w:rPr>
                <w:rFonts w:ascii="Tahoma" w:hAnsi="Tahoma" w:cs="Tahoma"/>
                <w:color w:val="000000" w:themeColor="text1"/>
                <w:sz w:val="18"/>
                <w:szCs w:val="18"/>
              </w:rPr>
            </w:pPr>
            <w:r w:rsidRPr="005E369A">
              <w:rPr>
                <w:rFonts w:ascii="Tahoma" w:hAnsi="Tahoma" w:cs="Tahoma"/>
                <w:color w:val="000000" w:themeColor="text1"/>
                <w:sz w:val="18"/>
                <w:szCs w:val="18"/>
                <w:lang w:val="en-US"/>
              </w:rPr>
              <w:t xml:space="preserve">The surveys shall meet the following requirements: </w:t>
            </w:r>
          </w:p>
          <w:p w14:paraId="3CBD5DCF" w14:textId="7ABEAA04" w:rsidR="00F44AB8" w:rsidRPr="005E369A" w:rsidRDefault="00F44AB8" w:rsidP="005362FF">
            <w:pPr>
              <w:pStyle w:val="ListParagraph"/>
              <w:numPr>
                <w:ilvl w:val="0"/>
                <w:numId w:val="30"/>
              </w:numPr>
              <w:contextualSpacing/>
              <w:rPr>
                <w:rFonts w:ascii="Tahoma" w:hAnsi="Tahoma" w:cs="Tahoma"/>
                <w:color w:val="000000" w:themeColor="text1"/>
                <w:sz w:val="18"/>
                <w:szCs w:val="18"/>
              </w:rPr>
            </w:pPr>
            <w:r>
              <w:rPr>
                <w:rFonts w:ascii="Tahoma" w:hAnsi="Tahoma" w:cs="Tahoma"/>
                <w:color w:val="000000" w:themeColor="text1"/>
                <w:sz w:val="18"/>
                <w:szCs w:val="18"/>
              </w:rPr>
              <w:t>t</w:t>
            </w:r>
            <w:r w:rsidRPr="005E369A">
              <w:rPr>
                <w:rFonts w:ascii="Tahoma" w:hAnsi="Tahoma" w:cs="Tahoma"/>
                <w:color w:val="000000" w:themeColor="text1"/>
                <w:sz w:val="18"/>
                <w:szCs w:val="18"/>
              </w:rPr>
              <w:t xml:space="preserve">entatively, </w:t>
            </w:r>
            <w:r w:rsidRPr="005E369A">
              <w:rPr>
                <w:rFonts w:ascii="Tahoma" w:hAnsi="Tahoma" w:cs="Tahoma"/>
                <w:color w:val="000000" w:themeColor="text1"/>
                <w:sz w:val="18"/>
                <w:szCs w:val="18"/>
                <w:lang w:val="en-US"/>
              </w:rPr>
              <w:t xml:space="preserve">the </w:t>
            </w:r>
            <w:r w:rsidRPr="008667B4">
              <w:rPr>
                <w:rFonts w:ascii="Tahoma" w:hAnsi="Tahoma" w:cs="Tahoma"/>
                <w:color w:val="000000" w:themeColor="text1"/>
                <w:sz w:val="18"/>
                <w:szCs w:val="18"/>
                <w:lang w:val="en-US"/>
              </w:rPr>
              <w:t xml:space="preserve">surveys shall cover </w:t>
            </w:r>
            <w:r w:rsidR="004E111D" w:rsidRPr="008667B4">
              <w:rPr>
                <w:rFonts w:ascii="Tahoma" w:hAnsi="Tahoma" w:cs="Tahoma"/>
                <w:color w:val="000000" w:themeColor="text1"/>
                <w:sz w:val="18"/>
                <w:szCs w:val="18"/>
                <w:lang w:val="en-US"/>
              </w:rPr>
              <w:t xml:space="preserve">around </w:t>
            </w:r>
            <w:r w:rsidRPr="008667B4">
              <w:rPr>
                <w:rFonts w:ascii="Tahoma" w:hAnsi="Tahoma" w:cs="Tahoma"/>
                <w:color w:val="000000" w:themeColor="text1"/>
                <w:sz w:val="18"/>
                <w:szCs w:val="18"/>
                <w:lang w:val="en-US"/>
              </w:rPr>
              <w:t xml:space="preserve">1000 respondents each </w:t>
            </w:r>
            <w:r w:rsidRPr="005E369A">
              <w:rPr>
                <w:rFonts w:ascii="Tahoma" w:hAnsi="Tahoma" w:cs="Tahoma"/>
                <w:color w:val="000000" w:themeColor="text1"/>
                <w:sz w:val="18"/>
                <w:szCs w:val="18"/>
                <w:lang w:val="en-US"/>
              </w:rPr>
              <w:t>in various regions of Ukraine</w:t>
            </w:r>
            <w:r w:rsidRPr="005E369A">
              <w:rPr>
                <w:rFonts w:ascii="Tahoma" w:hAnsi="Tahoma" w:cs="Tahoma"/>
                <w:color w:val="000000" w:themeColor="text1"/>
                <w:sz w:val="18"/>
                <w:szCs w:val="18"/>
              </w:rPr>
              <w:t>;</w:t>
            </w:r>
          </w:p>
          <w:p w14:paraId="47C4A03F" w14:textId="34B7A239" w:rsidR="00F44AB8" w:rsidRPr="00C54444" w:rsidRDefault="00F44AB8" w:rsidP="005362FF">
            <w:pPr>
              <w:pStyle w:val="ListParagraph"/>
              <w:numPr>
                <w:ilvl w:val="0"/>
                <w:numId w:val="30"/>
              </w:numPr>
              <w:contextualSpacing/>
              <w:rPr>
                <w:rFonts w:ascii="Tahoma" w:hAnsi="Tahoma" w:cs="Tahoma"/>
                <w:color w:val="000000" w:themeColor="text1"/>
                <w:sz w:val="18"/>
                <w:szCs w:val="18"/>
              </w:rPr>
            </w:pPr>
            <w:r w:rsidRPr="005E369A">
              <w:rPr>
                <w:rFonts w:ascii="Tahoma" w:hAnsi="Tahoma" w:cs="Tahoma"/>
                <w:color w:val="000000" w:themeColor="text1"/>
                <w:sz w:val="18"/>
                <w:szCs w:val="18"/>
                <w:lang w:val="en-US"/>
              </w:rPr>
              <w:t xml:space="preserve">one survey shall be focused on the judges and </w:t>
            </w:r>
            <w:r>
              <w:rPr>
                <w:rFonts w:ascii="Tahoma" w:hAnsi="Tahoma" w:cs="Tahoma"/>
                <w:color w:val="000000" w:themeColor="text1"/>
                <w:sz w:val="18"/>
                <w:szCs w:val="18"/>
                <w:lang w:val="en-US"/>
              </w:rPr>
              <w:t xml:space="preserve">the </w:t>
            </w:r>
            <w:r w:rsidRPr="005E369A">
              <w:rPr>
                <w:rFonts w:ascii="Tahoma" w:hAnsi="Tahoma" w:cs="Tahoma"/>
                <w:color w:val="000000" w:themeColor="text1"/>
                <w:sz w:val="18"/>
                <w:szCs w:val="18"/>
                <w:lang w:val="en-US"/>
              </w:rPr>
              <w:t>other</w:t>
            </w:r>
            <w:r>
              <w:rPr>
                <w:rFonts w:ascii="Tahoma" w:hAnsi="Tahoma" w:cs="Tahoma"/>
                <w:color w:val="000000" w:themeColor="text1"/>
                <w:sz w:val="18"/>
                <w:szCs w:val="18"/>
                <w:lang w:val="en-US"/>
              </w:rPr>
              <w:t xml:space="preserve"> – </w:t>
            </w:r>
            <w:r w:rsidRPr="005E369A">
              <w:rPr>
                <w:rFonts w:ascii="Tahoma" w:hAnsi="Tahoma" w:cs="Tahoma"/>
                <w:color w:val="000000" w:themeColor="text1"/>
                <w:sz w:val="18"/>
                <w:szCs w:val="18"/>
                <w:lang w:val="en-US"/>
              </w:rPr>
              <w:t>on the court staff</w:t>
            </w:r>
            <w:r>
              <w:rPr>
                <w:rFonts w:ascii="Tahoma" w:hAnsi="Tahoma" w:cs="Tahoma"/>
                <w:color w:val="000000" w:themeColor="text1"/>
                <w:sz w:val="18"/>
                <w:szCs w:val="18"/>
                <w:lang w:val="en-US"/>
              </w:rPr>
              <w:t xml:space="preserve"> (namely, who works</w:t>
            </w:r>
            <w:r w:rsidRPr="005E369A">
              <w:rPr>
                <w:rFonts w:ascii="Tahoma" w:hAnsi="Tahoma" w:cs="Tahoma"/>
                <w:color w:val="000000" w:themeColor="text1"/>
                <w:sz w:val="18"/>
                <w:szCs w:val="18"/>
                <w:lang w:val="en-US"/>
              </w:rPr>
              <w:t xml:space="preserve"> at </w:t>
            </w:r>
            <w:r>
              <w:rPr>
                <w:rFonts w:ascii="Tahoma" w:hAnsi="Tahoma" w:cs="Tahoma"/>
                <w:color w:val="000000" w:themeColor="text1"/>
                <w:sz w:val="18"/>
                <w:szCs w:val="18"/>
                <w:lang w:val="en-US"/>
              </w:rPr>
              <w:t xml:space="preserve">courts </w:t>
            </w:r>
            <w:r w:rsidRPr="005E369A">
              <w:rPr>
                <w:rFonts w:ascii="Tahoma" w:hAnsi="Tahoma" w:cs="Tahoma"/>
                <w:color w:val="000000" w:themeColor="text1"/>
                <w:sz w:val="18"/>
                <w:szCs w:val="18"/>
                <w:lang w:val="en-US"/>
              </w:rPr>
              <w:t>analytical departments and assistants of judges</w:t>
            </w:r>
            <w:r>
              <w:rPr>
                <w:rFonts w:ascii="Tahoma" w:hAnsi="Tahoma" w:cs="Tahoma"/>
                <w:color w:val="000000" w:themeColor="text1"/>
                <w:sz w:val="18"/>
                <w:szCs w:val="18"/>
                <w:lang w:val="en-US"/>
              </w:rPr>
              <w:t>);</w:t>
            </w:r>
          </w:p>
          <w:p w14:paraId="2426DA19" w14:textId="3825C8BD" w:rsidR="00F44AB8" w:rsidRPr="00E8715D" w:rsidRDefault="00F44AB8" w:rsidP="005362FF">
            <w:pPr>
              <w:pStyle w:val="ListParagraph"/>
              <w:numPr>
                <w:ilvl w:val="0"/>
                <w:numId w:val="30"/>
              </w:numPr>
              <w:contextualSpacing/>
              <w:rPr>
                <w:rFonts w:ascii="Tahoma" w:hAnsi="Tahoma" w:cs="Tahoma"/>
                <w:color w:val="000000" w:themeColor="text1"/>
                <w:sz w:val="18"/>
                <w:szCs w:val="18"/>
              </w:rPr>
            </w:pPr>
            <w:r w:rsidRPr="00C54444">
              <w:rPr>
                <w:rFonts w:ascii="Tahoma" w:hAnsi="Tahoma" w:cs="Tahoma"/>
                <w:color w:val="000000" w:themeColor="text1"/>
                <w:sz w:val="18"/>
                <w:szCs w:val="18"/>
              </w:rPr>
              <w:t>the questionnaires may contain similar group</w:t>
            </w:r>
            <w:r>
              <w:rPr>
                <w:rFonts w:ascii="Tahoma" w:hAnsi="Tahoma" w:cs="Tahoma"/>
                <w:color w:val="000000" w:themeColor="text1"/>
                <w:sz w:val="18"/>
                <w:szCs w:val="18"/>
              </w:rPr>
              <w:t>s of questions on core issues of the study.</w:t>
            </w:r>
          </w:p>
          <w:p w14:paraId="0FFB6E74" w14:textId="77777777" w:rsidR="00F44AB8" w:rsidRDefault="00F44AB8" w:rsidP="00A97DA6">
            <w:pPr>
              <w:tabs>
                <w:tab w:val="left" w:pos="-139"/>
              </w:tabs>
              <w:ind w:right="-140"/>
              <w:rPr>
                <w:rFonts w:ascii="Tahoma" w:hAnsi="Tahoma" w:cs="Tahoma"/>
                <w:color w:val="000000" w:themeColor="text1"/>
                <w:sz w:val="18"/>
                <w:szCs w:val="18"/>
              </w:rPr>
            </w:pPr>
          </w:p>
          <w:p w14:paraId="571984E1" w14:textId="0B0924B7" w:rsidR="00F44AB8" w:rsidRDefault="00F44AB8" w:rsidP="00A97DA6">
            <w:pPr>
              <w:tabs>
                <w:tab w:val="left" w:pos="-139"/>
              </w:tabs>
              <w:ind w:right="-140"/>
              <w:rPr>
                <w:rFonts w:ascii="Tahoma" w:hAnsi="Tahoma" w:cs="Tahoma"/>
                <w:sz w:val="18"/>
                <w:szCs w:val="18"/>
                <w:lang w:eastAsia="en-US"/>
              </w:rPr>
            </w:pPr>
            <w:r>
              <w:rPr>
                <w:rFonts w:ascii="Tahoma" w:hAnsi="Tahoma" w:cs="Tahoma"/>
                <w:sz w:val="18"/>
                <w:szCs w:val="18"/>
                <w:lang w:eastAsia="en-US"/>
              </w:rPr>
              <w:t>The two questionnaires should be approved by the Project.</w:t>
            </w:r>
          </w:p>
        </w:tc>
        <w:tc>
          <w:tcPr>
            <w:tcW w:w="1347" w:type="dxa"/>
            <w:tcBorders>
              <w:right w:val="single" w:sz="2" w:space="0" w:color="FF0000"/>
            </w:tcBorders>
            <w:shd w:val="clear" w:color="auto" w:fill="F2F2F2" w:themeFill="background1" w:themeFillShade="F2"/>
            <w:vAlign w:val="center"/>
          </w:tcPr>
          <w:p w14:paraId="090B9BD6" w14:textId="7704B2A5" w:rsidR="00F44AB8" w:rsidRPr="00DB6C4B" w:rsidRDefault="00F44AB8" w:rsidP="00F44AB8">
            <w:pPr>
              <w:tabs>
                <w:tab w:val="left" w:pos="-139"/>
                <w:tab w:val="left" w:pos="0"/>
              </w:tabs>
              <w:spacing w:line="276" w:lineRule="auto"/>
              <w:ind w:right="-140" w:hanging="170"/>
              <w:jc w:val="center"/>
              <w:rPr>
                <w:rFonts w:ascii="Tahoma" w:hAnsi="Tahoma" w:cs="Tahoma"/>
                <w:sz w:val="18"/>
                <w:szCs w:val="18"/>
                <w:lang w:eastAsia="en-US"/>
              </w:rPr>
            </w:pPr>
            <w:r w:rsidRPr="00DB6C4B">
              <w:rPr>
                <w:rFonts w:ascii="Tahoma" w:hAnsi="Tahoma" w:cs="Tahoma"/>
                <w:sz w:val="18"/>
                <w:szCs w:val="18"/>
                <w:lang w:eastAsia="en-US"/>
              </w:rPr>
              <w:t>12 April</w:t>
            </w:r>
            <w:r>
              <w:rPr>
                <w:rFonts w:ascii="Tahoma" w:hAnsi="Tahoma" w:cs="Tahoma"/>
                <w:sz w:val="18"/>
                <w:szCs w:val="18"/>
                <w:lang w:eastAsia="en-US"/>
              </w:rPr>
              <w:t xml:space="preserve">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660A08"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6E9B8B9A" w14:textId="40E8733B"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8667B4" w:rsidRPr="00EA2362" w14:paraId="71AF357D" w14:textId="1CF3FBB9" w:rsidTr="005E7C32">
        <w:trPr>
          <w:trHeight w:val="1187"/>
          <w:jc w:val="center"/>
        </w:trPr>
        <w:tc>
          <w:tcPr>
            <w:tcW w:w="6305" w:type="dxa"/>
            <w:shd w:val="clear" w:color="auto" w:fill="F2F2F2" w:themeFill="background1" w:themeFillShade="F2"/>
            <w:vAlign w:val="center"/>
          </w:tcPr>
          <w:p w14:paraId="608C67B7" w14:textId="631BE705" w:rsidR="00F44AB8" w:rsidRPr="00214F7E" w:rsidRDefault="00F44AB8" w:rsidP="00F44AB8">
            <w:pPr>
              <w:tabs>
                <w:tab w:val="left" w:pos="-139"/>
              </w:tabs>
              <w:rPr>
                <w:rFonts w:ascii="Tahoma" w:hAnsi="Tahoma" w:cs="Tahoma"/>
                <w:sz w:val="18"/>
                <w:szCs w:val="18"/>
                <w:lang w:eastAsia="en-US"/>
              </w:rPr>
            </w:pPr>
            <w:r>
              <w:rPr>
                <w:rFonts w:ascii="Tahoma" w:hAnsi="Tahoma" w:cs="Tahoma"/>
                <w:sz w:val="18"/>
                <w:szCs w:val="18"/>
                <w:lang w:eastAsia="en-US"/>
              </w:rPr>
              <w:t xml:space="preserve">To conduct two above-mentioned sociological surveys in compliance with all necessary </w:t>
            </w:r>
            <w:r w:rsidRPr="00F55C79">
              <w:rPr>
                <w:rFonts w:ascii="Tahoma" w:hAnsi="Tahoma" w:cs="Tahoma"/>
                <w:sz w:val="18"/>
                <w:szCs w:val="18"/>
                <w:lang w:eastAsia="en-US"/>
              </w:rPr>
              <w:t xml:space="preserve">measures </w:t>
            </w:r>
            <w:r>
              <w:rPr>
                <w:rFonts w:ascii="Tahoma" w:hAnsi="Tahoma" w:cs="Tahoma"/>
                <w:sz w:val="18"/>
                <w:szCs w:val="18"/>
                <w:lang w:eastAsia="en-US"/>
              </w:rPr>
              <w:t>and arrangements</w:t>
            </w:r>
            <w:r w:rsidRPr="00E30A13">
              <w:rPr>
                <w:rFonts w:ascii="Tahoma" w:hAnsi="Tahoma" w:cs="Tahoma"/>
                <w:sz w:val="18"/>
                <w:szCs w:val="18"/>
                <w:lang w:eastAsia="en-US"/>
              </w:rPr>
              <w:t xml:space="preserve"> to meet </w:t>
            </w:r>
            <w:r>
              <w:rPr>
                <w:rFonts w:ascii="Tahoma" w:hAnsi="Tahoma" w:cs="Tahoma"/>
                <w:sz w:val="18"/>
                <w:szCs w:val="18"/>
                <w:lang w:eastAsia="en-US"/>
              </w:rPr>
              <w:t xml:space="preserve">the </w:t>
            </w:r>
            <w:r w:rsidRPr="00E30A13">
              <w:rPr>
                <w:rFonts w:ascii="Tahoma" w:hAnsi="Tahoma" w:cs="Tahoma"/>
                <w:sz w:val="18"/>
                <w:szCs w:val="18"/>
                <w:lang w:eastAsia="en-US"/>
              </w:rPr>
              <w:t xml:space="preserve">quarantine </w:t>
            </w:r>
            <w:r>
              <w:rPr>
                <w:rFonts w:ascii="Tahoma" w:hAnsi="Tahoma" w:cs="Tahoma"/>
                <w:sz w:val="18"/>
                <w:szCs w:val="18"/>
                <w:lang w:eastAsia="en-US"/>
              </w:rPr>
              <w:t>restrictions</w:t>
            </w:r>
            <w:r w:rsidRPr="00E30A13">
              <w:rPr>
                <w:rFonts w:ascii="Tahoma" w:hAnsi="Tahoma" w:cs="Tahoma"/>
                <w:sz w:val="18"/>
                <w:szCs w:val="18"/>
                <w:lang w:eastAsia="en-US"/>
              </w:rPr>
              <w:t xml:space="preserve"> introduced with </w:t>
            </w:r>
            <w:r>
              <w:rPr>
                <w:rFonts w:ascii="Tahoma" w:hAnsi="Tahoma" w:cs="Tahoma"/>
                <w:sz w:val="18"/>
                <w:szCs w:val="18"/>
                <w:lang w:eastAsia="en-US"/>
              </w:rPr>
              <w:t>regard to the Covid-19 pandemic and to provide a primary analysis of the collected data.</w:t>
            </w:r>
          </w:p>
        </w:tc>
        <w:tc>
          <w:tcPr>
            <w:tcW w:w="1347" w:type="dxa"/>
            <w:tcBorders>
              <w:right w:val="single" w:sz="2" w:space="0" w:color="FF0000"/>
            </w:tcBorders>
            <w:shd w:val="clear" w:color="auto" w:fill="F2F2F2" w:themeFill="background1" w:themeFillShade="F2"/>
            <w:vAlign w:val="center"/>
          </w:tcPr>
          <w:p w14:paraId="0573B1D9" w14:textId="76D57C0B" w:rsidR="00F44AB8" w:rsidRPr="00D94E19" w:rsidRDefault="00F44AB8" w:rsidP="00F44AB8">
            <w:pPr>
              <w:tabs>
                <w:tab w:val="left" w:pos="-139"/>
                <w:tab w:val="left" w:pos="0"/>
              </w:tabs>
              <w:spacing w:line="276" w:lineRule="auto"/>
              <w:ind w:right="-140" w:hanging="170"/>
              <w:jc w:val="center"/>
              <w:rPr>
                <w:rFonts w:ascii="Tahoma" w:hAnsi="Tahoma" w:cs="Tahoma"/>
                <w:sz w:val="18"/>
                <w:szCs w:val="18"/>
                <w:lang w:eastAsia="en-US"/>
              </w:rPr>
            </w:pPr>
            <w:r w:rsidRPr="00D94E19">
              <w:rPr>
                <w:rFonts w:ascii="Tahoma" w:hAnsi="Tahoma" w:cs="Tahoma"/>
                <w:sz w:val="18"/>
                <w:szCs w:val="18"/>
                <w:lang w:eastAsia="en-US"/>
              </w:rPr>
              <w:t>10 May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7A878E"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570C9CE1"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8667B4" w:rsidRPr="00EA2362" w14:paraId="58BF6628" w14:textId="1D0F0144" w:rsidTr="005E7C32">
        <w:trPr>
          <w:trHeight w:val="539"/>
          <w:jc w:val="center"/>
        </w:trPr>
        <w:tc>
          <w:tcPr>
            <w:tcW w:w="6305" w:type="dxa"/>
            <w:shd w:val="clear" w:color="auto" w:fill="F2F2F2" w:themeFill="background1" w:themeFillShade="F2"/>
            <w:vAlign w:val="center"/>
          </w:tcPr>
          <w:p w14:paraId="255F2102" w14:textId="70F08B65" w:rsidR="00F44AB8" w:rsidRPr="006203FA" w:rsidRDefault="00F44AB8" w:rsidP="005851E4">
            <w:pPr>
              <w:tabs>
                <w:tab w:val="left" w:pos="-139"/>
              </w:tabs>
              <w:spacing w:line="276" w:lineRule="auto"/>
              <w:ind w:right="-140"/>
              <w:rPr>
                <w:rFonts w:ascii="Tahoma" w:hAnsi="Tahoma" w:cs="Tahoma"/>
                <w:sz w:val="18"/>
                <w:szCs w:val="18"/>
                <w:lang w:eastAsia="en-US"/>
              </w:rPr>
            </w:pPr>
            <w:r w:rsidRPr="006203FA">
              <w:rPr>
                <w:rFonts w:ascii="Tahoma" w:hAnsi="Tahoma" w:cs="Tahoma"/>
                <w:b/>
                <w:i/>
                <w:sz w:val="18"/>
                <w:szCs w:val="18"/>
                <w:lang w:eastAsia="en-US"/>
              </w:rPr>
              <w:t xml:space="preserve">Preparation of the report with </w:t>
            </w:r>
            <w:r>
              <w:rPr>
                <w:rFonts w:ascii="Tahoma" w:hAnsi="Tahoma" w:cs="Tahoma"/>
                <w:b/>
                <w:i/>
                <w:sz w:val="18"/>
                <w:szCs w:val="18"/>
                <w:lang w:eastAsia="en-US"/>
              </w:rPr>
              <w:t>the</w:t>
            </w:r>
            <w:r w:rsidRPr="006203FA">
              <w:rPr>
                <w:rFonts w:ascii="Tahoma" w:hAnsi="Tahoma" w:cs="Tahoma"/>
                <w:b/>
                <w:i/>
                <w:sz w:val="18"/>
                <w:szCs w:val="18"/>
                <w:lang w:eastAsia="en-US"/>
              </w:rPr>
              <w:t xml:space="preserve"> data received</w:t>
            </w:r>
            <w:r>
              <w:rPr>
                <w:rFonts w:ascii="Tahoma" w:hAnsi="Tahoma" w:cs="Tahoma"/>
                <w:b/>
                <w:i/>
                <w:sz w:val="18"/>
                <w:szCs w:val="18"/>
                <w:lang w:eastAsia="en-US"/>
              </w:rPr>
              <w:t xml:space="preserve"> and its presentation</w:t>
            </w:r>
          </w:p>
        </w:tc>
        <w:tc>
          <w:tcPr>
            <w:tcW w:w="1347" w:type="dxa"/>
            <w:tcBorders>
              <w:right w:val="single" w:sz="2" w:space="0" w:color="FF0000"/>
            </w:tcBorders>
            <w:shd w:val="clear" w:color="auto" w:fill="F2F2F2" w:themeFill="background1" w:themeFillShade="F2"/>
            <w:vAlign w:val="center"/>
          </w:tcPr>
          <w:p w14:paraId="4D821E78" w14:textId="77777777" w:rsidR="00F44AB8" w:rsidRPr="00D94E19" w:rsidRDefault="00F44AB8" w:rsidP="00F44AB8">
            <w:pPr>
              <w:tabs>
                <w:tab w:val="left" w:pos="-139"/>
                <w:tab w:val="left" w:pos="0"/>
              </w:tabs>
              <w:spacing w:line="276" w:lineRule="auto"/>
              <w:ind w:right="-140" w:hanging="170"/>
              <w:jc w:val="center"/>
              <w:rPr>
                <w:rFonts w:ascii="Tahoma" w:hAnsi="Tahoma" w:cs="Tahoma"/>
                <w:sz w:val="18"/>
                <w:szCs w:val="18"/>
                <w:lang w:eastAsia="en-US"/>
              </w:rPr>
            </w:pP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D7CC25"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63B04779"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8667B4" w:rsidRPr="00EA2362" w14:paraId="559E5E1C" w14:textId="7CB2C884" w:rsidTr="005E7C32">
        <w:trPr>
          <w:trHeight w:val="2357"/>
          <w:jc w:val="center"/>
        </w:trPr>
        <w:tc>
          <w:tcPr>
            <w:tcW w:w="6305" w:type="dxa"/>
            <w:shd w:val="clear" w:color="auto" w:fill="F2F2F2" w:themeFill="background1" w:themeFillShade="F2"/>
            <w:vAlign w:val="center"/>
          </w:tcPr>
          <w:p w14:paraId="5C499070" w14:textId="420A65C0" w:rsidR="00F44AB8" w:rsidRPr="00723A49" w:rsidRDefault="00F44AB8" w:rsidP="00F44AB8">
            <w:pPr>
              <w:tabs>
                <w:tab w:val="left" w:pos="-139"/>
              </w:tabs>
              <w:rPr>
                <w:rFonts w:ascii="Tahoma" w:hAnsi="Tahoma" w:cs="Tahoma"/>
                <w:color w:val="000000" w:themeColor="text1"/>
                <w:sz w:val="18"/>
                <w:szCs w:val="18"/>
                <w:lang w:eastAsia="en-US"/>
              </w:rPr>
            </w:pPr>
            <w:r w:rsidRPr="00723A49">
              <w:rPr>
                <w:rFonts w:ascii="Tahoma" w:hAnsi="Tahoma" w:cs="Tahoma"/>
                <w:color w:val="000000" w:themeColor="text1"/>
                <w:sz w:val="18"/>
                <w:szCs w:val="18"/>
                <w:lang w:eastAsia="en-US"/>
              </w:rPr>
              <w:t xml:space="preserve">On the basis of the data collected by two surveys, to prepare an analytical report about </w:t>
            </w:r>
            <w:r w:rsidRPr="00723A49">
              <w:rPr>
                <w:rFonts w:ascii="Tahoma" w:hAnsi="Tahoma" w:cs="Tahoma"/>
                <w:color w:val="000000" w:themeColor="text1"/>
                <w:sz w:val="18"/>
                <w:szCs w:val="18"/>
              </w:rPr>
              <w:t>factors leading to the excessive len</w:t>
            </w:r>
            <w:r w:rsidR="008667B4">
              <w:rPr>
                <w:rFonts w:ascii="Tahoma" w:hAnsi="Tahoma" w:cs="Tahoma"/>
                <w:color w:val="000000" w:themeColor="text1"/>
                <w:sz w:val="18"/>
                <w:szCs w:val="18"/>
              </w:rPr>
              <w:t xml:space="preserve">gth of court proceedings and </w:t>
            </w:r>
            <w:r w:rsidRPr="00723A49">
              <w:rPr>
                <w:rFonts w:ascii="Tahoma" w:hAnsi="Tahoma" w:cs="Tahoma"/>
                <w:color w:val="000000" w:themeColor="text1"/>
                <w:sz w:val="18"/>
                <w:szCs w:val="18"/>
              </w:rPr>
              <w:t>the proposed mechanisms for reducing the excessive length of court proceedings</w:t>
            </w:r>
            <w:r w:rsidRPr="00723A49">
              <w:rPr>
                <w:rFonts w:ascii="Tahoma" w:hAnsi="Tahoma" w:cs="Tahoma"/>
                <w:color w:val="000000" w:themeColor="text1"/>
                <w:sz w:val="18"/>
                <w:szCs w:val="18"/>
                <w:lang w:eastAsia="en-US"/>
              </w:rPr>
              <w:t xml:space="preserve"> (in Ukrainian, not less than 15 pages, including a 2-page executive summary in English).</w:t>
            </w:r>
          </w:p>
          <w:p w14:paraId="4B32CB99" w14:textId="77777777" w:rsidR="00F44AB8" w:rsidRPr="00723A49" w:rsidRDefault="00F44AB8" w:rsidP="00B532FC">
            <w:pPr>
              <w:tabs>
                <w:tab w:val="left" w:pos="-139"/>
              </w:tabs>
              <w:ind w:right="-140"/>
              <w:rPr>
                <w:rFonts w:ascii="Tahoma" w:hAnsi="Tahoma" w:cs="Tahoma"/>
                <w:color w:val="000000" w:themeColor="text1"/>
                <w:sz w:val="18"/>
                <w:szCs w:val="18"/>
                <w:lang w:eastAsia="en-US"/>
              </w:rPr>
            </w:pPr>
          </w:p>
          <w:p w14:paraId="36ED10B0" w14:textId="7525ECFD" w:rsidR="00F44AB8" w:rsidRPr="00723A49" w:rsidRDefault="00F44AB8" w:rsidP="0073712E">
            <w:pPr>
              <w:tabs>
                <w:tab w:val="left" w:pos="45"/>
              </w:tabs>
              <w:rPr>
                <w:rFonts w:ascii="Tahoma" w:hAnsi="Tahoma" w:cs="Tahoma"/>
                <w:color w:val="000000" w:themeColor="text1"/>
                <w:sz w:val="18"/>
                <w:szCs w:val="18"/>
              </w:rPr>
            </w:pPr>
            <w:r w:rsidRPr="00723A49">
              <w:rPr>
                <w:rStyle w:val="StyleTNR8Aut"/>
                <w:rFonts w:ascii="Tahoma" w:hAnsi="Tahoma" w:cs="Tahoma"/>
                <w:color w:val="000000" w:themeColor="text1"/>
                <w:sz w:val="18"/>
                <w:szCs w:val="18"/>
              </w:rPr>
              <w:t xml:space="preserve">To forward </w:t>
            </w:r>
            <w:r w:rsidRPr="00723A49">
              <w:rPr>
                <w:rFonts w:ascii="Tahoma" w:hAnsi="Tahoma" w:cs="Tahoma"/>
                <w:color w:val="000000" w:themeColor="text1"/>
                <w:sz w:val="18"/>
                <w:szCs w:val="18"/>
              </w:rPr>
              <w:t>the analytical report to the Project</w:t>
            </w:r>
            <w:r w:rsidRPr="00723A49">
              <w:rPr>
                <w:color w:val="000000" w:themeColor="text1"/>
                <w:sz w:val="18"/>
                <w:szCs w:val="18"/>
              </w:rPr>
              <w:t xml:space="preserve"> </w:t>
            </w:r>
            <w:r w:rsidRPr="00723A49">
              <w:rPr>
                <w:rFonts w:ascii="Tahoma" w:hAnsi="Tahoma" w:cs="Tahoma"/>
                <w:color w:val="000000" w:themeColor="text1"/>
                <w:sz w:val="18"/>
                <w:szCs w:val="18"/>
              </w:rPr>
              <w:t xml:space="preserve">by 17 May 2021. </w:t>
            </w:r>
            <w:r w:rsidRPr="00723A49">
              <w:rPr>
                <w:rStyle w:val="StyleTNR8Aut"/>
                <w:rFonts w:ascii="Tahoma" w:hAnsi="Tahoma" w:cs="Tahoma"/>
                <w:color w:val="000000" w:themeColor="text1"/>
                <w:sz w:val="18"/>
                <w:szCs w:val="18"/>
              </w:rPr>
              <w:t>If requested, the Provider shall update the report in accordance with the comments provided by the Project and submit it by the set deadline (not later than 27 May 2021).</w:t>
            </w:r>
          </w:p>
        </w:tc>
        <w:tc>
          <w:tcPr>
            <w:tcW w:w="1347" w:type="dxa"/>
            <w:tcBorders>
              <w:right w:val="single" w:sz="2" w:space="0" w:color="FF0000"/>
            </w:tcBorders>
            <w:shd w:val="clear" w:color="auto" w:fill="F2F2F2" w:themeFill="background1" w:themeFillShade="F2"/>
            <w:vAlign w:val="center"/>
          </w:tcPr>
          <w:p w14:paraId="3FA612B1" w14:textId="16773914" w:rsidR="00F44AB8" w:rsidRPr="00723A49" w:rsidRDefault="00F44AB8" w:rsidP="00F44AB8">
            <w:pPr>
              <w:tabs>
                <w:tab w:val="left" w:pos="-139"/>
                <w:tab w:val="left" w:pos="0"/>
              </w:tabs>
              <w:spacing w:line="276" w:lineRule="auto"/>
              <w:ind w:right="-140" w:hanging="170"/>
              <w:jc w:val="center"/>
              <w:rPr>
                <w:rFonts w:ascii="Tahoma" w:hAnsi="Tahoma" w:cs="Tahoma"/>
                <w:color w:val="000000" w:themeColor="text1"/>
                <w:sz w:val="18"/>
                <w:szCs w:val="18"/>
                <w:lang w:eastAsia="en-US"/>
              </w:rPr>
            </w:pPr>
            <w:r w:rsidRPr="00723A49">
              <w:rPr>
                <w:rFonts w:ascii="Tahoma" w:hAnsi="Tahoma" w:cs="Tahoma"/>
                <w:color w:val="000000" w:themeColor="text1"/>
                <w:sz w:val="18"/>
                <w:szCs w:val="18"/>
                <w:lang w:eastAsia="en-US"/>
              </w:rPr>
              <w:t>17 May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27F993"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71C36ECE"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8667B4" w:rsidRPr="00EA2362" w14:paraId="07C07F1C" w14:textId="77777777" w:rsidTr="005E7C32">
        <w:trPr>
          <w:trHeight w:val="413"/>
          <w:jc w:val="center"/>
        </w:trPr>
        <w:tc>
          <w:tcPr>
            <w:tcW w:w="6305" w:type="dxa"/>
            <w:shd w:val="clear" w:color="auto" w:fill="F2F2F2" w:themeFill="background1" w:themeFillShade="F2"/>
            <w:vAlign w:val="center"/>
          </w:tcPr>
          <w:p w14:paraId="1684B784" w14:textId="1387BE7F" w:rsidR="00F44AB8" w:rsidRPr="00723A49" w:rsidRDefault="00F44AB8" w:rsidP="00A67362">
            <w:pPr>
              <w:tabs>
                <w:tab w:val="left" w:pos="-139"/>
              </w:tabs>
              <w:ind w:right="-140"/>
              <w:rPr>
                <w:rFonts w:ascii="Tahoma" w:hAnsi="Tahoma" w:cs="Tahoma"/>
                <w:color w:val="000000" w:themeColor="text1"/>
                <w:sz w:val="18"/>
                <w:szCs w:val="18"/>
                <w:lang w:eastAsia="en-US"/>
              </w:rPr>
            </w:pPr>
            <w:r w:rsidRPr="00723A49">
              <w:rPr>
                <w:rFonts w:ascii="Tahoma" w:hAnsi="Tahoma" w:cs="Tahoma"/>
                <w:color w:val="000000" w:themeColor="text1"/>
                <w:sz w:val="18"/>
                <w:szCs w:val="18"/>
              </w:rPr>
              <w:t xml:space="preserve">To </w:t>
            </w:r>
            <w:r w:rsidR="00A67362">
              <w:rPr>
                <w:rFonts w:ascii="Tahoma" w:hAnsi="Tahoma" w:cs="Tahoma"/>
                <w:color w:val="000000" w:themeColor="text1"/>
                <w:sz w:val="18"/>
                <w:szCs w:val="18"/>
              </w:rPr>
              <w:t xml:space="preserve">print </w:t>
            </w:r>
            <w:r w:rsidRPr="00723A49">
              <w:rPr>
                <w:rFonts w:ascii="Tahoma" w:hAnsi="Tahoma" w:cs="Tahoma"/>
                <w:color w:val="000000" w:themeColor="text1"/>
                <w:sz w:val="18"/>
                <w:szCs w:val="18"/>
              </w:rPr>
              <w:t>the report in Ukrainian (200 copies)</w:t>
            </w:r>
            <w:r>
              <w:rPr>
                <w:rFonts w:ascii="Tahoma" w:hAnsi="Tahoma" w:cs="Tahoma"/>
                <w:color w:val="000000" w:themeColor="text1"/>
                <w:sz w:val="18"/>
                <w:szCs w:val="18"/>
              </w:rPr>
              <w:t xml:space="preserve">: A5 format, colour coated cover page, up to 50 pages colour block. </w:t>
            </w:r>
          </w:p>
        </w:tc>
        <w:tc>
          <w:tcPr>
            <w:tcW w:w="1347" w:type="dxa"/>
            <w:tcBorders>
              <w:right w:val="single" w:sz="2" w:space="0" w:color="FF0000"/>
            </w:tcBorders>
            <w:shd w:val="clear" w:color="auto" w:fill="F2F2F2" w:themeFill="background1" w:themeFillShade="F2"/>
            <w:vAlign w:val="center"/>
          </w:tcPr>
          <w:p w14:paraId="7C810377" w14:textId="4246721C" w:rsidR="00F44AB8" w:rsidRPr="00723A49" w:rsidRDefault="00F44AB8" w:rsidP="00F44AB8">
            <w:pPr>
              <w:tabs>
                <w:tab w:val="left" w:pos="-139"/>
                <w:tab w:val="left" w:pos="0"/>
              </w:tabs>
              <w:spacing w:line="276" w:lineRule="auto"/>
              <w:ind w:right="-140" w:hanging="170"/>
              <w:jc w:val="center"/>
              <w:rPr>
                <w:rFonts w:ascii="Tahoma" w:hAnsi="Tahoma" w:cs="Tahoma"/>
                <w:color w:val="000000" w:themeColor="text1"/>
                <w:sz w:val="18"/>
                <w:szCs w:val="18"/>
                <w:lang w:eastAsia="en-US"/>
              </w:rPr>
            </w:pPr>
            <w:r>
              <w:rPr>
                <w:rFonts w:ascii="Tahoma" w:hAnsi="Tahoma" w:cs="Tahoma"/>
                <w:color w:val="000000" w:themeColor="text1"/>
                <w:sz w:val="18"/>
                <w:szCs w:val="18"/>
                <w:lang w:eastAsia="en-US"/>
              </w:rPr>
              <w:t>By 31</w:t>
            </w:r>
            <w:r w:rsidRPr="00723A49">
              <w:rPr>
                <w:rFonts w:ascii="Tahoma" w:hAnsi="Tahoma" w:cs="Tahoma"/>
                <w:color w:val="000000" w:themeColor="text1"/>
                <w:sz w:val="18"/>
                <w:szCs w:val="18"/>
                <w:lang w:eastAsia="en-US"/>
              </w:rPr>
              <w:t xml:space="preserve"> May</w:t>
            </w:r>
            <w:r>
              <w:rPr>
                <w:rFonts w:ascii="Tahoma" w:hAnsi="Tahoma" w:cs="Tahoma"/>
                <w:color w:val="000000" w:themeColor="text1"/>
                <w:sz w:val="18"/>
                <w:szCs w:val="18"/>
                <w:lang w:eastAsia="en-US"/>
              </w:rPr>
              <w:t xml:space="preserve">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6ED520"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42F33837"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8667B4" w:rsidRPr="00EA2362" w14:paraId="61E5C72E" w14:textId="79DB072E" w:rsidTr="005E7C32">
        <w:trPr>
          <w:trHeight w:val="809"/>
          <w:jc w:val="center"/>
        </w:trPr>
        <w:tc>
          <w:tcPr>
            <w:tcW w:w="6305" w:type="dxa"/>
            <w:shd w:val="clear" w:color="auto" w:fill="F2F2F2" w:themeFill="background1" w:themeFillShade="F2"/>
            <w:vAlign w:val="center"/>
          </w:tcPr>
          <w:p w14:paraId="182E0B72" w14:textId="7C506647" w:rsidR="00F44AB8" w:rsidRPr="00723A49" w:rsidRDefault="00F44AB8" w:rsidP="00B532FC">
            <w:pPr>
              <w:tabs>
                <w:tab w:val="left" w:pos="-139"/>
              </w:tabs>
              <w:ind w:right="-140"/>
              <w:rPr>
                <w:rFonts w:ascii="Tahoma" w:hAnsi="Tahoma" w:cs="Tahoma"/>
                <w:color w:val="000000" w:themeColor="text1"/>
                <w:sz w:val="18"/>
                <w:szCs w:val="18"/>
              </w:rPr>
            </w:pPr>
            <w:r w:rsidRPr="00723A49">
              <w:rPr>
                <w:rFonts w:ascii="Tahoma" w:hAnsi="Tahoma" w:cs="Tahoma"/>
                <w:color w:val="000000" w:themeColor="text1"/>
                <w:sz w:val="18"/>
                <w:szCs w:val="18"/>
              </w:rPr>
              <w:t xml:space="preserve">To present the findings and recommendations of the analytical report at a final project conference. </w:t>
            </w:r>
          </w:p>
        </w:tc>
        <w:tc>
          <w:tcPr>
            <w:tcW w:w="1347" w:type="dxa"/>
            <w:tcBorders>
              <w:right w:val="single" w:sz="2" w:space="0" w:color="FF0000"/>
            </w:tcBorders>
            <w:shd w:val="clear" w:color="auto" w:fill="F2F2F2" w:themeFill="background1" w:themeFillShade="F2"/>
            <w:vAlign w:val="center"/>
          </w:tcPr>
          <w:p w14:paraId="3979DD9F" w14:textId="58FC8839" w:rsidR="00F44AB8" w:rsidRPr="00723A49" w:rsidRDefault="00F44AB8" w:rsidP="00F44AB8">
            <w:pPr>
              <w:tabs>
                <w:tab w:val="left" w:pos="-140"/>
              </w:tabs>
              <w:spacing w:line="276" w:lineRule="auto"/>
              <w:ind w:right="-43" w:hanging="170"/>
              <w:jc w:val="center"/>
              <w:rPr>
                <w:rFonts w:ascii="Tahoma" w:hAnsi="Tahoma" w:cs="Tahoma"/>
                <w:color w:val="000000" w:themeColor="text1"/>
                <w:sz w:val="18"/>
                <w:szCs w:val="18"/>
                <w:lang w:eastAsia="en-US"/>
              </w:rPr>
            </w:pPr>
            <w:r w:rsidRPr="00723A49">
              <w:rPr>
                <w:rFonts w:ascii="Tahoma" w:hAnsi="Tahoma" w:cs="Tahoma"/>
                <w:color w:val="000000" w:themeColor="text1"/>
                <w:sz w:val="18"/>
                <w:szCs w:val="18"/>
                <w:lang w:eastAsia="en-US"/>
              </w:rPr>
              <w:t>End of May</w:t>
            </w:r>
            <w:r>
              <w:rPr>
                <w:rFonts w:ascii="Tahoma" w:hAnsi="Tahoma" w:cs="Tahoma"/>
                <w:color w:val="000000" w:themeColor="text1"/>
                <w:sz w:val="18"/>
                <w:szCs w:val="18"/>
                <w:lang w:eastAsia="en-US"/>
              </w:rPr>
              <w:t>-</w:t>
            </w:r>
            <w:r w:rsidRPr="00723A49">
              <w:rPr>
                <w:rFonts w:ascii="Tahoma" w:hAnsi="Tahoma" w:cs="Tahoma"/>
                <w:color w:val="000000" w:themeColor="text1"/>
                <w:sz w:val="18"/>
                <w:szCs w:val="18"/>
                <w:lang w:eastAsia="en-US"/>
              </w:rPr>
              <w:t xml:space="preserve"> </w:t>
            </w:r>
            <w:r>
              <w:rPr>
                <w:rFonts w:ascii="Tahoma" w:hAnsi="Tahoma" w:cs="Tahoma"/>
                <w:color w:val="000000" w:themeColor="text1"/>
                <w:sz w:val="18"/>
                <w:szCs w:val="18"/>
                <w:lang w:eastAsia="en-US"/>
              </w:rPr>
              <w:t>b</w:t>
            </w:r>
            <w:r w:rsidRPr="00723A49">
              <w:rPr>
                <w:rFonts w:ascii="Tahoma" w:hAnsi="Tahoma" w:cs="Tahoma"/>
                <w:color w:val="000000" w:themeColor="text1"/>
                <w:sz w:val="18"/>
                <w:szCs w:val="18"/>
                <w:lang w:eastAsia="en-US"/>
              </w:rPr>
              <w:t>eginning of June</w:t>
            </w:r>
            <w:r>
              <w:rPr>
                <w:rFonts w:ascii="Tahoma" w:hAnsi="Tahoma" w:cs="Tahoma"/>
                <w:color w:val="000000" w:themeColor="text1"/>
                <w:sz w:val="18"/>
                <w:szCs w:val="18"/>
                <w:lang w:eastAsia="en-US"/>
              </w:rPr>
              <w:t xml:space="preserve"> 2021</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37E200"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62AF63EC"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F44AB8" w:rsidRPr="00EA2362" w14:paraId="1564909A" w14:textId="7D994A71" w:rsidTr="005E7C32">
        <w:trPr>
          <w:trHeight w:val="432"/>
          <w:jc w:val="center"/>
        </w:trPr>
        <w:tc>
          <w:tcPr>
            <w:tcW w:w="7652" w:type="dxa"/>
            <w:gridSpan w:val="2"/>
            <w:tcBorders>
              <w:right w:val="single" w:sz="2" w:space="0" w:color="FF0000"/>
            </w:tcBorders>
            <w:shd w:val="clear" w:color="auto" w:fill="F2F2F2" w:themeFill="background1" w:themeFillShade="F2"/>
            <w:vAlign w:val="center"/>
          </w:tcPr>
          <w:p w14:paraId="6F353B92" w14:textId="70B453C1" w:rsidR="00F44AB8" w:rsidRPr="00EA2362" w:rsidRDefault="00F44AB8" w:rsidP="00F44AB8">
            <w:pPr>
              <w:tabs>
                <w:tab w:val="left" w:pos="-139"/>
                <w:tab w:val="left" w:pos="0"/>
              </w:tabs>
              <w:spacing w:line="276" w:lineRule="auto"/>
              <w:ind w:hanging="170"/>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7CC9DEF6"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F44AB8" w:rsidRPr="00EA2362" w14:paraId="21FC41E9" w14:textId="677B84C4" w:rsidTr="005E7C32">
        <w:trPr>
          <w:trHeight w:val="432"/>
          <w:jc w:val="center"/>
        </w:trPr>
        <w:tc>
          <w:tcPr>
            <w:tcW w:w="7652" w:type="dxa"/>
            <w:gridSpan w:val="2"/>
            <w:tcBorders>
              <w:right w:val="single" w:sz="2" w:space="0" w:color="FF0000"/>
            </w:tcBorders>
            <w:shd w:val="clear" w:color="auto" w:fill="F2F2F2" w:themeFill="background1" w:themeFillShade="F2"/>
            <w:vAlign w:val="center"/>
          </w:tcPr>
          <w:p w14:paraId="02B135AB" w14:textId="6C030908" w:rsidR="00F44AB8" w:rsidRPr="00EA2362" w:rsidRDefault="00F44AB8" w:rsidP="00F44AB8">
            <w:pPr>
              <w:tabs>
                <w:tab w:val="left" w:pos="-139"/>
                <w:tab w:val="left" w:pos="0"/>
              </w:tabs>
              <w:spacing w:line="276" w:lineRule="auto"/>
              <w:ind w:hanging="170"/>
              <w:jc w:val="right"/>
              <w:rPr>
                <w:rFonts w:ascii="Tahoma" w:hAnsi="Tahoma" w:cs="Tahoma"/>
                <w:sz w:val="18"/>
                <w:szCs w:val="18"/>
                <w:lang w:eastAsia="en-US"/>
              </w:rPr>
            </w:pPr>
            <w:r>
              <w:rPr>
                <w:rFonts w:ascii="Tahoma" w:hAnsi="Tahoma" w:cs="Tahoma"/>
                <w:sz w:val="18"/>
                <w:szCs w:val="18"/>
                <w:lang w:eastAsia="en-US"/>
              </w:rPr>
              <w:t xml:space="preserve">VAT </w:t>
            </w:r>
            <w:r w:rsidRPr="00EA2362">
              <w:rPr>
                <w:sz w:val="16"/>
                <w:szCs w:val="16"/>
              </w:rPr>
              <w:t>►</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6482D6"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tcBorders>
            <w:shd w:val="clear" w:color="auto" w:fill="FFFFFF" w:themeFill="background1"/>
          </w:tcPr>
          <w:p w14:paraId="08A147B8"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r w:rsidR="00F44AB8" w:rsidRPr="00EA2362" w14:paraId="0D0C5230" w14:textId="2E4922A1" w:rsidTr="005E7C32">
        <w:trPr>
          <w:trHeight w:val="432"/>
          <w:jc w:val="center"/>
        </w:trPr>
        <w:tc>
          <w:tcPr>
            <w:tcW w:w="7652" w:type="dxa"/>
            <w:gridSpan w:val="2"/>
            <w:tcBorders>
              <w:right w:val="single" w:sz="2" w:space="0" w:color="FF0000"/>
            </w:tcBorders>
            <w:shd w:val="clear" w:color="auto" w:fill="F2F2F2" w:themeFill="background1" w:themeFillShade="F2"/>
            <w:vAlign w:val="center"/>
          </w:tcPr>
          <w:p w14:paraId="398E1CBC" w14:textId="49045345" w:rsidR="00F44AB8" w:rsidRDefault="00F44AB8" w:rsidP="00F44AB8">
            <w:pPr>
              <w:tabs>
                <w:tab w:val="left" w:pos="-139"/>
                <w:tab w:val="left" w:pos="0"/>
              </w:tabs>
              <w:spacing w:line="276" w:lineRule="auto"/>
              <w:ind w:hanging="170"/>
              <w:jc w:val="right"/>
              <w:rPr>
                <w:rFonts w:ascii="Tahoma" w:hAnsi="Tahoma" w:cs="Tahoma"/>
                <w:sz w:val="18"/>
                <w:szCs w:val="18"/>
                <w:lang w:eastAsia="en-US"/>
              </w:rPr>
            </w:pPr>
            <w:r>
              <w:rPr>
                <w:rFonts w:ascii="Tahoma" w:hAnsi="Tahoma" w:cs="Tahoma"/>
                <w:sz w:val="18"/>
                <w:szCs w:val="18"/>
                <w:lang w:eastAsia="en-US"/>
              </w:rPr>
              <w:t xml:space="preserve">TOTAL WITH VAT </w:t>
            </w:r>
            <w:r w:rsidRPr="00EA2362">
              <w:rPr>
                <w:sz w:val="16"/>
                <w:szCs w:val="16"/>
              </w:rPr>
              <w:t>►</w:t>
            </w:r>
            <w:r>
              <w:rPr>
                <w:rFonts w:ascii="Tahoma" w:hAnsi="Tahoma" w:cs="Tahoma"/>
                <w:sz w:val="18"/>
                <w:szCs w:val="18"/>
                <w:lang w:eastAsia="en-US"/>
              </w:rPr>
              <w:t xml:space="preserve"> </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F1245A" w14:textId="77777777" w:rsidR="00F44AB8" w:rsidRPr="00EA2362" w:rsidRDefault="00F44AB8" w:rsidP="00F44AB8">
            <w:pPr>
              <w:tabs>
                <w:tab w:val="left" w:pos="-139"/>
              </w:tabs>
              <w:spacing w:line="276" w:lineRule="auto"/>
              <w:ind w:right="-140"/>
              <w:jc w:val="center"/>
              <w:rPr>
                <w:rFonts w:ascii="Tahoma" w:hAnsi="Tahoma" w:cs="Tahoma"/>
                <w:sz w:val="18"/>
                <w:szCs w:val="18"/>
                <w:highlight w:val="yellow"/>
                <w:lang w:eastAsia="en-US"/>
              </w:rPr>
            </w:pPr>
          </w:p>
        </w:tc>
        <w:tc>
          <w:tcPr>
            <w:tcW w:w="1134" w:type="dxa"/>
            <w:vMerge/>
            <w:tcBorders>
              <w:left w:val="single" w:sz="2" w:space="0" w:color="FF0000"/>
              <w:bottom w:val="single" w:sz="2" w:space="0" w:color="FF0000"/>
            </w:tcBorders>
            <w:shd w:val="clear" w:color="auto" w:fill="FFFFFF" w:themeFill="background1"/>
          </w:tcPr>
          <w:p w14:paraId="46C24A96" w14:textId="77777777" w:rsidR="00F44AB8" w:rsidRPr="00EA2362" w:rsidRDefault="00F44AB8"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5B6ECC1"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6EC71529" w:rsidR="009A6460" w:rsidRPr="00EA2362" w:rsidRDefault="00F44AB8" w:rsidP="00FC7772">
            <w:pPr>
              <w:rPr>
                <w:rFonts w:ascii="Tahoma" w:hAnsi="Tahoma" w:cs="Tahoma"/>
                <w:sz w:val="20"/>
                <w:szCs w:val="20"/>
              </w:rPr>
            </w:pPr>
            <w:r>
              <w:rPr>
                <w:rFonts w:ascii="Tahoma" w:hAnsi="Tahoma" w:cs="Tahoma"/>
                <w:sz w:val="20"/>
                <w:szCs w:val="20"/>
              </w:rPr>
              <w:t>Olena LYTVYNENKO,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67F2984" w:rsidR="009A6460" w:rsidRPr="00EA2362" w:rsidRDefault="009A6460" w:rsidP="00FC7772">
            <w:pPr>
              <w:rPr>
                <w:rFonts w:ascii="Tahoma" w:hAnsi="Tahoma" w:cs="Tahoma"/>
                <w:sz w:val="20"/>
                <w:szCs w:val="20"/>
              </w:rPr>
            </w:pPr>
            <w:r w:rsidRPr="00375BEA">
              <w:rPr>
                <w:rFonts w:ascii="Tahoma" w:hAnsi="Tahoma" w:cs="Tahoma"/>
                <w:sz w:val="16"/>
                <w:szCs w:val="16"/>
              </w:rPr>
              <w:t>In</w:t>
            </w:r>
            <w:r w:rsidR="00F44AB8">
              <w:rPr>
                <w:rFonts w:ascii="Tahoma" w:hAnsi="Tahoma" w:cs="Tahoma"/>
                <w:sz w:val="16"/>
                <w:szCs w:val="16"/>
              </w:rPr>
              <w:t xml:space="preserve"> Kyiv</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367A1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367A1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367A1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367A1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367A1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367A1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367A1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367A1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367A1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362FF">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362FF">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362FF">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362FF">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362FF">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362FF">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362FF">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362FF">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362FF">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362FF">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362FF">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362FF">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362FF">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362FF">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362FF">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362FF">
      <w:pPr>
        <w:pStyle w:val="ListParagraph"/>
        <w:numPr>
          <w:ilvl w:val="0"/>
          <w:numId w:val="2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362FF">
      <w:pPr>
        <w:pStyle w:val="ListParagraph"/>
        <w:numPr>
          <w:ilvl w:val="0"/>
          <w:numId w:val="2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362FF">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362FF">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5362FF">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5362FF">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362FF">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362FF">
      <w:pPr>
        <w:pStyle w:val="ListParagraph"/>
        <w:numPr>
          <w:ilvl w:val="1"/>
          <w:numId w:val="21"/>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362FF">
      <w:pPr>
        <w:pStyle w:val="ListParagraph"/>
        <w:numPr>
          <w:ilvl w:val="0"/>
          <w:numId w:val="1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362FF">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362FF">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362FF">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362FF">
      <w:pPr>
        <w:pStyle w:val="ListParagraph"/>
        <w:numPr>
          <w:ilvl w:val="0"/>
          <w:numId w:val="1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362FF">
      <w:pPr>
        <w:pStyle w:val="ListParagraph"/>
        <w:numPr>
          <w:ilvl w:val="0"/>
          <w:numId w:val="1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362FF">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362FF">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362FF">
      <w:pPr>
        <w:pStyle w:val="ListParagraph"/>
        <w:numPr>
          <w:ilvl w:val="0"/>
          <w:numId w:val="13"/>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362FF">
      <w:pPr>
        <w:pStyle w:val="ListParagraph"/>
        <w:numPr>
          <w:ilvl w:val="0"/>
          <w:numId w:val="2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362FF">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362FF">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5362FF">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362FF">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362FF">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362FF">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362FF">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362FF">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362FF">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362FF">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362FF">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362FF">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362FF">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362FF">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362FF">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362FF">
      <w:pPr>
        <w:pStyle w:val="ListParagraph"/>
        <w:numPr>
          <w:ilvl w:val="2"/>
          <w:numId w:val="23"/>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362FF">
      <w:pPr>
        <w:pStyle w:val="ListParagraph"/>
        <w:numPr>
          <w:ilvl w:val="2"/>
          <w:numId w:val="23"/>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362FF">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362FF">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362FF">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362FF">
      <w:pPr>
        <w:pStyle w:val="ListParagraph"/>
        <w:numPr>
          <w:ilvl w:val="2"/>
          <w:numId w:val="23"/>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362FF">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362FF">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362FF">
      <w:pPr>
        <w:pStyle w:val="ListParagraph"/>
        <w:numPr>
          <w:ilvl w:val="1"/>
          <w:numId w:val="26"/>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5362FF">
      <w:pPr>
        <w:numPr>
          <w:ilvl w:val="0"/>
          <w:numId w:val="4"/>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362FF">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362FF">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362FF">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367A1E">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F482" w14:textId="77777777" w:rsidR="00B5718A" w:rsidRDefault="00B5718A" w:rsidP="00D50F13">
      <w:r>
        <w:separator/>
      </w:r>
    </w:p>
  </w:endnote>
  <w:endnote w:type="continuationSeparator" w:id="0">
    <w:p w14:paraId="29DD3982" w14:textId="77777777" w:rsidR="00B5718A" w:rsidRDefault="00B5718A" w:rsidP="00D50F13">
      <w:r>
        <w:continuationSeparator/>
      </w:r>
    </w:p>
  </w:endnote>
  <w:endnote w:type="continuationNotice" w:id="1">
    <w:p w14:paraId="7ACA1491" w14:textId="77777777" w:rsidR="00B5718A" w:rsidRDefault="00B57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DD4A66"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D4A66" w:rsidRPr="00AE2D2B" w:rsidRDefault="00DD4A66"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A05C7B" w:rsidR="00DD4A66" w:rsidRPr="00AE2D2B" w:rsidRDefault="00DD4A66" w:rsidP="00FC7772">
          <w:pPr>
            <w:rPr>
              <w:rFonts w:ascii="Arial Narrow" w:hAnsi="Arial Narrow"/>
              <w:caps/>
              <w:color w:val="000000"/>
              <w:sz w:val="18"/>
              <w:szCs w:val="18"/>
              <w:highlight w:val="cyan"/>
            </w:rPr>
          </w:pPr>
          <w:r w:rsidRPr="005810C9">
            <w:rPr>
              <w:rFonts w:ascii="Tahoma" w:hAnsi="Tahoma" w:cs="Tahoma"/>
              <w:iCs/>
              <w:sz w:val="18"/>
              <w:szCs w:val="18"/>
            </w:rPr>
            <w:t>8683/2021/</w:t>
          </w:r>
          <w:r>
            <w:rPr>
              <w:rFonts w:ascii="Tahoma" w:hAnsi="Tahoma" w:cs="Tahoma"/>
              <w:iCs/>
              <w:sz w:val="18"/>
              <w:szCs w:val="18"/>
            </w:rPr>
            <w:t>8</w:t>
          </w:r>
        </w:p>
      </w:tc>
    </w:tr>
  </w:tbl>
  <w:p w14:paraId="11A0349E" w14:textId="77777777" w:rsidR="00DD4A66" w:rsidRDefault="00DD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DD4A66" w:rsidRPr="00FC72C5" w:rsidRDefault="00DD4A66">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D4A66" w:rsidRDefault="00DD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AEAF" w14:textId="77777777" w:rsidR="00B5718A" w:rsidRDefault="00B5718A" w:rsidP="00D50F13">
      <w:r>
        <w:separator/>
      </w:r>
    </w:p>
  </w:footnote>
  <w:footnote w:type="continuationSeparator" w:id="0">
    <w:p w14:paraId="11B39229" w14:textId="77777777" w:rsidR="00B5718A" w:rsidRDefault="00B5718A" w:rsidP="00D50F13">
      <w:r>
        <w:continuationSeparator/>
      </w:r>
    </w:p>
  </w:footnote>
  <w:footnote w:type="continuationNotice" w:id="1">
    <w:p w14:paraId="232FEF2B" w14:textId="77777777" w:rsidR="00B5718A" w:rsidRDefault="00B5718A"/>
  </w:footnote>
  <w:footnote w:id="2">
    <w:p w14:paraId="4CF465B4" w14:textId="37C15939" w:rsidR="00DD4A66" w:rsidRPr="006D0587" w:rsidRDefault="00DD4A66"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6D0587">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6D0587">
        <w:rPr>
          <w:rFonts w:ascii="Tahoma" w:hAnsi="Tahoma" w:cs="Tahoma"/>
          <w:sz w:val="18"/>
          <w:szCs w:val="18"/>
          <w:lang w:val="en-US"/>
        </w:rPr>
        <w:t xml:space="preserve"> Avenue de l’Europe, F-67075 Strasbourg Cedex, France</w:t>
      </w:r>
    </w:p>
  </w:footnote>
  <w:footnote w:id="3">
    <w:p w14:paraId="2D6A9193" w14:textId="6337D522" w:rsidR="00DD4A66" w:rsidRPr="00194EDC" w:rsidRDefault="00DD4A66">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DD4A66" w:rsidRPr="00194EDC" w:rsidRDefault="00DD4A6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DD4A66" w:rsidRPr="00660AB4" w:rsidRDefault="00DD4A66"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DD4A66" w:rsidRPr="00126BDD" w:rsidRDefault="00DD4A66">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8667B4">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8667B4">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DD4A66" w:rsidRPr="00660AB4" w:rsidRDefault="00DD4A66"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DD4A66" w:rsidRDefault="00DD4A66">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7DA"/>
    <w:multiLevelType w:val="hybridMultilevel"/>
    <w:tmpl w:val="C51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D6020"/>
    <w:multiLevelType w:val="hybridMultilevel"/>
    <w:tmpl w:val="7EC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4" w15:restartNumberingAfterBreak="0">
    <w:nsid w:val="373F2C5C"/>
    <w:multiLevelType w:val="hybridMultilevel"/>
    <w:tmpl w:val="26B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1726E"/>
    <w:multiLevelType w:val="hybridMultilevel"/>
    <w:tmpl w:val="77EC3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28"/>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1"/>
  </w:num>
  <w:num w:numId="8">
    <w:abstractNumId w:val="12"/>
  </w:num>
  <w:num w:numId="9">
    <w:abstractNumId w:val="17"/>
  </w:num>
  <w:num w:numId="10">
    <w:abstractNumId w:val="26"/>
  </w:num>
  <w:num w:numId="11">
    <w:abstractNumId w:val="6"/>
  </w:num>
  <w:num w:numId="12">
    <w:abstractNumId w:val="21"/>
  </w:num>
  <w:num w:numId="13">
    <w:abstractNumId w:val="13"/>
  </w:num>
  <w:num w:numId="14">
    <w:abstractNumId w:val="3"/>
  </w:num>
  <w:num w:numId="15">
    <w:abstractNumId w:val="11"/>
  </w:num>
  <w:num w:numId="16">
    <w:abstractNumId w:val="7"/>
  </w:num>
  <w:num w:numId="17">
    <w:abstractNumId w:val="5"/>
  </w:num>
  <w:num w:numId="18">
    <w:abstractNumId w:val="18"/>
  </w:num>
  <w:num w:numId="19">
    <w:abstractNumId w:val="8"/>
  </w:num>
  <w:num w:numId="20">
    <w:abstractNumId w:val="29"/>
  </w:num>
  <w:num w:numId="21">
    <w:abstractNumId w:val="9"/>
  </w:num>
  <w:num w:numId="22">
    <w:abstractNumId w:val="22"/>
  </w:num>
  <w:num w:numId="23">
    <w:abstractNumId w:val="2"/>
  </w:num>
  <w:num w:numId="24">
    <w:abstractNumId w:val="23"/>
  </w:num>
  <w:num w:numId="25">
    <w:abstractNumId w:val="20"/>
  </w:num>
  <w:num w:numId="26">
    <w:abstractNumId w:val="4"/>
  </w:num>
  <w:num w:numId="27">
    <w:abstractNumId w:val="19"/>
  </w:num>
  <w:num w:numId="28">
    <w:abstractNumId w:val="10"/>
  </w:num>
  <w:num w:numId="29">
    <w:abstractNumId w:val="14"/>
  </w:num>
  <w:num w:numId="30">
    <w:abstractNumId w:val="0"/>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2808"/>
    <w:rsid w:val="00004D79"/>
    <w:rsid w:val="00007AEB"/>
    <w:rsid w:val="00007C19"/>
    <w:rsid w:val="0001537A"/>
    <w:rsid w:val="00023D4C"/>
    <w:rsid w:val="00037A7D"/>
    <w:rsid w:val="0004179C"/>
    <w:rsid w:val="00042C08"/>
    <w:rsid w:val="0004522F"/>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B7F25"/>
    <w:rsid w:val="000C17F7"/>
    <w:rsid w:val="000C3AE6"/>
    <w:rsid w:val="000C6FA6"/>
    <w:rsid w:val="000C7843"/>
    <w:rsid w:val="000E0285"/>
    <w:rsid w:val="000E0562"/>
    <w:rsid w:val="000E1C99"/>
    <w:rsid w:val="000E2871"/>
    <w:rsid w:val="000E59DC"/>
    <w:rsid w:val="000E5DF5"/>
    <w:rsid w:val="000F08A5"/>
    <w:rsid w:val="000F1520"/>
    <w:rsid w:val="000F18A2"/>
    <w:rsid w:val="000F3067"/>
    <w:rsid w:val="000F3487"/>
    <w:rsid w:val="000F3CB2"/>
    <w:rsid w:val="00112FFC"/>
    <w:rsid w:val="00113108"/>
    <w:rsid w:val="0011556A"/>
    <w:rsid w:val="001213D9"/>
    <w:rsid w:val="00123D90"/>
    <w:rsid w:val="00126183"/>
    <w:rsid w:val="0012667B"/>
    <w:rsid w:val="00126BDD"/>
    <w:rsid w:val="0012748F"/>
    <w:rsid w:val="00127AB4"/>
    <w:rsid w:val="001359BE"/>
    <w:rsid w:val="00150C0F"/>
    <w:rsid w:val="00160002"/>
    <w:rsid w:val="0016172B"/>
    <w:rsid w:val="0016340D"/>
    <w:rsid w:val="00163DF5"/>
    <w:rsid w:val="001666FE"/>
    <w:rsid w:val="001766BF"/>
    <w:rsid w:val="00182FB2"/>
    <w:rsid w:val="00183E4D"/>
    <w:rsid w:val="0019283C"/>
    <w:rsid w:val="00194446"/>
    <w:rsid w:val="00194EDC"/>
    <w:rsid w:val="001A125D"/>
    <w:rsid w:val="001A207E"/>
    <w:rsid w:val="001A329C"/>
    <w:rsid w:val="001A5371"/>
    <w:rsid w:val="001A77F3"/>
    <w:rsid w:val="001B0127"/>
    <w:rsid w:val="001B138A"/>
    <w:rsid w:val="001C16DD"/>
    <w:rsid w:val="001C3B82"/>
    <w:rsid w:val="001C4BA2"/>
    <w:rsid w:val="001C5064"/>
    <w:rsid w:val="001C6878"/>
    <w:rsid w:val="001D1121"/>
    <w:rsid w:val="001D40AD"/>
    <w:rsid w:val="001D5926"/>
    <w:rsid w:val="001E1331"/>
    <w:rsid w:val="001E5342"/>
    <w:rsid w:val="001E5424"/>
    <w:rsid w:val="001F5A87"/>
    <w:rsid w:val="001F69FC"/>
    <w:rsid w:val="002019A5"/>
    <w:rsid w:val="00202926"/>
    <w:rsid w:val="00206F03"/>
    <w:rsid w:val="00212B69"/>
    <w:rsid w:val="00213B7C"/>
    <w:rsid w:val="00214F7E"/>
    <w:rsid w:val="00225B0D"/>
    <w:rsid w:val="00226241"/>
    <w:rsid w:val="0023030E"/>
    <w:rsid w:val="002336A0"/>
    <w:rsid w:val="002370A9"/>
    <w:rsid w:val="0024057A"/>
    <w:rsid w:val="002440D2"/>
    <w:rsid w:val="00251355"/>
    <w:rsid w:val="00254F20"/>
    <w:rsid w:val="00255320"/>
    <w:rsid w:val="00261462"/>
    <w:rsid w:val="00273B5A"/>
    <w:rsid w:val="00274721"/>
    <w:rsid w:val="00274D7C"/>
    <w:rsid w:val="00275E34"/>
    <w:rsid w:val="002805F8"/>
    <w:rsid w:val="00280CD9"/>
    <w:rsid w:val="00290EAC"/>
    <w:rsid w:val="00293BC2"/>
    <w:rsid w:val="00293CBB"/>
    <w:rsid w:val="002948F1"/>
    <w:rsid w:val="002A2C42"/>
    <w:rsid w:val="002A2D81"/>
    <w:rsid w:val="002A56A1"/>
    <w:rsid w:val="002B4786"/>
    <w:rsid w:val="002C6F98"/>
    <w:rsid w:val="002C7BEF"/>
    <w:rsid w:val="002D29CE"/>
    <w:rsid w:val="002D5425"/>
    <w:rsid w:val="002D5DC0"/>
    <w:rsid w:val="002E5606"/>
    <w:rsid w:val="002E5B9C"/>
    <w:rsid w:val="002F384D"/>
    <w:rsid w:val="00300098"/>
    <w:rsid w:val="00305CCD"/>
    <w:rsid w:val="003117F0"/>
    <w:rsid w:val="003120F1"/>
    <w:rsid w:val="003171F7"/>
    <w:rsid w:val="00320711"/>
    <w:rsid w:val="0032149F"/>
    <w:rsid w:val="00323A92"/>
    <w:rsid w:val="00323EF2"/>
    <w:rsid w:val="003273E7"/>
    <w:rsid w:val="00332AF4"/>
    <w:rsid w:val="00334796"/>
    <w:rsid w:val="0034681E"/>
    <w:rsid w:val="00350F4E"/>
    <w:rsid w:val="0035108E"/>
    <w:rsid w:val="00351570"/>
    <w:rsid w:val="00355DF5"/>
    <w:rsid w:val="003603A8"/>
    <w:rsid w:val="003618E9"/>
    <w:rsid w:val="00367A1E"/>
    <w:rsid w:val="003712F2"/>
    <w:rsid w:val="0037294C"/>
    <w:rsid w:val="00373C8A"/>
    <w:rsid w:val="00375BEA"/>
    <w:rsid w:val="00376FF0"/>
    <w:rsid w:val="00380C3E"/>
    <w:rsid w:val="00384F85"/>
    <w:rsid w:val="00386026"/>
    <w:rsid w:val="00390667"/>
    <w:rsid w:val="003916BB"/>
    <w:rsid w:val="0039258A"/>
    <w:rsid w:val="00394B2C"/>
    <w:rsid w:val="0039777B"/>
    <w:rsid w:val="003A2018"/>
    <w:rsid w:val="003A3501"/>
    <w:rsid w:val="003A3AEE"/>
    <w:rsid w:val="003A4524"/>
    <w:rsid w:val="003A5AA7"/>
    <w:rsid w:val="003A5E16"/>
    <w:rsid w:val="003A7529"/>
    <w:rsid w:val="003B1C2E"/>
    <w:rsid w:val="003B2E7E"/>
    <w:rsid w:val="003B4F53"/>
    <w:rsid w:val="003C1D13"/>
    <w:rsid w:val="003C33CF"/>
    <w:rsid w:val="003D0AC6"/>
    <w:rsid w:val="003D7F76"/>
    <w:rsid w:val="003E0A41"/>
    <w:rsid w:val="003E2D84"/>
    <w:rsid w:val="003E6D30"/>
    <w:rsid w:val="003E7010"/>
    <w:rsid w:val="003F2594"/>
    <w:rsid w:val="003F4702"/>
    <w:rsid w:val="003F5956"/>
    <w:rsid w:val="003F7D5B"/>
    <w:rsid w:val="00401D03"/>
    <w:rsid w:val="004047FC"/>
    <w:rsid w:val="00404EFC"/>
    <w:rsid w:val="00411D3E"/>
    <w:rsid w:val="004121E2"/>
    <w:rsid w:val="004122A5"/>
    <w:rsid w:val="0041668A"/>
    <w:rsid w:val="00420CCA"/>
    <w:rsid w:val="00420E9A"/>
    <w:rsid w:val="0043137D"/>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6451"/>
    <w:rsid w:val="0049706A"/>
    <w:rsid w:val="004A017C"/>
    <w:rsid w:val="004A673F"/>
    <w:rsid w:val="004A7AE3"/>
    <w:rsid w:val="004B0F2D"/>
    <w:rsid w:val="004B2022"/>
    <w:rsid w:val="004B3F9D"/>
    <w:rsid w:val="004B7473"/>
    <w:rsid w:val="004B7FE1"/>
    <w:rsid w:val="004C25EC"/>
    <w:rsid w:val="004C3551"/>
    <w:rsid w:val="004D084E"/>
    <w:rsid w:val="004D19E3"/>
    <w:rsid w:val="004E111D"/>
    <w:rsid w:val="004E1F03"/>
    <w:rsid w:val="004E67E1"/>
    <w:rsid w:val="004E796F"/>
    <w:rsid w:val="004E7A45"/>
    <w:rsid w:val="004E7D01"/>
    <w:rsid w:val="004F0625"/>
    <w:rsid w:val="004F5358"/>
    <w:rsid w:val="004F71A4"/>
    <w:rsid w:val="00500A3B"/>
    <w:rsid w:val="00523268"/>
    <w:rsid w:val="005253A7"/>
    <w:rsid w:val="0053337A"/>
    <w:rsid w:val="00534010"/>
    <w:rsid w:val="005362FF"/>
    <w:rsid w:val="00542FEE"/>
    <w:rsid w:val="00546A94"/>
    <w:rsid w:val="005501BB"/>
    <w:rsid w:val="00552817"/>
    <w:rsid w:val="00563846"/>
    <w:rsid w:val="0056498A"/>
    <w:rsid w:val="00565FF1"/>
    <w:rsid w:val="00567F3E"/>
    <w:rsid w:val="00576647"/>
    <w:rsid w:val="0058109F"/>
    <w:rsid w:val="005810C9"/>
    <w:rsid w:val="005845C2"/>
    <w:rsid w:val="005851E4"/>
    <w:rsid w:val="005920E6"/>
    <w:rsid w:val="00595288"/>
    <w:rsid w:val="005A1721"/>
    <w:rsid w:val="005A22F8"/>
    <w:rsid w:val="005A6974"/>
    <w:rsid w:val="005B0078"/>
    <w:rsid w:val="005B0752"/>
    <w:rsid w:val="005B733C"/>
    <w:rsid w:val="005B7F25"/>
    <w:rsid w:val="005C0BFC"/>
    <w:rsid w:val="005C65E0"/>
    <w:rsid w:val="005D1AAF"/>
    <w:rsid w:val="005D5924"/>
    <w:rsid w:val="005E2710"/>
    <w:rsid w:val="005E369A"/>
    <w:rsid w:val="005E44E8"/>
    <w:rsid w:val="005E5D75"/>
    <w:rsid w:val="005E7C32"/>
    <w:rsid w:val="005F37BF"/>
    <w:rsid w:val="005F7814"/>
    <w:rsid w:val="00603878"/>
    <w:rsid w:val="00613313"/>
    <w:rsid w:val="00614CB2"/>
    <w:rsid w:val="006232B4"/>
    <w:rsid w:val="00631B57"/>
    <w:rsid w:val="0063292B"/>
    <w:rsid w:val="00632E31"/>
    <w:rsid w:val="00637DAE"/>
    <w:rsid w:val="00642617"/>
    <w:rsid w:val="006426F7"/>
    <w:rsid w:val="006436A1"/>
    <w:rsid w:val="00647C28"/>
    <w:rsid w:val="00647D98"/>
    <w:rsid w:val="006507B4"/>
    <w:rsid w:val="00653BB6"/>
    <w:rsid w:val="00654D22"/>
    <w:rsid w:val="006550CA"/>
    <w:rsid w:val="006558F9"/>
    <w:rsid w:val="006562E2"/>
    <w:rsid w:val="00660256"/>
    <w:rsid w:val="00660AB4"/>
    <w:rsid w:val="00662182"/>
    <w:rsid w:val="00664BFB"/>
    <w:rsid w:val="006717A7"/>
    <w:rsid w:val="0067529C"/>
    <w:rsid w:val="00680325"/>
    <w:rsid w:val="00681751"/>
    <w:rsid w:val="00681D57"/>
    <w:rsid w:val="00682F97"/>
    <w:rsid w:val="00687D63"/>
    <w:rsid w:val="006912CB"/>
    <w:rsid w:val="006A1C42"/>
    <w:rsid w:val="006A51F8"/>
    <w:rsid w:val="006A6F11"/>
    <w:rsid w:val="006A7F07"/>
    <w:rsid w:val="006B0045"/>
    <w:rsid w:val="006B2D7D"/>
    <w:rsid w:val="006B5E0D"/>
    <w:rsid w:val="006B71A1"/>
    <w:rsid w:val="006C7D58"/>
    <w:rsid w:val="006D00AF"/>
    <w:rsid w:val="006D0587"/>
    <w:rsid w:val="006D3613"/>
    <w:rsid w:val="006D5F85"/>
    <w:rsid w:val="006D78F7"/>
    <w:rsid w:val="006E09FC"/>
    <w:rsid w:val="006F07F8"/>
    <w:rsid w:val="006F1AF5"/>
    <w:rsid w:val="006F61B8"/>
    <w:rsid w:val="00701119"/>
    <w:rsid w:val="00711683"/>
    <w:rsid w:val="00714D53"/>
    <w:rsid w:val="00723A49"/>
    <w:rsid w:val="00724107"/>
    <w:rsid w:val="00734832"/>
    <w:rsid w:val="00734E93"/>
    <w:rsid w:val="0073712E"/>
    <w:rsid w:val="00740755"/>
    <w:rsid w:val="007434E5"/>
    <w:rsid w:val="00743F00"/>
    <w:rsid w:val="0074551C"/>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E29FC"/>
    <w:rsid w:val="007F0EF3"/>
    <w:rsid w:val="007F4F2B"/>
    <w:rsid w:val="007F79F8"/>
    <w:rsid w:val="008041EC"/>
    <w:rsid w:val="00806CD2"/>
    <w:rsid w:val="008076C9"/>
    <w:rsid w:val="0081096E"/>
    <w:rsid w:val="00810AE5"/>
    <w:rsid w:val="00810AF2"/>
    <w:rsid w:val="00810D55"/>
    <w:rsid w:val="00812FBB"/>
    <w:rsid w:val="00823960"/>
    <w:rsid w:val="0082549E"/>
    <w:rsid w:val="00826BA5"/>
    <w:rsid w:val="0083377F"/>
    <w:rsid w:val="00840C1E"/>
    <w:rsid w:val="00842E9B"/>
    <w:rsid w:val="008435DD"/>
    <w:rsid w:val="00844DD8"/>
    <w:rsid w:val="00845F72"/>
    <w:rsid w:val="00860FEB"/>
    <w:rsid w:val="008628C7"/>
    <w:rsid w:val="0086476E"/>
    <w:rsid w:val="008667B4"/>
    <w:rsid w:val="00866EC7"/>
    <w:rsid w:val="008679F0"/>
    <w:rsid w:val="00873212"/>
    <w:rsid w:val="00883C2D"/>
    <w:rsid w:val="00887B2A"/>
    <w:rsid w:val="00891CAA"/>
    <w:rsid w:val="00892D73"/>
    <w:rsid w:val="00896DA8"/>
    <w:rsid w:val="008A24C0"/>
    <w:rsid w:val="008A486B"/>
    <w:rsid w:val="008B03FE"/>
    <w:rsid w:val="008B2DB7"/>
    <w:rsid w:val="008B3EEE"/>
    <w:rsid w:val="008B4982"/>
    <w:rsid w:val="008B6FDD"/>
    <w:rsid w:val="008C2548"/>
    <w:rsid w:val="008C71C0"/>
    <w:rsid w:val="008D113B"/>
    <w:rsid w:val="008D11EA"/>
    <w:rsid w:val="008D3220"/>
    <w:rsid w:val="008D519F"/>
    <w:rsid w:val="008E3F10"/>
    <w:rsid w:val="008E4275"/>
    <w:rsid w:val="008E55CB"/>
    <w:rsid w:val="008E56BB"/>
    <w:rsid w:val="008E6387"/>
    <w:rsid w:val="008F2DBD"/>
    <w:rsid w:val="008F31A8"/>
    <w:rsid w:val="008F3844"/>
    <w:rsid w:val="008F3D21"/>
    <w:rsid w:val="008F3EA2"/>
    <w:rsid w:val="008F4E22"/>
    <w:rsid w:val="009031B7"/>
    <w:rsid w:val="00904B93"/>
    <w:rsid w:val="009058FD"/>
    <w:rsid w:val="00905C45"/>
    <w:rsid w:val="0091064C"/>
    <w:rsid w:val="00913B81"/>
    <w:rsid w:val="00914C3E"/>
    <w:rsid w:val="0091729C"/>
    <w:rsid w:val="009214B5"/>
    <w:rsid w:val="009245DB"/>
    <w:rsid w:val="0093088A"/>
    <w:rsid w:val="00932425"/>
    <w:rsid w:val="009365EB"/>
    <w:rsid w:val="009461D5"/>
    <w:rsid w:val="0095095F"/>
    <w:rsid w:val="00951BB3"/>
    <w:rsid w:val="00956F45"/>
    <w:rsid w:val="00960D1E"/>
    <w:rsid w:val="00972222"/>
    <w:rsid w:val="00973EF1"/>
    <w:rsid w:val="0098387D"/>
    <w:rsid w:val="00984EE6"/>
    <w:rsid w:val="00990987"/>
    <w:rsid w:val="00992761"/>
    <w:rsid w:val="00995C0C"/>
    <w:rsid w:val="009A100B"/>
    <w:rsid w:val="009A5B27"/>
    <w:rsid w:val="009A6460"/>
    <w:rsid w:val="009B76BE"/>
    <w:rsid w:val="009C04E7"/>
    <w:rsid w:val="009C42FD"/>
    <w:rsid w:val="009C7524"/>
    <w:rsid w:val="009D175B"/>
    <w:rsid w:val="009D290D"/>
    <w:rsid w:val="009E2400"/>
    <w:rsid w:val="009E4346"/>
    <w:rsid w:val="009E55DF"/>
    <w:rsid w:val="009E5960"/>
    <w:rsid w:val="009E7590"/>
    <w:rsid w:val="009F32D6"/>
    <w:rsid w:val="009F49A6"/>
    <w:rsid w:val="009F7FF4"/>
    <w:rsid w:val="00A00374"/>
    <w:rsid w:val="00A01BC9"/>
    <w:rsid w:val="00A045AD"/>
    <w:rsid w:val="00A04E44"/>
    <w:rsid w:val="00A11470"/>
    <w:rsid w:val="00A12241"/>
    <w:rsid w:val="00A26A5F"/>
    <w:rsid w:val="00A30FC9"/>
    <w:rsid w:val="00A31F3F"/>
    <w:rsid w:val="00A34538"/>
    <w:rsid w:val="00A40899"/>
    <w:rsid w:val="00A419ED"/>
    <w:rsid w:val="00A51EDA"/>
    <w:rsid w:val="00A52FA2"/>
    <w:rsid w:val="00A535BA"/>
    <w:rsid w:val="00A53BF2"/>
    <w:rsid w:val="00A54792"/>
    <w:rsid w:val="00A661EC"/>
    <w:rsid w:val="00A67362"/>
    <w:rsid w:val="00A675CC"/>
    <w:rsid w:val="00A71429"/>
    <w:rsid w:val="00A801EB"/>
    <w:rsid w:val="00A820B3"/>
    <w:rsid w:val="00A8461F"/>
    <w:rsid w:val="00A85379"/>
    <w:rsid w:val="00A869D3"/>
    <w:rsid w:val="00A901F2"/>
    <w:rsid w:val="00A96A37"/>
    <w:rsid w:val="00A97DA6"/>
    <w:rsid w:val="00AA1957"/>
    <w:rsid w:val="00AA7B01"/>
    <w:rsid w:val="00AB03AB"/>
    <w:rsid w:val="00AB13EF"/>
    <w:rsid w:val="00AB1BF8"/>
    <w:rsid w:val="00AB2DAF"/>
    <w:rsid w:val="00AC08D9"/>
    <w:rsid w:val="00AC7957"/>
    <w:rsid w:val="00AD1176"/>
    <w:rsid w:val="00AD2E60"/>
    <w:rsid w:val="00AD33C7"/>
    <w:rsid w:val="00AD423A"/>
    <w:rsid w:val="00AD58AA"/>
    <w:rsid w:val="00AD5E4A"/>
    <w:rsid w:val="00AD7214"/>
    <w:rsid w:val="00AE2A99"/>
    <w:rsid w:val="00AE5507"/>
    <w:rsid w:val="00AE56C7"/>
    <w:rsid w:val="00AF5316"/>
    <w:rsid w:val="00B018FC"/>
    <w:rsid w:val="00B034F9"/>
    <w:rsid w:val="00B11F35"/>
    <w:rsid w:val="00B14BC3"/>
    <w:rsid w:val="00B14D5F"/>
    <w:rsid w:val="00B214E4"/>
    <w:rsid w:val="00B21BA4"/>
    <w:rsid w:val="00B22142"/>
    <w:rsid w:val="00B221A3"/>
    <w:rsid w:val="00B24757"/>
    <w:rsid w:val="00B30098"/>
    <w:rsid w:val="00B30357"/>
    <w:rsid w:val="00B3242F"/>
    <w:rsid w:val="00B32829"/>
    <w:rsid w:val="00B41058"/>
    <w:rsid w:val="00B43A63"/>
    <w:rsid w:val="00B44D10"/>
    <w:rsid w:val="00B4793C"/>
    <w:rsid w:val="00B50164"/>
    <w:rsid w:val="00B50EFC"/>
    <w:rsid w:val="00B532FC"/>
    <w:rsid w:val="00B5712C"/>
    <w:rsid w:val="00B5718A"/>
    <w:rsid w:val="00B57EEC"/>
    <w:rsid w:val="00B60F30"/>
    <w:rsid w:val="00B64ACB"/>
    <w:rsid w:val="00B64E3F"/>
    <w:rsid w:val="00B653B9"/>
    <w:rsid w:val="00B67FAF"/>
    <w:rsid w:val="00B72357"/>
    <w:rsid w:val="00B74B45"/>
    <w:rsid w:val="00B74DC5"/>
    <w:rsid w:val="00B82DFF"/>
    <w:rsid w:val="00B87F73"/>
    <w:rsid w:val="00BA0D1F"/>
    <w:rsid w:val="00BA1F2A"/>
    <w:rsid w:val="00BA355F"/>
    <w:rsid w:val="00BA535D"/>
    <w:rsid w:val="00BB11AE"/>
    <w:rsid w:val="00BB17F4"/>
    <w:rsid w:val="00BB6220"/>
    <w:rsid w:val="00BB66CF"/>
    <w:rsid w:val="00BC56E5"/>
    <w:rsid w:val="00BC7984"/>
    <w:rsid w:val="00BD571A"/>
    <w:rsid w:val="00BE33D8"/>
    <w:rsid w:val="00BE43B2"/>
    <w:rsid w:val="00BE4FE4"/>
    <w:rsid w:val="00BE7C83"/>
    <w:rsid w:val="00C025B1"/>
    <w:rsid w:val="00C02AAB"/>
    <w:rsid w:val="00C04A32"/>
    <w:rsid w:val="00C04CC6"/>
    <w:rsid w:val="00C05618"/>
    <w:rsid w:val="00C05C21"/>
    <w:rsid w:val="00C07F6F"/>
    <w:rsid w:val="00C10701"/>
    <w:rsid w:val="00C10B0F"/>
    <w:rsid w:val="00C11F6F"/>
    <w:rsid w:val="00C136E4"/>
    <w:rsid w:val="00C14AF9"/>
    <w:rsid w:val="00C16967"/>
    <w:rsid w:val="00C20349"/>
    <w:rsid w:val="00C35F97"/>
    <w:rsid w:val="00C403EF"/>
    <w:rsid w:val="00C4752E"/>
    <w:rsid w:val="00C515FC"/>
    <w:rsid w:val="00C524E4"/>
    <w:rsid w:val="00C5327B"/>
    <w:rsid w:val="00C54444"/>
    <w:rsid w:val="00C55167"/>
    <w:rsid w:val="00C57EAD"/>
    <w:rsid w:val="00C674A5"/>
    <w:rsid w:val="00C700E0"/>
    <w:rsid w:val="00C72E3E"/>
    <w:rsid w:val="00C7643B"/>
    <w:rsid w:val="00C80242"/>
    <w:rsid w:val="00C8030F"/>
    <w:rsid w:val="00C8260C"/>
    <w:rsid w:val="00C8439C"/>
    <w:rsid w:val="00C8528A"/>
    <w:rsid w:val="00C865A7"/>
    <w:rsid w:val="00C96069"/>
    <w:rsid w:val="00CA4416"/>
    <w:rsid w:val="00CA47A7"/>
    <w:rsid w:val="00CA533A"/>
    <w:rsid w:val="00CA6E6F"/>
    <w:rsid w:val="00CB422D"/>
    <w:rsid w:val="00CB5C26"/>
    <w:rsid w:val="00CC3220"/>
    <w:rsid w:val="00CD043D"/>
    <w:rsid w:val="00CD061B"/>
    <w:rsid w:val="00CD0677"/>
    <w:rsid w:val="00CD22FC"/>
    <w:rsid w:val="00CD7AE3"/>
    <w:rsid w:val="00CE0F61"/>
    <w:rsid w:val="00CE1ACB"/>
    <w:rsid w:val="00CE4E5E"/>
    <w:rsid w:val="00CE58F8"/>
    <w:rsid w:val="00CF3A13"/>
    <w:rsid w:val="00CF6538"/>
    <w:rsid w:val="00D04381"/>
    <w:rsid w:val="00D07BB9"/>
    <w:rsid w:val="00D10FC0"/>
    <w:rsid w:val="00D14044"/>
    <w:rsid w:val="00D225E4"/>
    <w:rsid w:val="00D237A7"/>
    <w:rsid w:val="00D322CA"/>
    <w:rsid w:val="00D32C12"/>
    <w:rsid w:val="00D34C9B"/>
    <w:rsid w:val="00D36F23"/>
    <w:rsid w:val="00D417C2"/>
    <w:rsid w:val="00D422F2"/>
    <w:rsid w:val="00D47F70"/>
    <w:rsid w:val="00D50229"/>
    <w:rsid w:val="00D50F13"/>
    <w:rsid w:val="00D51502"/>
    <w:rsid w:val="00D52157"/>
    <w:rsid w:val="00D525B4"/>
    <w:rsid w:val="00D5513E"/>
    <w:rsid w:val="00D65C3C"/>
    <w:rsid w:val="00D65CFE"/>
    <w:rsid w:val="00D7149D"/>
    <w:rsid w:val="00D730F9"/>
    <w:rsid w:val="00D73100"/>
    <w:rsid w:val="00D90F8E"/>
    <w:rsid w:val="00D949C9"/>
    <w:rsid w:val="00D94E19"/>
    <w:rsid w:val="00DB6C4B"/>
    <w:rsid w:val="00DC0395"/>
    <w:rsid w:val="00DC11A1"/>
    <w:rsid w:val="00DD4A66"/>
    <w:rsid w:val="00DD5282"/>
    <w:rsid w:val="00DD6AC6"/>
    <w:rsid w:val="00DE0239"/>
    <w:rsid w:val="00DE24D6"/>
    <w:rsid w:val="00DF57FB"/>
    <w:rsid w:val="00E00310"/>
    <w:rsid w:val="00E045AD"/>
    <w:rsid w:val="00E05457"/>
    <w:rsid w:val="00E05C41"/>
    <w:rsid w:val="00E06D85"/>
    <w:rsid w:val="00E0771D"/>
    <w:rsid w:val="00E1029D"/>
    <w:rsid w:val="00E11E01"/>
    <w:rsid w:val="00E160F4"/>
    <w:rsid w:val="00E16762"/>
    <w:rsid w:val="00E16839"/>
    <w:rsid w:val="00E244F2"/>
    <w:rsid w:val="00E24C61"/>
    <w:rsid w:val="00E2600A"/>
    <w:rsid w:val="00E44537"/>
    <w:rsid w:val="00E55F69"/>
    <w:rsid w:val="00E56FDA"/>
    <w:rsid w:val="00E57189"/>
    <w:rsid w:val="00E629A3"/>
    <w:rsid w:val="00E636DC"/>
    <w:rsid w:val="00E70C56"/>
    <w:rsid w:val="00E72188"/>
    <w:rsid w:val="00E77C35"/>
    <w:rsid w:val="00E82773"/>
    <w:rsid w:val="00E8715D"/>
    <w:rsid w:val="00E90DC4"/>
    <w:rsid w:val="00E92D4B"/>
    <w:rsid w:val="00E9309D"/>
    <w:rsid w:val="00EA2362"/>
    <w:rsid w:val="00EB2A19"/>
    <w:rsid w:val="00EB550D"/>
    <w:rsid w:val="00EB6C90"/>
    <w:rsid w:val="00EC3254"/>
    <w:rsid w:val="00EC5AFE"/>
    <w:rsid w:val="00ED72CA"/>
    <w:rsid w:val="00ED74AE"/>
    <w:rsid w:val="00ED76B7"/>
    <w:rsid w:val="00EE1A66"/>
    <w:rsid w:val="00EE1D09"/>
    <w:rsid w:val="00EE5B36"/>
    <w:rsid w:val="00EE7240"/>
    <w:rsid w:val="00EF016E"/>
    <w:rsid w:val="00EF66B8"/>
    <w:rsid w:val="00F00D85"/>
    <w:rsid w:val="00F03EB4"/>
    <w:rsid w:val="00F06E93"/>
    <w:rsid w:val="00F10574"/>
    <w:rsid w:val="00F130D7"/>
    <w:rsid w:val="00F17C76"/>
    <w:rsid w:val="00F21315"/>
    <w:rsid w:val="00F25459"/>
    <w:rsid w:val="00F26952"/>
    <w:rsid w:val="00F270C4"/>
    <w:rsid w:val="00F30A01"/>
    <w:rsid w:val="00F30E47"/>
    <w:rsid w:val="00F34672"/>
    <w:rsid w:val="00F36A4E"/>
    <w:rsid w:val="00F44AB8"/>
    <w:rsid w:val="00F47D37"/>
    <w:rsid w:val="00F518BC"/>
    <w:rsid w:val="00F54EF8"/>
    <w:rsid w:val="00F56682"/>
    <w:rsid w:val="00F57BB6"/>
    <w:rsid w:val="00F62704"/>
    <w:rsid w:val="00F7525A"/>
    <w:rsid w:val="00F84B26"/>
    <w:rsid w:val="00F87B1B"/>
    <w:rsid w:val="00F94B2F"/>
    <w:rsid w:val="00F96680"/>
    <w:rsid w:val="00F96C47"/>
    <w:rsid w:val="00FA00EA"/>
    <w:rsid w:val="00FA3B2F"/>
    <w:rsid w:val="00FA6C39"/>
    <w:rsid w:val="00FA7021"/>
    <w:rsid w:val="00FA70E6"/>
    <w:rsid w:val="00FB03B1"/>
    <w:rsid w:val="00FB168A"/>
    <w:rsid w:val="00FC2D15"/>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842626979">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47649807">
      <w:bodyDiv w:val="1"/>
      <w:marLeft w:val="0"/>
      <w:marRight w:val="0"/>
      <w:marTop w:val="0"/>
      <w:marBottom w:val="0"/>
      <w:divBdr>
        <w:top w:val="none" w:sz="0" w:space="0" w:color="auto"/>
        <w:left w:val="none" w:sz="0" w:space="0" w:color="auto"/>
        <w:bottom w:val="none" w:sz="0" w:space="0" w:color="auto"/>
        <w:right w:val="none" w:sz="0" w:space="0" w:color="auto"/>
      </w:divBdr>
    </w:div>
    <w:div w:id="181371227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BASYSTIU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622CA-4547-5544-B693-79D8CF34819C}">
  <ds:schemaRefs>
    <ds:schemaRef ds:uri="http://schemas.openxmlformats.org/officeDocument/2006/bibliography"/>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6672</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PINISCHUK Irina</cp:lastModifiedBy>
  <cp:revision>3</cp:revision>
  <cp:lastPrinted>2020-02-14T16:19:00Z</cp:lastPrinted>
  <dcterms:created xsi:type="dcterms:W3CDTF">2021-02-23T13:17:00Z</dcterms:created>
  <dcterms:modified xsi:type="dcterms:W3CDTF">2021-02-23T14:53:00Z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