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D90BB7">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140B7318" w14:textId="3C1E21B9" w:rsidR="003122C0" w:rsidRPr="00D90BB7" w:rsidRDefault="00D90BB7">
            <w:pPr>
              <w:rPr>
                <w:rFonts w:ascii="Tahoma" w:hAnsi="Tahoma" w:cs="Tahoma"/>
                <w:caps/>
                <w:color w:val="000000" w:themeColor="text1"/>
                <w:sz w:val="18"/>
                <w:szCs w:val="18"/>
                <w:highlight w:val="cyan"/>
              </w:rPr>
            </w:pPr>
            <w:r w:rsidRPr="00D90BB7">
              <w:rPr>
                <w:rFonts w:ascii="Tahoma" w:hAnsi="Tahoma" w:cs="Tahoma"/>
                <w:caps/>
                <w:color w:val="000000" w:themeColor="text1"/>
                <w:sz w:val="18"/>
                <w:szCs w:val="18"/>
              </w:rPr>
              <w:t>FC.DGII.18.2023.</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9180F78" w:rsidR="003122C0" w:rsidRPr="00D90BB7" w:rsidRDefault="00D90BB7">
            <w:pPr>
              <w:rPr>
                <w:rFonts w:ascii="Tahoma" w:hAnsi="Tahoma" w:cs="Tahoma"/>
                <w:caps/>
                <w:color w:val="000000" w:themeColor="text1"/>
                <w:sz w:val="18"/>
                <w:szCs w:val="18"/>
                <w:highlight w:val="cyan"/>
              </w:rPr>
            </w:pPr>
            <w:r w:rsidRPr="00D90BB7">
              <w:rPr>
                <w:rFonts w:ascii="Tahoma" w:hAnsi="Tahoma" w:cs="Tahoma"/>
                <w:caps/>
                <w:color w:val="000000" w:themeColor="text1"/>
                <w:sz w:val="18"/>
                <w:szCs w:val="18"/>
              </w:rPr>
              <w:t>BH4925 – supporting malta with the design and implementation of a new anti-trafficking strategy</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2E3D043" w14:textId="0BD32B84" w:rsidR="00D90BB7" w:rsidRPr="00D90BB7" w:rsidRDefault="00D90BB7">
            <w:pPr>
              <w:rPr>
                <w:rFonts w:ascii="Tahoma" w:hAnsi="Tahoma" w:cs="Tahoma"/>
                <w:sz w:val="18"/>
                <w:szCs w:val="18"/>
              </w:rPr>
            </w:pPr>
            <w:r w:rsidRPr="00D90BB7">
              <w:rPr>
                <w:rFonts w:ascii="Tahoma" w:hAnsi="Tahoma" w:cs="Tahoma"/>
                <w:sz w:val="18"/>
                <w:szCs w:val="18"/>
              </w:rPr>
              <w:t xml:space="preserve">Stéphanie Burel, Programme Manager </w:t>
            </w:r>
          </w:p>
          <w:p w14:paraId="1A87C554" w14:textId="357C3D54" w:rsidR="00CF16B3" w:rsidRPr="00D90BB7" w:rsidRDefault="00D90BB7">
            <w:pPr>
              <w:rPr>
                <w:rStyle w:val="Hyperlink"/>
                <w:rFonts w:ascii="Tahoma" w:hAnsi="Tahoma" w:cs="Tahoma"/>
                <w:sz w:val="18"/>
                <w:szCs w:val="18"/>
              </w:rPr>
            </w:pPr>
            <w:hyperlink r:id="rId11" w:history="1">
              <w:r w:rsidRPr="00D90BB7">
                <w:rPr>
                  <w:rStyle w:val="Hyperlink"/>
                  <w:rFonts w:ascii="Tahoma" w:hAnsi="Tahoma" w:cs="Tahoma"/>
                  <w:sz w:val="18"/>
                  <w:szCs w:val="18"/>
                </w:rPr>
                <w:t>Stephanie.burel@coe.int</w:t>
              </w:r>
            </w:hyperlink>
          </w:p>
          <w:p w14:paraId="14BEAED4" w14:textId="20C13478" w:rsidR="00D90BB7" w:rsidRPr="00D90BB7" w:rsidRDefault="00D90BB7">
            <w:pPr>
              <w:rPr>
                <w:rFonts w:ascii="Tahoma" w:hAnsi="Tahoma" w:cs="Tahoma"/>
                <w:color w:val="000000" w:themeColor="text1"/>
                <w:sz w:val="18"/>
                <w:szCs w:val="18"/>
              </w:rPr>
            </w:pP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2E887C3E" w:rsidR="003840F5" w:rsidRPr="002A092A" w:rsidRDefault="00BD6B89" w:rsidP="00CF16B3">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w:t>
      </w:r>
      <w:r w:rsidR="0079698A">
        <w:rPr>
          <w:rFonts w:ascii="Tahoma" w:hAnsi="Tahoma" w:cs="Tahoma"/>
          <w:b/>
        </w:rPr>
        <w:t xml:space="preserve"> the p</w:t>
      </w:r>
      <w:r w:rsidR="0079698A" w:rsidRPr="0079698A">
        <w:rPr>
          <w:rFonts w:ascii="Tahoma" w:hAnsi="Tahoma" w:cs="Tahoma"/>
          <w:b/>
        </w:rPr>
        <w:t>urchase of national consultancy services to support Malta with the preparation of a new anti-trafficking Strategy and Action Plan</w:t>
      </w:r>
      <w:r w:rsidR="00725AFA">
        <w:rPr>
          <w:rFonts w:ascii="Tahoma" w:hAnsi="Tahoma" w:cs="Tahoma"/>
          <w:b/>
        </w:rPr>
        <w:t xml:space="preserve">. </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840E83"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840E83"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840E83"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5626830" w14:textId="77777777" w:rsidR="00CF16B3" w:rsidRDefault="00CF16B3" w:rsidP="003F5BE6">
      <w:pPr>
        <w:spacing w:line="276" w:lineRule="auto"/>
        <w:ind w:left="-142"/>
        <w:jc w:val="both"/>
        <w:rPr>
          <w:rFonts w:ascii="Tahoma" w:hAnsi="Tahoma" w:cs="Tahoma"/>
          <w:b/>
          <w:bCs/>
          <w:sz w:val="20"/>
          <w:szCs w:val="20"/>
        </w:rPr>
      </w:pPr>
    </w:p>
    <w:p w14:paraId="29777BD9" w14:textId="08580FCA" w:rsidR="00CF16B3" w:rsidRPr="00CF16B3" w:rsidRDefault="00CF16B3" w:rsidP="003F5BE6">
      <w:pPr>
        <w:spacing w:line="276" w:lineRule="auto"/>
        <w:ind w:left="-142"/>
        <w:jc w:val="both"/>
        <w:rPr>
          <w:rFonts w:ascii="Tahoma" w:hAnsi="Tahoma" w:cs="Tahoma"/>
          <w:b/>
          <w:bCs/>
          <w:sz w:val="20"/>
          <w:szCs w:val="20"/>
          <w:u w:val="single"/>
        </w:rPr>
      </w:pPr>
      <w:r w:rsidRPr="00CF16B3">
        <w:rPr>
          <w:rFonts w:ascii="Tahoma" w:hAnsi="Tahoma" w:cs="Tahoma"/>
          <w:b/>
          <w:bCs/>
          <w:sz w:val="20"/>
          <w:szCs w:val="20"/>
          <w:u w:val="single"/>
        </w:rPr>
        <w:t xml:space="preserve">Framework </w:t>
      </w:r>
    </w:p>
    <w:p w14:paraId="31A77FD3" w14:textId="4AF5344B" w:rsidR="0079698A" w:rsidRDefault="0079698A" w:rsidP="003F5BE6">
      <w:pPr>
        <w:spacing w:line="276" w:lineRule="auto"/>
        <w:ind w:left="-142"/>
        <w:jc w:val="both"/>
        <w:rPr>
          <w:rFonts w:ascii="Tahoma" w:hAnsi="Tahoma" w:cs="Tahoma"/>
          <w:sz w:val="20"/>
          <w:szCs w:val="20"/>
        </w:rPr>
      </w:pPr>
      <w:r w:rsidRPr="0079698A">
        <w:rPr>
          <w:rFonts w:ascii="Tahoma" w:hAnsi="Tahoma" w:cs="Tahoma"/>
          <w:sz w:val="20"/>
          <w:szCs w:val="20"/>
        </w:rPr>
        <w:t xml:space="preserve">The Council of Europe is currently implementing a Project on ‘supporting Malta in the design and implementation of a new national anti-trafficking Strategy’. It is co-financed by the EU Structural Reform Support Programme and is implemented by the Council of Europe Anti-Trafficking Division in close cooperation with the EU DG Reform and the Human Rights Initiatives Unit (HRIU) within the Human Rights Directorate (HRD) under the Maltese Ministry for Home Affairs, Security, Reform and Equality (MHSR) for the period </w:t>
      </w:r>
      <w:r w:rsidRPr="00424939">
        <w:rPr>
          <w:rFonts w:ascii="Tahoma" w:hAnsi="Tahoma" w:cs="Tahoma"/>
          <w:sz w:val="20"/>
          <w:szCs w:val="20"/>
        </w:rPr>
        <w:t>22/09/2022 – 21/09/202</w:t>
      </w:r>
      <w:r w:rsidR="00CF16B3" w:rsidRPr="00424939">
        <w:rPr>
          <w:rFonts w:ascii="Tahoma" w:hAnsi="Tahoma" w:cs="Tahoma"/>
          <w:sz w:val="20"/>
          <w:szCs w:val="20"/>
        </w:rPr>
        <w:t>4</w:t>
      </w:r>
      <w:r w:rsidRPr="00424939">
        <w:rPr>
          <w:rFonts w:ascii="Tahoma" w:hAnsi="Tahoma" w:cs="Tahoma"/>
          <w:sz w:val="20"/>
          <w:szCs w:val="20"/>
        </w:rPr>
        <w:t>. In that context, it is looking for</w:t>
      </w:r>
      <w:r w:rsidR="00C401D8" w:rsidRPr="00424939">
        <w:rPr>
          <w:rFonts w:ascii="Tahoma" w:hAnsi="Tahoma" w:cs="Tahoma"/>
          <w:sz w:val="20"/>
          <w:szCs w:val="20"/>
        </w:rPr>
        <w:t xml:space="preserve"> up to </w:t>
      </w:r>
      <w:r w:rsidR="00E96394">
        <w:rPr>
          <w:rFonts w:ascii="Tahoma" w:hAnsi="Tahoma" w:cs="Tahoma"/>
          <w:sz w:val="20"/>
          <w:szCs w:val="20"/>
        </w:rPr>
        <w:t>5</w:t>
      </w:r>
      <w:r w:rsidR="00C401D8" w:rsidRPr="00424939">
        <w:rPr>
          <w:rFonts w:ascii="Tahoma" w:hAnsi="Tahoma" w:cs="Tahoma"/>
          <w:sz w:val="20"/>
          <w:szCs w:val="20"/>
        </w:rPr>
        <w:t xml:space="preserve"> local Providers </w:t>
      </w:r>
      <w:r w:rsidRPr="00424939">
        <w:rPr>
          <w:rFonts w:ascii="Tahoma" w:hAnsi="Tahoma" w:cs="Tahoma"/>
          <w:sz w:val="20"/>
          <w:szCs w:val="20"/>
        </w:rPr>
        <w:t>for the provision of intellectual consultancy services to support the preparation and implementation of a new anti-trafficking</w:t>
      </w:r>
      <w:r w:rsidRPr="0079698A">
        <w:rPr>
          <w:rFonts w:ascii="Tahoma" w:hAnsi="Tahoma" w:cs="Tahoma"/>
          <w:sz w:val="20"/>
          <w:szCs w:val="20"/>
        </w:rPr>
        <w:t xml:space="preserve"> Strategy and Action Plan in accordance with international standards to be requested by the Council of Europe on an as needed basis.</w:t>
      </w:r>
    </w:p>
    <w:p w14:paraId="10A83AE7" w14:textId="77777777" w:rsidR="00521B04" w:rsidRPr="002A092A" w:rsidRDefault="00521B04" w:rsidP="00521B04">
      <w:pPr>
        <w:spacing w:line="276" w:lineRule="auto"/>
        <w:jc w:val="both"/>
        <w:rPr>
          <w:rFonts w:ascii="Tahoma" w:hAnsi="Tahoma" w:cs="Tahoma"/>
          <w:sz w:val="20"/>
          <w:szCs w:val="20"/>
          <w:highlight w:val="cyan"/>
        </w:rPr>
      </w:pPr>
    </w:p>
    <w:p w14:paraId="0717E828" w14:textId="77777777" w:rsidR="003F5BE6" w:rsidRPr="00CF16B3" w:rsidRDefault="003F5BE6" w:rsidP="003F5BE6">
      <w:pPr>
        <w:spacing w:line="276" w:lineRule="auto"/>
        <w:ind w:left="-142"/>
        <w:jc w:val="both"/>
        <w:rPr>
          <w:rFonts w:ascii="Tahoma" w:hAnsi="Tahoma" w:cs="Tahoma"/>
          <w:b/>
          <w:sz w:val="20"/>
          <w:szCs w:val="20"/>
          <w:u w:val="single"/>
        </w:rPr>
      </w:pPr>
      <w:r w:rsidRPr="00CF16B3">
        <w:rPr>
          <w:rFonts w:ascii="Tahoma" w:hAnsi="Tahoma" w:cs="Tahoma"/>
          <w:b/>
          <w:sz w:val="20"/>
          <w:szCs w:val="20"/>
          <w:u w:val="single"/>
        </w:rPr>
        <w:t>Pooling</w:t>
      </w:r>
    </w:p>
    <w:p w14:paraId="3B3206BF" w14:textId="2514666F" w:rsidR="003F5BE6" w:rsidRDefault="003F5BE6" w:rsidP="003F5BE6">
      <w:pPr>
        <w:spacing w:line="276" w:lineRule="auto"/>
        <w:ind w:left="-142"/>
        <w:jc w:val="both"/>
        <w:rPr>
          <w:rFonts w:ascii="Tahoma" w:hAnsi="Tahoma" w:cs="Tahoma"/>
          <w:sz w:val="20"/>
          <w:szCs w:val="20"/>
        </w:rPr>
      </w:pPr>
      <w:r w:rsidRPr="00CF16B3">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1AAA6527" w14:textId="77777777" w:rsidR="00CF16B3" w:rsidRPr="00CF16B3" w:rsidRDefault="00CF16B3" w:rsidP="003F5BE6">
      <w:pPr>
        <w:spacing w:line="276" w:lineRule="auto"/>
        <w:ind w:left="-142"/>
        <w:jc w:val="both"/>
        <w:rPr>
          <w:rFonts w:ascii="Tahoma" w:hAnsi="Tahoma" w:cs="Tahoma"/>
          <w:sz w:val="20"/>
          <w:szCs w:val="20"/>
        </w:rPr>
      </w:pPr>
    </w:p>
    <w:p w14:paraId="09399A6B" w14:textId="77777777" w:rsidR="003F5BE6" w:rsidRPr="00CF16B3" w:rsidRDefault="003F5BE6" w:rsidP="00976B60">
      <w:pPr>
        <w:pStyle w:val="Default"/>
        <w:numPr>
          <w:ilvl w:val="0"/>
          <w:numId w:val="5"/>
        </w:numPr>
        <w:ind w:left="567"/>
        <w:rPr>
          <w:rFonts w:ascii="Tahoma" w:hAnsi="Tahoma" w:cs="Tahoma"/>
          <w:sz w:val="20"/>
          <w:szCs w:val="20"/>
        </w:rPr>
      </w:pPr>
      <w:r w:rsidRPr="00CF16B3">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CF16B3" w:rsidRDefault="003F5BE6" w:rsidP="00976B60">
      <w:pPr>
        <w:pStyle w:val="Default"/>
        <w:numPr>
          <w:ilvl w:val="0"/>
          <w:numId w:val="5"/>
        </w:numPr>
        <w:ind w:left="567"/>
        <w:rPr>
          <w:rFonts w:ascii="Tahoma" w:hAnsi="Tahoma" w:cs="Tahoma"/>
          <w:sz w:val="20"/>
          <w:szCs w:val="20"/>
        </w:rPr>
      </w:pPr>
      <w:r w:rsidRPr="00CF16B3">
        <w:rPr>
          <w:rFonts w:ascii="Tahoma" w:hAnsi="Tahoma" w:cs="Tahoma"/>
          <w:sz w:val="20"/>
          <w:szCs w:val="20"/>
        </w:rPr>
        <w:t>availability (including, without limitation, capacity to meet required deadlines and, where relevant, geographical location); and</w:t>
      </w:r>
    </w:p>
    <w:p w14:paraId="5F5FEBEE" w14:textId="771FF95C" w:rsidR="001D627A" w:rsidRDefault="003F5BE6" w:rsidP="001D627A">
      <w:pPr>
        <w:pStyle w:val="Default"/>
        <w:numPr>
          <w:ilvl w:val="0"/>
          <w:numId w:val="5"/>
        </w:numPr>
        <w:ind w:left="567"/>
        <w:rPr>
          <w:rFonts w:ascii="Tahoma" w:hAnsi="Tahoma" w:cs="Tahoma"/>
          <w:sz w:val="20"/>
          <w:szCs w:val="20"/>
        </w:rPr>
      </w:pPr>
      <w:r w:rsidRPr="00CF16B3">
        <w:rPr>
          <w:rFonts w:ascii="Tahoma" w:hAnsi="Tahoma" w:cs="Tahoma"/>
          <w:sz w:val="20"/>
          <w:szCs w:val="20"/>
        </w:rPr>
        <w:t>price.</w:t>
      </w:r>
    </w:p>
    <w:p w14:paraId="20AE3928" w14:textId="77777777" w:rsidR="001D627A" w:rsidRDefault="001D627A" w:rsidP="001D627A">
      <w:pPr>
        <w:pStyle w:val="Default"/>
        <w:ind w:left="567"/>
        <w:rPr>
          <w:rFonts w:ascii="Tahoma" w:hAnsi="Tahoma" w:cs="Tahoma"/>
          <w:sz w:val="20"/>
          <w:szCs w:val="20"/>
        </w:rPr>
      </w:pPr>
    </w:p>
    <w:p w14:paraId="46B3AB55" w14:textId="5E52200F" w:rsidR="00CF16B3" w:rsidRDefault="001D627A" w:rsidP="001D627A">
      <w:pPr>
        <w:spacing w:line="276" w:lineRule="auto"/>
        <w:ind w:left="-142"/>
        <w:jc w:val="both"/>
        <w:rPr>
          <w:rFonts w:ascii="Tahoma" w:hAnsi="Tahoma" w:cs="Tahoma"/>
          <w:sz w:val="20"/>
          <w:szCs w:val="20"/>
        </w:rPr>
      </w:pPr>
      <w:r w:rsidRPr="001D627A">
        <w:rPr>
          <w:rFonts w:ascii="Tahoma" w:hAnsi="Tahoma" w:cs="Tahoma"/>
          <w:sz w:val="20"/>
          <w:szCs w:val="20"/>
        </w:rPr>
        <w:t>Orders will be addressed in priority to the first Provider on the ranking list of the tender. If a Provider is unable to take an Order or if no reply is given on his behalf within that deadline, the Council may call on another Provider using the same criteria, and so on</w:t>
      </w:r>
      <w:r>
        <w:rPr>
          <w:rFonts w:ascii="Tahoma" w:hAnsi="Tahoma" w:cs="Tahoma"/>
          <w:sz w:val="20"/>
          <w:szCs w:val="20"/>
        </w:rPr>
        <w:t xml:space="preserve"> </w:t>
      </w:r>
      <w:r w:rsidRPr="001D627A">
        <w:rPr>
          <w:rFonts w:ascii="Tahoma" w:hAnsi="Tahoma" w:cs="Tahoma"/>
          <w:sz w:val="20"/>
          <w:szCs w:val="20"/>
        </w:rPr>
        <w:t>down the list.</w:t>
      </w:r>
    </w:p>
    <w:p w14:paraId="0A31663A" w14:textId="77777777" w:rsidR="001D627A" w:rsidRPr="001D627A" w:rsidRDefault="001D627A" w:rsidP="001D627A">
      <w:pPr>
        <w:spacing w:line="276" w:lineRule="auto"/>
        <w:ind w:left="-142"/>
        <w:jc w:val="both"/>
        <w:rPr>
          <w:rFonts w:ascii="Tahoma" w:hAnsi="Tahoma" w:cs="Tahoma"/>
          <w:sz w:val="20"/>
          <w:szCs w:val="20"/>
        </w:rPr>
      </w:pPr>
    </w:p>
    <w:p w14:paraId="3664A6C1" w14:textId="461BE724" w:rsidR="003F5BE6" w:rsidRDefault="00CF16B3" w:rsidP="00CF16B3">
      <w:pPr>
        <w:spacing w:line="276" w:lineRule="auto"/>
        <w:ind w:left="-142"/>
        <w:jc w:val="both"/>
        <w:rPr>
          <w:rFonts w:ascii="Tahoma" w:hAnsi="Tahoma" w:cs="Tahoma"/>
          <w:sz w:val="20"/>
          <w:szCs w:val="20"/>
        </w:rPr>
      </w:pPr>
      <w:r w:rsidRPr="00CF16B3">
        <w:rPr>
          <w:rFonts w:ascii="Tahoma" w:hAnsi="Tahoma" w:cs="Tahoma"/>
          <w:sz w:val="20"/>
          <w:szCs w:val="20"/>
        </w:rPr>
        <w:t xml:space="preserve">Each time an Order Form is sent, the selected Provider undertakes to take all the necessary measures to send it signed to the Council within </w:t>
      </w:r>
      <w:r w:rsidRPr="00CF16B3">
        <w:rPr>
          <w:rFonts w:ascii="Tahoma" w:hAnsi="Tahoma" w:cs="Tahoma"/>
          <w:b/>
          <w:bCs/>
          <w:sz w:val="20"/>
          <w:szCs w:val="20"/>
        </w:rPr>
        <w:t>2 (two) working days after its reception</w:t>
      </w:r>
      <w:r w:rsidRPr="00CF16B3">
        <w:rPr>
          <w:rFonts w:ascii="Tahoma" w:hAnsi="Tahoma" w:cs="Tahoma"/>
          <w:sz w:val="20"/>
          <w:szCs w:val="20"/>
        </w:rPr>
        <w:t xml:space="preserve">. </w:t>
      </w:r>
    </w:p>
    <w:p w14:paraId="792C75A5" w14:textId="77777777" w:rsidR="00CF16B3" w:rsidRPr="002A092A" w:rsidRDefault="00CF16B3" w:rsidP="00CF16B3">
      <w:pPr>
        <w:pStyle w:val="Default"/>
        <w:rPr>
          <w:rFonts w:ascii="Tahoma" w:hAnsi="Tahoma" w:cs="Tahoma"/>
          <w:sz w:val="20"/>
          <w:szCs w:val="20"/>
        </w:rPr>
      </w:pPr>
    </w:p>
    <w:p w14:paraId="23A01230" w14:textId="77777777" w:rsidR="003F5BE6" w:rsidRPr="00CF16B3" w:rsidRDefault="003F5BE6" w:rsidP="003F5BE6">
      <w:pPr>
        <w:spacing w:line="276" w:lineRule="auto"/>
        <w:ind w:left="-142"/>
        <w:jc w:val="both"/>
        <w:rPr>
          <w:rFonts w:ascii="Tahoma" w:hAnsi="Tahoma" w:cs="Tahoma"/>
          <w:b/>
          <w:sz w:val="20"/>
          <w:szCs w:val="20"/>
          <w:u w:val="single"/>
        </w:rPr>
      </w:pPr>
      <w:r w:rsidRPr="00CF16B3">
        <w:rPr>
          <w:rFonts w:ascii="Tahoma" w:hAnsi="Tahoma" w:cs="Tahoma"/>
          <w:b/>
          <w:sz w:val="20"/>
          <w:szCs w:val="20"/>
          <w:u w:val="single"/>
        </w:rPr>
        <w:t>Fees</w:t>
      </w:r>
    </w:p>
    <w:p w14:paraId="4E5E12FA" w14:textId="70E50EB8"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00CF16B3">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CF16B3">
        <w:rPr>
          <w:rFonts w:ascii="Tahoma" w:hAnsi="Tahoma" w:cs="Tahoma"/>
          <w:color w:val="000000"/>
          <w:sz w:val="20"/>
          <w:szCs w:val="20"/>
          <w:lang w:eastAsia="en-US"/>
        </w:rPr>
        <w:t xml:space="preserve">). </w:t>
      </w:r>
      <w:r w:rsidRPr="00CF16B3">
        <w:rPr>
          <w:rFonts w:ascii="Tahoma" w:hAnsi="Tahoma" w:cs="Tahoma"/>
          <w:b/>
          <w:color w:val="000000"/>
          <w:sz w:val="20"/>
          <w:szCs w:val="20"/>
          <w:lang w:eastAsia="en-US"/>
        </w:rPr>
        <w:t xml:space="preserve"> </w:t>
      </w:r>
      <w:r w:rsidRPr="00CF16B3">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2E2AC2CB">
                <wp:simplePos x="0" y="0"/>
                <wp:positionH relativeFrom="column">
                  <wp:posOffset>4471035</wp:posOffset>
                </wp:positionH>
                <wp:positionV relativeFrom="paragraph">
                  <wp:posOffset>12065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0228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2.05pt;margin-top:.9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" adj="3973" strokecolor="red">
                <o:lock v:ext="edit" aspectratio="t"/>
                <v:textbox style="layout-flow:vertical-ideographic"/>
                <w10:anchorlock/>
              </v:shape>
            </w:pict>
          </mc:Fallback>
        </mc:AlternateContent>
      </w:r>
    </w:p>
    <w:tbl>
      <w:tblPr>
        <w:tblW w:w="0" w:type="auto"/>
        <w:tblInd w:w="-1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378"/>
        <w:gridCol w:w="1335"/>
        <w:gridCol w:w="1348"/>
      </w:tblGrid>
      <w:tr w:rsidR="003F5BE6" w:rsidRPr="002A092A" w14:paraId="2585E0D7" w14:textId="77777777" w:rsidTr="00424939">
        <w:trPr>
          <w:trHeight w:val="688"/>
        </w:trPr>
        <w:tc>
          <w:tcPr>
            <w:tcW w:w="7378"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5"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48"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424939">
        <w:trPr>
          <w:trHeight w:val="374"/>
        </w:trPr>
        <w:tc>
          <w:tcPr>
            <w:tcW w:w="7378" w:type="dxa"/>
            <w:tcBorders>
              <w:right w:val="single" w:sz="2" w:space="0" w:color="FF0000"/>
            </w:tcBorders>
            <w:shd w:val="clear" w:color="auto" w:fill="F2F2F2" w:themeFill="background1" w:themeFillShade="F2"/>
            <w:vAlign w:val="center"/>
          </w:tcPr>
          <w:p w14:paraId="1C0F6835" w14:textId="0E3BB77D" w:rsidR="003F5BE6" w:rsidRPr="002A092A" w:rsidRDefault="00CF16B3" w:rsidP="003F5BE6">
            <w:pPr>
              <w:spacing w:line="276" w:lineRule="auto"/>
              <w:ind w:left="34"/>
              <w:rPr>
                <w:rFonts w:ascii="Tahoma" w:hAnsi="Tahoma" w:cs="Tahoma"/>
                <w:sz w:val="18"/>
                <w:szCs w:val="18"/>
                <w:highlight w:val="yellow"/>
                <w:lang w:eastAsia="en-US"/>
              </w:rPr>
            </w:pPr>
            <w:r w:rsidRPr="00CF16B3">
              <w:rPr>
                <w:rFonts w:ascii="Tahoma" w:hAnsi="Tahoma" w:cs="Tahoma"/>
                <w:sz w:val="18"/>
                <w:szCs w:val="18"/>
                <w:lang w:eastAsia="en-US"/>
              </w:rPr>
              <w:t>Daily rate</w:t>
            </w:r>
          </w:p>
        </w:tc>
        <w:tc>
          <w:tcPr>
            <w:tcW w:w="133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4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281DC5F1" w:rsidR="003F5BE6" w:rsidRPr="00521B04" w:rsidRDefault="00CF16B3" w:rsidP="003F5BE6">
            <w:pPr>
              <w:spacing w:line="276" w:lineRule="auto"/>
              <w:ind w:left="-142" w:right="-91"/>
              <w:jc w:val="center"/>
              <w:rPr>
                <w:rFonts w:ascii="Tahoma" w:hAnsi="Tahoma" w:cs="Tahoma"/>
                <w:b/>
                <w:bCs/>
                <w:sz w:val="18"/>
                <w:szCs w:val="18"/>
                <w:highlight w:val="yellow"/>
                <w:lang w:eastAsia="en-US"/>
              </w:rPr>
            </w:pPr>
            <w:r w:rsidRPr="00521B04">
              <w:rPr>
                <w:rFonts w:ascii="Tahoma" w:hAnsi="Tahoma" w:cs="Tahoma"/>
                <w:b/>
                <w:bCs/>
                <w:sz w:val="18"/>
                <w:szCs w:val="18"/>
                <w:lang w:eastAsia="en-US"/>
              </w:rPr>
              <w:t xml:space="preserve">200 € </w:t>
            </w:r>
          </w:p>
        </w:tc>
      </w:tr>
    </w:tbl>
    <w:p w14:paraId="21022F9B" w14:textId="06A1886A" w:rsidR="00CF16B3" w:rsidRDefault="00CF16B3" w:rsidP="009E64B7">
      <w:pPr>
        <w:ind w:left="-142"/>
        <w:rPr>
          <w:rFonts w:ascii="Tahoma" w:hAnsi="Tahoma" w:cs="Tahoma"/>
          <w:b/>
        </w:rPr>
      </w:pPr>
      <w:bookmarkStart w:id="0" w:name="_Hlk62556255"/>
      <w:bookmarkStart w:id="1" w:name="_Hlk62555567"/>
    </w:p>
    <w:p w14:paraId="7DFAF810" w14:textId="77777777" w:rsidR="00CF16B3" w:rsidRDefault="00CF16B3" w:rsidP="00424939">
      <w:pPr>
        <w:rPr>
          <w:rFonts w:ascii="Tahoma" w:hAnsi="Tahoma" w:cs="Tahoma"/>
          <w:b/>
        </w:rPr>
      </w:pPr>
    </w:p>
    <w:p w14:paraId="769FD996" w14:textId="2EE9D21B" w:rsidR="009E64B7" w:rsidRPr="00026E8A" w:rsidRDefault="009E64B7" w:rsidP="00424939">
      <w:pPr>
        <w:rPr>
          <w:rFonts w:ascii="Tahoma" w:hAnsi="Tahoma" w:cs="Tahoma"/>
          <w:bCs/>
          <w:highlight w:val="cyan"/>
        </w:rPr>
      </w:pPr>
    </w:p>
    <w:tbl>
      <w:tblPr>
        <w:tblStyle w:val="TableGrid"/>
        <w:tblW w:w="10348"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32"/>
        <w:gridCol w:w="1416"/>
      </w:tblGrid>
      <w:tr w:rsidR="00424939" w:rsidRPr="00026E8A" w14:paraId="62E486D0" w14:textId="77777777" w:rsidTr="00424939">
        <w:tc>
          <w:tcPr>
            <w:tcW w:w="8932" w:type="dxa"/>
            <w:shd w:val="clear" w:color="auto" w:fill="DBE5F1" w:themeFill="accent1" w:themeFillTint="33"/>
            <w:vAlign w:val="center"/>
          </w:tcPr>
          <w:p w14:paraId="43C71ADC" w14:textId="77777777" w:rsidR="00424939" w:rsidRPr="00D07638" w:rsidRDefault="00424939" w:rsidP="00AC2D5C">
            <w:pPr>
              <w:spacing w:before="120" w:after="120"/>
              <w:rPr>
                <w:rFonts w:ascii="Tahoma" w:hAnsi="Tahoma" w:cs="Tahoma"/>
                <w:sz w:val="20"/>
                <w:szCs w:val="20"/>
              </w:rPr>
            </w:pPr>
            <w:r w:rsidRPr="00D07638">
              <w:rPr>
                <w:rFonts w:ascii="Tahoma" w:hAnsi="Tahoma" w:cs="Tahoma"/>
                <w:sz w:val="20"/>
                <w:szCs w:val="20"/>
              </w:rPr>
              <w:t>This Framework Contract</w:t>
            </w:r>
            <w:r w:rsidRPr="00D07638">
              <w:rPr>
                <w:rFonts w:ascii="Tahoma" w:eastAsia="Calibri" w:hAnsi="Tahoma" w:cs="Tahoma"/>
                <w:sz w:val="20"/>
                <w:szCs w:val="20"/>
                <w:lang w:val="en-US" w:eastAsia="en-US"/>
              </w:rPr>
              <w:t xml:space="preserve"> takes effect as from the date of its signature by both parties and is</w:t>
            </w:r>
            <w:r w:rsidRPr="00D07638">
              <w:rPr>
                <w:rFonts w:ascii="Tahoma" w:hAnsi="Tahoma" w:cs="Tahoma"/>
                <w:sz w:val="20"/>
                <w:szCs w:val="20"/>
              </w:rPr>
              <w:t xml:space="preserve"> concluded until:</w:t>
            </w:r>
          </w:p>
        </w:tc>
        <w:tc>
          <w:tcPr>
            <w:tcW w:w="1416" w:type="dxa"/>
            <w:shd w:val="clear" w:color="auto" w:fill="F2F2F2" w:themeFill="background1" w:themeFillShade="F2"/>
            <w:vAlign w:val="center"/>
          </w:tcPr>
          <w:sdt>
            <w:sdtPr>
              <w:rPr>
                <w:rStyle w:val="Style71"/>
                <w:rFonts w:ascii="Tahoma" w:hAnsi="Tahoma" w:cs="Tahoma"/>
                <w:szCs w:val="20"/>
              </w:rPr>
              <w:id w:val="-263929900"/>
              <w:placeholder>
                <w:docPart w:val="7818D2A451FF479FA2F6BE6BB9551AD4"/>
              </w:placeholder>
              <w:date w:fullDate="2024-09-21T00:00:00Z">
                <w:dateFormat w:val="dd/MM/yyyy"/>
                <w:lid w:val="fr-FR"/>
                <w:storeMappedDataAs w:val="dateTime"/>
                <w:calendar w:val="gregorian"/>
              </w:date>
            </w:sdtPr>
            <w:sdtEndPr>
              <w:rPr>
                <w:rStyle w:val="Style71"/>
              </w:rPr>
            </w:sdtEndPr>
            <w:sdtContent>
              <w:p w14:paraId="485E40B0" w14:textId="77777777" w:rsidR="00424939" w:rsidRPr="00D07638" w:rsidRDefault="00424939" w:rsidP="00AC2D5C">
                <w:pPr>
                  <w:spacing w:before="120" w:after="120"/>
                  <w:rPr>
                    <w:rFonts w:ascii="Tahoma" w:hAnsi="Tahoma" w:cs="Tahoma"/>
                    <w:sz w:val="20"/>
                    <w:szCs w:val="20"/>
                  </w:rPr>
                </w:pPr>
                <w:r w:rsidRPr="00D07638">
                  <w:rPr>
                    <w:rStyle w:val="Style71"/>
                    <w:rFonts w:ascii="Tahoma" w:hAnsi="Tahoma" w:cs="Tahoma"/>
                    <w:szCs w:val="20"/>
                    <w:lang w:val="fr-FR"/>
                  </w:rPr>
                  <w:t>21/09/2024</w:t>
                </w:r>
              </w:p>
            </w:sdtContent>
          </w:sdt>
        </w:tc>
      </w:tr>
      <w:tr w:rsidR="00424939" w:rsidRPr="00651235" w14:paraId="7ADE87C1" w14:textId="77777777" w:rsidTr="00424939">
        <w:tc>
          <w:tcPr>
            <w:tcW w:w="10348" w:type="dxa"/>
            <w:gridSpan w:val="2"/>
            <w:shd w:val="clear" w:color="auto" w:fill="DBE5F1" w:themeFill="accent1" w:themeFillTint="33"/>
            <w:vAlign w:val="center"/>
          </w:tcPr>
          <w:p w14:paraId="7414C276" w14:textId="77777777" w:rsidR="00424939" w:rsidRPr="00D07638" w:rsidRDefault="00840E83" w:rsidP="00AC2D5C">
            <w:pPr>
              <w:spacing w:before="120" w:after="120"/>
              <w:rPr>
                <w:rFonts w:ascii="Tahoma" w:hAnsi="Tahoma" w:cs="Tahoma"/>
                <w:sz w:val="20"/>
                <w:szCs w:val="20"/>
                <w:lang w:val="en-US"/>
              </w:rPr>
            </w:pPr>
            <w:sdt>
              <w:sdtPr>
                <w:rPr>
                  <w:rFonts w:ascii="Tahoma" w:hAnsi="Tahoma" w:cs="Tahoma"/>
                  <w:sz w:val="20"/>
                  <w:szCs w:val="20"/>
                </w:rPr>
                <w:id w:val="1951210355"/>
                <w:date>
                  <w:dateFormat w:val="dd/MM/yyyy"/>
                  <w:lid w:val="fr-FR"/>
                  <w:storeMappedDataAs w:val="dateTime"/>
                  <w:calendar w:val="gregorian"/>
                </w:date>
              </w:sdtPr>
              <w:sdtEndPr/>
              <w:sdtContent>
                <w:r w:rsidR="00424939" w:rsidRPr="00D07638">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sdtContent>
            </w:sdt>
            <w:sdt>
              <w:sdtPr>
                <w:rPr>
                  <w:rFonts w:ascii="Tahoma" w:hAnsi="Tahoma" w:cs="Tahoma"/>
                  <w:sz w:val="20"/>
                  <w:szCs w:val="20"/>
                </w:rPr>
                <w:id w:val="408359801"/>
                <w:showingPlcHdr/>
                <w:date w:fullDate="2018-02-28T00:00:00Z">
                  <w:dateFormat w:val="dd/MM/yyyy"/>
                  <w:lid w:val="fr-FR"/>
                  <w:storeMappedDataAs w:val="dateTime"/>
                  <w:calendar w:val="gregorian"/>
                </w:date>
              </w:sdtPr>
              <w:sdtEndPr/>
              <w:sdtContent>
                <w:r w:rsidR="00424939" w:rsidRPr="00D07638">
                  <w:rPr>
                    <w:rFonts w:ascii="Tahoma" w:hAnsi="Tahoma" w:cs="Tahoma"/>
                    <w:sz w:val="20"/>
                    <w:szCs w:val="20"/>
                  </w:rPr>
                  <w:t xml:space="preserve">     </w:t>
                </w:r>
              </w:sdtContent>
            </w:sdt>
          </w:p>
          <w:p w14:paraId="5B750E18" w14:textId="77777777" w:rsidR="00424939" w:rsidRPr="00D07638" w:rsidRDefault="00424939" w:rsidP="00AC2D5C">
            <w:pPr>
              <w:spacing w:before="120" w:after="120"/>
              <w:rPr>
                <w:rFonts w:ascii="Tahoma" w:hAnsi="Tahoma" w:cs="Tahoma"/>
                <w:sz w:val="20"/>
                <w:szCs w:val="20"/>
                <w:lang w:val="en-US"/>
              </w:rPr>
            </w:pPr>
          </w:p>
          <w:p w14:paraId="34AA97D8" w14:textId="77777777" w:rsidR="00424939" w:rsidRPr="00D07638" w:rsidRDefault="00424939" w:rsidP="00AC2D5C">
            <w:pPr>
              <w:spacing w:before="120" w:after="120"/>
              <w:rPr>
                <w:rFonts w:ascii="Tahoma" w:hAnsi="Tahoma" w:cs="Tahoma"/>
                <w:sz w:val="20"/>
                <w:szCs w:val="20"/>
                <w:lang w:val="en-US"/>
              </w:rPr>
            </w:pPr>
          </w:p>
          <w:p w14:paraId="2458B9D9" w14:textId="77777777" w:rsidR="00424939" w:rsidRPr="00D07638" w:rsidRDefault="00424939" w:rsidP="00AC2D5C">
            <w:pPr>
              <w:spacing w:before="120" w:after="120"/>
              <w:rPr>
                <w:rStyle w:val="Style71"/>
                <w:rFonts w:ascii="Tahoma" w:hAnsi="Tahoma" w:cs="Tahoma"/>
                <w:lang w:val="en-US"/>
              </w:rPr>
            </w:pPr>
          </w:p>
        </w:tc>
      </w:tr>
      <w:bookmarkEnd w:id="0"/>
      <w:bookmarkEnd w:id="1"/>
    </w:tbl>
    <w:p w14:paraId="09235224" w14:textId="77777777" w:rsidR="003F5BE6" w:rsidRPr="002A092A" w:rsidRDefault="003F5BE6" w:rsidP="00424939">
      <w:pPr>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2818BDB" w14:textId="77777777" w:rsidR="00C92B98" w:rsidRPr="00C92B98"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93E3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6842F3AF" w14:textId="6B8B6F9E" w:rsidR="00E96394" w:rsidRDefault="00E96394" w:rsidP="003A0F5F">
            <w:pPr>
              <w:rPr>
                <w:rFonts w:ascii="Tahoma" w:hAnsi="Tahoma" w:cs="Tahoma"/>
                <w:sz w:val="20"/>
                <w:szCs w:val="20"/>
              </w:rPr>
            </w:pPr>
            <w:r>
              <w:rPr>
                <w:rFonts w:ascii="Tahoma" w:hAnsi="Tahoma" w:cs="Tahoma"/>
                <w:sz w:val="20"/>
                <w:szCs w:val="20"/>
              </w:rPr>
              <w:t xml:space="preserve">Petya Nestorova, </w:t>
            </w:r>
          </w:p>
          <w:p w14:paraId="5EED6844" w14:textId="302721A8" w:rsidR="003A0F5F" w:rsidRPr="002A092A" w:rsidRDefault="00CF16B3" w:rsidP="003A0F5F">
            <w:pPr>
              <w:rPr>
                <w:rFonts w:ascii="Tahoma" w:hAnsi="Tahoma" w:cs="Tahoma"/>
                <w:sz w:val="20"/>
                <w:szCs w:val="20"/>
              </w:rPr>
            </w:pPr>
            <w:r>
              <w:rPr>
                <w:rFonts w:ascii="Tahoma" w:hAnsi="Tahoma" w:cs="Tahoma"/>
                <w:sz w:val="20"/>
                <w:szCs w:val="20"/>
              </w:rPr>
              <w:t>Executive Secretary of GRETA</w:t>
            </w: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382AFA0F" w:rsidR="003A0F5F" w:rsidRPr="002A092A" w:rsidRDefault="00DD4C16" w:rsidP="003A0F5F">
            <w:pPr>
              <w:rPr>
                <w:rFonts w:ascii="Tahoma" w:hAnsi="Tahoma" w:cs="Tahoma"/>
                <w:sz w:val="20"/>
                <w:szCs w:val="20"/>
              </w:rPr>
            </w:pPr>
            <w:r w:rsidRPr="002A092A">
              <w:rPr>
                <w:rFonts w:ascii="Tahoma" w:hAnsi="Tahoma" w:cs="Tahoma"/>
                <w:sz w:val="20"/>
                <w:szCs w:val="20"/>
              </w:rPr>
              <w:t>In</w:t>
            </w:r>
            <w:r w:rsidR="00CF16B3">
              <w:rPr>
                <w:rFonts w:ascii="Tahoma" w:hAnsi="Tahoma" w:cs="Tahoma"/>
                <w:sz w:val="20"/>
                <w:szCs w:val="20"/>
              </w:rPr>
              <w:t xml:space="preserve"> Strasbourg</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6183" w14:textId="77777777" w:rsidR="00840E83" w:rsidRDefault="00840E83" w:rsidP="00D50F13">
      <w:r>
        <w:separator/>
      </w:r>
    </w:p>
  </w:endnote>
  <w:endnote w:type="continuationSeparator" w:id="0">
    <w:p w14:paraId="02CC49E8" w14:textId="77777777" w:rsidR="00840E83" w:rsidRDefault="00840E8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B791" w14:textId="77777777" w:rsidR="00840E83" w:rsidRDefault="00840E83" w:rsidP="00D50F13">
      <w:r>
        <w:separator/>
      </w:r>
    </w:p>
  </w:footnote>
  <w:footnote w:type="continuationSeparator" w:id="0">
    <w:p w14:paraId="6EC93E74" w14:textId="77777777" w:rsidR="00840E83" w:rsidRDefault="00840E83"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56063"/>
    <w:multiLevelType w:val="hybridMultilevel"/>
    <w:tmpl w:val="24FC1F4A"/>
    <w:lvl w:ilvl="0" w:tplc="BEE2955C">
      <w:start w:val="1"/>
      <w:numFmt w:val="bullet"/>
      <w:lvlText w:val="-"/>
      <w:lvlJc w:val="left"/>
      <w:pPr>
        <w:ind w:left="578" w:hanging="360"/>
      </w:pPr>
      <w:rPr>
        <w:rFonts w:ascii="Arial Narrow" w:eastAsia="Times New Roman" w:hAnsi="Arial Narrow"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A54F3"/>
    <w:multiLevelType w:val="hybridMultilevel"/>
    <w:tmpl w:val="6DC6DC7A"/>
    <w:lvl w:ilvl="0" w:tplc="040C000F">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65214"/>
    <w:multiLevelType w:val="hybridMultilevel"/>
    <w:tmpl w:val="5B7E5B12"/>
    <w:lvl w:ilvl="0" w:tplc="A3DA81C8">
      <w:start w:val="2"/>
      <w:numFmt w:val="bullet"/>
      <w:lvlText w:val="-"/>
      <w:lvlJc w:val="left"/>
      <w:pPr>
        <w:ind w:left="218" w:hanging="360"/>
      </w:pPr>
      <w:rPr>
        <w:rFonts w:ascii="Tahoma" w:eastAsia="Times New Roman" w:hAnsi="Tahoma" w:cs="Tahoma"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DEA1948"/>
    <w:multiLevelType w:val="hybridMultilevel"/>
    <w:tmpl w:val="F3AE04C4"/>
    <w:lvl w:ilvl="0" w:tplc="B95EFA32">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7"/>
  </w:num>
  <w:num w:numId="3">
    <w:abstractNumId w:val="38"/>
  </w:num>
  <w:num w:numId="4">
    <w:abstractNumId w:val="1"/>
  </w:num>
  <w:num w:numId="5">
    <w:abstractNumId w:val="4"/>
  </w:num>
  <w:num w:numId="6">
    <w:abstractNumId w:val="15"/>
  </w:num>
  <w:num w:numId="7">
    <w:abstractNumId w:val="2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2"/>
  </w:num>
  <w:num w:numId="11">
    <w:abstractNumId w:val="0"/>
  </w:num>
  <w:num w:numId="12">
    <w:abstractNumId w:val="17"/>
  </w:num>
  <w:num w:numId="13">
    <w:abstractNumId w:val="23"/>
  </w:num>
  <w:num w:numId="14">
    <w:abstractNumId w:val="36"/>
  </w:num>
  <w:num w:numId="15">
    <w:abstractNumId w:val="8"/>
  </w:num>
  <w:num w:numId="16">
    <w:abstractNumId w:val="35"/>
  </w:num>
  <w:num w:numId="17">
    <w:abstractNumId w:val="27"/>
  </w:num>
  <w:num w:numId="18">
    <w:abstractNumId w:val="21"/>
  </w:num>
  <w:num w:numId="19">
    <w:abstractNumId w:val="18"/>
  </w:num>
  <w:num w:numId="20">
    <w:abstractNumId w:val="5"/>
  </w:num>
  <w:num w:numId="21">
    <w:abstractNumId w:val="16"/>
  </w:num>
  <w:num w:numId="22">
    <w:abstractNumId w:val="9"/>
  </w:num>
  <w:num w:numId="23">
    <w:abstractNumId w:val="6"/>
  </w:num>
  <w:num w:numId="24">
    <w:abstractNumId w:val="33"/>
  </w:num>
  <w:num w:numId="25">
    <w:abstractNumId w:val="24"/>
  </w:num>
  <w:num w:numId="26">
    <w:abstractNumId w:val="2"/>
  </w:num>
  <w:num w:numId="27">
    <w:abstractNumId w:val="10"/>
  </w:num>
  <w:num w:numId="28">
    <w:abstractNumId w:val="13"/>
  </w:num>
  <w:num w:numId="29">
    <w:abstractNumId w:val="39"/>
  </w:num>
  <w:num w:numId="30">
    <w:abstractNumId w:val="11"/>
  </w:num>
  <w:num w:numId="31">
    <w:abstractNumId w:val="29"/>
  </w:num>
  <w:num w:numId="32">
    <w:abstractNumId w:val="3"/>
  </w:num>
  <w:num w:numId="33">
    <w:abstractNumId w:val="30"/>
  </w:num>
  <w:num w:numId="34">
    <w:abstractNumId w:val="26"/>
  </w:num>
  <w:num w:numId="35">
    <w:abstractNumId w:val="14"/>
  </w:num>
  <w:num w:numId="36">
    <w:abstractNumId w:val="25"/>
  </w:num>
  <w:num w:numId="37">
    <w:abstractNumId w:val="34"/>
  </w:num>
  <w:num w:numId="38">
    <w:abstractNumId w:val="19"/>
  </w:num>
  <w:num w:numId="39">
    <w:abstractNumId w:val="31"/>
  </w:num>
  <w:num w:numId="40">
    <w:abstractNumId w:val="7"/>
  </w:num>
  <w:num w:numId="4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019B4"/>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76F6D"/>
    <w:rsid w:val="00183E4D"/>
    <w:rsid w:val="0019283C"/>
    <w:rsid w:val="0019303C"/>
    <w:rsid w:val="001A207E"/>
    <w:rsid w:val="001A5371"/>
    <w:rsid w:val="001B0127"/>
    <w:rsid w:val="001B138A"/>
    <w:rsid w:val="001C4BA2"/>
    <w:rsid w:val="001C5A91"/>
    <w:rsid w:val="001C6878"/>
    <w:rsid w:val="001D40AD"/>
    <w:rsid w:val="001D5926"/>
    <w:rsid w:val="001D627A"/>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4B08"/>
    <w:rsid w:val="00415503"/>
    <w:rsid w:val="00420E9A"/>
    <w:rsid w:val="00424939"/>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1B0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D6509"/>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25AF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98A"/>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0E83"/>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A100B"/>
    <w:rsid w:val="009A1CAF"/>
    <w:rsid w:val="009A5B27"/>
    <w:rsid w:val="009B76BE"/>
    <w:rsid w:val="009C45F2"/>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23BB"/>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97"/>
    <w:rsid w:val="00C401D8"/>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E0F61"/>
    <w:rsid w:val="00CE4E5E"/>
    <w:rsid w:val="00CE58F8"/>
    <w:rsid w:val="00CF16B3"/>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BB7"/>
    <w:rsid w:val="00D90F8E"/>
    <w:rsid w:val="00DA7468"/>
    <w:rsid w:val="00DC3F97"/>
    <w:rsid w:val="00DD4C16"/>
    <w:rsid w:val="00DE0239"/>
    <w:rsid w:val="00DE6E91"/>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96394"/>
    <w:rsid w:val="00EB550D"/>
    <w:rsid w:val="00EB6C90"/>
    <w:rsid w:val="00EC08A1"/>
    <w:rsid w:val="00EC4771"/>
    <w:rsid w:val="00EC5F9A"/>
    <w:rsid w:val="00EE1D09"/>
    <w:rsid w:val="00EE7240"/>
    <w:rsid w:val="00EF66B8"/>
    <w:rsid w:val="00F130D7"/>
    <w:rsid w:val="00F17C76"/>
    <w:rsid w:val="00F21315"/>
    <w:rsid w:val="00F25459"/>
    <w:rsid w:val="00F25BE3"/>
    <w:rsid w:val="00F26952"/>
    <w:rsid w:val="00F270C4"/>
    <w:rsid w:val="00F30E47"/>
    <w:rsid w:val="00F42B69"/>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burel@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18D2A451FF479FA2F6BE6BB9551AD4"/>
        <w:category>
          <w:name w:val="General"/>
          <w:gallery w:val="placeholder"/>
        </w:category>
        <w:types>
          <w:type w:val="bbPlcHdr"/>
        </w:types>
        <w:behaviors>
          <w:behavior w:val="content"/>
        </w:behaviors>
        <w:guid w:val="{F4C2CCF6-DB76-40D6-9AD6-B053202E618B}"/>
      </w:docPartPr>
      <w:docPartBody>
        <w:p w:rsidR="00E64C65" w:rsidRDefault="004A2E55" w:rsidP="004A2E55">
          <w:pPr>
            <w:pStyle w:val="7818D2A451FF479FA2F6BE6BB9551AD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C430E"/>
    <w:rsid w:val="002E5240"/>
    <w:rsid w:val="003B28C0"/>
    <w:rsid w:val="004A2E55"/>
    <w:rsid w:val="00517F90"/>
    <w:rsid w:val="005312E2"/>
    <w:rsid w:val="008763B4"/>
    <w:rsid w:val="00AC3B89"/>
    <w:rsid w:val="00D023BA"/>
    <w:rsid w:val="00E64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A2E55"/>
    <w:rPr>
      <w:color w:val="808080"/>
    </w:rPr>
  </w:style>
  <w:style w:type="paragraph" w:customStyle="1" w:styleId="7818D2A451FF479FA2F6BE6BB9551AD4">
    <w:name w:val="7818D2A451FF479FA2F6BE6BB9551AD4"/>
    <w:rsid w:val="004A2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4.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5853</Words>
  <Characters>33363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2023-01-05T13:47:00Z</dcterms:created>
  <dcterms:modified xsi:type="dcterms:W3CDTF">2023-01-05T13:47:00Z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