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AE" w:rsidRPr="00596A2F" w:rsidRDefault="009A17AE" w:rsidP="007F4EFA">
      <w:pPr>
        <w:rPr>
          <w:b/>
          <w:bCs/>
        </w:rPr>
      </w:pPr>
    </w:p>
    <w:p w:rsidR="003B27E0" w:rsidRPr="00596A2F" w:rsidRDefault="003B27E0" w:rsidP="003B27E0">
      <w:pPr>
        <w:pStyle w:val="COETitre"/>
        <w:rPr>
          <w:b/>
          <w:sz w:val="20"/>
        </w:rPr>
      </w:pPr>
      <w:r w:rsidRPr="00596A2F">
        <w:rPr>
          <w:b/>
          <w:sz w:val="20"/>
        </w:rPr>
        <w:t>3</w:t>
      </w:r>
      <w:r w:rsidR="00C321D7">
        <w:rPr>
          <w:b/>
          <w:sz w:val="20"/>
        </w:rPr>
        <w:t>4</w:t>
      </w:r>
      <w:r w:rsidRPr="00596A2F">
        <w:rPr>
          <w:b/>
          <w:sz w:val="20"/>
          <w:vertAlign w:val="superscript"/>
        </w:rPr>
        <w:t>e</w:t>
      </w:r>
      <w:r w:rsidRPr="00596A2F">
        <w:rPr>
          <w:b/>
          <w:sz w:val="20"/>
        </w:rPr>
        <w:t xml:space="preserve"> SESSION</w:t>
      </w:r>
    </w:p>
    <w:p w:rsidR="003B27E0" w:rsidRPr="00596A2F" w:rsidRDefault="003B27E0" w:rsidP="003B27E0">
      <w:pPr>
        <w:rPr>
          <w:sz w:val="22"/>
        </w:rPr>
      </w:pPr>
    </w:p>
    <w:p w:rsidR="003B27E0" w:rsidRPr="00596A2F" w:rsidRDefault="00C42B02" w:rsidP="003B27E0">
      <w:r w:rsidRPr="00596A2F">
        <w:rPr>
          <w:bCs/>
        </w:rPr>
        <w:t>CG3</w:t>
      </w:r>
      <w:r w:rsidR="00C321D7">
        <w:rPr>
          <w:bCs/>
        </w:rPr>
        <w:t>4</w:t>
      </w:r>
      <w:r w:rsidRPr="00596A2F">
        <w:rPr>
          <w:bCs/>
        </w:rPr>
        <w:t>(201</w:t>
      </w:r>
      <w:r w:rsidR="00C321D7">
        <w:rPr>
          <w:bCs/>
        </w:rPr>
        <w:t>8</w:t>
      </w:r>
      <w:r w:rsidRPr="00596A2F">
        <w:rPr>
          <w:bCs/>
        </w:rPr>
        <w:t>)</w:t>
      </w:r>
      <w:r w:rsidR="00C321D7">
        <w:rPr>
          <w:bCs/>
        </w:rPr>
        <w:t>19</w:t>
      </w:r>
      <w:r w:rsidR="003B27E0" w:rsidRPr="00596A2F">
        <w:rPr>
          <w:bCs/>
        </w:rPr>
        <w:br/>
      </w:r>
      <w:r w:rsidR="00E475F5">
        <w:t>20</w:t>
      </w:r>
      <w:r w:rsidR="00C321D7">
        <w:t xml:space="preserve"> mars 2018</w:t>
      </w:r>
    </w:p>
    <w:p w:rsidR="003B27E0" w:rsidRPr="00596A2F" w:rsidRDefault="003B27E0" w:rsidP="003B27E0">
      <w:pPr>
        <w:rPr>
          <w:sz w:val="22"/>
          <w:szCs w:val="22"/>
        </w:rPr>
      </w:pPr>
    </w:p>
    <w:p w:rsidR="003B27E0" w:rsidRPr="00596A2F" w:rsidRDefault="003B27E0" w:rsidP="003B27E0"/>
    <w:p w:rsidR="003B27E0" w:rsidRPr="00596A2F" w:rsidRDefault="003B27E0" w:rsidP="003B27E0"/>
    <w:p w:rsidR="003B27E0" w:rsidRPr="00596A2F" w:rsidRDefault="003B27E0" w:rsidP="003B27E0"/>
    <w:p w:rsidR="003B27E0" w:rsidRPr="00596A2F" w:rsidRDefault="003B27E0" w:rsidP="003B27E0"/>
    <w:p w:rsidR="003B27E0" w:rsidRPr="00596A2F" w:rsidRDefault="00C42B02" w:rsidP="003B27E0">
      <w:pPr>
        <w:rPr>
          <w:b/>
          <w:sz w:val="28"/>
          <w:szCs w:val="28"/>
        </w:rPr>
      </w:pPr>
      <w:r w:rsidRPr="00596A2F">
        <w:rPr>
          <w:b/>
          <w:sz w:val="28"/>
          <w:szCs w:val="28"/>
        </w:rPr>
        <w:t>Résumé des rapports</w:t>
      </w:r>
    </w:p>
    <w:p w:rsidR="003B27E0" w:rsidRPr="00596A2F" w:rsidRDefault="00C42B02" w:rsidP="003B27E0">
      <w:bookmarkStart w:id="0" w:name="lt_pId010"/>
      <w:bookmarkEnd w:id="0"/>
      <w:r w:rsidRPr="00596A2F">
        <w:t>Présentés lors de la 3</w:t>
      </w:r>
      <w:r w:rsidR="00C321D7">
        <w:t>4</w:t>
      </w:r>
      <w:r w:rsidRPr="00596A2F">
        <w:rPr>
          <w:vertAlign w:val="superscript"/>
        </w:rPr>
        <w:t>e</w:t>
      </w:r>
      <w:r w:rsidRPr="00596A2F">
        <w:t xml:space="preserve"> Session du Congrès</w:t>
      </w:r>
    </w:p>
    <w:p w:rsidR="003B27E0" w:rsidRPr="00596A2F" w:rsidRDefault="003B27E0" w:rsidP="003B27E0"/>
    <w:p w:rsidR="00C42B02" w:rsidRPr="00596A2F" w:rsidRDefault="00C42B02" w:rsidP="003B27E0"/>
    <w:p w:rsidR="00C42B02" w:rsidRPr="00596A2F" w:rsidRDefault="00C42B02" w:rsidP="003B27E0"/>
    <w:p w:rsidR="00C42B02" w:rsidRPr="00596A2F" w:rsidRDefault="00C42B02" w:rsidP="003B27E0"/>
    <w:p w:rsidR="00C42B02" w:rsidRPr="00596A2F" w:rsidRDefault="00C42B02" w:rsidP="003B27E0"/>
    <w:p w:rsidR="00C42B02" w:rsidRDefault="00C42B02" w:rsidP="003B27E0">
      <w:r w:rsidRPr="00596A2F">
        <w:t>Sommaire</w:t>
      </w:r>
    </w:p>
    <w:p w:rsidR="001C4A25" w:rsidRDefault="001C4A25" w:rsidP="003B27E0"/>
    <w:p w:rsidR="00526E8D" w:rsidRPr="00526E8D" w:rsidRDefault="000E1E2F" w:rsidP="001D3146">
      <w:pPr>
        <w:pStyle w:val="TOC1"/>
        <w:rPr>
          <w:rFonts w:asciiTheme="minorHAnsi" w:eastAsiaTheme="minorEastAsia" w:hAnsiTheme="minorHAnsi" w:cstheme="minorBidi"/>
          <w:lang w:val="en-GB" w:eastAsia="en-GB"/>
        </w:rPr>
      </w:pPr>
      <w:r>
        <w:rPr>
          <w:sz w:val="18"/>
        </w:rPr>
        <w:fldChar w:fldCharType="begin"/>
      </w:r>
      <w:r>
        <w:instrText xml:space="preserve"> TOC \o "1-3" \h \z \u </w:instrText>
      </w:r>
      <w:r>
        <w:rPr>
          <w:sz w:val="18"/>
        </w:rPr>
        <w:fldChar w:fldCharType="separate"/>
      </w:r>
      <w:hyperlink w:anchor="_Toc508978287" w:history="1">
        <w:r w:rsidR="00526E8D" w:rsidRPr="00526E8D">
          <w:rPr>
            <w:rStyle w:val="Hyperlink"/>
            <w:sz w:val="20"/>
          </w:rPr>
          <w:t>I.</w:t>
        </w:r>
        <w:r w:rsidR="00526E8D" w:rsidRPr="00526E8D">
          <w:rPr>
            <w:rFonts w:asciiTheme="minorHAnsi" w:eastAsiaTheme="minorEastAsia" w:hAnsiTheme="minorHAnsi" w:cstheme="minorBidi"/>
            <w:lang w:val="en-GB" w:eastAsia="en-GB"/>
          </w:rPr>
          <w:tab/>
        </w:r>
        <w:r w:rsidR="00526E8D" w:rsidRPr="00526E8D">
          <w:rPr>
            <w:rStyle w:val="Hyperlink"/>
            <w:sz w:val="20"/>
          </w:rPr>
          <w:t>R</w:t>
        </w:r>
        <w:r w:rsidR="00526E8D" w:rsidRPr="001D3146">
          <w:t>APPORTS PRESENTES EN SEANCES PLENIERES DU CONGRES</w:t>
        </w:r>
        <w:r w:rsidR="00526E8D" w:rsidRPr="00526E8D">
          <w:rPr>
            <w:webHidden/>
          </w:rPr>
          <w:tab/>
        </w:r>
        <w:r w:rsidR="00526E8D" w:rsidRPr="00526E8D">
          <w:rPr>
            <w:webHidden/>
          </w:rPr>
          <w:fldChar w:fldCharType="begin"/>
        </w:r>
        <w:r w:rsidR="00526E8D" w:rsidRPr="00526E8D">
          <w:rPr>
            <w:webHidden/>
          </w:rPr>
          <w:instrText xml:space="preserve"> PAGEREF _Toc508978287 \h </w:instrText>
        </w:r>
        <w:r w:rsidR="00526E8D" w:rsidRPr="00526E8D">
          <w:rPr>
            <w:webHidden/>
          </w:rPr>
        </w:r>
        <w:r w:rsidR="00526E8D" w:rsidRPr="00526E8D">
          <w:rPr>
            <w:webHidden/>
          </w:rPr>
          <w:fldChar w:fldCharType="separate"/>
        </w:r>
        <w:r w:rsidR="000A5F99">
          <w:rPr>
            <w:webHidden/>
          </w:rPr>
          <w:t>2</w:t>
        </w:r>
        <w:r w:rsidR="00526E8D" w:rsidRPr="00526E8D">
          <w:rPr>
            <w:webHidden/>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88" w:history="1">
        <w:r w:rsidR="00526E8D" w:rsidRPr="00526E8D">
          <w:rPr>
            <w:rStyle w:val="Hyperlink"/>
            <w:sz w:val="20"/>
          </w:rPr>
          <w:t>Vérification des pouvoirs des nouveaux membres</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_Toc508978288 \h </w:instrText>
        </w:r>
        <w:r w:rsidR="00526E8D" w:rsidRPr="00526E8D">
          <w:rPr>
            <w:webHidden/>
            <w:sz w:val="20"/>
          </w:rPr>
        </w:r>
        <w:r w:rsidR="00526E8D" w:rsidRPr="00526E8D">
          <w:rPr>
            <w:webHidden/>
            <w:sz w:val="20"/>
          </w:rPr>
          <w:fldChar w:fldCharType="separate"/>
        </w:r>
        <w:r>
          <w:rPr>
            <w:webHidden/>
            <w:sz w:val="20"/>
          </w:rPr>
          <w:t>2</w:t>
        </w:r>
        <w:r w:rsidR="00526E8D" w:rsidRPr="00526E8D">
          <w:rPr>
            <w:webHidden/>
            <w:sz w:val="20"/>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89" w:history="1">
        <w:r w:rsidR="00526E8D" w:rsidRPr="00526E8D">
          <w:rPr>
            <w:rStyle w:val="Hyperlink"/>
            <w:sz w:val="20"/>
          </w:rPr>
          <w:t xml:space="preserve">Révision des articles 9, 64 et 95 des </w:t>
        </w:r>
        <w:r w:rsidR="00526E8D" w:rsidRPr="00526E8D">
          <w:rPr>
            <w:rStyle w:val="Hyperlink"/>
            <w:i/>
            <w:sz w:val="20"/>
          </w:rPr>
          <w:t>Règles et procédures du Congrès</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_Toc508978289 \h </w:instrText>
        </w:r>
        <w:r w:rsidR="00526E8D" w:rsidRPr="00526E8D">
          <w:rPr>
            <w:webHidden/>
            <w:sz w:val="20"/>
          </w:rPr>
        </w:r>
        <w:r w:rsidR="00526E8D" w:rsidRPr="00526E8D">
          <w:rPr>
            <w:webHidden/>
            <w:sz w:val="20"/>
          </w:rPr>
          <w:fldChar w:fldCharType="separate"/>
        </w:r>
        <w:r>
          <w:rPr>
            <w:webHidden/>
            <w:sz w:val="20"/>
          </w:rPr>
          <w:t>2</w:t>
        </w:r>
        <w:r w:rsidR="00526E8D" w:rsidRPr="00526E8D">
          <w:rPr>
            <w:webHidden/>
            <w:sz w:val="20"/>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90" w:history="1">
        <w:r w:rsidR="00526E8D" w:rsidRPr="00526E8D">
          <w:rPr>
            <w:rStyle w:val="Hyperlink"/>
            <w:sz w:val="20"/>
          </w:rPr>
          <w:t>Mission d’enquête sur les élus locaux en République de Moldova</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_Toc508978290 \h </w:instrText>
        </w:r>
        <w:r w:rsidR="00526E8D" w:rsidRPr="00526E8D">
          <w:rPr>
            <w:webHidden/>
            <w:sz w:val="20"/>
          </w:rPr>
        </w:r>
        <w:r w:rsidR="00526E8D" w:rsidRPr="00526E8D">
          <w:rPr>
            <w:webHidden/>
            <w:sz w:val="20"/>
          </w:rPr>
          <w:fldChar w:fldCharType="separate"/>
        </w:r>
        <w:r>
          <w:rPr>
            <w:webHidden/>
            <w:sz w:val="20"/>
          </w:rPr>
          <w:t>2</w:t>
        </w:r>
        <w:r w:rsidR="00526E8D" w:rsidRPr="00526E8D">
          <w:rPr>
            <w:webHidden/>
            <w:sz w:val="20"/>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91" w:history="1">
        <w:r w:rsidR="00526E8D" w:rsidRPr="00526E8D">
          <w:rPr>
            <w:rStyle w:val="Hyperlink"/>
            <w:sz w:val="20"/>
          </w:rPr>
          <w:t>Promouvoir les droits de l’homme aux niveaux local et régional</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_Toc508978291 \h </w:instrText>
        </w:r>
        <w:r w:rsidR="00526E8D" w:rsidRPr="00526E8D">
          <w:rPr>
            <w:webHidden/>
            <w:sz w:val="20"/>
          </w:rPr>
        </w:r>
        <w:r w:rsidR="00526E8D" w:rsidRPr="00526E8D">
          <w:rPr>
            <w:webHidden/>
            <w:sz w:val="20"/>
          </w:rPr>
          <w:fldChar w:fldCharType="separate"/>
        </w:r>
        <w:r>
          <w:rPr>
            <w:webHidden/>
            <w:sz w:val="20"/>
          </w:rPr>
          <w:t>3</w:t>
        </w:r>
        <w:r w:rsidR="00526E8D" w:rsidRPr="00526E8D">
          <w:rPr>
            <w:webHidden/>
            <w:sz w:val="20"/>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92" w:history="1">
        <w:r w:rsidR="00526E8D" w:rsidRPr="00526E8D">
          <w:rPr>
            <w:rStyle w:val="Hyperlink"/>
            <w:sz w:val="20"/>
          </w:rPr>
          <w:t>La démocratie locale et régionale en Lettonie</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_Toc508978292 \h </w:instrText>
        </w:r>
        <w:r w:rsidR="00526E8D" w:rsidRPr="00526E8D">
          <w:rPr>
            <w:webHidden/>
            <w:sz w:val="20"/>
          </w:rPr>
        </w:r>
        <w:r w:rsidR="00526E8D" w:rsidRPr="00526E8D">
          <w:rPr>
            <w:webHidden/>
            <w:sz w:val="20"/>
          </w:rPr>
          <w:fldChar w:fldCharType="separate"/>
        </w:r>
        <w:r>
          <w:rPr>
            <w:webHidden/>
            <w:sz w:val="20"/>
          </w:rPr>
          <w:t>4</w:t>
        </w:r>
        <w:r w:rsidR="00526E8D" w:rsidRPr="00526E8D">
          <w:rPr>
            <w:webHidden/>
            <w:sz w:val="20"/>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93" w:history="1">
        <w:r w:rsidR="00526E8D" w:rsidRPr="00526E8D">
          <w:rPr>
            <w:rStyle w:val="Hyperlink"/>
            <w:sz w:val="20"/>
          </w:rPr>
          <w:t>Enfants réfugiés non accompagnés : rôle et responsabilités des collectivités locales</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_Toc508978293 \h </w:instrText>
        </w:r>
        <w:r w:rsidR="00526E8D" w:rsidRPr="00526E8D">
          <w:rPr>
            <w:webHidden/>
            <w:sz w:val="20"/>
          </w:rPr>
        </w:r>
        <w:r w:rsidR="00526E8D" w:rsidRPr="00526E8D">
          <w:rPr>
            <w:webHidden/>
            <w:sz w:val="20"/>
          </w:rPr>
          <w:fldChar w:fldCharType="separate"/>
        </w:r>
        <w:r>
          <w:rPr>
            <w:webHidden/>
            <w:sz w:val="20"/>
          </w:rPr>
          <w:t>4</w:t>
        </w:r>
        <w:r w:rsidR="00526E8D" w:rsidRPr="00526E8D">
          <w:rPr>
            <w:webHidden/>
            <w:sz w:val="20"/>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94" w:history="1">
        <w:r w:rsidR="00526E8D" w:rsidRPr="00526E8D">
          <w:rPr>
            <w:rStyle w:val="Hyperlink"/>
            <w:sz w:val="20"/>
          </w:rPr>
          <w:t>La démocratie locale en Andorre</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_Toc508978294 \h </w:instrText>
        </w:r>
        <w:r w:rsidR="00526E8D" w:rsidRPr="00526E8D">
          <w:rPr>
            <w:webHidden/>
            <w:sz w:val="20"/>
          </w:rPr>
        </w:r>
        <w:r w:rsidR="00526E8D" w:rsidRPr="00526E8D">
          <w:rPr>
            <w:webHidden/>
            <w:sz w:val="20"/>
          </w:rPr>
          <w:fldChar w:fldCharType="separate"/>
        </w:r>
        <w:r>
          <w:rPr>
            <w:webHidden/>
            <w:sz w:val="20"/>
          </w:rPr>
          <w:t>5</w:t>
        </w:r>
        <w:r w:rsidR="00526E8D" w:rsidRPr="00526E8D">
          <w:rPr>
            <w:webHidden/>
            <w:sz w:val="20"/>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95" w:history="1">
        <w:r w:rsidR="00526E8D" w:rsidRPr="00526E8D">
          <w:rPr>
            <w:rStyle w:val="Hyperlink"/>
            <w:sz w:val="20"/>
          </w:rPr>
          <w:t>La démocratie locale au Liechtenstein</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_Toc508978295 \h </w:instrText>
        </w:r>
        <w:r w:rsidR="00526E8D" w:rsidRPr="00526E8D">
          <w:rPr>
            <w:webHidden/>
            <w:sz w:val="20"/>
          </w:rPr>
        </w:r>
        <w:r w:rsidR="00526E8D" w:rsidRPr="00526E8D">
          <w:rPr>
            <w:webHidden/>
            <w:sz w:val="20"/>
          </w:rPr>
          <w:fldChar w:fldCharType="separate"/>
        </w:r>
        <w:r>
          <w:rPr>
            <w:webHidden/>
            <w:sz w:val="20"/>
          </w:rPr>
          <w:t>6</w:t>
        </w:r>
        <w:r w:rsidR="00526E8D" w:rsidRPr="00526E8D">
          <w:rPr>
            <w:webHidden/>
            <w:sz w:val="20"/>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96" w:history="1">
        <w:r w:rsidR="00526E8D" w:rsidRPr="00526E8D">
          <w:rPr>
            <w:rStyle w:val="Hyperlink"/>
            <w:sz w:val="20"/>
          </w:rPr>
          <w:t>La démocratie locale à Monaco</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_Toc508978296 \h </w:instrText>
        </w:r>
        <w:r w:rsidR="00526E8D" w:rsidRPr="00526E8D">
          <w:rPr>
            <w:webHidden/>
            <w:sz w:val="20"/>
          </w:rPr>
        </w:r>
        <w:r w:rsidR="00526E8D" w:rsidRPr="00526E8D">
          <w:rPr>
            <w:webHidden/>
            <w:sz w:val="20"/>
          </w:rPr>
          <w:fldChar w:fldCharType="separate"/>
        </w:r>
        <w:r>
          <w:rPr>
            <w:webHidden/>
            <w:sz w:val="20"/>
          </w:rPr>
          <w:t>6</w:t>
        </w:r>
        <w:r w:rsidR="00526E8D" w:rsidRPr="00526E8D">
          <w:rPr>
            <w:webHidden/>
            <w:sz w:val="20"/>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97" w:history="1">
        <w:r w:rsidR="00526E8D" w:rsidRPr="00526E8D">
          <w:rPr>
            <w:rStyle w:val="Hyperlink"/>
            <w:sz w:val="20"/>
          </w:rPr>
          <w:t>La démocratie locale en République de Saint-Marin</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_Toc508978297 \h </w:instrText>
        </w:r>
        <w:r w:rsidR="00526E8D" w:rsidRPr="00526E8D">
          <w:rPr>
            <w:webHidden/>
            <w:sz w:val="20"/>
          </w:rPr>
        </w:r>
        <w:r w:rsidR="00526E8D" w:rsidRPr="00526E8D">
          <w:rPr>
            <w:webHidden/>
            <w:sz w:val="20"/>
          </w:rPr>
          <w:fldChar w:fldCharType="separate"/>
        </w:r>
        <w:r>
          <w:rPr>
            <w:webHidden/>
            <w:sz w:val="20"/>
          </w:rPr>
          <w:t>7</w:t>
        </w:r>
        <w:r w:rsidR="00526E8D" w:rsidRPr="00526E8D">
          <w:rPr>
            <w:webHidden/>
            <w:sz w:val="20"/>
          </w:rPr>
          <w:fldChar w:fldCharType="end"/>
        </w:r>
      </w:hyperlink>
    </w:p>
    <w:p w:rsidR="00526E8D" w:rsidRPr="001D3146" w:rsidRDefault="000A5F99" w:rsidP="001D3146">
      <w:pPr>
        <w:pStyle w:val="TOC1"/>
      </w:pPr>
      <w:hyperlink w:anchor="_Toc508978298" w:history="1">
        <w:r w:rsidR="00526E8D" w:rsidRPr="001D3146">
          <w:t>II.</w:t>
        </w:r>
        <w:r w:rsidR="00526E8D" w:rsidRPr="001D3146">
          <w:tab/>
          <w:t>RAPPORTS PRESENTES A LA CHAMBRE DES POUVOIRS LOCAUX</w:t>
        </w:r>
        <w:r w:rsidR="00526E8D" w:rsidRPr="00526E8D">
          <w:rPr>
            <w:webHidden/>
          </w:rPr>
          <w:tab/>
        </w:r>
        <w:r w:rsidR="00526E8D" w:rsidRPr="00526E8D">
          <w:rPr>
            <w:webHidden/>
          </w:rPr>
          <w:fldChar w:fldCharType="begin"/>
        </w:r>
        <w:r w:rsidR="00526E8D" w:rsidRPr="00526E8D">
          <w:rPr>
            <w:webHidden/>
          </w:rPr>
          <w:instrText xml:space="preserve"> PAGEREF _Toc508978298 \h </w:instrText>
        </w:r>
        <w:r w:rsidR="00526E8D" w:rsidRPr="00526E8D">
          <w:rPr>
            <w:webHidden/>
          </w:rPr>
        </w:r>
        <w:r w:rsidR="00526E8D" w:rsidRPr="00526E8D">
          <w:rPr>
            <w:webHidden/>
          </w:rPr>
          <w:fldChar w:fldCharType="separate"/>
        </w:r>
        <w:r>
          <w:rPr>
            <w:webHidden/>
          </w:rPr>
          <w:t>8</w:t>
        </w:r>
        <w:r w:rsidR="00526E8D" w:rsidRPr="00526E8D">
          <w:rPr>
            <w:webHidden/>
          </w:rPr>
          <w:fldChar w:fldCharType="end"/>
        </w:r>
      </w:hyperlink>
    </w:p>
    <w:p w:rsidR="00526E8D" w:rsidRPr="00526E8D" w:rsidRDefault="000A5F99" w:rsidP="00526E8D">
      <w:pPr>
        <w:pStyle w:val="TOC2"/>
        <w:jc w:val="left"/>
        <w:rPr>
          <w:rFonts w:asciiTheme="minorHAnsi" w:eastAsiaTheme="minorEastAsia" w:hAnsiTheme="minorHAnsi" w:cstheme="minorBidi"/>
          <w:sz w:val="20"/>
          <w:lang w:val="en-GB" w:eastAsia="en-GB"/>
        </w:rPr>
      </w:pPr>
      <w:hyperlink w:anchor="_Toc508978299" w:history="1">
        <w:r w:rsidR="00526E8D" w:rsidRPr="00526E8D">
          <w:rPr>
            <w:rStyle w:val="Hyperlink"/>
            <w:sz w:val="20"/>
          </w:rPr>
          <w:t>Observation des élections municipales dans « l’ex-République yougoslave de Macédoine » (15 octobre 2017)</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_Toc508978299 \h </w:instrText>
        </w:r>
        <w:r w:rsidR="00526E8D" w:rsidRPr="00526E8D">
          <w:rPr>
            <w:webHidden/>
            <w:sz w:val="20"/>
          </w:rPr>
        </w:r>
        <w:r w:rsidR="00526E8D" w:rsidRPr="00526E8D">
          <w:rPr>
            <w:webHidden/>
            <w:sz w:val="20"/>
          </w:rPr>
          <w:fldChar w:fldCharType="separate"/>
        </w:r>
        <w:r>
          <w:rPr>
            <w:webHidden/>
            <w:sz w:val="20"/>
          </w:rPr>
          <w:t>8</w:t>
        </w:r>
        <w:r w:rsidR="00526E8D" w:rsidRPr="00526E8D">
          <w:rPr>
            <w:webHidden/>
            <w:sz w:val="20"/>
          </w:rPr>
          <w:fldChar w:fldCharType="end"/>
        </w:r>
      </w:hyperlink>
    </w:p>
    <w:p w:rsidR="00526E8D" w:rsidRDefault="000A5F99" w:rsidP="00526E8D">
      <w:pPr>
        <w:pStyle w:val="TOC2"/>
        <w:jc w:val="left"/>
        <w:rPr>
          <w:rFonts w:asciiTheme="minorHAnsi" w:eastAsiaTheme="minorEastAsia" w:hAnsiTheme="minorHAnsi" w:cstheme="minorBidi"/>
          <w:sz w:val="22"/>
          <w:szCs w:val="22"/>
          <w:lang w:val="en-GB" w:eastAsia="en-GB"/>
        </w:rPr>
      </w:pPr>
      <w:hyperlink w:anchor="_Toc508978300" w:history="1">
        <w:r w:rsidR="00526E8D" w:rsidRPr="00526E8D">
          <w:rPr>
            <w:rStyle w:val="Hyperlink"/>
            <w:sz w:val="20"/>
          </w:rPr>
          <w:t>Rapport d’information sur les élections municipales en Géorgie (21 octobre 2017)</w:t>
        </w:r>
        <w:r w:rsidR="00526E8D" w:rsidRPr="00526E8D">
          <w:rPr>
            <w:webHidden/>
            <w:sz w:val="20"/>
          </w:rPr>
          <w:tab/>
        </w:r>
        <w:r w:rsidR="00526E8D" w:rsidRPr="00526E8D">
          <w:rPr>
            <w:webHidden/>
            <w:sz w:val="20"/>
          </w:rPr>
          <w:fldChar w:fldCharType="begin"/>
        </w:r>
        <w:r w:rsidR="00526E8D" w:rsidRPr="00526E8D">
          <w:rPr>
            <w:webHidden/>
            <w:sz w:val="20"/>
          </w:rPr>
          <w:instrText xml:space="preserve"> PAGEREF _Toc508978300 \h </w:instrText>
        </w:r>
        <w:r w:rsidR="00526E8D" w:rsidRPr="00526E8D">
          <w:rPr>
            <w:webHidden/>
            <w:sz w:val="20"/>
          </w:rPr>
        </w:r>
        <w:r w:rsidR="00526E8D" w:rsidRPr="00526E8D">
          <w:rPr>
            <w:webHidden/>
            <w:sz w:val="20"/>
          </w:rPr>
          <w:fldChar w:fldCharType="separate"/>
        </w:r>
        <w:r>
          <w:rPr>
            <w:webHidden/>
            <w:sz w:val="20"/>
          </w:rPr>
          <w:t>9</w:t>
        </w:r>
        <w:r w:rsidR="00526E8D" w:rsidRPr="00526E8D">
          <w:rPr>
            <w:webHidden/>
            <w:sz w:val="20"/>
          </w:rPr>
          <w:fldChar w:fldCharType="end"/>
        </w:r>
      </w:hyperlink>
    </w:p>
    <w:p w:rsidR="000E1E2F" w:rsidRDefault="000E1E2F" w:rsidP="003B27E0">
      <w:r>
        <w:fldChar w:fldCharType="end"/>
      </w:r>
    </w:p>
    <w:p w:rsidR="001C4A25" w:rsidRPr="00596A2F" w:rsidRDefault="001C4A25" w:rsidP="003B27E0"/>
    <w:p w:rsidR="00F32652" w:rsidRPr="00596A2F" w:rsidRDefault="00F32652" w:rsidP="003B27E0"/>
    <w:p w:rsidR="0085353F" w:rsidRPr="00596A2F" w:rsidRDefault="0085353F" w:rsidP="003B27E0"/>
    <w:p w:rsidR="00C42B02" w:rsidRPr="00596A2F" w:rsidRDefault="003B27E0" w:rsidP="0085353F">
      <w:pPr>
        <w:pStyle w:val="Heading1"/>
        <w:ind w:left="426"/>
      </w:pPr>
      <w:bookmarkStart w:id="1" w:name="lt_pId012"/>
      <w:r w:rsidRPr="00596A2F">
        <w:br w:type="page"/>
      </w:r>
      <w:bookmarkStart w:id="2" w:name="_Toc494722600"/>
      <w:bookmarkStart w:id="3" w:name="_Toc508978287"/>
      <w:r w:rsidR="00125F6B" w:rsidRPr="00596A2F">
        <w:lastRenderedPageBreak/>
        <w:t>RAPPORTS PRESENTES EN SEANCES PLENIERES DU CONGRES</w:t>
      </w:r>
      <w:bookmarkEnd w:id="2"/>
      <w:bookmarkEnd w:id="3"/>
      <w:r w:rsidR="00125F6B" w:rsidRPr="00596A2F">
        <w:t xml:space="preserve"> </w:t>
      </w:r>
    </w:p>
    <w:p w:rsidR="00C42B02" w:rsidRDefault="00C42B02" w:rsidP="003700C6">
      <w:pPr>
        <w:rPr>
          <w:b/>
        </w:rPr>
      </w:pPr>
    </w:p>
    <w:p w:rsidR="004741E0" w:rsidRPr="00596A2F" w:rsidRDefault="004741E0" w:rsidP="003700C6">
      <w:pPr>
        <w:rPr>
          <w:b/>
        </w:rPr>
      </w:pPr>
    </w:p>
    <w:p w:rsidR="00C42B02" w:rsidRDefault="004741E0" w:rsidP="004741E0">
      <w:pPr>
        <w:pStyle w:val="Heading2"/>
      </w:pPr>
      <w:bookmarkStart w:id="4" w:name="_Toc494722601"/>
      <w:bookmarkStart w:id="5" w:name="_Toc508978288"/>
      <w:r>
        <w:t xml:space="preserve">Vérification des </w:t>
      </w:r>
      <w:r w:rsidR="00C42B02" w:rsidRPr="00596A2F">
        <w:t>pouvo</w:t>
      </w:r>
      <w:r>
        <w:t>irs des nouveaux membres</w:t>
      </w:r>
      <w:bookmarkEnd w:id="4"/>
      <w:bookmarkEnd w:id="5"/>
    </w:p>
    <w:p w:rsidR="00C42B02" w:rsidRPr="00596A2F" w:rsidRDefault="00C42B02" w:rsidP="003700C6"/>
    <w:p w:rsidR="00804F6C" w:rsidRPr="00596A2F" w:rsidRDefault="001163CA" w:rsidP="003700C6">
      <w:proofErr w:type="spellStart"/>
      <w:r>
        <w:rPr>
          <w:color w:val="000000"/>
        </w:rPr>
        <w:t>C</w:t>
      </w:r>
      <w:r w:rsidR="00804F6C" w:rsidRPr="00596A2F">
        <w:rPr>
          <w:color w:val="000000"/>
        </w:rPr>
        <w:t>orapporteurs</w:t>
      </w:r>
      <w:proofErr w:type="spellEnd"/>
      <w:r w:rsidR="0067402F">
        <w:rPr>
          <w:rStyle w:val="FootnoteReference"/>
          <w:color w:val="000000"/>
        </w:rPr>
        <w:footnoteReference w:id="1"/>
      </w:r>
      <w:r w:rsidR="00FA5E68" w:rsidRPr="00596A2F">
        <w:rPr>
          <w:color w:val="000000"/>
        </w:rPr>
        <w:t>:</w:t>
      </w:r>
    </w:p>
    <w:p w:rsidR="004E66FD" w:rsidRDefault="004E66FD" w:rsidP="009B5655">
      <w:r w:rsidRPr="004E66FD">
        <w:t>Michail ANGELOPOULOS, Grèce (L, PPE/CCE), et Eunice CAMPBELL-CLARK, Royaume-Uni (R, SOC)</w:t>
      </w:r>
    </w:p>
    <w:p w:rsidR="009419C4" w:rsidRPr="004E66FD" w:rsidRDefault="009419C4" w:rsidP="009B5655"/>
    <w:p w:rsidR="00804F6C" w:rsidRPr="00596A2F" w:rsidRDefault="009B5655" w:rsidP="009419C4">
      <w:pPr>
        <w:rPr>
          <w:b/>
        </w:rPr>
      </w:pPr>
      <w:r w:rsidRPr="00596A2F">
        <w:t>Bureau du Congrès</w:t>
      </w:r>
    </w:p>
    <w:p w:rsidR="004E66FD" w:rsidRPr="0067402F" w:rsidRDefault="00EB59B9" w:rsidP="00804F6C">
      <w:pPr>
        <w:jc w:val="right"/>
        <w:rPr>
          <w:b/>
        </w:rPr>
      </w:pPr>
      <w:r>
        <w:rPr>
          <w:b/>
        </w:rPr>
        <w:t>CG34(2018</w:t>
      </w:r>
      <w:r w:rsidR="002D0BD5">
        <w:rPr>
          <w:b/>
        </w:rPr>
        <w:t>)02</w:t>
      </w:r>
    </w:p>
    <w:p w:rsidR="00804F6C" w:rsidRPr="00596A2F" w:rsidRDefault="00804F6C" w:rsidP="00804F6C">
      <w:pPr>
        <w:jc w:val="right"/>
        <w:rPr>
          <w:lang w:eastAsia="de-DE" w:bidi="de-DE"/>
        </w:rPr>
      </w:pPr>
      <w:r w:rsidRPr="00596A2F">
        <w:t>Résolution</w:t>
      </w:r>
    </w:p>
    <w:p w:rsidR="00804F6C" w:rsidRPr="00596A2F" w:rsidRDefault="00804F6C" w:rsidP="003700C6"/>
    <w:bookmarkEnd w:id="1"/>
    <w:p w:rsidR="00804F6C" w:rsidRPr="00596A2F" w:rsidRDefault="00820C0B" w:rsidP="003700C6">
      <w:r w:rsidRPr="00596A2F">
        <w:t>Les rapporteurs passeront en revue les pouvoirs des nouveaux membres par rapport aux critères actuels de la Charte et des Règles et procédures du Congrès.</w:t>
      </w:r>
    </w:p>
    <w:p w:rsidR="00820C0B" w:rsidRPr="00596A2F" w:rsidRDefault="00820C0B" w:rsidP="003700C6"/>
    <w:p w:rsidR="00714008" w:rsidRDefault="00714008" w:rsidP="003700C6"/>
    <w:p w:rsidR="00714008" w:rsidRPr="00420171" w:rsidRDefault="00714008" w:rsidP="00420171">
      <w:pPr>
        <w:pStyle w:val="Heading2"/>
        <w:rPr>
          <w:i/>
        </w:rPr>
      </w:pPr>
      <w:bookmarkStart w:id="6" w:name="_Toc508978289"/>
      <w:r w:rsidRPr="00420171">
        <w:t xml:space="preserve">Révision des articles 9, 64 et 95 des </w:t>
      </w:r>
      <w:r w:rsidRPr="00420171">
        <w:rPr>
          <w:i/>
        </w:rPr>
        <w:t>Règles et procédures du Congrès</w:t>
      </w:r>
      <w:bookmarkEnd w:id="6"/>
    </w:p>
    <w:p w:rsidR="00E475B4" w:rsidRPr="00596A2F" w:rsidRDefault="00E475B4" w:rsidP="00E475B4"/>
    <w:p w:rsidR="00E475B4" w:rsidRPr="00596A2F" w:rsidRDefault="001163CA" w:rsidP="00E475B4">
      <w:proofErr w:type="spellStart"/>
      <w:r w:rsidRPr="0067402F">
        <w:rPr>
          <w:color w:val="000000"/>
        </w:rPr>
        <w:t>C</w:t>
      </w:r>
      <w:r w:rsidR="00E475B4" w:rsidRPr="0067402F">
        <w:rPr>
          <w:color w:val="000000"/>
        </w:rPr>
        <w:t>orapporteurs</w:t>
      </w:r>
      <w:proofErr w:type="spellEnd"/>
      <w:r w:rsidR="00E475B4" w:rsidRPr="00596A2F">
        <w:rPr>
          <w:color w:val="000000"/>
        </w:rPr>
        <w:t>:</w:t>
      </w:r>
    </w:p>
    <w:p w:rsidR="002D0BD5" w:rsidRPr="009E7BC3" w:rsidRDefault="002D0BD5" w:rsidP="002D0BD5">
      <w:pPr>
        <w:tabs>
          <w:tab w:val="left" w:pos="1560"/>
        </w:tabs>
        <w:rPr>
          <w:color w:val="000000" w:themeColor="text1"/>
        </w:rPr>
      </w:pPr>
      <w:r w:rsidRPr="009E7BC3">
        <w:rPr>
          <w:color w:val="000000" w:themeColor="text1"/>
        </w:rPr>
        <w:t xml:space="preserve">Xavier CADORET, France (L, SOC), </w:t>
      </w:r>
      <w:r>
        <w:rPr>
          <w:color w:val="000000" w:themeColor="text1"/>
        </w:rPr>
        <w:t>et</w:t>
      </w:r>
      <w:r w:rsidRPr="009E7BC3">
        <w:rPr>
          <w:color w:val="000000" w:themeColor="text1"/>
        </w:rPr>
        <w:t xml:space="preserve"> Marc COOLS, Belgi</w:t>
      </w:r>
      <w:r>
        <w:rPr>
          <w:color w:val="000000" w:themeColor="text1"/>
        </w:rPr>
        <w:t>q</w:t>
      </w:r>
      <w:r w:rsidRPr="009E7BC3">
        <w:rPr>
          <w:color w:val="000000" w:themeColor="text1"/>
        </w:rPr>
        <w:t>u</w:t>
      </w:r>
      <w:r>
        <w:rPr>
          <w:color w:val="000000" w:themeColor="text1"/>
        </w:rPr>
        <w:t>e</w:t>
      </w:r>
      <w:r w:rsidRPr="009E7BC3">
        <w:rPr>
          <w:color w:val="000000" w:themeColor="text1"/>
        </w:rPr>
        <w:t xml:space="preserve"> (L, </w:t>
      </w:r>
      <w:r>
        <w:rPr>
          <w:color w:val="000000" w:themeColor="text1"/>
        </w:rPr>
        <w:t>GILD</w:t>
      </w:r>
      <w:r w:rsidRPr="009E7BC3">
        <w:rPr>
          <w:color w:val="000000" w:themeColor="text1"/>
        </w:rPr>
        <w:t xml:space="preserve">) </w:t>
      </w:r>
    </w:p>
    <w:p w:rsidR="009712ED" w:rsidRDefault="009712ED" w:rsidP="009712ED"/>
    <w:p w:rsidR="002D0BD5" w:rsidRPr="00596A2F" w:rsidRDefault="002D0BD5" w:rsidP="002D0BD5">
      <w:pPr>
        <w:rPr>
          <w:b/>
        </w:rPr>
      </w:pPr>
      <w:r w:rsidRPr="00596A2F">
        <w:t>Bureau du Congrès</w:t>
      </w:r>
    </w:p>
    <w:p w:rsidR="00486CCE" w:rsidRPr="0067402F" w:rsidRDefault="002D0BD5" w:rsidP="00486CCE">
      <w:pPr>
        <w:jc w:val="right"/>
        <w:rPr>
          <w:b/>
        </w:rPr>
      </w:pPr>
      <w:r>
        <w:rPr>
          <w:b/>
        </w:rPr>
        <w:t>CG34(2018)06</w:t>
      </w:r>
      <w:r w:rsidR="00EB59B9">
        <w:rPr>
          <w:b/>
        </w:rPr>
        <w:t>prov</w:t>
      </w:r>
    </w:p>
    <w:p w:rsidR="009712ED" w:rsidRPr="00596A2F" w:rsidRDefault="002D0BD5" w:rsidP="009712ED">
      <w:pPr>
        <w:jc w:val="right"/>
        <w:rPr>
          <w:lang w:eastAsia="de-DE" w:bidi="de-DE"/>
        </w:rPr>
      </w:pPr>
      <w:r>
        <w:t>Résolutio</w:t>
      </w:r>
      <w:r w:rsidR="009712ED" w:rsidRPr="00596A2F">
        <w:t>n</w:t>
      </w:r>
    </w:p>
    <w:p w:rsidR="00E475B4" w:rsidRPr="00596A2F" w:rsidRDefault="00E475B4" w:rsidP="00E475B4"/>
    <w:p w:rsidR="002D0BD5" w:rsidRPr="00463E1F" w:rsidRDefault="002D0BD5" w:rsidP="002D0BD5">
      <w:pPr>
        <w:rPr>
          <w:color w:val="000000"/>
        </w:rPr>
      </w:pPr>
      <w:r w:rsidRPr="00463E1F">
        <w:rPr>
          <w:color w:val="000000"/>
        </w:rPr>
        <w:t xml:space="preserve">Les </w:t>
      </w:r>
      <w:proofErr w:type="spellStart"/>
      <w:r>
        <w:rPr>
          <w:color w:val="000000"/>
        </w:rPr>
        <w:t>co</w:t>
      </w:r>
      <w:r w:rsidRPr="00463E1F">
        <w:rPr>
          <w:color w:val="000000"/>
        </w:rPr>
        <w:t>rapporteurs</w:t>
      </w:r>
      <w:proofErr w:type="spellEnd"/>
      <w:r w:rsidRPr="00463E1F">
        <w:rPr>
          <w:color w:val="000000"/>
        </w:rPr>
        <w:t xml:space="preserve"> proposent </w:t>
      </w:r>
      <w:r>
        <w:rPr>
          <w:color w:val="000000"/>
        </w:rPr>
        <w:t>des</w:t>
      </w:r>
      <w:r w:rsidRPr="00463E1F">
        <w:rPr>
          <w:color w:val="000000"/>
        </w:rPr>
        <w:t xml:space="preserve"> modifications </w:t>
      </w:r>
      <w:r>
        <w:rPr>
          <w:color w:val="000000"/>
        </w:rPr>
        <w:t xml:space="preserve">aux articles 9, </w:t>
      </w:r>
      <w:r w:rsidRPr="00463E1F">
        <w:rPr>
          <w:color w:val="000000"/>
        </w:rPr>
        <w:t xml:space="preserve">64 </w:t>
      </w:r>
      <w:r>
        <w:rPr>
          <w:color w:val="000000"/>
        </w:rPr>
        <w:t xml:space="preserve">et 95 </w:t>
      </w:r>
      <w:r w:rsidRPr="00463E1F">
        <w:rPr>
          <w:color w:val="000000"/>
        </w:rPr>
        <w:t>des Règles et procédures</w:t>
      </w:r>
      <w:r>
        <w:rPr>
          <w:color w:val="000000"/>
        </w:rPr>
        <w:t xml:space="preserve"> </w:t>
      </w:r>
      <w:r>
        <w:rPr>
          <w:color w:val="222222"/>
        </w:rPr>
        <w:t>pour plus de clarté, de transparence, de flexibilité et d’autonomie.</w:t>
      </w:r>
    </w:p>
    <w:p w:rsidR="002D0BD5" w:rsidRPr="00463E1F" w:rsidRDefault="002D0BD5" w:rsidP="002D0BD5">
      <w:pPr>
        <w:tabs>
          <w:tab w:val="left" w:pos="1418"/>
        </w:tabs>
        <w:rPr>
          <w:color w:val="000000" w:themeColor="text1"/>
        </w:rPr>
      </w:pPr>
    </w:p>
    <w:p w:rsidR="00420171" w:rsidRDefault="00420171" w:rsidP="00420171">
      <w:pPr>
        <w:pStyle w:val="Heading2"/>
      </w:pPr>
    </w:p>
    <w:p w:rsidR="00420171" w:rsidRPr="00420171" w:rsidRDefault="00420171" w:rsidP="00420171">
      <w:pPr>
        <w:pStyle w:val="Heading2"/>
      </w:pPr>
      <w:bookmarkStart w:id="7" w:name="_Toc508978290"/>
      <w:r w:rsidRPr="00420171">
        <w:t>Mission d’enquête sur les élus locaux en République de Moldova</w:t>
      </w:r>
      <w:bookmarkEnd w:id="7"/>
    </w:p>
    <w:p w:rsidR="00420171" w:rsidRPr="006B5AB5" w:rsidRDefault="00420171" w:rsidP="00420171">
      <w:pPr>
        <w:rPr>
          <w:bCs/>
          <w:highlight w:val="yellow"/>
        </w:rPr>
      </w:pPr>
    </w:p>
    <w:p w:rsidR="00420171" w:rsidRDefault="00420171" w:rsidP="00420171">
      <w:pPr>
        <w:tabs>
          <w:tab w:val="left" w:pos="1701"/>
        </w:tabs>
        <w:rPr>
          <w:color w:val="000000"/>
        </w:rPr>
      </w:pPr>
      <w:proofErr w:type="spellStart"/>
      <w:r w:rsidRPr="0067402F">
        <w:rPr>
          <w:color w:val="000000"/>
        </w:rPr>
        <w:t>Corapporteurs</w:t>
      </w:r>
      <w:proofErr w:type="spellEnd"/>
      <w:r w:rsidRPr="00596A2F">
        <w:rPr>
          <w:color w:val="000000"/>
        </w:rPr>
        <w:t>:</w:t>
      </w:r>
      <w:r>
        <w:rPr>
          <w:color w:val="000000"/>
        </w:rPr>
        <w:t xml:space="preserve"> </w:t>
      </w:r>
    </w:p>
    <w:p w:rsidR="00420171" w:rsidRPr="00862BB5" w:rsidRDefault="00420171" w:rsidP="00420171">
      <w:pPr>
        <w:tabs>
          <w:tab w:val="left" w:pos="1701"/>
        </w:tabs>
      </w:pPr>
      <w:r w:rsidRPr="00862BB5">
        <w:t>Marc COOLS, Belgique (L, GILD)</w:t>
      </w:r>
      <w:r w:rsidR="00526E8D">
        <w:t>,</w:t>
      </w:r>
      <w:r w:rsidRPr="00862BB5">
        <w:t xml:space="preserve"> </w:t>
      </w:r>
      <w:r>
        <w:t xml:space="preserve">et </w:t>
      </w:r>
      <w:r w:rsidRPr="00862BB5">
        <w:t xml:space="preserve">Gunn </w:t>
      </w:r>
      <w:proofErr w:type="spellStart"/>
      <w:r w:rsidRPr="00862BB5">
        <w:t>Marit</w:t>
      </w:r>
      <w:proofErr w:type="spellEnd"/>
      <w:r w:rsidRPr="00862BB5">
        <w:t xml:space="preserve"> HELGESEN, Norvège (R, PPE/CCE) </w:t>
      </w:r>
    </w:p>
    <w:p w:rsidR="00420171" w:rsidRPr="00596A2F" w:rsidRDefault="00420171" w:rsidP="00420171"/>
    <w:p w:rsidR="00420171" w:rsidRPr="002A17F6" w:rsidRDefault="00420171" w:rsidP="00420171">
      <w:pPr>
        <w:rPr>
          <w:bCs/>
        </w:rPr>
      </w:pPr>
      <w:r w:rsidRPr="002A17F6">
        <w:rPr>
          <w:bCs/>
        </w:rPr>
        <w:t>Commission de suivi</w:t>
      </w:r>
    </w:p>
    <w:p w:rsidR="00420171" w:rsidRDefault="00420171" w:rsidP="00420171">
      <w:pPr>
        <w:rPr>
          <w:bCs/>
          <w:highlight w:val="yellow"/>
        </w:rPr>
      </w:pPr>
    </w:p>
    <w:p w:rsidR="00420171" w:rsidRPr="0067402F" w:rsidRDefault="00420171" w:rsidP="00420171">
      <w:pPr>
        <w:jc w:val="right"/>
        <w:rPr>
          <w:b/>
        </w:rPr>
      </w:pPr>
      <w:r>
        <w:rPr>
          <w:b/>
        </w:rPr>
        <w:t>CG34(2018)09</w:t>
      </w:r>
      <w:r w:rsidR="00EB59B9">
        <w:rPr>
          <w:b/>
        </w:rPr>
        <w:t>prov</w:t>
      </w:r>
    </w:p>
    <w:p w:rsidR="00420171" w:rsidRDefault="00420171" w:rsidP="00420171">
      <w:pPr>
        <w:jc w:val="right"/>
      </w:pPr>
      <w:r>
        <w:t>Recommandation</w:t>
      </w:r>
    </w:p>
    <w:p w:rsidR="00420171" w:rsidRDefault="00420171" w:rsidP="00420171"/>
    <w:p w:rsidR="00420171" w:rsidRDefault="00420171" w:rsidP="00420171">
      <w:r>
        <w:t xml:space="preserve">Le présent document fait état des conclusions des rapporteurs sur leur visite effectuée à </w:t>
      </w:r>
      <w:proofErr w:type="spellStart"/>
      <w:r>
        <w:t>Chișinău</w:t>
      </w:r>
      <w:proofErr w:type="spellEnd"/>
      <w:r>
        <w:t xml:space="preserve"> le 13 décembre 2017 à la demande de la Commission de suivi du Congrès. Cette visite fait suite à la réception d’une plainte adressée au Congrès par le Congrès des autorités locales de Moldova (CALM) et tendait à obtenir des informations relatives aux allégations formulées par ladite plainte et à clarifier la situation du maire suspendu de </w:t>
      </w:r>
      <w:proofErr w:type="spellStart"/>
      <w:r>
        <w:t>Chișinău</w:t>
      </w:r>
      <w:proofErr w:type="spellEnd"/>
      <w:r>
        <w:t>.</w:t>
      </w:r>
    </w:p>
    <w:p w:rsidR="00420171" w:rsidRDefault="00420171" w:rsidP="00420171"/>
    <w:p w:rsidR="00420171" w:rsidRDefault="00420171">
      <w:pPr>
        <w:jc w:val="left"/>
      </w:pPr>
      <w:r>
        <w:br w:type="page"/>
      </w:r>
    </w:p>
    <w:p w:rsidR="00420171" w:rsidRDefault="00420171" w:rsidP="00420171">
      <w:r>
        <w:lastRenderedPageBreak/>
        <w:t xml:space="preserve">Les rapporteurs réitèrent les conclusions du précédent rapport selon lesquelles les conditions de suspension du maire de Chisinau constituent une violation des articles 3-2, 7-1 et 8-3 de la Charte européenne de l’autonomie locale. Ils font également part de leurs préoccupations concernant les répercussions  que peut avoir la tenue d’un référendum révocatoire local visant le maire de la capitale sur la gouvernance de la ville de </w:t>
      </w:r>
      <w:proofErr w:type="spellStart"/>
      <w:r>
        <w:t>Chișinău</w:t>
      </w:r>
      <w:proofErr w:type="spellEnd"/>
      <w:r>
        <w:t xml:space="preserve"> en particulier, et sur le fonctionnement de la démocratie locale en général. Enfin, les rapporteurs considèrent que la situation de la démocratie locale s’est détériorée en République de Moldova.</w:t>
      </w:r>
    </w:p>
    <w:p w:rsidR="00420171" w:rsidRDefault="00420171" w:rsidP="00420171"/>
    <w:p w:rsidR="00420171" w:rsidRDefault="00420171" w:rsidP="00420171">
      <w:r>
        <w:t>À ce titre, les rapporteurs recommandent aux autorités de la République de Moldova de réviser la législation moldave afin d’établir des dispositions claires et non-contradictoires pour ce qui est de la suspension des élus locaux et de la tenue de référendums révocatoires locaux, de rétablir le dialogue avec le CALM, et d’engager un dialogue constructif avec les rapporteurs du Congrès, notamment dans le cadre du monitoring de la démocratie locale et régionale prévu dans ce pays à la fin du printemps 2018.</w:t>
      </w:r>
    </w:p>
    <w:p w:rsidR="00420171" w:rsidRPr="00862BB5" w:rsidRDefault="00420171" w:rsidP="00420171">
      <w:pPr>
        <w:rPr>
          <w:bCs/>
          <w:highlight w:val="yellow"/>
        </w:rPr>
      </w:pPr>
    </w:p>
    <w:p w:rsidR="00213A7B" w:rsidRDefault="00213A7B" w:rsidP="00C36BD4"/>
    <w:p w:rsidR="00041673" w:rsidRDefault="00420171" w:rsidP="0085353F">
      <w:pPr>
        <w:pStyle w:val="Heading2"/>
      </w:pPr>
      <w:bookmarkStart w:id="8" w:name="_Toc508978291"/>
      <w:r w:rsidRPr="00420171">
        <w:t>Promouvoir les droits de l’homme aux niveaux local et régional</w:t>
      </w:r>
      <w:bookmarkEnd w:id="8"/>
    </w:p>
    <w:p w:rsidR="006F4616" w:rsidRDefault="006F4616" w:rsidP="006F4616"/>
    <w:p w:rsidR="006F4616" w:rsidRDefault="006F4616" w:rsidP="006F4616">
      <w:r>
        <w:t>Rapporteur :</w:t>
      </w:r>
    </w:p>
    <w:p w:rsidR="006F4616" w:rsidRPr="006F4616" w:rsidRDefault="006F4616" w:rsidP="006F4616">
      <w:r w:rsidRPr="006F4616">
        <w:t>Harald BERGMANN, Pays-Bas (L, GILD)</w:t>
      </w:r>
      <w:r>
        <w:t xml:space="preserve">, </w:t>
      </w:r>
      <w:r w:rsidRPr="006F4616">
        <w:t>Porte-parole du Congrès sur les droits de l’homme aux niveaux local et régional</w:t>
      </w:r>
    </w:p>
    <w:p w:rsidR="006F4616" w:rsidRDefault="006F4616" w:rsidP="006F4616"/>
    <w:p w:rsidR="006F4616" w:rsidRDefault="006F4616" w:rsidP="006F4616">
      <w:r w:rsidRPr="006F4616">
        <w:t>Commission de suivi</w:t>
      </w:r>
    </w:p>
    <w:p w:rsidR="006F4616" w:rsidRPr="0067402F" w:rsidRDefault="006F4616" w:rsidP="006F4616">
      <w:pPr>
        <w:jc w:val="right"/>
        <w:rPr>
          <w:b/>
        </w:rPr>
      </w:pPr>
      <w:r>
        <w:rPr>
          <w:b/>
        </w:rPr>
        <w:t>CG34(2018)10</w:t>
      </w:r>
      <w:r w:rsidR="00EB59B9">
        <w:rPr>
          <w:b/>
        </w:rPr>
        <w:t>prov</w:t>
      </w:r>
    </w:p>
    <w:p w:rsidR="006F4616" w:rsidRDefault="006F4616" w:rsidP="006F4616">
      <w:pPr>
        <w:jc w:val="right"/>
      </w:pPr>
      <w:r>
        <w:t>Résolution</w:t>
      </w:r>
    </w:p>
    <w:p w:rsidR="006F4616" w:rsidRDefault="006F4616" w:rsidP="006F4616">
      <w:pPr>
        <w:jc w:val="right"/>
      </w:pPr>
    </w:p>
    <w:p w:rsidR="006F4616" w:rsidRDefault="006F4616" w:rsidP="006F4616">
      <w:r>
        <w:t>Cette résolution s'appuie sur les activités du Congrès en vue d'aider les autorités locales et régionales à promouvoir et appliquer les droits de l'homme dans les politiques territoriales sur la base d'exemples de bonnes pratiques de mise en œuvre des droits de l'homme aux niveaux local et régional dans les Etats membres du Conseil de l'Europe.</w:t>
      </w:r>
    </w:p>
    <w:p w:rsidR="006F4616" w:rsidRDefault="006F4616" w:rsidP="006F4616"/>
    <w:p w:rsidR="00C758F0" w:rsidRDefault="006F4616" w:rsidP="006F4616">
      <w:r>
        <w:t xml:space="preserve">Le Manuel des droits de l'homme, à l'usage des autorités locales et régionales, recueille un large éventail d'exemples réussis de promotion et de protection de droits de l'homme au niveau territorial. Il constitue un outil pratique permettant aux autorités locales et régionales ainsi qu’à leurs administrations de répondre de manière efficace et durable, sur la base de bonnes pratiques, aux défis des droits de l'homme rencontrés dans leurs municipalités et régions. </w:t>
      </w:r>
    </w:p>
    <w:p w:rsidR="00C758F0" w:rsidRDefault="00C758F0" w:rsidP="006F4616"/>
    <w:p w:rsidR="006F4616" w:rsidRDefault="006F4616" w:rsidP="006F4616">
      <w:r>
        <w:t xml:space="preserve">Ce premier volume du Manuel est consacré au droit à la non-discrimination, en particulier à l'égard de trois groupes cibles: les réfugiés, les demandeurs d'asile et les migrants; les </w:t>
      </w:r>
      <w:proofErr w:type="spellStart"/>
      <w:r>
        <w:t>Roms</w:t>
      </w:r>
      <w:proofErr w:type="spellEnd"/>
      <w:r>
        <w:t xml:space="preserve"> et les gens du voyage; et les personnes LGBTI. Le choix de ce</w:t>
      </w:r>
      <w:r w:rsidR="00C758F0">
        <w:t>s</w:t>
      </w:r>
      <w:r>
        <w:t xml:space="preserve"> troi</w:t>
      </w:r>
      <w:r w:rsidR="00C758F0">
        <w:t>s groupes a été proposé par le Porte</w:t>
      </w:r>
      <w:r>
        <w:t>-parole du Congrès sur les droits</w:t>
      </w:r>
      <w:r w:rsidR="00C758F0">
        <w:t xml:space="preserve"> </w:t>
      </w:r>
      <w:r>
        <w:t xml:space="preserve">de l'homme et a été approuvé par la Commission de suivi lors de sa réunion du </w:t>
      </w:r>
    </w:p>
    <w:p w:rsidR="006F4616" w:rsidRDefault="006F4616" w:rsidP="006F4616">
      <w:r>
        <w:t>16 février 2017 à Athènes. Le deuxième volume du Manuel, qui mettra l'ac</w:t>
      </w:r>
      <w:r w:rsidR="00C758F0">
        <w:t xml:space="preserve">cent sur d'autres thèmes, sera préparé dans </w:t>
      </w:r>
      <w:r>
        <w:t xml:space="preserve">un avenir </w:t>
      </w:r>
      <w:r w:rsidR="00C758F0">
        <w:t xml:space="preserve">proche par </w:t>
      </w:r>
      <w:r>
        <w:t>l</w:t>
      </w:r>
      <w:r w:rsidR="00C758F0">
        <w:t xml:space="preserve">a </w:t>
      </w:r>
      <w:r>
        <w:t>C</w:t>
      </w:r>
      <w:r w:rsidR="00C758F0">
        <w:t xml:space="preserve">ommission de </w:t>
      </w:r>
      <w:r>
        <w:t>suivi</w:t>
      </w:r>
      <w:r w:rsidR="00C758F0">
        <w:t xml:space="preserve">, en </w:t>
      </w:r>
      <w:r>
        <w:t xml:space="preserve">coopération </w:t>
      </w:r>
      <w:r w:rsidR="00C758F0">
        <w:t xml:space="preserve">avec d'autres </w:t>
      </w:r>
      <w:r>
        <w:t xml:space="preserve">organes </w:t>
      </w:r>
    </w:p>
    <w:p w:rsidR="006F4616" w:rsidRDefault="006F4616" w:rsidP="006F4616">
      <w:proofErr w:type="gramStart"/>
      <w:r>
        <w:t>du</w:t>
      </w:r>
      <w:proofErr w:type="gramEnd"/>
      <w:r>
        <w:t xml:space="preserve"> Congrès et les organismes compétents du Conseil de l'Europe</w:t>
      </w:r>
    </w:p>
    <w:p w:rsidR="006F4616" w:rsidRDefault="006F4616" w:rsidP="006F4616"/>
    <w:p w:rsidR="00C758F0" w:rsidRPr="006F4616" w:rsidRDefault="00C758F0" w:rsidP="006F4616"/>
    <w:p w:rsidR="000577C1" w:rsidRDefault="000577C1">
      <w:pPr>
        <w:jc w:val="left"/>
        <w:rPr>
          <w:b/>
          <w:bCs/>
          <w:iCs/>
          <w:sz w:val="24"/>
          <w:szCs w:val="28"/>
        </w:rPr>
      </w:pPr>
      <w:r>
        <w:br w:type="page"/>
      </w:r>
    </w:p>
    <w:p w:rsidR="00C758F0" w:rsidRDefault="00C758F0" w:rsidP="00C758F0">
      <w:pPr>
        <w:pStyle w:val="Heading2"/>
      </w:pPr>
      <w:bookmarkStart w:id="9" w:name="_Toc508978292"/>
      <w:r w:rsidRPr="00C758F0">
        <w:lastRenderedPageBreak/>
        <w:t>La démocratie locale et régionale en Lettonie</w:t>
      </w:r>
      <w:bookmarkEnd w:id="9"/>
      <w:r w:rsidRPr="00C758F0">
        <w:t xml:space="preserve"> </w:t>
      </w:r>
    </w:p>
    <w:p w:rsidR="00C758F0" w:rsidRDefault="00C758F0" w:rsidP="00C758F0"/>
    <w:p w:rsidR="00C758F0" w:rsidRDefault="00C758F0" w:rsidP="00C758F0">
      <w:pPr>
        <w:tabs>
          <w:tab w:val="left" w:pos="1701"/>
        </w:tabs>
      </w:pPr>
      <w:proofErr w:type="spellStart"/>
      <w:r>
        <w:t>Corapporteurs</w:t>
      </w:r>
      <w:proofErr w:type="spellEnd"/>
      <w:r>
        <w:t xml:space="preserve"> : </w:t>
      </w:r>
    </w:p>
    <w:p w:rsidR="00C758F0" w:rsidRDefault="00C758F0" w:rsidP="00C758F0">
      <w:pPr>
        <w:tabs>
          <w:tab w:val="left" w:pos="1701"/>
        </w:tabs>
      </w:pPr>
      <w:r w:rsidRPr="006D3BD3">
        <w:t xml:space="preserve">Xavier CADORET, France (L, SOC) </w:t>
      </w:r>
      <w:r>
        <w:t xml:space="preserve">et </w:t>
      </w:r>
      <w:r w:rsidRPr="006D3BD3">
        <w:t xml:space="preserve">Marc COOLS, Belgique (L, GILD) </w:t>
      </w:r>
    </w:p>
    <w:p w:rsidR="000577C1" w:rsidRDefault="000577C1" w:rsidP="00C758F0">
      <w:pPr>
        <w:tabs>
          <w:tab w:val="left" w:pos="1701"/>
        </w:tabs>
      </w:pPr>
    </w:p>
    <w:p w:rsidR="000577C1" w:rsidRDefault="000577C1" w:rsidP="000577C1">
      <w:r w:rsidRPr="006F4616">
        <w:t>Commission de suivi</w:t>
      </w:r>
    </w:p>
    <w:p w:rsidR="000577C1" w:rsidRPr="0067402F" w:rsidRDefault="000577C1" w:rsidP="000577C1">
      <w:pPr>
        <w:jc w:val="right"/>
        <w:rPr>
          <w:b/>
        </w:rPr>
      </w:pPr>
      <w:r>
        <w:rPr>
          <w:b/>
        </w:rPr>
        <w:t>CG34(2018)11</w:t>
      </w:r>
      <w:r w:rsidR="00F2082C">
        <w:rPr>
          <w:b/>
        </w:rPr>
        <w:t>prov</w:t>
      </w:r>
    </w:p>
    <w:p w:rsidR="000577C1" w:rsidRDefault="000577C1" w:rsidP="000577C1">
      <w:pPr>
        <w:tabs>
          <w:tab w:val="left" w:pos="1701"/>
        </w:tabs>
        <w:jc w:val="right"/>
      </w:pPr>
      <w:r>
        <w:t>Recommandation</w:t>
      </w:r>
    </w:p>
    <w:p w:rsidR="000577C1" w:rsidRDefault="000577C1" w:rsidP="000577C1">
      <w:pPr>
        <w:tabs>
          <w:tab w:val="left" w:pos="1701"/>
        </w:tabs>
        <w:jc w:val="right"/>
      </w:pPr>
    </w:p>
    <w:p w:rsidR="000577C1" w:rsidRPr="005E3392" w:rsidRDefault="000577C1" w:rsidP="000577C1">
      <w:pPr>
        <w:ind w:right="43"/>
      </w:pPr>
      <w:r w:rsidRPr="005E3392">
        <w:t xml:space="preserve">Le présent rapport fait suite à la troisième visite de suivi en Lettonie depuis la ratification de la Charte européenne de l’autonomie locale en 1996. </w:t>
      </w:r>
    </w:p>
    <w:p w:rsidR="000577C1" w:rsidRPr="005E3392" w:rsidRDefault="000577C1" w:rsidP="000577C1">
      <w:pPr>
        <w:ind w:right="43"/>
      </w:pPr>
    </w:p>
    <w:p w:rsidR="000577C1" w:rsidRPr="005E3392" w:rsidRDefault="000577C1" w:rsidP="000577C1">
      <w:pPr>
        <w:rPr>
          <w:snapToGrid w:val="0"/>
          <w:color w:val="000000"/>
          <w:lang w:eastAsia="en-GB"/>
        </w:rPr>
      </w:pPr>
      <w:r w:rsidRPr="005E3392">
        <w:t xml:space="preserve">Il met en évidence </w:t>
      </w:r>
      <w:r w:rsidRPr="005E3392">
        <w:rPr>
          <w:snapToGrid w:val="0"/>
          <w:lang w:eastAsia="en-GB"/>
        </w:rPr>
        <w:t xml:space="preserve">la situation globalement positive de </w:t>
      </w:r>
      <w:r>
        <w:rPr>
          <w:snapToGrid w:val="0"/>
          <w:lang w:eastAsia="en-GB"/>
        </w:rPr>
        <w:t>l’autonomie locale en Lettonie.</w:t>
      </w:r>
      <w:r w:rsidRPr="005E3392">
        <w:rPr>
          <w:snapToGrid w:val="0"/>
          <w:lang w:eastAsia="en-GB"/>
        </w:rPr>
        <w:t xml:space="preserve"> </w:t>
      </w:r>
      <w:r w:rsidRPr="005E3392">
        <w:t xml:space="preserve">Le rapport souligne en particulier </w:t>
      </w:r>
      <w:r w:rsidRPr="005E3392">
        <w:rPr>
          <w:snapToGrid w:val="0"/>
          <w:color w:val="000000"/>
          <w:lang w:eastAsia="en-GB"/>
        </w:rPr>
        <w:t>une grande autonomie des collectivités locales, un domai</w:t>
      </w:r>
      <w:r>
        <w:rPr>
          <w:snapToGrid w:val="0"/>
          <w:color w:val="000000"/>
          <w:lang w:eastAsia="en-GB"/>
        </w:rPr>
        <w:t>ne large de compétences locales</w:t>
      </w:r>
      <w:r w:rsidRPr="005E3392">
        <w:rPr>
          <w:snapToGrid w:val="0"/>
          <w:color w:val="000000"/>
          <w:lang w:eastAsia="en-GB"/>
        </w:rPr>
        <w:t xml:space="preserve"> et </w:t>
      </w:r>
      <w:r w:rsidRPr="005E3392">
        <w:rPr>
          <w:snapToGrid w:val="0"/>
          <w:lang w:eastAsia="en-GB"/>
        </w:rPr>
        <w:t xml:space="preserve">une bonne </w:t>
      </w:r>
      <w:r w:rsidRPr="005E3392">
        <w:rPr>
          <w:snapToGrid w:val="0"/>
          <w:color w:val="000000"/>
          <w:lang w:eastAsia="en-GB"/>
        </w:rPr>
        <w:t>pratique de dialogue entre le pouvoir centra</w:t>
      </w:r>
      <w:r>
        <w:rPr>
          <w:snapToGrid w:val="0"/>
          <w:color w:val="000000"/>
          <w:lang w:eastAsia="en-GB"/>
        </w:rPr>
        <w:t>l et les collectivités locales.</w:t>
      </w:r>
      <w:r w:rsidRPr="005E3392">
        <w:rPr>
          <w:snapToGrid w:val="0"/>
          <w:color w:val="000000"/>
          <w:lang w:eastAsia="en-GB"/>
        </w:rPr>
        <w:t xml:space="preserve"> </w:t>
      </w:r>
      <w:r w:rsidRPr="005E3392">
        <w:t xml:space="preserve">Il salue en particulier </w:t>
      </w:r>
      <w:r w:rsidRPr="005E3392">
        <w:rPr>
          <w:snapToGrid w:val="0"/>
          <w:color w:val="000000"/>
          <w:lang w:eastAsia="en-GB"/>
        </w:rPr>
        <w:t xml:space="preserve">le recours systématique </w:t>
      </w:r>
      <w:r w:rsidRPr="005E3392">
        <w:t xml:space="preserve">dans la jurisprudence </w:t>
      </w:r>
      <w:r w:rsidRPr="005E3392">
        <w:rPr>
          <w:snapToGrid w:val="0"/>
          <w:color w:val="000000"/>
          <w:lang w:eastAsia="en-GB"/>
        </w:rPr>
        <w:t>de la Cour constitutionnelle à la Charte, garant</w:t>
      </w:r>
      <w:r>
        <w:rPr>
          <w:snapToGrid w:val="0"/>
          <w:color w:val="000000"/>
          <w:lang w:eastAsia="en-GB"/>
        </w:rPr>
        <w:t xml:space="preserve">issant ainsi son applicabilité. </w:t>
      </w:r>
    </w:p>
    <w:p w:rsidR="000577C1" w:rsidRPr="005E3392" w:rsidRDefault="000577C1" w:rsidP="000577C1">
      <w:pPr>
        <w:rPr>
          <w:snapToGrid w:val="0"/>
          <w:color w:val="000000"/>
          <w:lang w:eastAsia="en-GB"/>
        </w:rPr>
      </w:pPr>
    </w:p>
    <w:p w:rsidR="000577C1" w:rsidRPr="005E3392" w:rsidRDefault="000577C1" w:rsidP="000577C1">
      <w:pPr>
        <w:rPr>
          <w:snapToGrid w:val="0"/>
          <w:color w:val="000000"/>
          <w:lang w:eastAsia="en-GB"/>
        </w:rPr>
      </w:pPr>
      <w:r w:rsidRPr="005E3392">
        <w:t>Les rapporteurs attirent toutefois l’attention des autorités nationales sur l’</w:t>
      </w:r>
      <w:r w:rsidRPr="005E3392">
        <w:rPr>
          <w:snapToGrid w:val="0"/>
          <w:color w:val="000000"/>
          <w:lang w:eastAsia="en-GB"/>
        </w:rPr>
        <w:t xml:space="preserve">instabilité des finances locales et l’insuffisance du système de péréquation. </w:t>
      </w:r>
      <w:r w:rsidRPr="005E3392">
        <w:t>Il est aussi pris note d’</w:t>
      </w:r>
      <w:r w:rsidRPr="005E3392">
        <w:rPr>
          <w:snapToGrid w:val="0"/>
          <w:color w:val="000000"/>
          <w:lang w:eastAsia="en-GB"/>
        </w:rPr>
        <w:t>une pratique de « sur</w:t>
      </w:r>
      <w:r>
        <w:rPr>
          <w:snapToGrid w:val="0"/>
          <w:color w:val="000000"/>
          <w:lang w:eastAsia="en-GB"/>
        </w:rPr>
        <w:noBreakHyphen/>
      </w:r>
      <w:r w:rsidRPr="005E3392">
        <w:rPr>
          <w:snapToGrid w:val="0"/>
          <w:color w:val="000000"/>
          <w:lang w:eastAsia="en-GB"/>
        </w:rPr>
        <w:t xml:space="preserve">réglementation » dans le domaine </w:t>
      </w:r>
      <w:r w:rsidRPr="005E3392">
        <w:t>des fonctions « autonomes » des collectivités locales</w:t>
      </w:r>
      <w:r w:rsidRPr="005E3392">
        <w:rPr>
          <w:snapToGrid w:val="0"/>
          <w:color w:val="000000"/>
          <w:lang w:eastAsia="en-GB"/>
        </w:rPr>
        <w:t xml:space="preserve"> qui réduit de fait leur autonomie. </w:t>
      </w:r>
    </w:p>
    <w:p w:rsidR="000577C1" w:rsidRPr="005E3392" w:rsidRDefault="000577C1" w:rsidP="000577C1">
      <w:pPr>
        <w:rPr>
          <w:snapToGrid w:val="0"/>
          <w:color w:val="000000"/>
          <w:lang w:eastAsia="en-GB"/>
        </w:rPr>
      </w:pPr>
    </w:p>
    <w:p w:rsidR="000577C1" w:rsidRPr="005E3392" w:rsidRDefault="000577C1" w:rsidP="000577C1">
      <w:pPr>
        <w:rPr>
          <w:snapToGrid w:val="0"/>
          <w:color w:val="000000"/>
          <w:lang w:eastAsia="en-GB"/>
        </w:rPr>
      </w:pPr>
      <w:r w:rsidRPr="005E3392">
        <w:rPr>
          <w:snapToGrid w:val="0"/>
          <w:color w:val="000000"/>
          <w:lang w:eastAsia="en-GB"/>
        </w:rPr>
        <w:t xml:space="preserve">Ainsi, </w:t>
      </w:r>
      <w:r w:rsidRPr="005E3392">
        <w:t xml:space="preserve">le Congrès recommande à la Lettonie une série de mesures visant à </w:t>
      </w:r>
      <w:r w:rsidRPr="005E3392">
        <w:rPr>
          <w:snapToGrid w:val="0"/>
          <w:color w:val="000000"/>
          <w:lang w:eastAsia="en-GB"/>
        </w:rPr>
        <w:t xml:space="preserve">stabiliser les finances locales et à renforcer l’autonomie fiscale des collectivités locales. Il est également recommandé </w:t>
      </w:r>
      <w:r w:rsidRPr="005E3392">
        <w:rPr>
          <w:snapToGrid w:val="0"/>
          <w:lang w:eastAsia="en-GB"/>
        </w:rPr>
        <w:t>aux autorités nationales d’</w:t>
      </w:r>
      <w:r w:rsidRPr="005E3392">
        <w:rPr>
          <w:snapToGrid w:val="0"/>
          <w:color w:val="000000"/>
          <w:lang w:eastAsia="en-GB"/>
        </w:rPr>
        <w:t>accroître la contribution de l’État au fonds de péréquation et de clarifier le système des compétences locales.</w:t>
      </w:r>
      <w:r w:rsidRPr="005E3392">
        <w:t xml:space="preserve"> </w:t>
      </w:r>
      <w:r w:rsidRPr="005E3392">
        <w:rPr>
          <w:snapToGrid w:val="0"/>
          <w:color w:val="000000"/>
          <w:lang w:eastAsia="en-GB"/>
        </w:rPr>
        <w:t>M</w:t>
      </w:r>
      <w:r w:rsidRPr="005E3392">
        <w:rPr>
          <w:snapToGrid w:val="0"/>
          <w:lang w:eastAsia="en-GB"/>
        </w:rPr>
        <w:t xml:space="preserve">ême si le système de consultation est jugé dans l’ensemble satisfaisant, </w:t>
      </w:r>
      <w:r w:rsidRPr="005E3392">
        <w:rPr>
          <w:snapToGrid w:val="0"/>
          <w:color w:val="000000"/>
          <w:lang w:eastAsia="en-GB"/>
        </w:rPr>
        <w:t xml:space="preserve">les délais des mécanismes de consultation des collectivités locales </w:t>
      </w:r>
      <w:r w:rsidRPr="005E3392">
        <w:t xml:space="preserve">pourraient être </w:t>
      </w:r>
      <w:r w:rsidRPr="005E3392">
        <w:rPr>
          <w:snapToGrid w:val="0"/>
          <w:color w:val="000000"/>
          <w:lang w:eastAsia="en-GB"/>
        </w:rPr>
        <w:t>allongés afi</w:t>
      </w:r>
      <w:r>
        <w:rPr>
          <w:snapToGrid w:val="0"/>
          <w:color w:val="000000"/>
          <w:lang w:eastAsia="en-GB"/>
        </w:rPr>
        <w:t xml:space="preserve">n d’en améliorer l’efficacité. </w:t>
      </w:r>
    </w:p>
    <w:p w:rsidR="000577C1" w:rsidRPr="008A6B32" w:rsidRDefault="000577C1" w:rsidP="000577C1"/>
    <w:p w:rsidR="000577C1" w:rsidRPr="005E3392" w:rsidRDefault="000577C1" w:rsidP="000577C1">
      <w:pPr>
        <w:rPr>
          <w:snapToGrid w:val="0"/>
          <w:color w:val="000000"/>
          <w:lang w:eastAsia="en-GB"/>
        </w:rPr>
      </w:pPr>
      <w:r w:rsidRPr="005E3392">
        <w:t xml:space="preserve">Le rapport réitère l’importance </w:t>
      </w:r>
      <w:r w:rsidRPr="005E3392">
        <w:rPr>
          <w:snapToGrid w:val="0"/>
          <w:lang w:eastAsia="en-GB"/>
        </w:rPr>
        <w:t>d’</w:t>
      </w:r>
      <w:r w:rsidRPr="005E3392">
        <w:rPr>
          <w:snapToGrid w:val="0"/>
          <w:color w:val="000000"/>
          <w:lang w:eastAsia="en-GB"/>
        </w:rPr>
        <w:t>octroyer le droit de vote aux élections locales aux non-citoyens pour améliorer l’exercice des droits politiques de</w:t>
      </w:r>
      <w:r>
        <w:rPr>
          <w:snapToGrid w:val="0"/>
          <w:color w:val="000000"/>
          <w:lang w:eastAsia="en-GB"/>
        </w:rPr>
        <w:t xml:space="preserve"> cette partie de la population. </w:t>
      </w:r>
    </w:p>
    <w:p w:rsidR="000577C1" w:rsidRPr="005E3392" w:rsidRDefault="000577C1" w:rsidP="000577C1">
      <w:pPr>
        <w:rPr>
          <w:snapToGrid w:val="0"/>
          <w:lang w:eastAsia="en-GB"/>
        </w:rPr>
      </w:pPr>
    </w:p>
    <w:p w:rsidR="000577C1" w:rsidRPr="006D3BD3" w:rsidRDefault="000577C1" w:rsidP="000577C1">
      <w:pPr>
        <w:rPr>
          <w:bCs/>
          <w:sz w:val="18"/>
          <w:szCs w:val="18"/>
        </w:rPr>
      </w:pPr>
      <w:r w:rsidRPr="005E3392">
        <w:t xml:space="preserve">Enfin, les rapporteurs encouragent la Lettonie à envisager la signature et la ratification du Protocole additionnel à la Charte européenne de l’autonomie locale sur le droit de participer aux affaires des collectivités locales. </w:t>
      </w:r>
    </w:p>
    <w:p w:rsidR="000577C1" w:rsidRDefault="000577C1" w:rsidP="00C758F0">
      <w:pPr>
        <w:tabs>
          <w:tab w:val="left" w:pos="1701"/>
        </w:tabs>
      </w:pPr>
    </w:p>
    <w:p w:rsidR="000577C1" w:rsidRPr="006D3BD3" w:rsidRDefault="000577C1" w:rsidP="00C758F0">
      <w:pPr>
        <w:tabs>
          <w:tab w:val="left" w:pos="1701"/>
        </w:tabs>
      </w:pPr>
    </w:p>
    <w:p w:rsidR="000577C1" w:rsidRDefault="000577C1" w:rsidP="000577C1">
      <w:pPr>
        <w:pStyle w:val="Heading2"/>
      </w:pPr>
      <w:bookmarkStart w:id="10" w:name="_Toc508978293"/>
      <w:r w:rsidRPr="000577C1">
        <w:t>Enfants réfugiés non accompagnés : rôle et responsabilités des collectivités locales</w:t>
      </w:r>
      <w:bookmarkEnd w:id="10"/>
    </w:p>
    <w:p w:rsidR="000577C1" w:rsidRDefault="000577C1" w:rsidP="000577C1"/>
    <w:p w:rsidR="00221F3D" w:rsidRDefault="00F2082C" w:rsidP="00F2082C">
      <w:r w:rsidRPr="00D31835">
        <w:t>Rapporteur</w:t>
      </w:r>
      <w:r>
        <w:t xml:space="preserve"> : </w:t>
      </w:r>
    </w:p>
    <w:p w:rsidR="00F2082C" w:rsidRPr="00D31835" w:rsidRDefault="00F2082C" w:rsidP="00F2082C">
      <w:pPr>
        <w:rPr>
          <w:rFonts w:eastAsia="Arial"/>
        </w:rPr>
      </w:pPr>
      <w:proofErr w:type="spellStart"/>
      <w:r>
        <w:t>Nawe</w:t>
      </w:r>
      <w:r w:rsidRPr="00D31835">
        <w:t>l</w:t>
      </w:r>
      <w:proofErr w:type="spellEnd"/>
      <w:r>
        <w:t xml:space="preserve"> RAFIK-ELMRINI, France (L, SOC)</w:t>
      </w:r>
    </w:p>
    <w:p w:rsidR="00F2082C" w:rsidRDefault="00F2082C" w:rsidP="00F2082C">
      <w:pPr>
        <w:rPr>
          <w:bCs/>
        </w:rPr>
      </w:pPr>
    </w:p>
    <w:p w:rsidR="00F2082C" w:rsidRPr="00195DAB" w:rsidRDefault="00F2082C" w:rsidP="00F2082C">
      <w:pPr>
        <w:rPr>
          <w:rFonts w:eastAsia="Arial"/>
          <w:bCs/>
        </w:rPr>
      </w:pPr>
      <w:r>
        <w:rPr>
          <w:bCs/>
        </w:rPr>
        <w:t>Commission des questions d’actualité</w:t>
      </w:r>
    </w:p>
    <w:p w:rsidR="00F2082C" w:rsidRDefault="00F2082C" w:rsidP="00F2082C">
      <w:pPr>
        <w:jc w:val="right"/>
        <w:rPr>
          <w:b/>
        </w:rPr>
      </w:pPr>
      <w:r w:rsidRPr="00F2082C">
        <w:rPr>
          <w:b/>
        </w:rPr>
        <w:t>CG34(2018)13prov</w:t>
      </w:r>
    </w:p>
    <w:p w:rsidR="00F2082C" w:rsidRDefault="00F2082C" w:rsidP="00F2082C">
      <w:pPr>
        <w:jc w:val="right"/>
      </w:pPr>
      <w:r>
        <w:t>Résolution</w:t>
      </w:r>
    </w:p>
    <w:p w:rsidR="00F2082C" w:rsidRDefault="00F2082C" w:rsidP="00F2082C">
      <w:pPr>
        <w:jc w:val="right"/>
      </w:pPr>
      <w:r>
        <w:t>Recommandation</w:t>
      </w:r>
    </w:p>
    <w:p w:rsidR="00F2082C" w:rsidRDefault="00F2082C" w:rsidP="00F2082C">
      <w:pPr>
        <w:jc w:val="right"/>
        <w:rPr>
          <w:rFonts w:eastAsia="Arial"/>
          <w:sz w:val="22"/>
          <w:szCs w:val="22"/>
          <w:shd w:val="clear" w:color="auto" w:fill="FFFF00"/>
        </w:rPr>
      </w:pPr>
    </w:p>
    <w:p w:rsidR="00F2082C" w:rsidRDefault="00F2082C" w:rsidP="00F2082C">
      <w:r w:rsidRPr="00171D71">
        <w:t>Suite à l'évaluation de la Stratégie du Conseil de l'Europe pour les droits de l'enfant 2016-2020 selon laquelle les enfants migrants constituent l'un des groupes les plus vulnérables d'Europe, le rapport examine comment les gouvernements locaux et régionaux, autorités publiques se trouvant en première ligne de l'accueil des réfugiés, peuvent protéger les droits des enfants réfugiés en mettant en place des services, en appliquant des normes de qualité et en encourageant des attitudes positives des populations envers les réfugiés. Il souligne que les autorités locales et régionales jouent</w:t>
      </w:r>
      <w:r>
        <w:t xml:space="preserve"> </w:t>
      </w:r>
      <w:r w:rsidRPr="00171D71">
        <w:t>un rôle clé pour garantir l'accès à des droits et à des procédures adaptées aux enfants et améliorer</w:t>
      </w:r>
      <w:r>
        <w:t xml:space="preserve"> leur intégration.</w:t>
      </w:r>
      <w:r w:rsidRPr="00171D71">
        <w:t xml:space="preserve"> </w:t>
      </w:r>
    </w:p>
    <w:p w:rsidR="00F2082C" w:rsidRDefault="00F2082C" w:rsidP="00F2082C"/>
    <w:p w:rsidR="007E2423" w:rsidRDefault="007E2423">
      <w:pPr>
        <w:jc w:val="left"/>
      </w:pPr>
      <w:r>
        <w:br w:type="page"/>
      </w:r>
    </w:p>
    <w:p w:rsidR="00F2082C" w:rsidRPr="00171D71" w:rsidRDefault="00F2082C" w:rsidP="00F2082C">
      <w:r w:rsidRPr="00171D71">
        <w:lastRenderedPageBreak/>
        <w:t>Le Congrès invite tous les niveaux de gouvernance à adopter une approche fondée sur les droits de l'enfant (non-discrimination, intérêt supérieur de l'enfant, droit à la vie, à la survie et au développement et droit d'être entendu) envers chaque enfant pendant la durée de son séjour dans un pays. Il appelle les États membres à mettre fin à la détention des enfants et à développer des solutions de substitution adaptées pour la prise en charge des enfants non accompagnés et séparés. Il invite les gouvernements à accélérer l'examen des demandes d'asile des enfants et des familles vulnérables, en les considérant comme un groupe prioritaire dans l’ensemble des stratégies nationales de santé, d'éducation et de protection.</w:t>
      </w:r>
    </w:p>
    <w:p w:rsidR="00F2082C" w:rsidRPr="00F2082C" w:rsidRDefault="00F2082C" w:rsidP="00F2082C">
      <w:pPr>
        <w:jc w:val="right"/>
        <w:rPr>
          <w:rFonts w:eastAsia="Arial"/>
          <w:sz w:val="22"/>
          <w:szCs w:val="22"/>
          <w:shd w:val="clear" w:color="auto" w:fill="FFFF00"/>
        </w:rPr>
      </w:pPr>
    </w:p>
    <w:p w:rsidR="00C758F0" w:rsidRPr="00C758F0" w:rsidRDefault="00C758F0" w:rsidP="00C758F0"/>
    <w:p w:rsidR="007E2423" w:rsidRPr="007E2423" w:rsidRDefault="007E2423" w:rsidP="007E2423">
      <w:pPr>
        <w:pStyle w:val="Heading2"/>
      </w:pPr>
      <w:bookmarkStart w:id="11" w:name="_Toc508978294"/>
      <w:r w:rsidRPr="007E2423">
        <w:t>La démocratie locale en Andorre</w:t>
      </w:r>
      <w:bookmarkEnd w:id="11"/>
      <w:r w:rsidRPr="007E2423">
        <w:t xml:space="preserve"> </w:t>
      </w:r>
    </w:p>
    <w:p w:rsidR="007E2423" w:rsidRDefault="007E2423" w:rsidP="007E2423">
      <w:pPr>
        <w:rPr>
          <w:bCs/>
        </w:rPr>
      </w:pPr>
    </w:p>
    <w:p w:rsidR="00221F3D" w:rsidRDefault="007E2423" w:rsidP="007E2423">
      <w:pPr>
        <w:tabs>
          <w:tab w:val="left" w:pos="1134"/>
          <w:tab w:val="left" w:pos="1276"/>
          <w:tab w:val="left" w:pos="1701"/>
        </w:tabs>
      </w:pPr>
      <w:proofErr w:type="spellStart"/>
      <w:r>
        <w:t>Cor</w:t>
      </w:r>
      <w:r w:rsidRPr="00BC35B2">
        <w:t>apporteurs</w:t>
      </w:r>
      <w:proofErr w:type="spellEnd"/>
      <w:r>
        <w:t xml:space="preserve"> : </w:t>
      </w:r>
    </w:p>
    <w:p w:rsidR="007E2423" w:rsidRPr="00F877D8" w:rsidRDefault="007E2423" w:rsidP="007E2423">
      <w:pPr>
        <w:tabs>
          <w:tab w:val="left" w:pos="1134"/>
          <w:tab w:val="left" w:pos="1276"/>
          <w:tab w:val="left" w:pos="1701"/>
        </w:tabs>
      </w:pPr>
      <w:r w:rsidRPr="00F877D8">
        <w:t>Gaye DOGANOGLU, Turquie (L, PPE/CCE)</w:t>
      </w:r>
      <w:r w:rsidR="00C70613">
        <w:t>, et</w:t>
      </w:r>
      <w:r>
        <w:t xml:space="preserve"> </w:t>
      </w:r>
      <w:r w:rsidRPr="00F877D8">
        <w:t>Zdenek BROZ, République tchèque (L</w:t>
      </w:r>
      <w:r>
        <w:t>,</w:t>
      </w:r>
      <w:r w:rsidRPr="00F877D8">
        <w:t xml:space="preserve"> CRE) </w:t>
      </w:r>
    </w:p>
    <w:p w:rsidR="007E2423" w:rsidRDefault="007E2423" w:rsidP="007E2423">
      <w:pPr>
        <w:rPr>
          <w:bCs/>
        </w:rPr>
      </w:pPr>
    </w:p>
    <w:p w:rsidR="007E2423" w:rsidRDefault="007E2423" w:rsidP="007E2423">
      <w:pPr>
        <w:rPr>
          <w:bCs/>
        </w:rPr>
      </w:pPr>
      <w:r>
        <w:rPr>
          <w:bCs/>
        </w:rPr>
        <w:t>Commission de suivi</w:t>
      </w:r>
    </w:p>
    <w:p w:rsidR="007E2423" w:rsidRDefault="007E2423" w:rsidP="007E2423">
      <w:pPr>
        <w:jc w:val="right"/>
        <w:rPr>
          <w:b/>
        </w:rPr>
      </w:pPr>
      <w:r w:rsidRPr="00F2082C">
        <w:rPr>
          <w:b/>
        </w:rPr>
        <w:t>CG34(201</w:t>
      </w:r>
      <w:r>
        <w:rPr>
          <w:b/>
        </w:rPr>
        <w:t>8)14</w:t>
      </w:r>
      <w:r w:rsidRPr="00F2082C">
        <w:rPr>
          <w:b/>
        </w:rPr>
        <w:t>prov</w:t>
      </w:r>
    </w:p>
    <w:p w:rsidR="007E2423" w:rsidRDefault="007E2423" w:rsidP="007E2423">
      <w:pPr>
        <w:jc w:val="right"/>
      </w:pPr>
      <w:r>
        <w:t>Recommandation</w:t>
      </w:r>
    </w:p>
    <w:p w:rsidR="007E2423" w:rsidRDefault="007E2423" w:rsidP="007E2423">
      <w:pPr>
        <w:jc w:val="right"/>
      </w:pPr>
    </w:p>
    <w:p w:rsidR="007E2423" w:rsidRPr="00EE37DD" w:rsidRDefault="007E2423" w:rsidP="007E2423">
      <w:pPr>
        <w:ind w:right="43"/>
      </w:pPr>
      <w:r w:rsidRPr="00EE37DD">
        <w:t xml:space="preserve">Le présent rapport a été établi à la suite de la première visite de suivi en Andorre depuis la ratification de la Charte européenne de l’autonomie locale par ce pays en 2011. Il conclut à l’existence d’un niveau globalement satisfaisant de démocratie locale en Andorre et à la conformité générale du pays avec les engagements pris au titre de la Charte. </w:t>
      </w:r>
    </w:p>
    <w:p w:rsidR="007E2423" w:rsidRPr="00EE37DD" w:rsidRDefault="007E2423" w:rsidP="007E2423">
      <w:pPr>
        <w:ind w:right="43"/>
      </w:pPr>
    </w:p>
    <w:p w:rsidR="007E2423" w:rsidRPr="00EE37DD" w:rsidRDefault="007E2423" w:rsidP="007E2423">
      <w:r w:rsidRPr="00EE37DD">
        <w:t xml:space="preserve">Le Congrès note avec satisfaction la culture de consultation et le dialogue étroit entre les autorités centrales et locales du pays, facilité par leur proximité, des traditions anciennes et la représentation des communes dans la composition du Parlement. </w:t>
      </w:r>
    </w:p>
    <w:p w:rsidR="007E2423" w:rsidRPr="00EE37DD" w:rsidRDefault="007E2423" w:rsidP="007E2423"/>
    <w:p w:rsidR="007E2423" w:rsidRPr="00EE37DD" w:rsidRDefault="007E2423" w:rsidP="007E2423">
      <w:pPr>
        <w:pStyle w:val="Default"/>
        <w:tabs>
          <w:tab w:val="left" w:pos="284"/>
        </w:tabs>
        <w:jc w:val="both"/>
        <w:rPr>
          <w:rFonts w:eastAsiaTheme="minorHAnsi"/>
          <w:color w:val="auto"/>
          <w:sz w:val="20"/>
          <w:szCs w:val="20"/>
          <w:lang w:val="fr-FR"/>
        </w:rPr>
      </w:pPr>
      <w:r w:rsidRPr="00EE37DD">
        <w:rPr>
          <w:rFonts w:eastAsiaTheme="minorHAnsi"/>
          <w:color w:val="auto"/>
          <w:sz w:val="20"/>
          <w:szCs w:val="20"/>
          <w:lang w:val="fr-FR"/>
        </w:rPr>
        <w:t>Néanmoins, le Congrès regrette que la ville d’Andorre-la-Vieille ne soit pas dotée d’un statut spécial prenant en compte sa situation particulière de capitale par rapport aux autres communes, conformément à la Recommandation 219 (2007) du Congrès sur le statut des villes capitales. Le Congrès suggère par ailleurs d’inscrire formellement dans la loi le mécanisme de consultation des autorités locales</w:t>
      </w:r>
      <w:r w:rsidRPr="00EE37DD">
        <w:rPr>
          <w:sz w:val="20"/>
          <w:szCs w:val="20"/>
          <w:lang w:val="fr-FR"/>
        </w:rPr>
        <w:t>.</w:t>
      </w:r>
    </w:p>
    <w:p w:rsidR="007E2423" w:rsidRPr="00EE37DD" w:rsidRDefault="007E2423" w:rsidP="007E2423">
      <w:pPr>
        <w:tabs>
          <w:tab w:val="left" w:pos="284"/>
        </w:tabs>
        <w:contextualSpacing/>
        <w:rPr>
          <w:rFonts w:eastAsiaTheme="minorHAnsi"/>
        </w:rPr>
      </w:pPr>
    </w:p>
    <w:p w:rsidR="007E2423" w:rsidRPr="00EE37DD" w:rsidRDefault="007E2423" w:rsidP="007E2423">
      <w:pPr>
        <w:tabs>
          <w:tab w:val="left" w:pos="284"/>
        </w:tabs>
        <w:contextualSpacing/>
      </w:pPr>
      <w:r w:rsidRPr="00EE37DD">
        <w:t>Au moment de la visite de suivi du Congrès en Andorre, le gouvernement, le parlement et les autorités locales négociaient une réforme importante des compétences et des ressources financières des collectivités locales. Par conséquent, le Congrès encourage les autorités andorranes à poursuivre les efforts de réforme sur la base des principes pertinents de la Charte.</w:t>
      </w:r>
    </w:p>
    <w:p w:rsidR="007E2423" w:rsidRPr="00EE37DD" w:rsidRDefault="007E2423" w:rsidP="007E2423">
      <w:pPr>
        <w:tabs>
          <w:tab w:val="left" w:pos="284"/>
        </w:tabs>
        <w:contextualSpacing/>
      </w:pPr>
    </w:p>
    <w:p w:rsidR="007E2423" w:rsidRDefault="007E2423" w:rsidP="007E2423">
      <w:pPr>
        <w:rPr>
          <w:bCs/>
        </w:rPr>
      </w:pPr>
      <w:r w:rsidRPr="00EE37DD">
        <w:t>Enfin, il recommande aux autorités andorranes d’envisager la possibilité de signer et ratifier le Protocole additionnel à la Charte sur le droit de participer aux affaires des collectivités locales.</w:t>
      </w:r>
    </w:p>
    <w:p w:rsidR="007E2423" w:rsidRDefault="007E2423">
      <w:pPr>
        <w:jc w:val="left"/>
      </w:pPr>
    </w:p>
    <w:p w:rsidR="007E2423" w:rsidRDefault="007E2423">
      <w:pPr>
        <w:jc w:val="left"/>
      </w:pPr>
    </w:p>
    <w:p w:rsidR="00C70613" w:rsidRDefault="00C70613">
      <w:pPr>
        <w:jc w:val="left"/>
        <w:rPr>
          <w:b/>
          <w:bCs/>
          <w:iCs/>
          <w:sz w:val="24"/>
          <w:szCs w:val="28"/>
        </w:rPr>
      </w:pPr>
      <w:r>
        <w:br w:type="page"/>
      </w:r>
    </w:p>
    <w:p w:rsidR="007E2423" w:rsidRPr="00C70613" w:rsidRDefault="007E2423" w:rsidP="00C70613">
      <w:pPr>
        <w:pStyle w:val="Heading2"/>
      </w:pPr>
      <w:bookmarkStart w:id="12" w:name="_Toc508978295"/>
      <w:r w:rsidRPr="00C70613">
        <w:lastRenderedPageBreak/>
        <w:t>La démocratie locale au Liechtenstein</w:t>
      </w:r>
      <w:bookmarkEnd w:id="12"/>
      <w:r w:rsidRPr="00C70613">
        <w:t xml:space="preserve"> </w:t>
      </w:r>
    </w:p>
    <w:p w:rsidR="007E2423" w:rsidRDefault="007E2423" w:rsidP="007E2423">
      <w:pPr>
        <w:rPr>
          <w:bCs/>
        </w:rPr>
      </w:pPr>
    </w:p>
    <w:p w:rsidR="00221F3D" w:rsidRDefault="00C70613" w:rsidP="00C70613">
      <w:pPr>
        <w:tabs>
          <w:tab w:val="left" w:pos="1701"/>
        </w:tabs>
      </w:pPr>
      <w:proofErr w:type="spellStart"/>
      <w:r>
        <w:t>Cor</w:t>
      </w:r>
      <w:r w:rsidRPr="00BC35B2">
        <w:t>apporteurs</w:t>
      </w:r>
      <w:proofErr w:type="spellEnd"/>
      <w:r>
        <w:t xml:space="preserve"> : </w:t>
      </w:r>
    </w:p>
    <w:p w:rsidR="00C70613" w:rsidRPr="008725E9" w:rsidRDefault="00C70613" w:rsidP="00F46EC4">
      <w:pPr>
        <w:tabs>
          <w:tab w:val="left" w:pos="1701"/>
        </w:tabs>
        <w:jc w:val="left"/>
      </w:pPr>
      <w:r w:rsidRPr="008725E9">
        <w:t>Artur TORRES PEREIRA, Portugal (L, PPE/CCE)</w:t>
      </w:r>
      <w:r w:rsidR="00F46EC4">
        <w:t>, et</w:t>
      </w:r>
      <w:r w:rsidRPr="008725E9">
        <w:t xml:space="preserve"> </w:t>
      </w:r>
      <w:r w:rsidR="00F46EC4" w:rsidRPr="008725E9">
        <w:t xml:space="preserve">Marie KAUFMANN, </w:t>
      </w:r>
      <w:bookmarkStart w:id="13" w:name="_GoBack"/>
      <w:r w:rsidR="00F46EC4">
        <w:br/>
      </w:r>
      <w:bookmarkEnd w:id="13"/>
      <w:r w:rsidR="00F46EC4" w:rsidRPr="008725E9">
        <w:t>République tchèque (</w:t>
      </w:r>
      <w:r w:rsidR="00F46EC4">
        <w:t>R</w:t>
      </w:r>
      <w:r w:rsidR="00F46EC4" w:rsidRPr="008725E9">
        <w:t>,</w:t>
      </w:r>
      <w:r w:rsidR="00F46EC4">
        <w:t xml:space="preserve"> </w:t>
      </w:r>
      <w:r w:rsidR="00F46EC4" w:rsidRPr="008725E9">
        <w:t>GILD)</w:t>
      </w:r>
    </w:p>
    <w:p w:rsidR="007E2423" w:rsidRPr="000D6B48" w:rsidRDefault="007E2423" w:rsidP="007E2423">
      <w:pPr>
        <w:rPr>
          <w:bCs/>
        </w:rPr>
      </w:pPr>
    </w:p>
    <w:p w:rsidR="00C70613" w:rsidRDefault="007E2423" w:rsidP="007E2423">
      <w:pPr>
        <w:rPr>
          <w:bCs/>
        </w:rPr>
      </w:pPr>
      <w:r>
        <w:rPr>
          <w:bCs/>
        </w:rPr>
        <w:t xml:space="preserve">Commission de suivi </w:t>
      </w:r>
    </w:p>
    <w:p w:rsidR="00C70613" w:rsidRDefault="00C70613" w:rsidP="00C70613">
      <w:pPr>
        <w:jc w:val="right"/>
        <w:rPr>
          <w:b/>
        </w:rPr>
      </w:pPr>
      <w:r w:rsidRPr="00F2082C">
        <w:rPr>
          <w:b/>
        </w:rPr>
        <w:t>CG34(201</w:t>
      </w:r>
      <w:r>
        <w:rPr>
          <w:b/>
        </w:rPr>
        <w:t>8)15</w:t>
      </w:r>
      <w:r w:rsidRPr="00F2082C">
        <w:rPr>
          <w:b/>
        </w:rPr>
        <w:t>prov</w:t>
      </w:r>
    </w:p>
    <w:p w:rsidR="00C70613" w:rsidRDefault="00C70613" w:rsidP="00C70613">
      <w:pPr>
        <w:jc w:val="right"/>
      </w:pPr>
      <w:r>
        <w:t>Recommandation</w:t>
      </w:r>
    </w:p>
    <w:p w:rsidR="00C70613" w:rsidRDefault="00C70613" w:rsidP="00C70613">
      <w:pPr>
        <w:jc w:val="right"/>
        <w:rPr>
          <w:bCs/>
        </w:rPr>
      </w:pPr>
    </w:p>
    <w:p w:rsidR="00C70613" w:rsidRPr="005974F3" w:rsidRDefault="00C70613" w:rsidP="00C70613">
      <w:pPr>
        <w:rPr>
          <w:lang w:eastAsia="fr-FR"/>
        </w:rPr>
      </w:pPr>
      <w:r w:rsidRPr="005974F3">
        <w:t>Le présent document est le deuxième rapport sur la démocratie locale au Liechtenstein depuis la ratification de la Charte européenne de l’autonomie locale par ce pays en 1988. Les rapporteurs concluent que le Liechtenstein respecte dûment les principes et exigences de la Charte européenne de l’autonomie locale et dispose d’un bon niveau de démocratie locale</w:t>
      </w:r>
      <w:r w:rsidRPr="005974F3">
        <w:rPr>
          <w:lang w:eastAsia="fr-FR"/>
        </w:rPr>
        <w:t xml:space="preserve">. </w:t>
      </w:r>
    </w:p>
    <w:p w:rsidR="00C70613" w:rsidRPr="003E152E" w:rsidRDefault="00C70613" w:rsidP="00C70613">
      <w:pPr>
        <w:rPr>
          <w:sz w:val="18"/>
          <w:szCs w:val="18"/>
          <w:lang w:eastAsia="fr-FR"/>
        </w:rPr>
      </w:pPr>
    </w:p>
    <w:p w:rsidR="00C70613" w:rsidRPr="005974F3" w:rsidRDefault="00C70613" w:rsidP="00C70613">
      <w:pPr>
        <w:rPr>
          <w:lang w:eastAsia="fr-FR"/>
        </w:rPr>
      </w:pPr>
      <w:r w:rsidRPr="005974F3">
        <w:rPr>
          <w:lang w:eastAsia="fr-FR"/>
        </w:rPr>
        <w:t xml:space="preserve">Le rapport souligne que la bonne situation financière des collectivités locales, due au haut pourcentage des recettes fiscales locales et à l’équilibre des budgets locaux, pourrait servir d’exemple de bonne pratique pour d’autres pays. Les communes du Liechtenstein disposent d’un large éventail de droits de participation politique aux affaires nationales. Les formes et la pratique de la participation directe des citoyens aux affaires locales sont bien développées au Liechtenstein. </w:t>
      </w:r>
    </w:p>
    <w:p w:rsidR="00C70613" w:rsidRPr="003E152E" w:rsidRDefault="00C70613" w:rsidP="00C70613">
      <w:pPr>
        <w:autoSpaceDE w:val="0"/>
        <w:autoSpaceDN w:val="0"/>
        <w:adjustRightInd w:val="0"/>
        <w:rPr>
          <w:sz w:val="18"/>
          <w:szCs w:val="18"/>
          <w:lang w:eastAsia="fr-FR"/>
        </w:rPr>
      </w:pPr>
    </w:p>
    <w:p w:rsidR="00C70613" w:rsidRPr="005974F3" w:rsidRDefault="00C70613" w:rsidP="00C70613">
      <w:pPr>
        <w:autoSpaceDE w:val="0"/>
        <w:autoSpaceDN w:val="0"/>
        <w:adjustRightInd w:val="0"/>
        <w:rPr>
          <w:lang w:eastAsia="fr-FR"/>
        </w:rPr>
      </w:pPr>
      <w:r w:rsidRPr="005974F3">
        <w:rPr>
          <w:lang w:eastAsia="fr-FR"/>
        </w:rPr>
        <w:t>Le Congrès se félicite qu’il existe de fait une coopération étroite et efficace entre les autorités centrales et locales, mais il recommande de formaliser dans la loi le mécanisme de consultation des collectivités locales. Il est également recommandé aux autorités du Liechtenstein d’envisager de ratifier les dispositions de la Charte qui ne le sont pas encore bien qu’appliquées de fait dans le pays</w:t>
      </w:r>
      <w:r w:rsidRPr="005974F3">
        <w:t>.</w:t>
      </w:r>
      <w:r>
        <w:t xml:space="preserve"> </w:t>
      </w:r>
    </w:p>
    <w:p w:rsidR="00C70613" w:rsidRPr="00C70613" w:rsidRDefault="00C70613" w:rsidP="00C70613">
      <w:pPr>
        <w:pStyle w:val="ListParagraph"/>
        <w:autoSpaceDE w:val="0"/>
        <w:autoSpaceDN w:val="0"/>
        <w:adjustRightInd w:val="0"/>
        <w:ind w:left="0"/>
        <w:rPr>
          <w:sz w:val="18"/>
          <w:szCs w:val="18"/>
          <w:lang w:val="fr-FR" w:eastAsia="fr-FR"/>
        </w:rPr>
      </w:pPr>
    </w:p>
    <w:p w:rsidR="00C70613" w:rsidRPr="005974F3" w:rsidRDefault="00C70613" w:rsidP="00C70613">
      <w:pPr>
        <w:autoSpaceDE w:val="0"/>
        <w:autoSpaceDN w:val="0"/>
        <w:adjustRightInd w:val="0"/>
        <w:rPr>
          <w:lang w:eastAsia="fr-FR"/>
        </w:rPr>
      </w:pPr>
      <w:r w:rsidRPr="005974F3">
        <w:rPr>
          <w:lang w:eastAsia="fr-FR"/>
        </w:rPr>
        <w:t>Le Congrès exprime cependant sa préoccupation concernant le système actuel d’approbation des budgets municipaux par le Gouvernement en tant que condition juridique de leur validité. Il attire aussi l’attention des autorités sur les compétences partagées entre les autorités centrales et locales dans certains domaines et recommande de réviser la répartition des responsabilités afin d’éviter tout chevauchement</w:t>
      </w:r>
      <w:r w:rsidRPr="005974F3">
        <w:t xml:space="preserve">. </w:t>
      </w:r>
    </w:p>
    <w:p w:rsidR="00C70613" w:rsidRPr="003E152E" w:rsidRDefault="00C70613" w:rsidP="00C70613">
      <w:pPr>
        <w:autoSpaceDE w:val="0"/>
        <w:autoSpaceDN w:val="0"/>
        <w:adjustRightInd w:val="0"/>
        <w:rPr>
          <w:sz w:val="18"/>
          <w:szCs w:val="18"/>
        </w:rPr>
      </w:pPr>
    </w:p>
    <w:p w:rsidR="007E2423" w:rsidRDefault="00C70613" w:rsidP="00C70613">
      <w:pPr>
        <w:rPr>
          <w:lang w:eastAsia="fr-FR"/>
        </w:rPr>
      </w:pPr>
      <w:r w:rsidRPr="005974F3">
        <w:t>Enfin, le Liechtenstein est invité à envisager la signature et la ratification du Protocole additionnel à la Charte européenne de l’autonomie locale sur le droit de participer aux affaires des collectivités locales</w:t>
      </w:r>
      <w:r w:rsidRPr="005974F3">
        <w:rPr>
          <w:lang w:eastAsia="fr-FR"/>
        </w:rPr>
        <w:t>.</w:t>
      </w:r>
    </w:p>
    <w:p w:rsidR="00C70613" w:rsidRDefault="00C70613" w:rsidP="00C70613">
      <w:pPr>
        <w:rPr>
          <w:lang w:eastAsia="fr-FR"/>
        </w:rPr>
      </w:pPr>
    </w:p>
    <w:p w:rsidR="00C70613" w:rsidRPr="00C70613" w:rsidRDefault="00C70613" w:rsidP="00C70613">
      <w:pPr>
        <w:pStyle w:val="Heading2"/>
      </w:pPr>
      <w:bookmarkStart w:id="14" w:name="_Toc508978296"/>
      <w:r w:rsidRPr="00C70613">
        <w:t>La démocratie locale à Monaco</w:t>
      </w:r>
      <w:bookmarkEnd w:id="14"/>
      <w:r w:rsidRPr="00C70613">
        <w:t xml:space="preserve"> </w:t>
      </w:r>
    </w:p>
    <w:p w:rsidR="00C70613" w:rsidRPr="00F64DE5" w:rsidRDefault="00C70613" w:rsidP="00C70613">
      <w:pPr>
        <w:rPr>
          <w:bCs/>
          <w:highlight w:val="yellow"/>
        </w:rPr>
      </w:pPr>
    </w:p>
    <w:p w:rsidR="00C70613" w:rsidRPr="004827AD" w:rsidRDefault="0044552A" w:rsidP="00CE697A">
      <w:pPr>
        <w:tabs>
          <w:tab w:val="left" w:pos="1701"/>
        </w:tabs>
        <w:jc w:val="left"/>
      </w:pPr>
      <w:proofErr w:type="spellStart"/>
      <w:r>
        <w:t>Cor</w:t>
      </w:r>
      <w:r w:rsidR="00C70613" w:rsidRPr="004827AD">
        <w:t>apporteurs</w:t>
      </w:r>
      <w:proofErr w:type="spellEnd"/>
      <w:r w:rsidR="00C70613" w:rsidRPr="004827AD">
        <w:t xml:space="preserve"> :</w:t>
      </w:r>
      <w:r w:rsidR="006C3747">
        <w:t xml:space="preserve"> </w:t>
      </w:r>
      <w:r>
        <w:br/>
      </w:r>
      <w:proofErr w:type="spellStart"/>
      <w:r w:rsidR="00C70613" w:rsidRPr="004827AD">
        <w:t>Michalis</w:t>
      </w:r>
      <w:proofErr w:type="spellEnd"/>
      <w:r w:rsidR="00C70613" w:rsidRPr="004827AD">
        <w:t xml:space="preserve"> ANGELOPOULOS, Grèce (L, PPE/CCE)</w:t>
      </w:r>
      <w:r w:rsidR="00CE697A">
        <w:t>,</w:t>
      </w:r>
      <w:r w:rsidR="00C70613" w:rsidRPr="004827AD">
        <w:t xml:space="preserve"> </w:t>
      </w:r>
      <w:r w:rsidR="00C70613">
        <w:t xml:space="preserve">et </w:t>
      </w:r>
      <w:r w:rsidR="00C70613" w:rsidRPr="004827AD">
        <w:t xml:space="preserve">Marianne HOLLINGER, </w:t>
      </w:r>
      <w:r w:rsidR="00CE697A">
        <w:br/>
      </w:r>
      <w:r w:rsidR="00C70613" w:rsidRPr="004827AD">
        <w:t xml:space="preserve">Suisse (L, GILD) </w:t>
      </w:r>
    </w:p>
    <w:p w:rsidR="00C70613" w:rsidRDefault="00C70613" w:rsidP="00C70613">
      <w:pPr>
        <w:rPr>
          <w:bCs/>
        </w:rPr>
      </w:pPr>
    </w:p>
    <w:p w:rsidR="00C70613" w:rsidRPr="00A13013" w:rsidRDefault="00C70613" w:rsidP="00C70613">
      <w:r w:rsidRPr="00A13013">
        <w:t>Commission de suivi</w:t>
      </w:r>
    </w:p>
    <w:p w:rsidR="00C70613" w:rsidRPr="00CE697A" w:rsidRDefault="00C70613" w:rsidP="00C70613">
      <w:pPr>
        <w:jc w:val="right"/>
        <w:rPr>
          <w:b/>
        </w:rPr>
      </w:pPr>
      <w:r w:rsidRPr="00CE697A">
        <w:rPr>
          <w:b/>
        </w:rPr>
        <w:t>CG34(2018)16prov</w:t>
      </w:r>
    </w:p>
    <w:p w:rsidR="00C70613" w:rsidRDefault="00C70613" w:rsidP="00C70613">
      <w:pPr>
        <w:jc w:val="right"/>
        <w:rPr>
          <w:bCs/>
        </w:rPr>
      </w:pPr>
      <w:r>
        <w:rPr>
          <w:bCs/>
        </w:rPr>
        <w:t>Recommandation</w:t>
      </w:r>
    </w:p>
    <w:p w:rsidR="00C70613" w:rsidRDefault="00C70613" w:rsidP="00C70613">
      <w:pPr>
        <w:rPr>
          <w:color w:val="000000"/>
        </w:rPr>
      </w:pPr>
    </w:p>
    <w:p w:rsidR="00C70613" w:rsidRPr="0079707C" w:rsidRDefault="00C70613" w:rsidP="00C70613">
      <w:pPr>
        <w:rPr>
          <w:color w:val="000000"/>
        </w:rPr>
      </w:pPr>
      <w:r w:rsidRPr="0079707C">
        <w:rPr>
          <w:color w:val="000000"/>
        </w:rPr>
        <w:t>Le présent document est le premier rapport sur la démocratie locale à Monaco depuis la ratification de la Charte européenne de l’autonomie locale par ce pays en 2013.</w:t>
      </w:r>
    </w:p>
    <w:p w:rsidR="00C70613" w:rsidRPr="0079707C" w:rsidRDefault="00C70613" w:rsidP="00C70613">
      <w:pPr>
        <w:rPr>
          <w:color w:val="000000"/>
        </w:rPr>
      </w:pPr>
    </w:p>
    <w:p w:rsidR="00C70613" w:rsidRPr="0079707C" w:rsidRDefault="00C70613" w:rsidP="00C70613">
      <w:pPr>
        <w:rPr>
          <w:color w:val="000000"/>
        </w:rPr>
      </w:pPr>
      <w:r w:rsidRPr="0079707C">
        <w:rPr>
          <w:color w:val="000000"/>
        </w:rPr>
        <w:t xml:space="preserve">Le rapport montre qu’il existe dans le pays un niveau satisfaisant d’autonomie locale. Le Congrès salue les bonnes relations entre le pouvoir central et la commune de Monaco, les mécanismes juridiques en place pour la consultation de la commune dans divers domaines et les structures administratives et ressources financières adéquates de la commune. De même, le Congrès </w:t>
      </w:r>
      <w:r>
        <w:rPr>
          <w:color w:val="000000"/>
        </w:rPr>
        <w:t>note avec satisfaction la teneur des</w:t>
      </w:r>
      <w:r w:rsidRPr="0079707C">
        <w:rPr>
          <w:color w:val="000000"/>
        </w:rPr>
        <w:t xml:space="preserve"> contrôles administratifs, qui portent exclusivement sur la conformité avec la loi.</w:t>
      </w:r>
    </w:p>
    <w:p w:rsidR="00C70613" w:rsidRPr="0079707C" w:rsidRDefault="00C70613" w:rsidP="00C70613">
      <w:pPr>
        <w:rPr>
          <w:color w:val="000000"/>
        </w:rPr>
      </w:pPr>
    </w:p>
    <w:p w:rsidR="00C70613" w:rsidRPr="0079707C" w:rsidRDefault="00C70613" w:rsidP="00C70613">
      <w:pPr>
        <w:rPr>
          <w:color w:val="000000"/>
        </w:rPr>
      </w:pPr>
      <w:r w:rsidRPr="0079707C">
        <w:rPr>
          <w:color w:val="000000"/>
        </w:rPr>
        <w:t>Le rapport mentionne cependant certains problèmes concernant la responsabilité politique du maire et de ses adjoints, le manque de consultation appropriée de la commune au sujet des dotations forfaitaires annuelles qui lui sont allouées et l’absence de droit de recours juridictionnel pour contester une loi jugée non conforme au Titre </w:t>
      </w:r>
      <w:r w:rsidRPr="0079707C">
        <w:t>IX de la Constitution ou à la Charte</w:t>
      </w:r>
      <w:r w:rsidRPr="0079707C">
        <w:rPr>
          <w:color w:val="000000"/>
        </w:rPr>
        <w:t xml:space="preserve">. </w:t>
      </w:r>
    </w:p>
    <w:p w:rsidR="00C70613" w:rsidRPr="0079707C" w:rsidRDefault="00C70613" w:rsidP="00C70613">
      <w:pPr>
        <w:rPr>
          <w:color w:val="000000"/>
        </w:rPr>
      </w:pPr>
    </w:p>
    <w:p w:rsidR="00CE697A" w:rsidRDefault="00CE697A">
      <w:pPr>
        <w:jc w:val="left"/>
        <w:rPr>
          <w:color w:val="000000"/>
        </w:rPr>
      </w:pPr>
      <w:r>
        <w:rPr>
          <w:color w:val="000000"/>
        </w:rPr>
        <w:br w:type="page"/>
      </w:r>
    </w:p>
    <w:p w:rsidR="00C70613" w:rsidRPr="0079707C" w:rsidRDefault="00C70613" w:rsidP="00C70613">
      <w:r w:rsidRPr="0079707C">
        <w:rPr>
          <w:color w:val="000000"/>
        </w:rPr>
        <w:lastRenderedPageBreak/>
        <w:t>Il est par conséquent recommandé que les autorités nationales créent des mécanismes pour garantir la responsabilité politique de l’exécutif municipal devant le conseil municipal, qu’elles mettent en place un mécanisme de consultation de la commune sur la dotation forfaitaire annuelle et qu’elles reconnaissent le droit de la commune de contester la constitutionnalité des lois au motif d’une violation du Titre </w:t>
      </w:r>
      <w:r w:rsidRPr="0079707C">
        <w:t>IX de la Constitution ou d’une incompatibilité avec la Charte. Le rapport appelle les autorités monégasques à envisager de ratifier les articles 8.3, 9.2 et 10.2 de la Charte, qui sont respectés dans les faits.</w:t>
      </w:r>
    </w:p>
    <w:p w:rsidR="00C70613" w:rsidRPr="0079707C" w:rsidRDefault="00C70613" w:rsidP="00C70613"/>
    <w:p w:rsidR="00C70613" w:rsidRPr="0079707C" w:rsidRDefault="00C70613" w:rsidP="00C70613">
      <w:r w:rsidRPr="0079707C">
        <w:t>Enfin, la Principauté de Monaco est invitée à envisager la signature et la ratification du Protocole additionnel à la Charte européenne de l’autonomie locale sur le droit de participer aux affaires des collectivités locales.</w:t>
      </w:r>
    </w:p>
    <w:p w:rsidR="00C70613" w:rsidRDefault="00C70613" w:rsidP="00C70613">
      <w:pPr>
        <w:jc w:val="right"/>
        <w:rPr>
          <w:bCs/>
        </w:rPr>
      </w:pPr>
    </w:p>
    <w:p w:rsidR="006C3747" w:rsidRPr="006C3747" w:rsidRDefault="006C3747" w:rsidP="006C3747">
      <w:pPr>
        <w:pStyle w:val="Heading2"/>
      </w:pPr>
      <w:bookmarkStart w:id="15" w:name="_Toc508978297"/>
      <w:r w:rsidRPr="000C12E5">
        <w:t xml:space="preserve">La démocratie locale </w:t>
      </w:r>
      <w:r w:rsidRPr="00587AC6">
        <w:t>en République de</w:t>
      </w:r>
      <w:r w:rsidRPr="006C3747">
        <w:t xml:space="preserve"> </w:t>
      </w:r>
      <w:r w:rsidRPr="000C12E5">
        <w:t>Saint-Marin</w:t>
      </w:r>
      <w:bookmarkEnd w:id="15"/>
      <w:r w:rsidRPr="000C12E5">
        <w:t xml:space="preserve"> </w:t>
      </w:r>
    </w:p>
    <w:p w:rsidR="006C3747" w:rsidRPr="000C12E5" w:rsidRDefault="006C3747" w:rsidP="006C3747"/>
    <w:p w:rsidR="006C3747" w:rsidRPr="000C12E5" w:rsidRDefault="006C3747" w:rsidP="00CE697A">
      <w:pPr>
        <w:tabs>
          <w:tab w:val="left" w:pos="1701"/>
        </w:tabs>
        <w:jc w:val="left"/>
      </w:pPr>
      <w:proofErr w:type="spellStart"/>
      <w:r>
        <w:t>Cor</w:t>
      </w:r>
      <w:r w:rsidRPr="000C12E5">
        <w:t>apporteurs</w:t>
      </w:r>
      <w:proofErr w:type="spellEnd"/>
      <w:r>
        <w:t xml:space="preserve"> : </w:t>
      </w:r>
      <w:r w:rsidR="00E475F5" w:rsidRPr="000C12E5">
        <w:t xml:space="preserve">Gunnar Axel AXELSSON </w:t>
      </w:r>
      <w:r w:rsidR="00E475F5">
        <w:t>Islande,</w:t>
      </w:r>
      <w:r w:rsidR="00A54EA8">
        <w:t xml:space="preserve"> (L</w:t>
      </w:r>
      <w:r w:rsidR="00E475F5" w:rsidRPr="000C12E5">
        <w:t xml:space="preserve">, SOC) </w:t>
      </w:r>
      <w:r w:rsidR="00E475F5">
        <w:t xml:space="preserve">and </w:t>
      </w:r>
      <w:r w:rsidRPr="000C12E5">
        <w:t>Harald BERGMANN</w:t>
      </w:r>
      <w:r>
        <w:t xml:space="preserve">, </w:t>
      </w:r>
      <w:r w:rsidR="00E475F5">
        <w:br/>
      </w:r>
      <w:r>
        <w:t>Pays-Bas</w:t>
      </w:r>
      <w:r w:rsidR="00E475F5">
        <w:t xml:space="preserve"> (L, GILD)</w:t>
      </w:r>
    </w:p>
    <w:p w:rsidR="006C3747" w:rsidRDefault="006C3747" w:rsidP="006C3747"/>
    <w:p w:rsidR="006C3747" w:rsidRPr="00A13013" w:rsidRDefault="006C3747" w:rsidP="006C3747">
      <w:r w:rsidRPr="00A13013">
        <w:t>Commission de suivi</w:t>
      </w:r>
    </w:p>
    <w:p w:rsidR="00CE697A" w:rsidRPr="00395B31" w:rsidRDefault="00CE697A" w:rsidP="00CE697A">
      <w:pPr>
        <w:jc w:val="right"/>
        <w:rPr>
          <w:b/>
        </w:rPr>
      </w:pPr>
      <w:r w:rsidRPr="00395B31">
        <w:rPr>
          <w:b/>
        </w:rPr>
        <w:t>CG34(2018)17prov</w:t>
      </w:r>
    </w:p>
    <w:p w:rsidR="006C3747" w:rsidRPr="000C12E5" w:rsidRDefault="00CE697A" w:rsidP="00CE697A">
      <w:pPr>
        <w:jc w:val="right"/>
      </w:pPr>
      <w:r>
        <w:rPr>
          <w:bCs/>
        </w:rPr>
        <w:t>Recommandation</w:t>
      </w:r>
    </w:p>
    <w:p w:rsidR="006C3747" w:rsidRPr="00380A11" w:rsidRDefault="006C3747" w:rsidP="006C3747"/>
    <w:p w:rsidR="006C3747" w:rsidRPr="00BD6665" w:rsidRDefault="006C3747" w:rsidP="006C3747">
      <w:pPr>
        <w:rPr>
          <w:rFonts w:eastAsiaTheme="minorHAnsi"/>
        </w:rPr>
      </w:pPr>
      <w:r w:rsidRPr="00BD6665">
        <w:rPr>
          <w:rFonts w:eastAsiaTheme="minorHAnsi"/>
        </w:rPr>
        <w:t xml:space="preserve">Le présent rapport fait suite à la première visite de suivi en République de Saint-Marin depuis la ratification de la Charte par ce pays en 2013. </w:t>
      </w:r>
      <w:r>
        <w:rPr>
          <w:rFonts w:eastAsiaTheme="minorHAnsi"/>
        </w:rPr>
        <w:t xml:space="preserve">Avant cette date, la situation de la démocratie locale en </w:t>
      </w:r>
      <w:r w:rsidRPr="00BD6665">
        <w:rPr>
          <w:rFonts w:eastAsiaTheme="minorHAnsi"/>
        </w:rPr>
        <w:t xml:space="preserve">République de Saint-Marin </w:t>
      </w:r>
      <w:r>
        <w:rPr>
          <w:rFonts w:eastAsiaTheme="minorHAnsi"/>
        </w:rPr>
        <w:t>avait déjà fait l’objet de la recommandation </w:t>
      </w:r>
      <w:r w:rsidRPr="00BD6665">
        <w:rPr>
          <w:rFonts w:eastAsiaTheme="minorHAnsi"/>
        </w:rPr>
        <w:t xml:space="preserve">63 (1999) </w:t>
      </w:r>
      <w:r>
        <w:rPr>
          <w:rFonts w:eastAsiaTheme="minorHAnsi"/>
        </w:rPr>
        <w:t>du Congrès adoptée en juin </w:t>
      </w:r>
      <w:r w:rsidRPr="00BD6665">
        <w:rPr>
          <w:rFonts w:eastAsiaTheme="minorHAnsi"/>
        </w:rPr>
        <w:t>1999.</w:t>
      </w:r>
    </w:p>
    <w:p w:rsidR="006C3747" w:rsidRPr="00BD6665" w:rsidRDefault="006C3747" w:rsidP="006C3747">
      <w:pPr>
        <w:rPr>
          <w:rFonts w:eastAsiaTheme="minorHAnsi"/>
        </w:rPr>
      </w:pPr>
    </w:p>
    <w:p w:rsidR="006C3747" w:rsidRPr="00D52340" w:rsidRDefault="006C3747" w:rsidP="006C3747">
      <w:pPr>
        <w:rPr>
          <w:rFonts w:eastAsiaTheme="minorHAnsi"/>
        </w:rPr>
      </w:pPr>
      <w:r>
        <w:rPr>
          <w:rFonts w:eastAsiaTheme="minorHAnsi"/>
        </w:rPr>
        <w:t>Les rapporteurs saluent l’octroi de la personnalité juridique aux conseils des châtellenies et leur droit de recours juridictionnel. De même, ils se félicitent de la création de la réunion conjointe des représentants de châtellenie</w:t>
      </w:r>
      <w:r w:rsidRPr="00D52340">
        <w:rPr>
          <w:rFonts w:eastAsiaTheme="minorHAnsi"/>
        </w:rPr>
        <w:t>.</w:t>
      </w:r>
    </w:p>
    <w:p w:rsidR="006C3747" w:rsidRPr="00D52340" w:rsidRDefault="006C3747" w:rsidP="006C3747">
      <w:pPr>
        <w:rPr>
          <w:rFonts w:asciiTheme="minorHAnsi" w:eastAsiaTheme="minorHAnsi" w:hAnsiTheme="minorHAnsi" w:cstheme="minorBidi"/>
        </w:rPr>
      </w:pPr>
    </w:p>
    <w:p w:rsidR="006C3747" w:rsidRPr="00D52340" w:rsidRDefault="006C3747" w:rsidP="006C3747">
      <w:pPr>
        <w:snapToGrid w:val="0"/>
        <w:rPr>
          <w:rFonts w:eastAsiaTheme="minorHAnsi"/>
        </w:rPr>
      </w:pPr>
      <w:r>
        <w:rPr>
          <w:rFonts w:eastAsiaTheme="minorHAnsi"/>
        </w:rPr>
        <w:t>Les rapporteurs mentionnent toutefois plusieurs problèmes auxquels le gouvernement de Saint-Marin doit apporter une solution, notamment la question des compétences et du pouvoir de décision limités des communes du fait que la quasi-totalité des responsabilités publiques sont concentrées au niveau central</w:t>
      </w:r>
      <w:r w:rsidRPr="00D52340">
        <w:rPr>
          <w:rFonts w:eastAsiaTheme="minorHAnsi"/>
          <w:lang w:eastAsia="de-DE"/>
        </w:rPr>
        <w:t xml:space="preserve">. </w:t>
      </w:r>
    </w:p>
    <w:p w:rsidR="006C3747" w:rsidRPr="00D52340" w:rsidRDefault="006C3747" w:rsidP="006C3747">
      <w:pPr>
        <w:snapToGrid w:val="0"/>
        <w:rPr>
          <w:rFonts w:eastAsiaTheme="minorHAnsi"/>
          <w:lang w:eastAsia="de-DE"/>
        </w:rPr>
      </w:pPr>
    </w:p>
    <w:p w:rsidR="006C3747" w:rsidRPr="0064005E" w:rsidRDefault="006C3747" w:rsidP="006C3747">
      <w:pPr>
        <w:snapToGrid w:val="0"/>
        <w:rPr>
          <w:rFonts w:eastAsiaTheme="minorHAnsi"/>
          <w:lang w:eastAsia="de-DE"/>
        </w:rPr>
      </w:pPr>
      <w:r w:rsidRPr="0064005E">
        <w:rPr>
          <w:rFonts w:eastAsiaTheme="minorHAnsi"/>
          <w:lang w:eastAsia="de-DE"/>
        </w:rPr>
        <w:t>Dans le même esprit, les rapporteurs soulignent que l</w:t>
      </w:r>
      <w:r>
        <w:rPr>
          <w:rFonts w:eastAsiaTheme="minorHAnsi"/>
          <w:lang w:eastAsia="de-DE"/>
        </w:rPr>
        <w:t>’</w:t>
      </w:r>
      <w:r w:rsidRPr="0064005E">
        <w:rPr>
          <w:rFonts w:eastAsiaTheme="minorHAnsi"/>
          <w:lang w:eastAsia="de-DE"/>
        </w:rPr>
        <w:t>autonomie limitée des collectivités locales, leurs ressources financières insuffisantes et le fait qu</w:t>
      </w:r>
      <w:r>
        <w:rPr>
          <w:rFonts w:eastAsiaTheme="minorHAnsi"/>
          <w:lang w:eastAsia="de-DE"/>
        </w:rPr>
        <w:t>’</w:t>
      </w:r>
      <w:r w:rsidRPr="0064005E">
        <w:rPr>
          <w:rFonts w:eastAsiaTheme="minorHAnsi"/>
          <w:lang w:eastAsia="de-DE"/>
        </w:rPr>
        <w:t>elles ne disposent pas de leur propre personnel les emp</w:t>
      </w:r>
      <w:r>
        <w:rPr>
          <w:rFonts w:eastAsiaTheme="minorHAnsi"/>
          <w:lang w:eastAsia="de-DE"/>
        </w:rPr>
        <w:t>êchent de s’acquitter convenablement de leurs tâches. Enfin, les mécanismes et procédures de consultation prévus par la loi ne sont pas appliqués dans les faits et il n’existe pas à Saint-Marin d’association de pouvoirs locaux reconnue</w:t>
      </w:r>
      <w:r w:rsidRPr="0064005E">
        <w:rPr>
          <w:rFonts w:eastAsiaTheme="minorHAnsi"/>
          <w:lang w:eastAsia="de-DE"/>
        </w:rPr>
        <w:t xml:space="preserve">. </w:t>
      </w:r>
    </w:p>
    <w:p w:rsidR="006C3747" w:rsidRPr="0064005E" w:rsidRDefault="006C3747" w:rsidP="006C3747">
      <w:pPr>
        <w:snapToGrid w:val="0"/>
        <w:rPr>
          <w:rFonts w:eastAsiaTheme="minorHAnsi"/>
          <w:lang w:eastAsia="de-DE"/>
        </w:rPr>
      </w:pPr>
    </w:p>
    <w:p w:rsidR="006C3747" w:rsidRPr="00A55856" w:rsidRDefault="006C3747" w:rsidP="006C3747">
      <w:pPr>
        <w:rPr>
          <w:rFonts w:eastAsiaTheme="minorHAnsi"/>
        </w:rPr>
      </w:pPr>
      <w:r>
        <w:rPr>
          <w:rFonts w:eastAsiaTheme="minorHAnsi"/>
        </w:rPr>
        <w:t>Par conséquent, le Congrès recommande aux autorités saint-</w:t>
      </w:r>
      <w:proofErr w:type="spellStart"/>
      <w:r>
        <w:rPr>
          <w:rFonts w:eastAsiaTheme="minorHAnsi"/>
        </w:rPr>
        <w:t>marinaises</w:t>
      </w:r>
      <w:proofErr w:type="spellEnd"/>
      <w:r>
        <w:rPr>
          <w:rFonts w:eastAsiaTheme="minorHAnsi"/>
        </w:rPr>
        <w:t xml:space="preserve"> une série de mesures destinées à mettre l’autonomie locale en conformité avec les principes et exigences de la Charte et il se félicite du lancement d’un processus de réforme en vue de réaliser cet objectif. Le Congrès préconise aussi que le principe de l’autonomie locale soit expressément reconnu au niveau constitutionnel</w:t>
      </w:r>
      <w:r w:rsidRPr="00A55856">
        <w:rPr>
          <w:rFonts w:eastAsiaTheme="minorHAnsi"/>
          <w:lang w:eastAsia="de-DE"/>
        </w:rPr>
        <w:t>.</w:t>
      </w:r>
    </w:p>
    <w:p w:rsidR="006C3747" w:rsidRPr="00A55856" w:rsidRDefault="006C3747" w:rsidP="006C3747">
      <w:pPr>
        <w:rPr>
          <w:rFonts w:eastAsiaTheme="minorHAnsi"/>
        </w:rPr>
      </w:pPr>
    </w:p>
    <w:p w:rsidR="00F2082C" w:rsidRDefault="006C3747" w:rsidP="006C3747">
      <w:pPr>
        <w:jc w:val="left"/>
      </w:pPr>
      <w:r w:rsidRPr="00A55856">
        <w:rPr>
          <w:rFonts w:eastAsiaTheme="minorHAnsi"/>
        </w:rPr>
        <w:t>Enfin, le gouvernement de Saint-Marin est appelé à envisager la signature et la ratification du Protocole additionnel à la Charte européenne de l</w:t>
      </w:r>
      <w:r>
        <w:rPr>
          <w:rFonts w:eastAsiaTheme="minorHAnsi"/>
        </w:rPr>
        <w:t>’</w:t>
      </w:r>
      <w:r w:rsidRPr="00A55856">
        <w:rPr>
          <w:rFonts w:eastAsiaTheme="minorHAnsi"/>
        </w:rPr>
        <w:t>autonomie locale sur le droit de participer aux aff</w:t>
      </w:r>
      <w:r>
        <w:rPr>
          <w:rFonts w:eastAsiaTheme="minorHAnsi"/>
        </w:rPr>
        <w:t>aires des collectivités locales</w:t>
      </w:r>
      <w:r w:rsidRPr="00A55856">
        <w:rPr>
          <w:rFonts w:eastAsiaTheme="minorHAnsi"/>
        </w:rPr>
        <w:t>.</w:t>
      </w:r>
      <w:r w:rsidR="00F2082C">
        <w:br w:type="page"/>
      </w:r>
    </w:p>
    <w:p w:rsidR="00BA6FCA" w:rsidRDefault="00BA6FCA" w:rsidP="00A878D1"/>
    <w:p w:rsidR="003700C6" w:rsidRPr="00596A2F" w:rsidRDefault="0085353F" w:rsidP="0085353F">
      <w:pPr>
        <w:pStyle w:val="Heading1"/>
        <w:ind w:left="426"/>
      </w:pPr>
      <w:bookmarkStart w:id="16" w:name="_Toc494722608"/>
      <w:bookmarkStart w:id="17" w:name="_Toc508978298"/>
      <w:r w:rsidRPr="00596A2F">
        <w:t>RAPPORTS PRESENTES A LA CHAMBRE DES POUVOIRS LOCAUX</w:t>
      </w:r>
      <w:bookmarkEnd w:id="16"/>
      <w:bookmarkEnd w:id="17"/>
      <w:r w:rsidRPr="00596A2F">
        <w:t xml:space="preserve"> </w:t>
      </w:r>
    </w:p>
    <w:p w:rsidR="003700C6" w:rsidRDefault="003700C6" w:rsidP="003700C6"/>
    <w:p w:rsidR="00BA6FCA" w:rsidRDefault="00BA6FCA" w:rsidP="003700C6"/>
    <w:p w:rsidR="00CE697A" w:rsidRPr="00CE697A" w:rsidRDefault="00CE697A" w:rsidP="00CE697A">
      <w:pPr>
        <w:pStyle w:val="Heading2"/>
      </w:pPr>
      <w:bookmarkStart w:id="18" w:name="_Toc508978299"/>
      <w:r w:rsidRPr="00CE697A">
        <w:t xml:space="preserve">Observation des élections municipales dans « l’ex-République yougoslave de Macédoine » </w:t>
      </w:r>
      <w:r w:rsidRPr="00995B9E">
        <w:t>(15 octobre 2017)</w:t>
      </w:r>
      <w:bookmarkEnd w:id="18"/>
    </w:p>
    <w:p w:rsidR="00CE697A" w:rsidRPr="0094612E" w:rsidRDefault="00CE697A" w:rsidP="00CE697A">
      <w:pPr>
        <w:rPr>
          <w:szCs w:val="22"/>
        </w:rPr>
      </w:pPr>
    </w:p>
    <w:p w:rsidR="00CE697A" w:rsidRPr="0094612E" w:rsidRDefault="00CE697A" w:rsidP="00CE697A">
      <w:pPr>
        <w:rPr>
          <w:sz w:val="18"/>
        </w:rPr>
      </w:pPr>
      <w:r w:rsidRPr="0094612E">
        <w:t>Rapporteur</w:t>
      </w:r>
      <w:r>
        <w:t> :</w:t>
      </w:r>
      <w:r w:rsidRPr="0094612E">
        <w:t xml:space="preserve"> Karim </w:t>
      </w:r>
      <w:r w:rsidR="00E475F5">
        <w:rPr>
          <w:szCs w:val="22"/>
        </w:rPr>
        <w:t>VAN OVERMEIRE, Belgique (R, NI</w:t>
      </w:r>
      <w:r w:rsidRPr="0094612E">
        <w:rPr>
          <w:szCs w:val="22"/>
        </w:rPr>
        <w:t>)</w:t>
      </w:r>
    </w:p>
    <w:p w:rsidR="00CE697A" w:rsidRDefault="00CE697A" w:rsidP="00CE697A">
      <w:pPr>
        <w:rPr>
          <w:szCs w:val="22"/>
        </w:rPr>
      </w:pPr>
    </w:p>
    <w:p w:rsidR="00CE697A" w:rsidRPr="001B4DEB" w:rsidRDefault="00CE697A" w:rsidP="00CE697A">
      <w:r w:rsidRPr="001B4DEB">
        <w:t>Commission de suivi</w:t>
      </w:r>
    </w:p>
    <w:p w:rsidR="00CE697A" w:rsidRPr="00395B31" w:rsidRDefault="00CE697A" w:rsidP="00CE697A">
      <w:pPr>
        <w:jc w:val="right"/>
        <w:rPr>
          <w:b/>
        </w:rPr>
      </w:pPr>
      <w:r w:rsidRPr="00395B31">
        <w:rPr>
          <w:b/>
        </w:rPr>
        <w:t>CPL34(2018)02prov</w:t>
      </w:r>
    </w:p>
    <w:p w:rsidR="00CE697A" w:rsidRPr="000C12E5" w:rsidRDefault="00CE697A" w:rsidP="00CE697A">
      <w:pPr>
        <w:jc w:val="right"/>
      </w:pPr>
      <w:r>
        <w:rPr>
          <w:bCs/>
        </w:rPr>
        <w:t>Recommandation</w:t>
      </w:r>
    </w:p>
    <w:p w:rsidR="00CE697A" w:rsidRPr="0094612E" w:rsidRDefault="00CE697A" w:rsidP="00CE697A">
      <w:pPr>
        <w:rPr>
          <w:szCs w:val="22"/>
        </w:rPr>
      </w:pPr>
    </w:p>
    <w:p w:rsidR="00CE697A" w:rsidRDefault="00CE697A" w:rsidP="00CE697A">
      <w:r>
        <w:t>A la s</w:t>
      </w:r>
      <w:r w:rsidRPr="008F646D">
        <w:t xml:space="preserve">uite </w:t>
      </w:r>
      <w:r>
        <w:t xml:space="preserve">de </w:t>
      </w:r>
      <w:r w:rsidRPr="008F646D">
        <w:t xml:space="preserve">l’invitation du </w:t>
      </w:r>
      <w:r>
        <w:t xml:space="preserve">ministre </w:t>
      </w:r>
      <w:r w:rsidRPr="008F646D">
        <w:t>des A</w:t>
      </w:r>
      <w:r>
        <w:t xml:space="preserve">ffaires étrangères de </w:t>
      </w:r>
      <w:r w:rsidRPr="002B0E62">
        <w:t>« l</w:t>
      </w:r>
      <w:r>
        <w:t>’ex</w:t>
      </w:r>
      <w:r>
        <w:noBreakHyphen/>
      </w:r>
      <w:r w:rsidRPr="002B0E62">
        <w:t>Rép</w:t>
      </w:r>
      <w:r>
        <w:t>ublique yougoslave de Macédoine </w:t>
      </w:r>
      <w:r w:rsidRPr="002B0E62">
        <w:t>»</w:t>
      </w:r>
      <w:r>
        <w:t xml:space="preserve">, le Congrès a déployé, du 11 au 16 octobre 2017, une mission pour observer les élections locales du 15 octobre 2017. La délégation, composée de 13 membres, a visité quelque 100 bureaux de vote dans tout le pays, en coopération avec la mission d’observation électorale de l’OSCE/BIDDH. </w:t>
      </w:r>
    </w:p>
    <w:p w:rsidR="00CE697A" w:rsidRDefault="00CE697A" w:rsidP="00CE697A"/>
    <w:p w:rsidR="00CE697A" w:rsidRDefault="00CE697A" w:rsidP="00CE697A">
      <w:r>
        <w:t xml:space="preserve">Le scrutin du 15 octobre 2017 s’est déroulé dans un contexte marqué par une crise profonde et la formation d’un nouveau gouvernement en mai 2017, constituant ainsi un test au niveau national pour la nouvelle administration. Bien que le climat de la campagne électorale se soit amélioré, </w:t>
      </w:r>
      <w:r w:rsidRPr="0094612E">
        <w:t>en particulier pour ce qui concerne la couver</w:t>
      </w:r>
      <w:r>
        <w:t xml:space="preserve">ture médiatique, </w:t>
      </w:r>
      <w:r w:rsidRPr="00CD5AA5">
        <w:t xml:space="preserve">une profonde </w:t>
      </w:r>
      <w:r>
        <w:t xml:space="preserve">division et </w:t>
      </w:r>
      <w:r w:rsidRPr="00CD5AA5">
        <w:t xml:space="preserve">politisation, fondée sur les appartenances ethniques et partisanes, </w:t>
      </w:r>
      <w:r>
        <w:t xml:space="preserve">continue </w:t>
      </w:r>
      <w:r w:rsidRPr="00CD5AA5">
        <w:t>de prévaloir dans le pays</w:t>
      </w:r>
      <w:r>
        <w:t xml:space="preserve">. </w:t>
      </w:r>
    </w:p>
    <w:p w:rsidR="00CE697A" w:rsidRDefault="00CE697A" w:rsidP="00CE697A"/>
    <w:p w:rsidR="00CE697A" w:rsidRDefault="00CE697A" w:rsidP="00CE697A">
      <w:r>
        <w:t xml:space="preserve">Le Congrès a conclu que les élections municipales de 2017 ont été, en général, bien organisées et conformes aux normes internationales. Dans une large majorité des lieux où les équipes du Congrès se sont rendues, le jour du scrutin s’est dans l’ensemble déroulé dans l’ordre et le calme mises à part quelques irrégularités de procédure. Selon le Congrès, des améliorations doivent être apportées sur l’administration électorale, y compris sur la transparence dans le processus de décision, la formation systématique des agents électoraux et sur une plus grande dépolitisation de la Commission électorale nationale (CEN). </w:t>
      </w:r>
    </w:p>
    <w:p w:rsidR="00CE697A" w:rsidRDefault="00CE697A" w:rsidP="00CE697A"/>
    <w:p w:rsidR="00CE697A" w:rsidRPr="004A1B06" w:rsidRDefault="00CE697A" w:rsidP="00CE697A">
      <w:r>
        <w:t>De plus, le Congrès recommande un renforcement de l’égalité des chances pour tous les candidats en prévenant l’utilisation abusive de ressources administratives pendant les campagnes électorales et la participation de fait des femmes à la vie politique locale, tant comme électrices que candidates. D’autres recommandations portent sur l’</w:t>
      </w:r>
      <w:r w:rsidRPr="004A1B06">
        <w:t xml:space="preserve">attention accrue </w:t>
      </w:r>
      <w:r>
        <w:t xml:space="preserve">à accorder </w:t>
      </w:r>
      <w:r w:rsidRPr="004A1B06">
        <w:t>à l</w:t>
      </w:r>
      <w:r>
        <w:t>’</w:t>
      </w:r>
      <w:r w:rsidRPr="004A1B06">
        <w:t>exactitude des listes d</w:t>
      </w:r>
      <w:r>
        <w:t>’</w:t>
      </w:r>
      <w:r w:rsidRPr="004A1B06">
        <w:t xml:space="preserve">électeurs </w:t>
      </w:r>
      <w:r>
        <w:t>et à la procédure de plaintes et de recours.</w:t>
      </w:r>
    </w:p>
    <w:p w:rsidR="00CE697A" w:rsidRDefault="00CE697A" w:rsidP="00CE697A"/>
    <w:p w:rsidR="00CE697A" w:rsidRPr="0094612E" w:rsidRDefault="00CE697A" w:rsidP="00CE697A">
      <w:r>
        <w:t xml:space="preserve">Le Congrès réaffirme </w:t>
      </w:r>
      <w:r w:rsidRPr="004A1B06">
        <w:t>la nécessité,</w:t>
      </w:r>
      <w:r>
        <w:t xml:space="preserve"> pour les communes, d’avoir accès à des ressources financières suffisantes, en particulier pour ce qui concerne leur capacité à organiser les élections locales.</w:t>
      </w:r>
    </w:p>
    <w:p w:rsidR="00EC6FB4" w:rsidRDefault="00EC6FB4" w:rsidP="00EC6FB4"/>
    <w:p w:rsidR="00221F3D" w:rsidRDefault="00221F3D">
      <w:pPr>
        <w:jc w:val="left"/>
        <w:rPr>
          <w:b/>
          <w:bCs/>
          <w:iCs/>
          <w:sz w:val="24"/>
          <w:szCs w:val="28"/>
        </w:rPr>
      </w:pPr>
      <w:bookmarkStart w:id="19" w:name="_Toc508978300"/>
      <w:r>
        <w:br w:type="page"/>
      </w:r>
    </w:p>
    <w:p w:rsidR="00CE697A" w:rsidRPr="00CE697A" w:rsidRDefault="00CE697A" w:rsidP="00CE697A">
      <w:pPr>
        <w:pStyle w:val="Heading2"/>
      </w:pPr>
      <w:r w:rsidRPr="00CE697A">
        <w:lastRenderedPageBreak/>
        <w:t>Rapport d’information sur les élections municipales en Géorgie</w:t>
      </w:r>
      <w:r>
        <w:t xml:space="preserve"> </w:t>
      </w:r>
      <w:r w:rsidRPr="00973801">
        <w:t>(21 octobre 2017)</w:t>
      </w:r>
      <w:bookmarkEnd w:id="19"/>
    </w:p>
    <w:p w:rsidR="00CE697A" w:rsidRDefault="00CE697A" w:rsidP="00CE697A">
      <w:pPr>
        <w:rPr>
          <w:szCs w:val="22"/>
        </w:rPr>
      </w:pPr>
    </w:p>
    <w:p w:rsidR="00CE697A" w:rsidRPr="00CE697A" w:rsidRDefault="00CE697A" w:rsidP="00A54EA8">
      <w:pPr>
        <w:tabs>
          <w:tab w:val="left" w:pos="1276"/>
        </w:tabs>
        <w:jc w:val="left"/>
        <w:rPr>
          <w:szCs w:val="22"/>
        </w:rPr>
      </w:pPr>
      <w:proofErr w:type="spellStart"/>
      <w:r>
        <w:t>Cor</w:t>
      </w:r>
      <w:r w:rsidRPr="00870FB8">
        <w:t>apporteurs</w:t>
      </w:r>
      <w:proofErr w:type="spellEnd"/>
      <w:r w:rsidRPr="00870FB8">
        <w:t> :</w:t>
      </w:r>
      <w:r>
        <w:t xml:space="preserve"> </w:t>
      </w:r>
      <w:r w:rsidRPr="00870FB8">
        <w:t>Stewart DICKSON</w:t>
      </w:r>
      <w:r w:rsidR="00E475F5">
        <w:rPr>
          <w:szCs w:val="22"/>
        </w:rPr>
        <w:t>, Royaume-Uni (R, GILD</w:t>
      </w:r>
      <w:r w:rsidRPr="00870FB8">
        <w:rPr>
          <w:szCs w:val="22"/>
        </w:rPr>
        <w:t>)</w:t>
      </w:r>
      <w:r>
        <w:rPr>
          <w:szCs w:val="22"/>
        </w:rPr>
        <w:t xml:space="preserve">, et </w:t>
      </w:r>
      <w:r w:rsidRPr="00870FB8">
        <w:rPr>
          <w:szCs w:val="22"/>
        </w:rPr>
        <w:t xml:space="preserve">Jos WIENEN, </w:t>
      </w:r>
      <w:r w:rsidR="00A54EA8">
        <w:rPr>
          <w:szCs w:val="22"/>
        </w:rPr>
        <w:br/>
      </w:r>
      <w:r w:rsidR="00E475F5">
        <w:rPr>
          <w:szCs w:val="22"/>
        </w:rPr>
        <w:t>Pays-Bas (L, PPE/CCE</w:t>
      </w:r>
      <w:r w:rsidRPr="00870FB8">
        <w:rPr>
          <w:szCs w:val="22"/>
        </w:rPr>
        <w:t>)</w:t>
      </w:r>
    </w:p>
    <w:p w:rsidR="00CE697A" w:rsidRPr="00870FB8" w:rsidRDefault="00CE697A" w:rsidP="00CE697A">
      <w:pPr>
        <w:rPr>
          <w:szCs w:val="22"/>
        </w:rPr>
      </w:pPr>
    </w:p>
    <w:p w:rsidR="00CE697A" w:rsidRDefault="00CE697A" w:rsidP="00CE697A">
      <w:r w:rsidRPr="001B4DEB">
        <w:t>Commission de suivi</w:t>
      </w:r>
    </w:p>
    <w:p w:rsidR="007C052F" w:rsidRPr="00335610" w:rsidRDefault="007C052F" w:rsidP="007C052F">
      <w:pPr>
        <w:jc w:val="right"/>
        <w:rPr>
          <w:b/>
        </w:rPr>
      </w:pPr>
      <w:r w:rsidRPr="00335610">
        <w:rPr>
          <w:b/>
        </w:rPr>
        <w:t>CPL34(2018)03</w:t>
      </w:r>
    </w:p>
    <w:p w:rsidR="007C052F" w:rsidRPr="001B4DEB" w:rsidRDefault="007C052F" w:rsidP="007C052F">
      <w:pPr>
        <w:jc w:val="right"/>
      </w:pPr>
      <w:r>
        <w:rPr>
          <w:bCs/>
        </w:rPr>
        <w:t>Document d’information</w:t>
      </w:r>
    </w:p>
    <w:p w:rsidR="00CE697A" w:rsidRPr="00870FB8" w:rsidRDefault="00CE697A" w:rsidP="00CE697A">
      <w:pPr>
        <w:pStyle w:val="NoSpacing"/>
        <w:jc w:val="both"/>
        <w:rPr>
          <w:rFonts w:ascii="Arial" w:hAnsi="Arial" w:cs="Arial"/>
          <w:sz w:val="20"/>
          <w:szCs w:val="20"/>
          <w:lang w:val="fr-FR"/>
        </w:rPr>
      </w:pPr>
    </w:p>
    <w:p w:rsidR="00CE697A" w:rsidRPr="00870FB8" w:rsidRDefault="00CE697A" w:rsidP="00CE697A">
      <w:pPr>
        <w:autoSpaceDE w:val="0"/>
        <w:autoSpaceDN w:val="0"/>
        <w:adjustRightInd w:val="0"/>
        <w:rPr>
          <w:bCs/>
        </w:rPr>
      </w:pPr>
      <w:r>
        <w:rPr>
          <w:bCs/>
        </w:rPr>
        <w:t>À l’</w:t>
      </w:r>
      <w:r w:rsidRPr="00870FB8">
        <w:rPr>
          <w:bCs/>
        </w:rPr>
        <w:t xml:space="preserve">invitation des autorités géorgiennes, le Congrès a déployé une </w:t>
      </w:r>
      <w:r>
        <w:rPr>
          <w:bCs/>
        </w:rPr>
        <w:t>m</w:t>
      </w:r>
      <w:r w:rsidRPr="00870FB8">
        <w:rPr>
          <w:bCs/>
        </w:rPr>
        <w:t>ission d</w:t>
      </w:r>
      <w:r>
        <w:rPr>
          <w:bCs/>
        </w:rPr>
        <w:t>’</w:t>
      </w:r>
      <w:r w:rsidRPr="00870FB8">
        <w:rPr>
          <w:bCs/>
        </w:rPr>
        <w:t>évaluation électorale à haut niveau sur les élections municipales du 21 octobre 2017. Le jour du scrutin, trois équipes du Congrès – comprenant sept observateurs de cinq États membres du Conseil de l</w:t>
      </w:r>
      <w:r>
        <w:rPr>
          <w:bCs/>
        </w:rPr>
        <w:t>’</w:t>
      </w:r>
      <w:r w:rsidRPr="00870FB8">
        <w:rPr>
          <w:bCs/>
        </w:rPr>
        <w:t>Europe – se sont rendu</w:t>
      </w:r>
      <w:r>
        <w:rPr>
          <w:bCs/>
        </w:rPr>
        <w:t>e</w:t>
      </w:r>
      <w:r w:rsidRPr="00870FB8">
        <w:rPr>
          <w:bCs/>
        </w:rPr>
        <w:t>s dans une trentaine de bureaux de vote, joignant leurs efforts à ceux de la Mission d</w:t>
      </w:r>
      <w:r>
        <w:rPr>
          <w:bCs/>
        </w:rPr>
        <w:t>’</w:t>
      </w:r>
      <w:r w:rsidRPr="00870FB8">
        <w:rPr>
          <w:bCs/>
        </w:rPr>
        <w:t>observation électorale de l</w:t>
      </w:r>
      <w:r>
        <w:rPr>
          <w:bCs/>
        </w:rPr>
        <w:t>’</w:t>
      </w:r>
      <w:r w:rsidRPr="00870FB8">
        <w:rPr>
          <w:bCs/>
        </w:rPr>
        <w:t xml:space="preserve">OSCE/BIDDH. </w:t>
      </w:r>
    </w:p>
    <w:p w:rsidR="007C052F" w:rsidRDefault="007C052F">
      <w:pPr>
        <w:jc w:val="left"/>
      </w:pPr>
    </w:p>
    <w:p w:rsidR="00CE697A" w:rsidRPr="00870FB8" w:rsidRDefault="00CE697A" w:rsidP="00CE697A">
      <w:pPr>
        <w:autoSpaceDE w:val="0"/>
        <w:autoSpaceDN w:val="0"/>
        <w:adjustRightInd w:val="0"/>
      </w:pPr>
      <w:r w:rsidRPr="00870FB8">
        <w:t>Dans l</w:t>
      </w:r>
      <w:r>
        <w:t>’</w:t>
      </w:r>
      <w:r w:rsidRPr="00870FB8">
        <w:t>ensemble, le Congrès a noté avec satisfaction que le jour du scrutin s</w:t>
      </w:r>
      <w:r>
        <w:t>’</w:t>
      </w:r>
      <w:r w:rsidRPr="00870FB8">
        <w:t>était déroulé dans le calme et sans incident, qu</w:t>
      </w:r>
      <w:r>
        <w:t>’</w:t>
      </w:r>
      <w:r w:rsidRPr="00870FB8">
        <w:t xml:space="preserve">il avait été bien organisé dans la plupart des bureaux de vote </w:t>
      </w:r>
      <w:r>
        <w:t>visités par la délégation</w:t>
      </w:r>
      <w:r w:rsidRPr="00870FB8">
        <w:t>. Le vote a fait suite à une campagne électorale globalement paisible et concurrentielle, durant laquelle les valeurs démocratiques et les libertés ont dans l</w:t>
      </w:r>
      <w:r>
        <w:t>’</w:t>
      </w:r>
      <w:r w:rsidRPr="00870FB8">
        <w:t xml:space="preserve">ensemble été respectées et les candidats ont pu faire campagne librement. </w:t>
      </w:r>
      <w:r>
        <w:t>L</w:t>
      </w:r>
      <w:r w:rsidRPr="00870FB8">
        <w:t>es médias ont gagné en professionnalisme, ce qui a contribué à ce que le débat politique soit plus vif.</w:t>
      </w:r>
      <w:r>
        <w:t xml:space="preserve"> </w:t>
      </w:r>
      <w:r w:rsidRPr="00870FB8">
        <w:t>Cependant, l</w:t>
      </w:r>
      <w:r>
        <w:t>’</w:t>
      </w:r>
      <w:r w:rsidRPr="00870FB8">
        <w:t>utilisation abusive de ressources administratives pendant la campagne a suscité certaines interrogations, cette question semblant avoir une importance spécifique au niveau local. Des cas de pressions sur des électeurs, et sur des candidats pour qu</w:t>
      </w:r>
      <w:r>
        <w:t>’</w:t>
      </w:r>
      <w:r w:rsidRPr="00870FB8">
        <w:t>ils retirent leur candidature, ont aussi été signalés à la délégation. De plus, les réglementations sur le financement des campagnes et des partis pourraient être améliorées et harmonisées.</w:t>
      </w:r>
      <w:r>
        <w:t xml:space="preserve"> </w:t>
      </w:r>
      <w:r w:rsidRPr="00870FB8">
        <w:t>La domination du parti au pouvoir a pesé sur le contexte général des élections.</w:t>
      </w:r>
    </w:p>
    <w:p w:rsidR="00CE697A" w:rsidRPr="00870FB8" w:rsidRDefault="00CE697A" w:rsidP="00CE697A"/>
    <w:p w:rsidR="00CE697A" w:rsidRPr="00870FB8" w:rsidRDefault="00CE697A" w:rsidP="00CE697A">
      <w:r w:rsidRPr="00870FB8">
        <w:t>Par ailleurs, le Congrès a évoqué la possibilité de réformer le droit géorgien, qui permet actuellement aux électeurs inscrits à une adresse permanente ou temporaire de voter aux élections locales, tandis que la Recommandation 369(2015) prévoit de réserver ce droit aux seuls électeurs ayant leur résidence perm</w:t>
      </w:r>
      <w:r>
        <w:t>anente dans une commune donnée.</w:t>
      </w:r>
    </w:p>
    <w:p w:rsidR="00E66019" w:rsidRDefault="00E66019"/>
    <w:sectPr w:rsidR="00E66019" w:rsidSect="004741E0">
      <w:headerReference w:type="even" r:id="rId9"/>
      <w:headerReference w:type="default" r:id="rId10"/>
      <w:footerReference w:type="even" r:id="rId11"/>
      <w:footerReference w:type="default" r:id="rId12"/>
      <w:headerReference w:type="first" r:id="rId13"/>
      <w:footerReference w:type="first" r:id="rId14"/>
      <w:pgSz w:w="11906" w:h="16838" w:code="9"/>
      <w:pgMar w:top="1276" w:right="1558" w:bottom="993" w:left="1276" w:header="426"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8D" w:rsidRDefault="00526E8D" w:rsidP="007F4EFA">
      <w:r>
        <w:separator/>
      </w:r>
    </w:p>
    <w:p w:rsidR="00526E8D" w:rsidRDefault="00526E8D" w:rsidP="007F4EFA"/>
    <w:p w:rsidR="00526E8D" w:rsidRDefault="00526E8D" w:rsidP="00ED058A"/>
    <w:p w:rsidR="00526E8D" w:rsidRDefault="00526E8D"/>
  </w:endnote>
  <w:endnote w:type="continuationSeparator" w:id="0">
    <w:p w:rsidR="00526E8D" w:rsidRDefault="00526E8D" w:rsidP="007F4EFA">
      <w:r>
        <w:continuationSeparator/>
      </w:r>
    </w:p>
    <w:p w:rsidR="00526E8D" w:rsidRDefault="00526E8D" w:rsidP="007F4EFA"/>
    <w:p w:rsidR="00526E8D" w:rsidRDefault="00526E8D" w:rsidP="00ED058A"/>
    <w:p w:rsidR="00526E8D" w:rsidRDefault="00526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8D" w:rsidRDefault="00526E8D" w:rsidP="007F4EFA">
    <w:pPr>
      <w:rPr>
        <w:rStyle w:val="PageNumber"/>
        <w:sz w:val="18"/>
        <w:szCs w:val="18"/>
      </w:rPr>
    </w:pPr>
  </w:p>
  <w:p w:rsidR="00526E8D" w:rsidRPr="001E5BA9" w:rsidRDefault="00526E8D" w:rsidP="007F4EFA">
    <w:r w:rsidRPr="001E5BA9">
      <w:rPr>
        <w:rStyle w:val="PageNumber"/>
        <w:sz w:val="18"/>
        <w:szCs w:val="18"/>
      </w:rPr>
      <w:fldChar w:fldCharType="begin"/>
    </w:r>
    <w:r w:rsidRPr="001E5BA9">
      <w:rPr>
        <w:rStyle w:val="PageNumber"/>
        <w:sz w:val="18"/>
        <w:szCs w:val="18"/>
      </w:rPr>
      <w:instrText xml:space="preserve"> PAGE </w:instrText>
    </w:r>
    <w:r w:rsidRPr="001E5BA9">
      <w:rPr>
        <w:rStyle w:val="PageNumber"/>
        <w:sz w:val="18"/>
        <w:szCs w:val="18"/>
      </w:rPr>
      <w:fldChar w:fldCharType="separate"/>
    </w:r>
    <w:r w:rsidR="000A5F99">
      <w:rPr>
        <w:rStyle w:val="PageNumber"/>
        <w:noProof/>
        <w:sz w:val="18"/>
        <w:szCs w:val="18"/>
      </w:rPr>
      <w:t>8</w:t>
    </w:r>
    <w:r w:rsidRPr="001E5BA9">
      <w:rPr>
        <w:rStyle w:val="PageNumber"/>
        <w:sz w:val="18"/>
        <w:szCs w:val="18"/>
      </w:rPr>
      <w:fldChar w:fldCharType="end"/>
    </w:r>
    <w:r w:rsidRPr="001E5BA9">
      <w:rPr>
        <w:rStyle w:val="PageNumber"/>
        <w:sz w:val="18"/>
        <w:szCs w:val="18"/>
      </w:rPr>
      <w:t>/</w:t>
    </w:r>
    <w:r w:rsidRPr="001E5BA9">
      <w:rPr>
        <w:rStyle w:val="PageNumber"/>
        <w:sz w:val="18"/>
        <w:szCs w:val="18"/>
      </w:rPr>
      <w:fldChar w:fldCharType="begin"/>
    </w:r>
    <w:r w:rsidRPr="001E5BA9">
      <w:rPr>
        <w:rStyle w:val="PageNumber"/>
        <w:sz w:val="18"/>
        <w:szCs w:val="18"/>
      </w:rPr>
      <w:instrText xml:space="preserve"> NUMPAGES </w:instrText>
    </w:r>
    <w:r w:rsidRPr="001E5BA9">
      <w:rPr>
        <w:rStyle w:val="PageNumber"/>
        <w:sz w:val="18"/>
        <w:szCs w:val="18"/>
      </w:rPr>
      <w:fldChar w:fldCharType="separate"/>
    </w:r>
    <w:r w:rsidR="000A5F99">
      <w:rPr>
        <w:rStyle w:val="PageNumber"/>
        <w:noProof/>
        <w:sz w:val="18"/>
        <w:szCs w:val="18"/>
      </w:rPr>
      <w:t>9</w:t>
    </w:r>
    <w:r w:rsidRPr="001E5BA9">
      <w:rPr>
        <w:rStyle w:val="PageNumber"/>
        <w:sz w:val="18"/>
        <w:szCs w:val="18"/>
      </w:rPr>
      <w:fldChar w:fldCharType="end"/>
    </w:r>
  </w:p>
  <w:p w:rsidR="00526E8D" w:rsidRDefault="00526E8D" w:rsidP="00ED05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8D" w:rsidRPr="001E5BA9" w:rsidRDefault="00526E8D" w:rsidP="00A313A7">
    <w:pPr>
      <w:jc w:val="right"/>
    </w:pPr>
    <w:r w:rsidRPr="001E5BA9">
      <w:rPr>
        <w:rStyle w:val="PageNumber"/>
        <w:sz w:val="18"/>
        <w:szCs w:val="18"/>
      </w:rPr>
      <w:fldChar w:fldCharType="begin"/>
    </w:r>
    <w:r w:rsidRPr="001E5BA9">
      <w:rPr>
        <w:rStyle w:val="PageNumber"/>
        <w:sz w:val="18"/>
        <w:szCs w:val="18"/>
      </w:rPr>
      <w:instrText xml:space="preserve"> PAGE </w:instrText>
    </w:r>
    <w:r w:rsidRPr="001E5BA9">
      <w:rPr>
        <w:rStyle w:val="PageNumber"/>
        <w:sz w:val="18"/>
        <w:szCs w:val="18"/>
      </w:rPr>
      <w:fldChar w:fldCharType="separate"/>
    </w:r>
    <w:r w:rsidR="000A5F99">
      <w:rPr>
        <w:rStyle w:val="PageNumber"/>
        <w:noProof/>
        <w:sz w:val="18"/>
        <w:szCs w:val="18"/>
      </w:rPr>
      <w:t>9</w:t>
    </w:r>
    <w:r w:rsidRPr="001E5BA9">
      <w:rPr>
        <w:rStyle w:val="PageNumber"/>
        <w:sz w:val="18"/>
        <w:szCs w:val="18"/>
      </w:rPr>
      <w:fldChar w:fldCharType="end"/>
    </w:r>
    <w:r w:rsidRPr="001E5BA9">
      <w:rPr>
        <w:rStyle w:val="PageNumber"/>
        <w:sz w:val="18"/>
        <w:szCs w:val="18"/>
      </w:rPr>
      <w:t>/</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0A5F99">
      <w:rPr>
        <w:rStyle w:val="PageNumber"/>
        <w:noProof/>
        <w:sz w:val="18"/>
        <w:szCs w:val="18"/>
      </w:rPr>
      <w:t>9</w:t>
    </w:r>
    <w:r>
      <w:rPr>
        <w:rStyle w:val="PageNumber"/>
        <w:sz w:val="18"/>
        <w:szCs w:val="18"/>
      </w:rPr>
      <w:fldChar w:fldCharType="end"/>
    </w:r>
  </w:p>
  <w:p w:rsidR="00526E8D" w:rsidRDefault="00526E8D" w:rsidP="00A313A7">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8D" w:rsidRDefault="00526E8D" w:rsidP="002E38E1">
    <w:r>
      <w:rPr>
        <w:noProof/>
        <w:lang w:val="en-GB" w:eastAsia="en-GB"/>
      </w:rPr>
      <mc:AlternateContent>
        <mc:Choice Requires="wps">
          <w:drawing>
            <wp:anchor distT="0" distB="0" distL="114300" distR="114300" simplePos="0" relativeHeight="251657728" behindDoc="0" locked="0" layoutInCell="0" allowOverlap="0" wp14:anchorId="333BAD86" wp14:editId="137CC832">
              <wp:simplePos x="0" y="0"/>
              <wp:positionH relativeFrom="page">
                <wp:posOffset>2244090</wp:posOffset>
              </wp:positionH>
              <wp:positionV relativeFrom="page">
                <wp:posOffset>10090150</wp:posOffset>
              </wp:positionV>
              <wp:extent cx="1036320" cy="363220"/>
              <wp:effectExtent l="0" t="0" r="11430" b="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363220"/>
                      </a:xfrm>
                      <a:prstGeom prst="rect">
                        <a:avLst/>
                      </a:prstGeom>
                      <a:noFill/>
                      <a:ln w="6350">
                        <a:noFill/>
                      </a:ln>
                      <a:effectLst/>
                    </wps:spPr>
                    <wps:txbx>
                      <w:txbxContent>
                        <w:p w:rsidR="00526E8D" w:rsidRPr="002E38E1" w:rsidRDefault="00526E8D" w:rsidP="002E38E1">
                          <w:pPr>
                            <w:pStyle w:val="Paragraphestandard"/>
                            <w:spacing w:line="240" w:lineRule="auto"/>
                            <w:rPr>
                              <w:rFonts w:ascii="Arial" w:hAnsi="Arial" w:cs="Arial"/>
                              <w:w w:val="93"/>
                              <w:sz w:val="14"/>
                              <w:szCs w:val="14"/>
                            </w:rPr>
                          </w:pPr>
                          <w:r w:rsidRPr="002E38E1">
                            <w:rPr>
                              <w:rFonts w:ascii="Arial" w:hAnsi="Arial" w:cs="Arial"/>
                              <w:w w:val="93"/>
                              <w:sz w:val="14"/>
                              <w:szCs w:val="14"/>
                            </w:rPr>
                            <w:t>Tel ► +33 (0)3 8841 2110</w:t>
                          </w:r>
                        </w:p>
                        <w:p w:rsidR="00526E8D" w:rsidRPr="002E38E1" w:rsidRDefault="00526E8D" w:rsidP="002E38E1">
                          <w:pPr>
                            <w:pStyle w:val="Paragraphestandard"/>
                            <w:rPr>
                              <w:rFonts w:ascii="Arial" w:hAnsi="Arial" w:cs="Arial"/>
                              <w:w w:val="93"/>
                              <w:sz w:val="14"/>
                              <w:szCs w:val="14"/>
                            </w:rPr>
                          </w:pPr>
                          <w:r w:rsidRPr="002E38E1">
                            <w:rPr>
                              <w:rFonts w:ascii="Arial" w:hAnsi="Arial" w:cs="Arial"/>
                              <w:spacing w:val="-3"/>
                              <w:w w:val="88"/>
                              <w:sz w:val="14"/>
                              <w:szCs w:val="14"/>
                            </w:rPr>
                            <w:t xml:space="preserve">Fax </w:t>
                          </w:r>
                          <w:r w:rsidRPr="002E38E1">
                            <w:rPr>
                              <w:rFonts w:ascii="Arial" w:hAnsi="Arial" w:cs="Arial"/>
                              <w:spacing w:val="-2"/>
                              <w:w w:val="88"/>
                              <w:sz w:val="14"/>
                              <w:szCs w:val="14"/>
                            </w:rPr>
                            <w:t>►</w:t>
                          </w:r>
                          <w:r w:rsidRPr="002E38E1">
                            <w:rPr>
                              <w:rFonts w:ascii="Arial" w:hAnsi="Arial" w:cs="Arial"/>
                              <w:w w:val="93"/>
                              <w:sz w:val="14"/>
                              <w:szCs w:val="14"/>
                            </w:rPr>
                            <w:t xml:space="preserve"> +33 (0)3 </w:t>
                          </w:r>
                          <w:r>
                            <w:rPr>
                              <w:rFonts w:ascii="Arial" w:hAnsi="Arial" w:cs="Arial"/>
                              <w:w w:val="93"/>
                              <w:sz w:val="14"/>
                              <w:szCs w:val="14"/>
                            </w:rPr>
                            <w:t>8841 2719</w:t>
                          </w:r>
                        </w:p>
                        <w:p w:rsidR="00526E8D" w:rsidRPr="002E38E1" w:rsidRDefault="00526E8D" w:rsidP="002E38E1">
                          <w:pPr>
                            <w:pStyle w:val="Paragraphestandard"/>
                            <w:jc w:val="center"/>
                            <w:rPr>
                              <w:rFonts w:ascii="Arial" w:hAnsi="Arial" w:cs="Arial"/>
                              <w:sz w:val="14"/>
                              <w:szCs w:val="14"/>
                            </w:rPr>
                          </w:pPr>
                          <w:r w:rsidRPr="002E38E1">
                            <w:rPr>
                              <w:rFonts w:ascii="Arial" w:hAnsi="Arial" w:cs="Arial"/>
                              <w:w w:val="93"/>
                              <w:sz w:val="14"/>
                              <w:szCs w:val="14"/>
                            </w:rPr>
                            <w:t>congress.</w:t>
                          </w:r>
                          <w:r>
                            <w:rPr>
                              <w:rFonts w:ascii="Arial" w:hAnsi="Arial" w:cs="Arial"/>
                              <w:w w:val="93"/>
                              <w:sz w:val="14"/>
                              <w:szCs w:val="14"/>
                            </w:rPr>
                            <w:t>session</w:t>
                          </w:r>
                          <w:r w:rsidRPr="002E38E1">
                            <w:rPr>
                              <w:rFonts w:ascii="Arial" w:hAnsi="Arial" w:cs="Arial"/>
                              <w:w w:val="93"/>
                              <w:sz w:val="14"/>
                              <w:szCs w:val="14"/>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76.7pt;margin-top:794.5pt;width:81.6pt;height:28.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" o:allowincell="f" o:allowoverlap="f" filled="f" stroked="f" strokeweight=".5pt">
              <v:path arrowok="t"/>
              <v:textbox inset="0,0,0,0">
                <w:txbxContent>
                  <w:p w:rsidR="00526E8D" w:rsidRPr="002E38E1" w:rsidRDefault="00526E8D" w:rsidP="002E38E1">
                    <w:pPr>
                      <w:pStyle w:val="Paragraphestandard"/>
                      <w:spacing w:line="240" w:lineRule="auto"/>
                      <w:rPr>
                        <w:rFonts w:ascii="Arial" w:hAnsi="Arial" w:cs="Arial"/>
                        <w:w w:val="93"/>
                        <w:sz w:val="14"/>
                        <w:szCs w:val="14"/>
                      </w:rPr>
                    </w:pPr>
                    <w:r w:rsidRPr="002E38E1">
                      <w:rPr>
                        <w:rFonts w:ascii="Arial" w:hAnsi="Arial" w:cs="Arial"/>
                        <w:w w:val="93"/>
                        <w:sz w:val="14"/>
                        <w:szCs w:val="14"/>
                      </w:rPr>
                      <w:t>Tel ► +33 (0)3 8841 2110</w:t>
                    </w:r>
                  </w:p>
                  <w:p w:rsidR="00526E8D" w:rsidRPr="002E38E1" w:rsidRDefault="00526E8D" w:rsidP="002E38E1">
                    <w:pPr>
                      <w:pStyle w:val="Paragraphestandard"/>
                      <w:rPr>
                        <w:rFonts w:ascii="Arial" w:hAnsi="Arial" w:cs="Arial"/>
                        <w:w w:val="93"/>
                        <w:sz w:val="14"/>
                        <w:szCs w:val="14"/>
                      </w:rPr>
                    </w:pPr>
                    <w:r w:rsidRPr="002E38E1">
                      <w:rPr>
                        <w:rFonts w:ascii="Arial" w:hAnsi="Arial" w:cs="Arial"/>
                        <w:spacing w:val="-3"/>
                        <w:w w:val="88"/>
                        <w:sz w:val="14"/>
                        <w:szCs w:val="14"/>
                      </w:rPr>
                      <w:t xml:space="preserve">Fax </w:t>
                    </w:r>
                    <w:r w:rsidRPr="002E38E1">
                      <w:rPr>
                        <w:rFonts w:ascii="Arial" w:hAnsi="Arial" w:cs="Arial"/>
                        <w:spacing w:val="-2"/>
                        <w:w w:val="88"/>
                        <w:sz w:val="14"/>
                        <w:szCs w:val="14"/>
                      </w:rPr>
                      <w:t>►</w:t>
                    </w:r>
                    <w:r w:rsidRPr="002E38E1">
                      <w:rPr>
                        <w:rFonts w:ascii="Arial" w:hAnsi="Arial" w:cs="Arial"/>
                        <w:w w:val="93"/>
                        <w:sz w:val="14"/>
                        <w:szCs w:val="14"/>
                      </w:rPr>
                      <w:t xml:space="preserve"> +33 (0)3 </w:t>
                    </w:r>
                    <w:r>
                      <w:rPr>
                        <w:rFonts w:ascii="Arial" w:hAnsi="Arial" w:cs="Arial"/>
                        <w:w w:val="93"/>
                        <w:sz w:val="14"/>
                        <w:szCs w:val="14"/>
                      </w:rPr>
                      <w:t>8841 2719</w:t>
                    </w:r>
                  </w:p>
                  <w:p w:rsidR="00526E8D" w:rsidRPr="002E38E1" w:rsidRDefault="00526E8D" w:rsidP="002E38E1">
                    <w:pPr>
                      <w:pStyle w:val="Paragraphestandard"/>
                      <w:jc w:val="center"/>
                      <w:rPr>
                        <w:rFonts w:ascii="Arial" w:hAnsi="Arial" w:cs="Arial"/>
                        <w:sz w:val="14"/>
                        <w:szCs w:val="14"/>
                      </w:rPr>
                    </w:pPr>
                    <w:r w:rsidRPr="002E38E1">
                      <w:rPr>
                        <w:rFonts w:ascii="Arial" w:hAnsi="Arial" w:cs="Arial"/>
                        <w:w w:val="93"/>
                        <w:sz w:val="14"/>
                        <w:szCs w:val="14"/>
                      </w:rPr>
                      <w:t>congress.</w:t>
                    </w:r>
                    <w:r>
                      <w:rPr>
                        <w:rFonts w:ascii="Arial" w:hAnsi="Arial" w:cs="Arial"/>
                        <w:w w:val="93"/>
                        <w:sz w:val="14"/>
                        <w:szCs w:val="14"/>
                      </w:rPr>
                      <w:t>session</w:t>
                    </w:r>
                    <w:r w:rsidRPr="002E38E1">
                      <w:rPr>
                        <w:rFonts w:ascii="Arial" w:hAnsi="Arial" w:cs="Arial"/>
                        <w:w w:val="93"/>
                        <w:sz w:val="14"/>
                        <w:szCs w:val="14"/>
                      </w:rPr>
                      <w:t>@coe.int</w:t>
                    </w:r>
                  </w:p>
                </w:txbxContent>
              </v:textbox>
              <w10:wrap anchorx="page" anchory="page"/>
            </v:shape>
          </w:pict>
        </mc:Fallback>
      </mc:AlternateContent>
    </w:r>
    <w:r>
      <w:rPr>
        <w:noProof/>
        <w:lang w:val="en-GB" w:eastAsia="en-GB"/>
      </w:rPr>
      <w:drawing>
        <wp:inline distT="0" distB="0" distL="0" distR="0" wp14:anchorId="3518E9D3" wp14:editId="17CF1E51">
          <wp:extent cx="5724525" cy="7048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8D" w:rsidRDefault="00526E8D" w:rsidP="007F4EFA">
      <w:r>
        <w:separator/>
      </w:r>
    </w:p>
    <w:p w:rsidR="00526E8D" w:rsidRDefault="00526E8D"/>
  </w:footnote>
  <w:footnote w:type="continuationSeparator" w:id="0">
    <w:p w:rsidR="00526E8D" w:rsidRDefault="00526E8D" w:rsidP="007F4EFA">
      <w:r>
        <w:continuationSeparator/>
      </w:r>
    </w:p>
    <w:p w:rsidR="00526E8D" w:rsidRDefault="00526E8D" w:rsidP="007F4EFA"/>
    <w:p w:rsidR="00526E8D" w:rsidRDefault="00526E8D" w:rsidP="00ED058A"/>
    <w:p w:rsidR="00526E8D" w:rsidRDefault="00526E8D"/>
  </w:footnote>
  <w:footnote w:id="1">
    <w:p w:rsidR="00526E8D" w:rsidRPr="009712ED" w:rsidRDefault="00526E8D" w:rsidP="0067402F">
      <w:pPr>
        <w:pStyle w:val="Default"/>
        <w:rPr>
          <w:sz w:val="16"/>
          <w:szCs w:val="16"/>
          <w:lang w:val="fr-FR"/>
        </w:rPr>
      </w:pPr>
      <w:r>
        <w:rPr>
          <w:rStyle w:val="FootnoteReference"/>
        </w:rPr>
        <w:footnoteRef/>
      </w:r>
      <w:r w:rsidRPr="009712ED">
        <w:rPr>
          <w:lang w:val="fr-FR"/>
        </w:rPr>
        <w:t xml:space="preserve"> </w:t>
      </w:r>
      <w:r w:rsidRPr="009712ED">
        <w:rPr>
          <w:sz w:val="16"/>
          <w:szCs w:val="16"/>
          <w:lang w:val="fr-FR"/>
        </w:rPr>
        <w:t xml:space="preserve">L : Chambre des pouvoirs locaux / R : Chambre des régions </w:t>
      </w:r>
    </w:p>
    <w:p w:rsidR="00526E8D" w:rsidRPr="009712ED" w:rsidRDefault="00526E8D" w:rsidP="0067402F">
      <w:pPr>
        <w:pStyle w:val="Default"/>
        <w:rPr>
          <w:sz w:val="16"/>
          <w:szCs w:val="16"/>
          <w:lang w:val="fr-FR"/>
        </w:rPr>
      </w:pPr>
      <w:r w:rsidRPr="009712ED">
        <w:rPr>
          <w:sz w:val="16"/>
          <w:szCs w:val="16"/>
          <w:lang w:val="fr-FR"/>
        </w:rPr>
        <w:t xml:space="preserve">PPE/CCE : Groupe du Parti Populaire Européen au Congrès </w:t>
      </w:r>
    </w:p>
    <w:p w:rsidR="00526E8D" w:rsidRPr="009712ED" w:rsidRDefault="00526E8D" w:rsidP="0067402F">
      <w:pPr>
        <w:pStyle w:val="Default"/>
        <w:rPr>
          <w:sz w:val="16"/>
          <w:szCs w:val="16"/>
          <w:lang w:val="fr-FR"/>
        </w:rPr>
      </w:pPr>
      <w:r w:rsidRPr="009712ED">
        <w:rPr>
          <w:sz w:val="16"/>
          <w:szCs w:val="16"/>
          <w:lang w:val="fr-FR"/>
        </w:rPr>
        <w:t xml:space="preserve">SOC : Groupe Socialiste </w:t>
      </w:r>
    </w:p>
    <w:p w:rsidR="00526E8D" w:rsidRPr="009712ED" w:rsidRDefault="00526E8D" w:rsidP="0067402F">
      <w:pPr>
        <w:pStyle w:val="Default"/>
        <w:rPr>
          <w:sz w:val="16"/>
          <w:szCs w:val="16"/>
          <w:lang w:val="fr-FR"/>
        </w:rPr>
      </w:pPr>
      <w:r w:rsidRPr="009712ED">
        <w:rPr>
          <w:sz w:val="16"/>
          <w:szCs w:val="16"/>
          <w:lang w:val="fr-FR"/>
        </w:rPr>
        <w:t xml:space="preserve">GILD : Groupe Indépendant et Libéral Démocratique </w:t>
      </w:r>
    </w:p>
    <w:p w:rsidR="00526E8D" w:rsidRPr="009712ED" w:rsidRDefault="00526E8D" w:rsidP="0067402F">
      <w:pPr>
        <w:pStyle w:val="Default"/>
        <w:rPr>
          <w:sz w:val="16"/>
          <w:szCs w:val="16"/>
          <w:lang w:val="fr-FR"/>
        </w:rPr>
      </w:pPr>
      <w:r w:rsidRPr="009712ED">
        <w:rPr>
          <w:sz w:val="16"/>
          <w:szCs w:val="16"/>
          <w:lang w:val="fr-FR"/>
        </w:rPr>
        <w:t xml:space="preserve">ECR : Groupe des Conservateurs et Réformistes européens </w:t>
      </w:r>
    </w:p>
    <w:p w:rsidR="00526E8D" w:rsidRDefault="00526E8D" w:rsidP="0067402F">
      <w:pPr>
        <w:pStyle w:val="FootnoteText"/>
      </w:pPr>
      <w:r>
        <w:rPr>
          <w:sz w:val="16"/>
          <w:szCs w:val="16"/>
        </w:rPr>
        <w:t xml:space="preserve">NI : Membre n’appartenant à aucun groupe politique du Congrès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8D" w:rsidRPr="00C15959" w:rsidRDefault="00526E8D" w:rsidP="00A36D46">
    <w:pPr>
      <w:rPr>
        <w:color w:val="A6A6A6"/>
      </w:rPr>
    </w:pPr>
    <w:r w:rsidRPr="00C15959">
      <w:rPr>
        <w:color w:val="A6A6A6"/>
      </w:rPr>
      <w:t>CG</w:t>
    </w:r>
    <w:r>
      <w:rPr>
        <w:color w:val="A6A6A6"/>
      </w:rPr>
      <w:t>34(2018)19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8D" w:rsidRPr="00C15959" w:rsidRDefault="00526E8D" w:rsidP="0094777D">
    <w:pPr>
      <w:jc w:val="right"/>
      <w:rPr>
        <w:color w:val="A6A6A6"/>
      </w:rPr>
    </w:pPr>
    <w:r w:rsidRPr="00C15959">
      <w:rPr>
        <w:color w:val="A6A6A6"/>
      </w:rPr>
      <w:t>CG</w:t>
    </w:r>
    <w:r>
      <w:rPr>
        <w:color w:val="A6A6A6"/>
      </w:rPr>
      <w:t>34(2018)19</w:t>
    </w:r>
  </w:p>
  <w:p w:rsidR="00526E8D" w:rsidRPr="00691EAB" w:rsidRDefault="00526E8D" w:rsidP="0094777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8D" w:rsidRDefault="00526E8D" w:rsidP="007F6BA0">
    <w:pPr>
      <w:pStyle w:val="Header"/>
      <w:rPr>
        <w:noProof/>
        <w:lang w:val="en-US"/>
      </w:rPr>
    </w:pPr>
    <w:r>
      <w:rPr>
        <w:noProof/>
        <w:lang w:val="en-GB" w:eastAsia="en-GB"/>
      </w:rPr>
      <w:drawing>
        <wp:inline distT="0" distB="0" distL="0" distR="0" wp14:anchorId="05F37134" wp14:editId="674A94CF">
          <wp:extent cx="5724525" cy="857250"/>
          <wp:effectExtent l="0" t="0" r="9525"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857250"/>
                  </a:xfrm>
                  <a:prstGeom prst="rect">
                    <a:avLst/>
                  </a:prstGeom>
                  <a:noFill/>
                  <a:ln>
                    <a:noFill/>
                  </a:ln>
                </pic:spPr>
              </pic:pic>
            </a:graphicData>
          </a:graphic>
        </wp:inline>
      </w:drawing>
    </w:r>
  </w:p>
  <w:p w:rsidR="00526E8D" w:rsidRDefault="00526E8D" w:rsidP="007F6BA0">
    <w:pPr>
      <w:pStyle w:val="Header"/>
      <w:rPr>
        <w:noProof/>
        <w:lang w:val="en-US"/>
      </w:rPr>
    </w:pPr>
  </w:p>
  <w:p w:rsidR="00526E8D" w:rsidRPr="002E38E1" w:rsidRDefault="00526E8D" w:rsidP="007F6BA0">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04FC"/>
    <w:multiLevelType w:val="hybridMultilevel"/>
    <w:tmpl w:val="F9BAF3A6"/>
    <w:lvl w:ilvl="0" w:tplc="377C11C0">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ED33FDA"/>
    <w:multiLevelType w:val="hybridMultilevel"/>
    <w:tmpl w:val="1AC42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DE4673"/>
    <w:multiLevelType w:val="hybridMultilevel"/>
    <w:tmpl w:val="55865216"/>
    <w:lvl w:ilvl="0" w:tplc="377C11C0">
      <w:start w:val="1"/>
      <w:numFmt w:val="bullet"/>
      <w:lvlText w:val="-"/>
      <w:lvlJc w:val="left"/>
      <w:pPr>
        <w:ind w:left="1713" w:hanging="360"/>
      </w:pPr>
      <w:rPr>
        <w:rFonts w:ascii="Calibri" w:hAnsi="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nsid w:val="337E267E"/>
    <w:multiLevelType w:val="hybridMultilevel"/>
    <w:tmpl w:val="97DAEE9A"/>
    <w:lvl w:ilvl="0" w:tplc="0809000F">
      <w:start w:val="1"/>
      <w:numFmt w:val="decimal"/>
      <w:lvlText w:val="%1."/>
      <w:lvlJc w:val="left"/>
      <w:pPr>
        <w:ind w:left="502" w:hanging="360"/>
      </w:pPr>
    </w:lvl>
    <w:lvl w:ilvl="1" w:tplc="102CB160">
      <w:numFmt w:val="bullet"/>
      <w:lvlText w:val="•"/>
      <w:lvlJc w:val="left"/>
      <w:pPr>
        <w:ind w:left="1785" w:hanging="705"/>
      </w:pPr>
      <w:rPr>
        <w:rFonts w:ascii="Arial" w:eastAsiaTheme="minorEastAsia"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C3B6F1E"/>
    <w:multiLevelType w:val="hybridMultilevel"/>
    <w:tmpl w:val="4F6A27DC"/>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3EB201A5"/>
    <w:multiLevelType w:val="hybridMultilevel"/>
    <w:tmpl w:val="BA76D21E"/>
    <w:lvl w:ilvl="0" w:tplc="377C11C0">
      <w:start w:val="1"/>
      <w:numFmt w:val="bullet"/>
      <w:lvlText w:val="-"/>
      <w:lvlJc w:val="left"/>
      <w:pPr>
        <w:ind w:left="1440" w:hanging="360"/>
      </w:pPr>
      <w:rPr>
        <w:rFonts w:ascii="Calibri" w:hAnsi="Calibri" w:hint="default"/>
      </w:rPr>
    </w:lvl>
    <w:lvl w:ilvl="1" w:tplc="377C11C0">
      <w:start w:val="1"/>
      <w:numFmt w:val="bullet"/>
      <w:lvlText w:val="-"/>
      <w:lvlJc w:val="left"/>
      <w:pPr>
        <w:ind w:left="2160" w:hanging="360"/>
      </w:pPr>
      <w:rPr>
        <w:rFonts w:ascii="Calibri" w:hAnsi="Calibri"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41843877"/>
    <w:multiLevelType w:val="hybridMultilevel"/>
    <w:tmpl w:val="E6A4BD7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ED2EB5"/>
    <w:multiLevelType w:val="hybridMultilevel"/>
    <w:tmpl w:val="F6C442BC"/>
    <w:lvl w:ilvl="0" w:tplc="400EBA9C">
      <w:start w:val="1"/>
      <w:numFmt w:val="upperRoman"/>
      <w:pStyle w:val="Heading1"/>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5F33BA8"/>
    <w:multiLevelType w:val="hybridMultilevel"/>
    <w:tmpl w:val="564AD2F0"/>
    <w:lvl w:ilvl="0" w:tplc="377C11C0">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D1266C0"/>
    <w:multiLevelType w:val="hybridMultilevel"/>
    <w:tmpl w:val="4F3A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C71ED2"/>
    <w:multiLevelType w:val="hybridMultilevel"/>
    <w:tmpl w:val="1C30AEE2"/>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nsid w:val="789D7B8E"/>
    <w:multiLevelType w:val="hybridMultilevel"/>
    <w:tmpl w:val="70C6F59E"/>
    <w:lvl w:ilvl="0" w:tplc="4B1A8DC0">
      <w:start w:val="2"/>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4B2FC1"/>
    <w:multiLevelType w:val="hybridMultilevel"/>
    <w:tmpl w:val="B82C08E6"/>
    <w:lvl w:ilvl="0" w:tplc="377C11C0">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DF15ABB"/>
    <w:multiLevelType w:val="hybridMultilevel"/>
    <w:tmpl w:val="0E8436EC"/>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8"/>
  </w:num>
  <w:num w:numId="8">
    <w:abstractNumId w:val="0"/>
  </w:num>
  <w:num w:numId="9">
    <w:abstractNumId w:val="6"/>
  </w:num>
  <w:num w:numId="10">
    <w:abstractNumId w:val="11"/>
  </w:num>
  <w:num w:numId="11">
    <w:abstractNumId w:val="2"/>
  </w:num>
  <w:num w:numId="12">
    <w:abstractNumId w:val="7"/>
  </w:num>
  <w:num w:numId="13">
    <w:abstractNumId w:val="3"/>
  </w:num>
  <w:num w:numId="14">
    <w:abstractNumId w:val="7"/>
    <w:lvlOverride w:ilvl="0">
      <w:startOverride w:val="1"/>
    </w:lvlOverride>
  </w:num>
  <w:num w:numId="15">
    <w:abstractNumId w:val="1"/>
  </w:num>
  <w:num w:numId="16">
    <w:abstractNumId w:val="7"/>
    <w:lvlOverride w:ilvl="0">
      <w:startOverride w:val="1"/>
    </w:lvlOverride>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41"/>
    <w:rsid w:val="0000001D"/>
    <w:rsid w:val="0000680B"/>
    <w:rsid w:val="00010A12"/>
    <w:rsid w:val="00011664"/>
    <w:rsid w:val="00012672"/>
    <w:rsid w:val="00013337"/>
    <w:rsid w:val="00015880"/>
    <w:rsid w:val="00017A0C"/>
    <w:rsid w:val="0002017E"/>
    <w:rsid w:val="0002335E"/>
    <w:rsid w:val="00030B3E"/>
    <w:rsid w:val="000333A9"/>
    <w:rsid w:val="0003786D"/>
    <w:rsid w:val="00040FBB"/>
    <w:rsid w:val="000414F6"/>
    <w:rsid w:val="00041673"/>
    <w:rsid w:val="000430AC"/>
    <w:rsid w:val="00044C58"/>
    <w:rsid w:val="00045F81"/>
    <w:rsid w:val="000562C4"/>
    <w:rsid w:val="000568F4"/>
    <w:rsid w:val="000577C1"/>
    <w:rsid w:val="00061EF7"/>
    <w:rsid w:val="00062F1D"/>
    <w:rsid w:val="000634B9"/>
    <w:rsid w:val="000645AB"/>
    <w:rsid w:val="000648E3"/>
    <w:rsid w:val="00065514"/>
    <w:rsid w:val="00067185"/>
    <w:rsid w:val="000676A2"/>
    <w:rsid w:val="000727D9"/>
    <w:rsid w:val="00075355"/>
    <w:rsid w:val="00075B67"/>
    <w:rsid w:val="00075E75"/>
    <w:rsid w:val="00076A99"/>
    <w:rsid w:val="00081A03"/>
    <w:rsid w:val="00087B2F"/>
    <w:rsid w:val="00092902"/>
    <w:rsid w:val="000A09C5"/>
    <w:rsid w:val="000A49BD"/>
    <w:rsid w:val="000A5F99"/>
    <w:rsid w:val="000C0F5C"/>
    <w:rsid w:val="000C2793"/>
    <w:rsid w:val="000C688E"/>
    <w:rsid w:val="000D4690"/>
    <w:rsid w:val="000D6544"/>
    <w:rsid w:val="000E1E2F"/>
    <w:rsid w:val="000E56DB"/>
    <w:rsid w:val="000F1BEB"/>
    <w:rsid w:val="000F2F72"/>
    <w:rsid w:val="0010197F"/>
    <w:rsid w:val="00102F14"/>
    <w:rsid w:val="00105F8C"/>
    <w:rsid w:val="001163CA"/>
    <w:rsid w:val="0012250A"/>
    <w:rsid w:val="00123BF6"/>
    <w:rsid w:val="0012592A"/>
    <w:rsid w:val="00125F6B"/>
    <w:rsid w:val="001311B6"/>
    <w:rsid w:val="001323FA"/>
    <w:rsid w:val="0013656C"/>
    <w:rsid w:val="00136FBB"/>
    <w:rsid w:val="00137C65"/>
    <w:rsid w:val="00137EB9"/>
    <w:rsid w:val="00141BD7"/>
    <w:rsid w:val="001424EC"/>
    <w:rsid w:val="00144F4C"/>
    <w:rsid w:val="001521A5"/>
    <w:rsid w:val="001660F4"/>
    <w:rsid w:val="001670D3"/>
    <w:rsid w:val="00182CE6"/>
    <w:rsid w:val="00185968"/>
    <w:rsid w:val="001860C1"/>
    <w:rsid w:val="00196FF8"/>
    <w:rsid w:val="001A2BDA"/>
    <w:rsid w:val="001B4463"/>
    <w:rsid w:val="001B4965"/>
    <w:rsid w:val="001B709E"/>
    <w:rsid w:val="001C0C61"/>
    <w:rsid w:val="001C2E87"/>
    <w:rsid w:val="001C436C"/>
    <w:rsid w:val="001C4A25"/>
    <w:rsid w:val="001D3146"/>
    <w:rsid w:val="001D37AD"/>
    <w:rsid w:val="001E20E3"/>
    <w:rsid w:val="001E2291"/>
    <w:rsid w:val="001E578E"/>
    <w:rsid w:val="001E5AE4"/>
    <w:rsid w:val="001E5BA9"/>
    <w:rsid w:val="001F4D95"/>
    <w:rsid w:val="001F721D"/>
    <w:rsid w:val="002038D7"/>
    <w:rsid w:val="00203906"/>
    <w:rsid w:val="00213A7B"/>
    <w:rsid w:val="00213FF6"/>
    <w:rsid w:val="00214DF1"/>
    <w:rsid w:val="00215393"/>
    <w:rsid w:val="002168B8"/>
    <w:rsid w:val="00221F3D"/>
    <w:rsid w:val="002234CD"/>
    <w:rsid w:val="00235B5E"/>
    <w:rsid w:val="00235C76"/>
    <w:rsid w:val="002400FF"/>
    <w:rsid w:val="00243C55"/>
    <w:rsid w:val="00243EC3"/>
    <w:rsid w:val="00244C2E"/>
    <w:rsid w:val="002451E2"/>
    <w:rsid w:val="00253263"/>
    <w:rsid w:val="00261743"/>
    <w:rsid w:val="0026641B"/>
    <w:rsid w:val="00266539"/>
    <w:rsid w:val="00272011"/>
    <w:rsid w:val="00282CD6"/>
    <w:rsid w:val="00286D29"/>
    <w:rsid w:val="002879E5"/>
    <w:rsid w:val="00292AC5"/>
    <w:rsid w:val="0029733A"/>
    <w:rsid w:val="002A07C6"/>
    <w:rsid w:val="002A553B"/>
    <w:rsid w:val="002A67B7"/>
    <w:rsid w:val="002C2389"/>
    <w:rsid w:val="002C4662"/>
    <w:rsid w:val="002C564A"/>
    <w:rsid w:val="002D0BD5"/>
    <w:rsid w:val="002D24C2"/>
    <w:rsid w:val="002D60BF"/>
    <w:rsid w:val="002E032D"/>
    <w:rsid w:val="002E1E6B"/>
    <w:rsid w:val="002E38E1"/>
    <w:rsid w:val="002F4960"/>
    <w:rsid w:val="002F7224"/>
    <w:rsid w:val="002F7A6F"/>
    <w:rsid w:val="00303009"/>
    <w:rsid w:val="00307A7D"/>
    <w:rsid w:val="00310A3E"/>
    <w:rsid w:val="00311F52"/>
    <w:rsid w:val="003123EB"/>
    <w:rsid w:val="003250AD"/>
    <w:rsid w:val="00325D41"/>
    <w:rsid w:val="0033508E"/>
    <w:rsid w:val="00335610"/>
    <w:rsid w:val="00340694"/>
    <w:rsid w:val="003421E7"/>
    <w:rsid w:val="0034523A"/>
    <w:rsid w:val="003643D2"/>
    <w:rsid w:val="003700C6"/>
    <w:rsid w:val="00380A7C"/>
    <w:rsid w:val="00380D52"/>
    <w:rsid w:val="00385EEF"/>
    <w:rsid w:val="00386321"/>
    <w:rsid w:val="00386540"/>
    <w:rsid w:val="00395B31"/>
    <w:rsid w:val="003A5E37"/>
    <w:rsid w:val="003B27E0"/>
    <w:rsid w:val="003B28AD"/>
    <w:rsid w:val="003B3D59"/>
    <w:rsid w:val="003B5E92"/>
    <w:rsid w:val="003B738D"/>
    <w:rsid w:val="003C06E0"/>
    <w:rsid w:val="003C47C6"/>
    <w:rsid w:val="003C4EBB"/>
    <w:rsid w:val="003C59B4"/>
    <w:rsid w:val="003C606C"/>
    <w:rsid w:val="003C6976"/>
    <w:rsid w:val="003C7724"/>
    <w:rsid w:val="003C7C7E"/>
    <w:rsid w:val="003D0200"/>
    <w:rsid w:val="003D04B3"/>
    <w:rsid w:val="003D0F1D"/>
    <w:rsid w:val="003D2F5D"/>
    <w:rsid w:val="003D678B"/>
    <w:rsid w:val="003D7F46"/>
    <w:rsid w:val="003E06D1"/>
    <w:rsid w:val="003E447C"/>
    <w:rsid w:val="003E68F5"/>
    <w:rsid w:val="003F488F"/>
    <w:rsid w:val="00402C5A"/>
    <w:rsid w:val="004109FC"/>
    <w:rsid w:val="00411C38"/>
    <w:rsid w:val="00415851"/>
    <w:rsid w:val="0041690F"/>
    <w:rsid w:val="00416914"/>
    <w:rsid w:val="0041696E"/>
    <w:rsid w:val="00420171"/>
    <w:rsid w:val="0042111C"/>
    <w:rsid w:val="00424D7F"/>
    <w:rsid w:val="00432E7A"/>
    <w:rsid w:val="00437146"/>
    <w:rsid w:val="00442CF9"/>
    <w:rsid w:val="0044552A"/>
    <w:rsid w:val="004546F5"/>
    <w:rsid w:val="00455096"/>
    <w:rsid w:val="00456B18"/>
    <w:rsid w:val="0045795B"/>
    <w:rsid w:val="004608F0"/>
    <w:rsid w:val="00462047"/>
    <w:rsid w:val="0046715B"/>
    <w:rsid w:val="004741E0"/>
    <w:rsid w:val="00475D61"/>
    <w:rsid w:val="0048031F"/>
    <w:rsid w:val="004849D5"/>
    <w:rsid w:val="0048523E"/>
    <w:rsid w:val="00486CCE"/>
    <w:rsid w:val="00491FF5"/>
    <w:rsid w:val="004920EF"/>
    <w:rsid w:val="00493B5F"/>
    <w:rsid w:val="0049547B"/>
    <w:rsid w:val="004967FD"/>
    <w:rsid w:val="004B2ABF"/>
    <w:rsid w:val="004B2DC3"/>
    <w:rsid w:val="004B3E1C"/>
    <w:rsid w:val="004B54F2"/>
    <w:rsid w:val="004B58F4"/>
    <w:rsid w:val="004B5FB1"/>
    <w:rsid w:val="004C0C42"/>
    <w:rsid w:val="004C1EAC"/>
    <w:rsid w:val="004D0489"/>
    <w:rsid w:val="004D2A74"/>
    <w:rsid w:val="004E07E9"/>
    <w:rsid w:val="004E17E5"/>
    <w:rsid w:val="004E437E"/>
    <w:rsid w:val="004E66FD"/>
    <w:rsid w:val="004E6AC6"/>
    <w:rsid w:val="004F4ED9"/>
    <w:rsid w:val="004F7E3C"/>
    <w:rsid w:val="0050075C"/>
    <w:rsid w:val="00503825"/>
    <w:rsid w:val="0050740A"/>
    <w:rsid w:val="00513ABC"/>
    <w:rsid w:val="00515377"/>
    <w:rsid w:val="005221C7"/>
    <w:rsid w:val="005231F9"/>
    <w:rsid w:val="00526E8D"/>
    <w:rsid w:val="00530660"/>
    <w:rsid w:val="0053084A"/>
    <w:rsid w:val="00530CBD"/>
    <w:rsid w:val="0053124D"/>
    <w:rsid w:val="00532DBB"/>
    <w:rsid w:val="005369B5"/>
    <w:rsid w:val="0054074B"/>
    <w:rsid w:val="00542DC1"/>
    <w:rsid w:val="00546EB4"/>
    <w:rsid w:val="00550C72"/>
    <w:rsid w:val="005540B5"/>
    <w:rsid w:val="005552F2"/>
    <w:rsid w:val="00566B1B"/>
    <w:rsid w:val="0056777F"/>
    <w:rsid w:val="00573D1B"/>
    <w:rsid w:val="005764B7"/>
    <w:rsid w:val="00585C71"/>
    <w:rsid w:val="00585F65"/>
    <w:rsid w:val="00594BDE"/>
    <w:rsid w:val="00596A2F"/>
    <w:rsid w:val="005B279D"/>
    <w:rsid w:val="005B2C43"/>
    <w:rsid w:val="005B3EE3"/>
    <w:rsid w:val="005B780B"/>
    <w:rsid w:val="005C0507"/>
    <w:rsid w:val="005C220D"/>
    <w:rsid w:val="005C6ECE"/>
    <w:rsid w:val="005D0E8E"/>
    <w:rsid w:val="005D25A5"/>
    <w:rsid w:val="005D36CB"/>
    <w:rsid w:val="005F4AD2"/>
    <w:rsid w:val="005F7B33"/>
    <w:rsid w:val="005F7D61"/>
    <w:rsid w:val="006020C5"/>
    <w:rsid w:val="00603FB9"/>
    <w:rsid w:val="0060556B"/>
    <w:rsid w:val="00613483"/>
    <w:rsid w:val="00620572"/>
    <w:rsid w:val="00623016"/>
    <w:rsid w:val="00626BD4"/>
    <w:rsid w:val="00631030"/>
    <w:rsid w:val="00637FA7"/>
    <w:rsid w:val="006415F2"/>
    <w:rsid w:val="00641893"/>
    <w:rsid w:val="00642CA1"/>
    <w:rsid w:val="006558AB"/>
    <w:rsid w:val="006567B2"/>
    <w:rsid w:val="00656B05"/>
    <w:rsid w:val="00657405"/>
    <w:rsid w:val="006574A9"/>
    <w:rsid w:val="006633C8"/>
    <w:rsid w:val="00663523"/>
    <w:rsid w:val="006645CE"/>
    <w:rsid w:val="0067402F"/>
    <w:rsid w:val="00684756"/>
    <w:rsid w:val="00685C21"/>
    <w:rsid w:val="00687C9C"/>
    <w:rsid w:val="00690B2F"/>
    <w:rsid w:val="00691EAB"/>
    <w:rsid w:val="006961FB"/>
    <w:rsid w:val="006A6A50"/>
    <w:rsid w:val="006A7DFE"/>
    <w:rsid w:val="006B0305"/>
    <w:rsid w:val="006B1CD8"/>
    <w:rsid w:val="006B3441"/>
    <w:rsid w:val="006B796E"/>
    <w:rsid w:val="006C16B7"/>
    <w:rsid w:val="006C2D98"/>
    <w:rsid w:val="006C3747"/>
    <w:rsid w:val="006C3E21"/>
    <w:rsid w:val="006D350C"/>
    <w:rsid w:val="006D5558"/>
    <w:rsid w:val="006D60BD"/>
    <w:rsid w:val="006D6D35"/>
    <w:rsid w:val="006E166E"/>
    <w:rsid w:val="006E6046"/>
    <w:rsid w:val="006F4616"/>
    <w:rsid w:val="006F69C3"/>
    <w:rsid w:val="006F6BBB"/>
    <w:rsid w:val="006F722D"/>
    <w:rsid w:val="00700F87"/>
    <w:rsid w:val="00703214"/>
    <w:rsid w:val="00703F99"/>
    <w:rsid w:val="00710925"/>
    <w:rsid w:val="00711ADB"/>
    <w:rsid w:val="0071353E"/>
    <w:rsid w:val="00714008"/>
    <w:rsid w:val="007210D8"/>
    <w:rsid w:val="00723578"/>
    <w:rsid w:val="00726899"/>
    <w:rsid w:val="00726AC0"/>
    <w:rsid w:val="00726C22"/>
    <w:rsid w:val="00730C63"/>
    <w:rsid w:val="00732F50"/>
    <w:rsid w:val="00733AB6"/>
    <w:rsid w:val="007340FD"/>
    <w:rsid w:val="007428BE"/>
    <w:rsid w:val="00744EF8"/>
    <w:rsid w:val="0074605E"/>
    <w:rsid w:val="007507CB"/>
    <w:rsid w:val="00750A4A"/>
    <w:rsid w:val="007518FB"/>
    <w:rsid w:val="00752007"/>
    <w:rsid w:val="00752662"/>
    <w:rsid w:val="00766B38"/>
    <w:rsid w:val="00770816"/>
    <w:rsid w:val="007716A0"/>
    <w:rsid w:val="00772A24"/>
    <w:rsid w:val="00774204"/>
    <w:rsid w:val="00780529"/>
    <w:rsid w:val="007854B1"/>
    <w:rsid w:val="00786EF5"/>
    <w:rsid w:val="007A41FF"/>
    <w:rsid w:val="007A46B6"/>
    <w:rsid w:val="007A5831"/>
    <w:rsid w:val="007B4138"/>
    <w:rsid w:val="007B4F3E"/>
    <w:rsid w:val="007C052F"/>
    <w:rsid w:val="007C7360"/>
    <w:rsid w:val="007D3256"/>
    <w:rsid w:val="007D6950"/>
    <w:rsid w:val="007D77C0"/>
    <w:rsid w:val="007D77F2"/>
    <w:rsid w:val="007E2423"/>
    <w:rsid w:val="007E3C3F"/>
    <w:rsid w:val="007E5102"/>
    <w:rsid w:val="007E74B4"/>
    <w:rsid w:val="007F0525"/>
    <w:rsid w:val="007F4EFA"/>
    <w:rsid w:val="007F51CB"/>
    <w:rsid w:val="007F6BA0"/>
    <w:rsid w:val="00800B5B"/>
    <w:rsid w:val="00803D00"/>
    <w:rsid w:val="00804F6C"/>
    <w:rsid w:val="00806F12"/>
    <w:rsid w:val="008176FE"/>
    <w:rsid w:val="00820838"/>
    <w:rsid w:val="00820C0B"/>
    <w:rsid w:val="0082140D"/>
    <w:rsid w:val="008224D9"/>
    <w:rsid w:val="008256A7"/>
    <w:rsid w:val="00827B8A"/>
    <w:rsid w:val="00837981"/>
    <w:rsid w:val="00847F26"/>
    <w:rsid w:val="0085353F"/>
    <w:rsid w:val="008535B7"/>
    <w:rsid w:val="00854727"/>
    <w:rsid w:val="0086243F"/>
    <w:rsid w:val="008640E3"/>
    <w:rsid w:val="00883039"/>
    <w:rsid w:val="00883245"/>
    <w:rsid w:val="0089256B"/>
    <w:rsid w:val="00897D53"/>
    <w:rsid w:val="008B7E41"/>
    <w:rsid w:val="008C28E0"/>
    <w:rsid w:val="008D2249"/>
    <w:rsid w:val="008D2B84"/>
    <w:rsid w:val="008D4775"/>
    <w:rsid w:val="008D6547"/>
    <w:rsid w:val="008E0E3E"/>
    <w:rsid w:val="008E46BF"/>
    <w:rsid w:val="008F3461"/>
    <w:rsid w:val="008F7844"/>
    <w:rsid w:val="00901E86"/>
    <w:rsid w:val="009022D7"/>
    <w:rsid w:val="009049AB"/>
    <w:rsid w:val="00911F3E"/>
    <w:rsid w:val="00914FFC"/>
    <w:rsid w:val="00915CBE"/>
    <w:rsid w:val="00917166"/>
    <w:rsid w:val="00917401"/>
    <w:rsid w:val="00917537"/>
    <w:rsid w:val="0092153E"/>
    <w:rsid w:val="00924264"/>
    <w:rsid w:val="00925026"/>
    <w:rsid w:val="00925D09"/>
    <w:rsid w:val="00935826"/>
    <w:rsid w:val="009400C5"/>
    <w:rsid w:val="009419C4"/>
    <w:rsid w:val="00942579"/>
    <w:rsid w:val="0094777D"/>
    <w:rsid w:val="00960A6B"/>
    <w:rsid w:val="0096429A"/>
    <w:rsid w:val="00964DF7"/>
    <w:rsid w:val="009676CF"/>
    <w:rsid w:val="00970BEB"/>
    <w:rsid w:val="009712ED"/>
    <w:rsid w:val="00980B88"/>
    <w:rsid w:val="00982889"/>
    <w:rsid w:val="00997B15"/>
    <w:rsid w:val="009A17AE"/>
    <w:rsid w:val="009A3E05"/>
    <w:rsid w:val="009A4241"/>
    <w:rsid w:val="009B0C77"/>
    <w:rsid w:val="009B5655"/>
    <w:rsid w:val="009B7788"/>
    <w:rsid w:val="009C56FB"/>
    <w:rsid w:val="009C5F62"/>
    <w:rsid w:val="009D041C"/>
    <w:rsid w:val="009D0FD7"/>
    <w:rsid w:val="009D318D"/>
    <w:rsid w:val="009D4785"/>
    <w:rsid w:val="009D5880"/>
    <w:rsid w:val="009E0D6D"/>
    <w:rsid w:val="009E76CF"/>
    <w:rsid w:val="009F0587"/>
    <w:rsid w:val="009F34EE"/>
    <w:rsid w:val="009F47BE"/>
    <w:rsid w:val="009F7B6B"/>
    <w:rsid w:val="00A02DCC"/>
    <w:rsid w:val="00A045D5"/>
    <w:rsid w:val="00A05A7F"/>
    <w:rsid w:val="00A07952"/>
    <w:rsid w:val="00A10F5C"/>
    <w:rsid w:val="00A128CA"/>
    <w:rsid w:val="00A221D8"/>
    <w:rsid w:val="00A231A0"/>
    <w:rsid w:val="00A23CAB"/>
    <w:rsid w:val="00A24548"/>
    <w:rsid w:val="00A26255"/>
    <w:rsid w:val="00A26ABE"/>
    <w:rsid w:val="00A27C68"/>
    <w:rsid w:val="00A313A7"/>
    <w:rsid w:val="00A34865"/>
    <w:rsid w:val="00A36C6D"/>
    <w:rsid w:val="00A36D46"/>
    <w:rsid w:val="00A411C6"/>
    <w:rsid w:val="00A43329"/>
    <w:rsid w:val="00A4479F"/>
    <w:rsid w:val="00A50A03"/>
    <w:rsid w:val="00A52282"/>
    <w:rsid w:val="00A54EA8"/>
    <w:rsid w:val="00A5574B"/>
    <w:rsid w:val="00A600A7"/>
    <w:rsid w:val="00A6361E"/>
    <w:rsid w:val="00A6631B"/>
    <w:rsid w:val="00A670B8"/>
    <w:rsid w:val="00A67B6A"/>
    <w:rsid w:val="00A70C80"/>
    <w:rsid w:val="00A878D1"/>
    <w:rsid w:val="00A95FA3"/>
    <w:rsid w:val="00AA159C"/>
    <w:rsid w:val="00AA2649"/>
    <w:rsid w:val="00AA392A"/>
    <w:rsid w:val="00AA3CFE"/>
    <w:rsid w:val="00AA41D7"/>
    <w:rsid w:val="00AB1184"/>
    <w:rsid w:val="00AB61EB"/>
    <w:rsid w:val="00AB7743"/>
    <w:rsid w:val="00AC3BEF"/>
    <w:rsid w:val="00AD2F6F"/>
    <w:rsid w:val="00AD4150"/>
    <w:rsid w:val="00AD4A5B"/>
    <w:rsid w:val="00AD4F1E"/>
    <w:rsid w:val="00AE1EFA"/>
    <w:rsid w:val="00AE20EB"/>
    <w:rsid w:val="00AF523A"/>
    <w:rsid w:val="00AF626A"/>
    <w:rsid w:val="00B03D5A"/>
    <w:rsid w:val="00B04A71"/>
    <w:rsid w:val="00B14396"/>
    <w:rsid w:val="00B17CB4"/>
    <w:rsid w:val="00B27DE7"/>
    <w:rsid w:val="00B31F41"/>
    <w:rsid w:val="00B33C41"/>
    <w:rsid w:val="00B340CE"/>
    <w:rsid w:val="00B341CE"/>
    <w:rsid w:val="00B50C73"/>
    <w:rsid w:val="00B56FA6"/>
    <w:rsid w:val="00B5778B"/>
    <w:rsid w:val="00B65925"/>
    <w:rsid w:val="00B72232"/>
    <w:rsid w:val="00B72295"/>
    <w:rsid w:val="00B72A9D"/>
    <w:rsid w:val="00B73427"/>
    <w:rsid w:val="00B83C83"/>
    <w:rsid w:val="00B83E95"/>
    <w:rsid w:val="00B86315"/>
    <w:rsid w:val="00B868DA"/>
    <w:rsid w:val="00B90C5B"/>
    <w:rsid w:val="00B93739"/>
    <w:rsid w:val="00BA54C9"/>
    <w:rsid w:val="00BA6FCA"/>
    <w:rsid w:val="00BB188D"/>
    <w:rsid w:val="00BB1B8A"/>
    <w:rsid w:val="00BB69EB"/>
    <w:rsid w:val="00BB6EAA"/>
    <w:rsid w:val="00BC03B7"/>
    <w:rsid w:val="00BC0EA6"/>
    <w:rsid w:val="00BC1EF8"/>
    <w:rsid w:val="00BC42AE"/>
    <w:rsid w:val="00BC4DBB"/>
    <w:rsid w:val="00BD08EC"/>
    <w:rsid w:val="00BD21A7"/>
    <w:rsid w:val="00BD50FC"/>
    <w:rsid w:val="00BD7832"/>
    <w:rsid w:val="00BE2F86"/>
    <w:rsid w:val="00BE4B84"/>
    <w:rsid w:val="00BE5C02"/>
    <w:rsid w:val="00BF1AB5"/>
    <w:rsid w:val="00C00D4A"/>
    <w:rsid w:val="00C01563"/>
    <w:rsid w:val="00C01C3C"/>
    <w:rsid w:val="00C04C19"/>
    <w:rsid w:val="00C076DB"/>
    <w:rsid w:val="00C15959"/>
    <w:rsid w:val="00C17E75"/>
    <w:rsid w:val="00C226DD"/>
    <w:rsid w:val="00C25FE8"/>
    <w:rsid w:val="00C321D7"/>
    <w:rsid w:val="00C34AE0"/>
    <w:rsid w:val="00C36BD4"/>
    <w:rsid w:val="00C42B02"/>
    <w:rsid w:val="00C4372A"/>
    <w:rsid w:val="00C53FBF"/>
    <w:rsid w:val="00C54B6C"/>
    <w:rsid w:val="00C567BF"/>
    <w:rsid w:val="00C60E3D"/>
    <w:rsid w:val="00C63A79"/>
    <w:rsid w:val="00C65CC4"/>
    <w:rsid w:val="00C673A7"/>
    <w:rsid w:val="00C70613"/>
    <w:rsid w:val="00C7103A"/>
    <w:rsid w:val="00C71E9F"/>
    <w:rsid w:val="00C758F0"/>
    <w:rsid w:val="00C8173C"/>
    <w:rsid w:val="00C82D30"/>
    <w:rsid w:val="00C83826"/>
    <w:rsid w:val="00C84A83"/>
    <w:rsid w:val="00C90D02"/>
    <w:rsid w:val="00C94D58"/>
    <w:rsid w:val="00C9559F"/>
    <w:rsid w:val="00C9597C"/>
    <w:rsid w:val="00C9661D"/>
    <w:rsid w:val="00CA5303"/>
    <w:rsid w:val="00CB0DC6"/>
    <w:rsid w:val="00CB16BE"/>
    <w:rsid w:val="00CB69EF"/>
    <w:rsid w:val="00CC5610"/>
    <w:rsid w:val="00CC788A"/>
    <w:rsid w:val="00CD0240"/>
    <w:rsid w:val="00CD31DF"/>
    <w:rsid w:val="00CD3256"/>
    <w:rsid w:val="00CD3F8F"/>
    <w:rsid w:val="00CD72E6"/>
    <w:rsid w:val="00CE1166"/>
    <w:rsid w:val="00CE5AA0"/>
    <w:rsid w:val="00CE697A"/>
    <w:rsid w:val="00CF1913"/>
    <w:rsid w:val="00D00FE0"/>
    <w:rsid w:val="00D01A45"/>
    <w:rsid w:val="00D02ECE"/>
    <w:rsid w:val="00D034EF"/>
    <w:rsid w:val="00D0390E"/>
    <w:rsid w:val="00D1421E"/>
    <w:rsid w:val="00D242CB"/>
    <w:rsid w:val="00D24A1F"/>
    <w:rsid w:val="00D26BA8"/>
    <w:rsid w:val="00D26DC5"/>
    <w:rsid w:val="00D27AAF"/>
    <w:rsid w:val="00D31A03"/>
    <w:rsid w:val="00D31ADB"/>
    <w:rsid w:val="00D33392"/>
    <w:rsid w:val="00D42002"/>
    <w:rsid w:val="00D632EB"/>
    <w:rsid w:val="00D73E06"/>
    <w:rsid w:val="00D74171"/>
    <w:rsid w:val="00D75F74"/>
    <w:rsid w:val="00D81747"/>
    <w:rsid w:val="00D846CB"/>
    <w:rsid w:val="00D85C59"/>
    <w:rsid w:val="00D878E9"/>
    <w:rsid w:val="00D91536"/>
    <w:rsid w:val="00D92190"/>
    <w:rsid w:val="00D94DE2"/>
    <w:rsid w:val="00D95724"/>
    <w:rsid w:val="00D957AB"/>
    <w:rsid w:val="00DA0528"/>
    <w:rsid w:val="00DA53F3"/>
    <w:rsid w:val="00DA7BAF"/>
    <w:rsid w:val="00DA7F2E"/>
    <w:rsid w:val="00DB0057"/>
    <w:rsid w:val="00DB00EF"/>
    <w:rsid w:val="00DB38BB"/>
    <w:rsid w:val="00DB589A"/>
    <w:rsid w:val="00DB5A10"/>
    <w:rsid w:val="00DC0FCF"/>
    <w:rsid w:val="00DC52BC"/>
    <w:rsid w:val="00DC5679"/>
    <w:rsid w:val="00DD1393"/>
    <w:rsid w:val="00DE5FFC"/>
    <w:rsid w:val="00DF0A79"/>
    <w:rsid w:val="00DF6D84"/>
    <w:rsid w:val="00E05505"/>
    <w:rsid w:val="00E05F37"/>
    <w:rsid w:val="00E07819"/>
    <w:rsid w:val="00E12BA0"/>
    <w:rsid w:val="00E177B2"/>
    <w:rsid w:val="00E26429"/>
    <w:rsid w:val="00E40075"/>
    <w:rsid w:val="00E405A9"/>
    <w:rsid w:val="00E40601"/>
    <w:rsid w:val="00E40D2A"/>
    <w:rsid w:val="00E40DC8"/>
    <w:rsid w:val="00E46E18"/>
    <w:rsid w:val="00E475B4"/>
    <w:rsid w:val="00E475F5"/>
    <w:rsid w:val="00E478B6"/>
    <w:rsid w:val="00E47CA7"/>
    <w:rsid w:val="00E47EA4"/>
    <w:rsid w:val="00E51460"/>
    <w:rsid w:val="00E550A0"/>
    <w:rsid w:val="00E553C5"/>
    <w:rsid w:val="00E6060D"/>
    <w:rsid w:val="00E66019"/>
    <w:rsid w:val="00E66F73"/>
    <w:rsid w:val="00E67A38"/>
    <w:rsid w:val="00E77A8D"/>
    <w:rsid w:val="00E77CF9"/>
    <w:rsid w:val="00E8331E"/>
    <w:rsid w:val="00E8470E"/>
    <w:rsid w:val="00E92109"/>
    <w:rsid w:val="00E96809"/>
    <w:rsid w:val="00EA42C6"/>
    <w:rsid w:val="00EA4A16"/>
    <w:rsid w:val="00EB28DB"/>
    <w:rsid w:val="00EB59B9"/>
    <w:rsid w:val="00EB6438"/>
    <w:rsid w:val="00EC330B"/>
    <w:rsid w:val="00EC6FB4"/>
    <w:rsid w:val="00ED058A"/>
    <w:rsid w:val="00ED0D54"/>
    <w:rsid w:val="00ED5CF5"/>
    <w:rsid w:val="00ED5E77"/>
    <w:rsid w:val="00ED6A6E"/>
    <w:rsid w:val="00EE25C3"/>
    <w:rsid w:val="00EE2EEB"/>
    <w:rsid w:val="00EE3BB5"/>
    <w:rsid w:val="00EE6539"/>
    <w:rsid w:val="00EF42A0"/>
    <w:rsid w:val="00F06768"/>
    <w:rsid w:val="00F10C7D"/>
    <w:rsid w:val="00F14CD0"/>
    <w:rsid w:val="00F16FAD"/>
    <w:rsid w:val="00F2082C"/>
    <w:rsid w:val="00F23B62"/>
    <w:rsid w:val="00F26AFA"/>
    <w:rsid w:val="00F32652"/>
    <w:rsid w:val="00F34671"/>
    <w:rsid w:val="00F4305B"/>
    <w:rsid w:val="00F435A0"/>
    <w:rsid w:val="00F46EC4"/>
    <w:rsid w:val="00F4797F"/>
    <w:rsid w:val="00F576D2"/>
    <w:rsid w:val="00F630A4"/>
    <w:rsid w:val="00F8747D"/>
    <w:rsid w:val="00F903B3"/>
    <w:rsid w:val="00F94716"/>
    <w:rsid w:val="00F95DB2"/>
    <w:rsid w:val="00F95FA5"/>
    <w:rsid w:val="00FA2ECB"/>
    <w:rsid w:val="00FA5E68"/>
    <w:rsid w:val="00FA5F23"/>
    <w:rsid w:val="00FB2048"/>
    <w:rsid w:val="00FB20D2"/>
    <w:rsid w:val="00FB5E08"/>
    <w:rsid w:val="00FB674F"/>
    <w:rsid w:val="00FC466B"/>
    <w:rsid w:val="00FC7B86"/>
    <w:rsid w:val="00FD29A5"/>
    <w:rsid w:val="00FD7346"/>
    <w:rsid w:val="00FF1045"/>
    <w:rsid w:val="00FF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footnote text" w:uiPriority="99"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EFA"/>
    <w:pPr>
      <w:jc w:val="both"/>
    </w:pPr>
    <w:rPr>
      <w:rFonts w:ascii="Arial" w:hAnsi="Arial" w:cs="Arial"/>
      <w:lang w:val="fr-FR" w:eastAsia="en-US"/>
    </w:rPr>
  </w:style>
  <w:style w:type="paragraph" w:styleId="Heading1">
    <w:name w:val="heading 1"/>
    <w:basedOn w:val="Normal"/>
    <w:next w:val="Normal"/>
    <w:link w:val="Heading1Char"/>
    <w:qFormat/>
    <w:rsid w:val="0085353F"/>
    <w:pPr>
      <w:numPr>
        <w:numId w:val="12"/>
      </w:numPr>
      <w:pBdr>
        <w:top w:val="single" w:sz="4" w:space="1" w:color="auto"/>
        <w:left w:val="single" w:sz="4" w:space="4" w:color="auto"/>
        <w:bottom w:val="single" w:sz="4" w:space="1" w:color="auto"/>
        <w:right w:val="single" w:sz="4" w:space="4" w:color="auto"/>
      </w:pBdr>
      <w:spacing w:after="120"/>
      <w:outlineLvl w:val="0"/>
    </w:pPr>
    <w:rPr>
      <w:b/>
      <w:bCs/>
      <w:snapToGrid w:val="0"/>
      <w:color w:val="000000"/>
      <w:sz w:val="24"/>
      <w:lang w:eastAsia="fr-FR"/>
    </w:rPr>
  </w:style>
  <w:style w:type="paragraph" w:styleId="Heading2">
    <w:name w:val="heading 2"/>
    <w:basedOn w:val="Normal"/>
    <w:next w:val="Normal"/>
    <w:qFormat/>
    <w:rsid w:val="0085353F"/>
    <w:pPr>
      <w:keepNext/>
      <w:outlineLvl w:val="1"/>
    </w:pPr>
    <w:rPr>
      <w:b/>
      <w:bCs/>
      <w:iCs/>
      <w:sz w:val="24"/>
      <w:szCs w:val="28"/>
    </w:rPr>
  </w:style>
  <w:style w:type="paragraph" w:styleId="Heading3">
    <w:name w:val="heading 3"/>
    <w:basedOn w:val="Normal"/>
    <w:next w:val="Normal"/>
    <w:qFormat/>
    <w:rsid w:val="00E77A8D"/>
    <w:pPr>
      <w:keepNext/>
      <w:spacing w:before="240" w:after="60"/>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TitreRapport">
    <w:name w:val="COE_Titre_Rapport"/>
    <w:basedOn w:val="COETitre"/>
    <w:rsid w:val="007F4EFA"/>
    <w:pPr>
      <w:jc w:val="left"/>
    </w:pPr>
    <w:rPr>
      <w:b/>
      <w:sz w:val="32"/>
    </w:rPr>
  </w:style>
  <w:style w:type="paragraph" w:customStyle="1" w:styleId="COETitre">
    <w:name w:val="COE_Titre"/>
    <w:basedOn w:val="Normal"/>
    <w:link w:val="COETitreChar"/>
    <w:qFormat/>
    <w:rsid w:val="00A221D8"/>
    <w:rPr>
      <w:sz w:val="36"/>
      <w:lang w:eastAsia="fr-FR"/>
    </w:rPr>
  </w:style>
  <w:style w:type="table" w:styleId="TableGrid">
    <w:name w:val="Table Grid"/>
    <w:basedOn w:val="TableNormal"/>
    <w:rsid w:val="0082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21D8"/>
  </w:style>
  <w:style w:type="paragraph" w:customStyle="1" w:styleId="COELignes">
    <w:name w:val="COE_Lignes"/>
    <w:basedOn w:val="Normal"/>
    <w:rsid w:val="00A221D8"/>
    <w:pPr>
      <w:spacing w:after="120"/>
    </w:pPr>
    <w:rPr>
      <w:rFonts w:ascii="Verdana" w:hAnsi="Verdana"/>
      <w:lang w:val="en-US"/>
    </w:rPr>
  </w:style>
  <w:style w:type="character" w:customStyle="1" w:styleId="COEFootnoteChar">
    <w:name w:val="COE_Footnote Char"/>
    <w:link w:val="COEFootnote"/>
    <w:qFormat/>
    <w:rsid w:val="00750A4A"/>
    <w:rPr>
      <w:rFonts w:ascii="Arial" w:hAnsi="Arial" w:cs="Arial"/>
      <w:sz w:val="16"/>
      <w:szCs w:val="16"/>
      <w:lang w:val="fr-FR" w:eastAsia="en-US" w:bidi="ar-SA"/>
    </w:rPr>
  </w:style>
  <w:style w:type="paragraph" w:customStyle="1" w:styleId="COEFootnote">
    <w:name w:val="COE_Footnote"/>
    <w:basedOn w:val="FootnoteText"/>
    <w:link w:val="COEFootnoteChar"/>
    <w:qFormat/>
    <w:rsid w:val="00750A4A"/>
    <w:rPr>
      <w:sz w:val="16"/>
      <w:szCs w:val="16"/>
    </w:rPr>
  </w:style>
  <w:style w:type="paragraph" w:styleId="FootnoteText">
    <w:name w:val="footnote text"/>
    <w:aliases w:val="Footnote Text Char Char,Footnote Text Char2 Char Char,Footnote Text Char2 Char,Footnote Text Char Char1 Char,Footnote Text Char2 Char Char1 Char,Footnote Text Char2 Char1 Char Char,Char1 Char,Geneva 9,Font: Geneva 9,f,Fußnote,Fußnote Char"/>
    <w:basedOn w:val="Normal"/>
    <w:link w:val="FootnoteTextChar"/>
    <w:uiPriority w:val="99"/>
    <w:qFormat/>
    <w:rsid w:val="00E40601"/>
  </w:style>
  <w:style w:type="paragraph" w:styleId="BalloonText">
    <w:name w:val="Balloon Text"/>
    <w:basedOn w:val="Normal"/>
    <w:semiHidden/>
    <w:rsid w:val="00EB6438"/>
    <w:rPr>
      <w:rFonts w:ascii="Tahoma" w:hAnsi="Tahoma" w:cs="Tahoma"/>
      <w:sz w:val="16"/>
      <w:szCs w:val="16"/>
    </w:rPr>
  </w:style>
  <w:style w:type="character" w:styleId="FootnoteReference">
    <w:name w:val="footnote reference"/>
    <w:aliases w:val="Footnotes refss,Footnote Refernece,Fußnotenzeichen_Raxen,callout,Footnote Reference Number, BVI fnr,BVI fnr,Footnote Reference Char Car Char Char Car Char Car Char Car Char,callout Char,Footnotes refss Char,Exposant 3 Point,Footnote"/>
    <w:link w:val="calloutCharCharChar"/>
    <w:qFormat/>
    <w:rsid w:val="00E177B2"/>
    <w:rPr>
      <w:vertAlign w:val="superscript"/>
    </w:rPr>
  </w:style>
  <w:style w:type="character" w:styleId="Hyperlink">
    <w:name w:val="Hyperlink"/>
    <w:uiPriority w:val="99"/>
    <w:rsid w:val="00196FF8"/>
    <w:rPr>
      <w:rFonts w:ascii="Arial" w:hAnsi="Arial"/>
      <w:color w:val="0000FF"/>
      <w:sz w:val="16"/>
      <w:u w:val="single"/>
    </w:rPr>
  </w:style>
  <w:style w:type="paragraph" w:styleId="Header">
    <w:name w:val="header"/>
    <w:basedOn w:val="Normal"/>
    <w:link w:val="HeaderChar"/>
    <w:rsid w:val="000568F4"/>
    <w:pPr>
      <w:tabs>
        <w:tab w:val="center" w:pos="4513"/>
        <w:tab w:val="right" w:pos="9026"/>
      </w:tabs>
    </w:pPr>
  </w:style>
  <w:style w:type="character" w:customStyle="1" w:styleId="Style">
    <w:name w:val="Style"/>
    <w:rsid w:val="00E177B2"/>
    <w:rPr>
      <w:rFonts w:ascii="Arial" w:hAnsi="Arial" w:cs="Arial"/>
      <w:color w:val="000000"/>
      <w:sz w:val="16"/>
      <w:szCs w:val="20"/>
      <w:vertAlign w:val="superscript"/>
    </w:rPr>
  </w:style>
  <w:style w:type="paragraph" w:styleId="DocumentMap">
    <w:name w:val="Document Map"/>
    <w:basedOn w:val="Normal"/>
    <w:semiHidden/>
    <w:rsid w:val="00C8173C"/>
    <w:pPr>
      <w:shd w:val="clear" w:color="auto" w:fill="000080"/>
    </w:pPr>
    <w:rPr>
      <w:rFonts w:ascii="Tahoma" w:hAnsi="Tahoma" w:cs="Tahoma"/>
    </w:rPr>
  </w:style>
  <w:style w:type="character" w:styleId="CommentReference">
    <w:name w:val="annotation reference"/>
    <w:semiHidden/>
    <w:rsid w:val="000648E3"/>
    <w:rPr>
      <w:sz w:val="16"/>
      <w:szCs w:val="16"/>
    </w:rPr>
  </w:style>
  <w:style w:type="paragraph" w:styleId="CommentText">
    <w:name w:val="annotation text"/>
    <w:basedOn w:val="Normal"/>
    <w:semiHidden/>
    <w:rsid w:val="000648E3"/>
  </w:style>
  <w:style w:type="paragraph" w:styleId="CommentSubject">
    <w:name w:val="annotation subject"/>
    <w:basedOn w:val="CommentText"/>
    <w:next w:val="CommentText"/>
    <w:semiHidden/>
    <w:rsid w:val="000648E3"/>
    <w:rPr>
      <w:b/>
      <w:bCs/>
    </w:rPr>
  </w:style>
  <w:style w:type="paragraph" w:customStyle="1" w:styleId="COEHeading1">
    <w:name w:val="COE_Heading1"/>
    <w:basedOn w:val="Heading1"/>
    <w:link w:val="COEHeading1Char"/>
    <w:rsid w:val="00D73E06"/>
    <w:pPr>
      <w:jc w:val="left"/>
    </w:pPr>
    <w:rPr>
      <w:caps/>
    </w:rPr>
  </w:style>
  <w:style w:type="paragraph" w:styleId="TOC1">
    <w:name w:val="toc 1"/>
    <w:basedOn w:val="Normal"/>
    <w:next w:val="Normal"/>
    <w:autoRedefine/>
    <w:uiPriority w:val="39"/>
    <w:rsid w:val="00EB59B9"/>
    <w:pPr>
      <w:tabs>
        <w:tab w:val="left" w:pos="284"/>
        <w:tab w:val="right" w:leader="dot" w:pos="8931"/>
      </w:tabs>
      <w:spacing w:before="240" w:after="80"/>
      <w:jc w:val="left"/>
    </w:pPr>
    <w:rPr>
      <w:b/>
      <w:noProof/>
    </w:rPr>
  </w:style>
  <w:style w:type="paragraph" w:customStyle="1" w:styleId="COETitreCongress">
    <w:name w:val="COE_Titre_Congress"/>
    <w:basedOn w:val="COETitre"/>
    <w:link w:val="COETitreCongressChar"/>
    <w:rsid w:val="00ED058A"/>
    <w:pPr>
      <w:jc w:val="left"/>
    </w:pPr>
    <w:rPr>
      <w:b/>
      <w:szCs w:val="36"/>
    </w:rPr>
  </w:style>
  <w:style w:type="character" w:customStyle="1" w:styleId="COETitreChar">
    <w:name w:val="COE_Titre Char"/>
    <w:link w:val="COETitre"/>
    <w:rsid w:val="00ED058A"/>
    <w:rPr>
      <w:rFonts w:ascii="Arial" w:hAnsi="Arial" w:cs="Arial"/>
      <w:sz w:val="36"/>
      <w:lang w:val="fr-FR" w:eastAsia="fr-FR" w:bidi="ar-SA"/>
    </w:rPr>
  </w:style>
  <w:style w:type="character" w:customStyle="1" w:styleId="COETitreCongressChar">
    <w:name w:val="COE_Titre_Congress Char"/>
    <w:link w:val="COETitreCongress"/>
    <w:rsid w:val="00ED058A"/>
    <w:rPr>
      <w:rFonts w:ascii="Arial" w:hAnsi="Arial" w:cs="Arial"/>
      <w:b/>
      <w:sz w:val="36"/>
      <w:szCs w:val="36"/>
      <w:lang w:val="fr-FR" w:eastAsia="fr-FR" w:bidi="ar-SA"/>
    </w:rPr>
  </w:style>
  <w:style w:type="character" w:customStyle="1" w:styleId="Heading1Char">
    <w:name w:val="Heading 1 Char"/>
    <w:link w:val="Heading1"/>
    <w:rsid w:val="0085353F"/>
    <w:rPr>
      <w:rFonts w:ascii="Arial" w:hAnsi="Arial" w:cs="Arial"/>
      <w:b/>
      <w:bCs/>
      <w:snapToGrid w:val="0"/>
      <w:color w:val="000000"/>
      <w:sz w:val="24"/>
      <w:lang w:val="fr-FR" w:eastAsia="fr-FR"/>
    </w:rPr>
  </w:style>
  <w:style w:type="character" w:customStyle="1" w:styleId="COEHeading1Char">
    <w:name w:val="COE_Heading1 Char"/>
    <w:link w:val="COEHeading1"/>
    <w:rsid w:val="00D73E06"/>
    <w:rPr>
      <w:rFonts w:ascii="Arial" w:hAnsi="Arial" w:cs="Arial"/>
      <w:b/>
      <w:bCs/>
      <w:caps/>
      <w:snapToGrid w:val="0"/>
      <w:color w:val="000000"/>
      <w:lang w:val="fr-FR" w:eastAsia="fr-FR" w:bidi="ar-SA"/>
    </w:rPr>
  </w:style>
  <w:style w:type="paragraph" w:customStyle="1" w:styleId="FootnoteReference0">
    <w:name w:val="Footnote_Reference"/>
    <w:basedOn w:val="Normal"/>
    <w:link w:val="FootnoteReferenceChar"/>
    <w:autoRedefine/>
    <w:rsid w:val="0000680B"/>
    <w:rPr>
      <w:vertAlign w:val="superscript"/>
    </w:rPr>
  </w:style>
  <w:style w:type="character" w:customStyle="1" w:styleId="FootnoteReferenceChar">
    <w:name w:val="Footnote_Reference Char"/>
    <w:link w:val="FootnoteReference0"/>
    <w:rsid w:val="0000680B"/>
    <w:rPr>
      <w:rFonts w:ascii="Arial" w:hAnsi="Arial" w:cs="Arial"/>
      <w:sz w:val="16"/>
      <w:szCs w:val="16"/>
      <w:vertAlign w:val="superscript"/>
      <w:lang w:val="fr-FR" w:eastAsia="en-US" w:bidi="ar-SA"/>
    </w:rPr>
  </w:style>
  <w:style w:type="character" w:customStyle="1" w:styleId="HeaderChar">
    <w:name w:val="Header Char"/>
    <w:link w:val="Header"/>
    <w:rsid w:val="000568F4"/>
    <w:rPr>
      <w:rFonts w:ascii="Arial" w:hAnsi="Arial" w:cs="Arial"/>
      <w:lang w:eastAsia="en-US"/>
    </w:rPr>
  </w:style>
  <w:style w:type="paragraph" w:customStyle="1" w:styleId="Paragraphestandard">
    <w:name w:val="[Paragraphe standard]"/>
    <w:basedOn w:val="Normal"/>
    <w:uiPriority w:val="99"/>
    <w:rsid w:val="002E38E1"/>
    <w:pPr>
      <w:autoSpaceDE w:val="0"/>
      <w:autoSpaceDN w:val="0"/>
      <w:adjustRightInd w:val="0"/>
      <w:spacing w:line="288" w:lineRule="auto"/>
      <w:jc w:val="left"/>
      <w:textAlignment w:val="center"/>
    </w:pPr>
    <w:rPr>
      <w:rFonts w:ascii="Minion Pro" w:eastAsia="Calibri" w:hAnsi="Minion Pro" w:cs="Minion Pro"/>
      <w:color w:val="000000"/>
      <w:sz w:val="24"/>
      <w:szCs w:val="24"/>
    </w:rPr>
  </w:style>
  <w:style w:type="paragraph" w:styleId="TOC2">
    <w:name w:val="toc 2"/>
    <w:basedOn w:val="Normal"/>
    <w:next w:val="Normal"/>
    <w:autoRedefine/>
    <w:uiPriority w:val="39"/>
    <w:qFormat/>
    <w:rsid w:val="0053124D"/>
    <w:pPr>
      <w:tabs>
        <w:tab w:val="right" w:leader="dot" w:pos="8931"/>
      </w:tabs>
      <w:spacing w:before="80" w:after="80"/>
      <w:ind w:right="141"/>
    </w:pPr>
    <w:rPr>
      <w:rFonts w:eastAsia="Cambria"/>
      <w:noProof/>
      <w:sz w:val="18"/>
    </w:rPr>
  </w:style>
  <w:style w:type="character" w:customStyle="1" w:styleId="FootnoteTextChar">
    <w:name w:val="Footnote Text Char"/>
    <w:aliases w:val="Footnote Text Char Char Char,Footnote Text Char2 Char Char Char,Footnote Text Char2 Char Char1,Footnote Text Char Char1 Char Char,Footnote Text Char2 Char Char1 Char Char,Footnote Text Char2 Char1 Char Char Char,Char1 Char Char,f Char"/>
    <w:link w:val="FootnoteText"/>
    <w:uiPriority w:val="99"/>
    <w:locked/>
    <w:rsid w:val="003B27E0"/>
    <w:rPr>
      <w:rFonts w:ascii="Arial" w:hAnsi="Arial" w:cs="Arial"/>
      <w:lang w:val="fr-FR" w:eastAsia="en-US"/>
    </w:rPr>
  </w:style>
  <w:style w:type="paragraph" w:styleId="ListParagraph">
    <w:name w:val="List Paragraph"/>
    <w:basedOn w:val="Normal"/>
    <w:uiPriority w:val="34"/>
    <w:qFormat/>
    <w:rsid w:val="003B27E0"/>
    <w:pPr>
      <w:ind w:left="720"/>
      <w:contextualSpacing/>
      <w:jc w:val="left"/>
    </w:pPr>
    <w:rPr>
      <w:rFonts w:ascii="Calibri" w:hAnsi="Calibri" w:cs="Times New Roman"/>
      <w:sz w:val="24"/>
      <w:szCs w:val="24"/>
      <w:lang w:val="en-IE" w:eastAsia="ja-JP"/>
    </w:rPr>
  </w:style>
  <w:style w:type="paragraph" w:styleId="TOCHeading">
    <w:name w:val="TOC Heading"/>
    <w:basedOn w:val="Heading1"/>
    <w:next w:val="Normal"/>
    <w:uiPriority w:val="39"/>
    <w:semiHidden/>
    <w:unhideWhenUsed/>
    <w:qFormat/>
    <w:rsid w:val="003B27E0"/>
    <w:pPr>
      <w:keepNext/>
      <w:keepLines/>
      <w:spacing w:before="480" w:line="276" w:lineRule="auto"/>
      <w:jc w:val="left"/>
      <w:outlineLvl w:val="9"/>
    </w:pPr>
    <w:rPr>
      <w:rFonts w:ascii="Cambria" w:hAnsi="Cambria" w:cs="Times New Roman"/>
      <w:snapToGrid/>
      <w:color w:val="365F91"/>
      <w:sz w:val="28"/>
      <w:szCs w:val="28"/>
      <w:lang w:val="en-US" w:eastAsia="ja-JP"/>
    </w:rPr>
  </w:style>
  <w:style w:type="paragraph" w:customStyle="1" w:styleId="COENoLignes">
    <w:name w:val="COE_NoLignes"/>
    <w:rsid w:val="003700C6"/>
    <w:rPr>
      <w:sz w:val="24"/>
      <w:lang w:val="en-US" w:eastAsia="en-US"/>
    </w:rPr>
  </w:style>
  <w:style w:type="paragraph" w:customStyle="1" w:styleId="a">
    <w:name w:val="a"/>
    <w:basedOn w:val="Normal"/>
    <w:rsid w:val="00804F6C"/>
    <w:pPr>
      <w:spacing w:after="160" w:line="240" w:lineRule="exact"/>
      <w:jc w:val="left"/>
    </w:pPr>
    <w:rPr>
      <w:lang w:val="en-US"/>
    </w:rPr>
  </w:style>
  <w:style w:type="paragraph" w:customStyle="1" w:styleId="Default">
    <w:name w:val="Default"/>
    <w:rsid w:val="00486CCE"/>
    <w:pPr>
      <w:autoSpaceDE w:val="0"/>
      <w:autoSpaceDN w:val="0"/>
      <w:adjustRightInd w:val="0"/>
    </w:pPr>
    <w:rPr>
      <w:rFonts w:ascii="Arial" w:hAnsi="Arial" w:cs="Arial"/>
      <w:color w:val="000000"/>
      <w:sz w:val="24"/>
      <w:szCs w:val="24"/>
    </w:rPr>
  </w:style>
  <w:style w:type="character" w:customStyle="1" w:styleId="Sidrosprotneopombe">
    <w:name w:val="Sidro sprotne opombe"/>
    <w:rsid w:val="00B90C5B"/>
    <w:rPr>
      <w:vertAlign w:val="superscript"/>
    </w:rPr>
  </w:style>
  <w:style w:type="paragraph" w:customStyle="1" w:styleId="CGFootnote">
    <w:name w:val="CG Footnote"/>
    <w:basedOn w:val="Normal"/>
    <w:qFormat/>
    <w:rsid w:val="00B90C5B"/>
    <w:rPr>
      <w:rFonts w:cs="Times New Roman"/>
      <w:sz w:val="16"/>
      <w:szCs w:val="24"/>
      <w:lang w:val="en-GB"/>
    </w:rPr>
  </w:style>
  <w:style w:type="paragraph" w:styleId="TOC5">
    <w:name w:val="toc 5"/>
    <w:basedOn w:val="Normal"/>
    <w:next w:val="Normal"/>
    <w:autoRedefine/>
    <w:rsid w:val="001C4A25"/>
    <w:pPr>
      <w:spacing w:after="100"/>
      <w:ind w:left="800"/>
    </w:pPr>
  </w:style>
  <w:style w:type="character" w:customStyle="1" w:styleId="shorttext">
    <w:name w:val="short_text"/>
    <w:basedOn w:val="DefaultParagraphFont"/>
    <w:rsid w:val="003B28AD"/>
  </w:style>
  <w:style w:type="paragraph" w:customStyle="1" w:styleId="calloutCharCharChar">
    <w:name w:val="callout Char Char Char"/>
    <w:aliases w:val="Footnotes refss Char Char Char,Footnote Reference Char Car Char Char Car Char Car Char Car Char Char Char Char"/>
    <w:basedOn w:val="Normal"/>
    <w:link w:val="FootnoteReference"/>
    <w:uiPriority w:val="99"/>
    <w:rsid w:val="00F2082C"/>
    <w:pPr>
      <w:spacing w:after="160" w:line="240" w:lineRule="exact"/>
      <w:jc w:val="left"/>
    </w:pPr>
    <w:rPr>
      <w:rFonts w:ascii="Times New Roman" w:hAnsi="Times New Roman" w:cs="Times New Roman"/>
      <w:vertAlign w:val="superscript"/>
      <w:lang w:val="en-GB" w:eastAsia="en-GB"/>
    </w:rPr>
  </w:style>
  <w:style w:type="character" w:customStyle="1" w:styleId="Caractresdenotedebasdepage">
    <w:name w:val="Caractères de note de bas de page"/>
    <w:rsid w:val="007E2423"/>
  </w:style>
  <w:style w:type="paragraph" w:styleId="NoSpacing">
    <w:name w:val="No Spacing"/>
    <w:uiPriority w:val="1"/>
    <w:qFormat/>
    <w:rsid w:val="00CE697A"/>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footnote text" w:uiPriority="99"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EFA"/>
    <w:pPr>
      <w:jc w:val="both"/>
    </w:pPr>
    <w:rPr>
      <w:rFonts w:ascii="Arial" w:hAnsi="Arial" w:cs="Arial"/>
      <w:lang w:val="fr-FR" w:eastAsia="en-US"/>
    </w:rPr>
  </w:style>
  <w:style w:type="paragraph" w:styleId="Heading1">
    <w:name w:val="heading 1"/>
    <w:basedOn w:val="Normal"/>
    <w:next w:val="Normal"/>
    <w:link w:val="Heading1Char"/>
    <w:qFormat/>
    <w:rsid w:val="0085353F"/>
    <w:pPr>
      <w:numPr>
        <w:numId w:val="12"/>
      </w:numPr>
      <w:pBdr>
        <w:top w:val="single" w:sz="4" w:space="1" w:color="auto"/>
        <w:left w:val="single" w:sz="4" w:space="4" w:color="auto"/>
        <w:bottom w:val="single" w:sz="4" w:space="1" w:color="auto"/>
        <w:right w:val="single" w:sz="4" w:space="4" w:color="auto"/>
      </w:pBdr>
      <w:spacing w:after="120"/>
      <w:outlineLvl w:val="0"/>
    </w:pPr>
    <w:rPr>
      <w:b/>
      <w:bCs/>
      <w:snapToGrid w:val="0"/>
      <w:color w:val="000000"/>
      <w:sz w:val="24"/>
      <w:lang w:eastAsia="fr-FR"/>
    </w:rPr>
  </w:style>
  <w:style w:type="paragraph" w:styleId="Heading2">
    <w:name w:val="heading 2"/>
    <w:basedOn w:val="Normal"/>
    <w:next w:val="Normal"/>
    <w:qFormat/>
    <w:rsid w:val="0085353F"/>
    <w:pPr>
      <w:keepNext/>
      <w:outlineLvl w:val="1"/>
    </w:pPr>
    <w:rPr>
      <w:b/>
      <w:bCs/>
      <w:iCs/>
      <w:sz w:val="24"/>
      <w:szCs w:val="28"/>
    </w:rPr>
  </w:style>
  <w:style w:type="paragraph" w:styleId="Heading3">
    <w:name w:val="heading 3"/>
    <w:basedOn w:val="Normal"/>
    <w:next w:val="Normal"/>
    <w:qFormat/>
    <w:rsid w:val="00E77A8D"/>
    <w:pPr>
      <w:keepNext/>
      <w:spacing w:before="240" w:after="60"/>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TitreRapport">
    <w:name w:val="COE_Titre_Rapport"/>
    <w:basedOn w:val="COETitre"/>
    <w:rsid w:val="007F4EFA"/>
    <w:pPr>
      <w:jc w:val="left"/>
    </w:pPr>
    <w:rPr>
      <w:b/>
      <w:sz w:val="32"/>
    </w:rPr>
  </w:style>
  <w:style w:type="paragraph" w:customStyle="1" w:styleId="COETitre">
    <w:name w:val="COE_Titre"/>
    <w:basedOn w:val="Normal"/>
    <w:link w:val="COETitreChar"/>
    <w:qFormat/>
    <w:rsid w:val="00A221D8"/>
    <w:rPr>
      <w:sz w:val="36"/>
      <w:lang w:eastAsia="fr-FR"/>
    </w:rPr>
  </w:style>
  <w:style w:type="table" w:styleId="TableGrid">
    <w:name w:val="Table Grid"/>
    <w:basedOn w:val="TableNormal"/>
    <w:rsid w:val="0082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21D8"/>
  </w:style>
  <w:style w:type="paragraph" w:customStyle="1" w:styleId="COELignes">
    <w:name w:val="COE_Lignes"/>
    <w:basedOn w:val="Normal"/>
    <w:rsid w:val="00A221D8"/>
    <w:pPr>
      <w:spacing w:after="120"/>
    </w:pPr>
    <w:rPr>
      <w:rFonts w:ascii="Verdana" w:hAnsi="Verdana"/>
      <w:lang w:val="en-US"/>
    </w:rPr>
  </w:style>
  <w:style w:type="character" w:customStyle="1" w:styleId="COEFootnoteChar">
    <w:name w:val="COE_Footnote Char"/>
    <w:link w:val="COEFootnote"/>
    <w:qFormat/>
    <w:rsid w:val="00750A4A"/>
    <w:rPr>
      <w:rFonts w:ascii="Arial" w:hAnsi="Arial" w:cs="Arial"/>
      <w:sz w:val="16"/>
      <w:szCs w:val="16"/>
      <w:lang w:val="fr-FR" w:eastAsia="en-US" w:bidi="ar-SA"/>
    </w:rPr>
  </w:style>
  <w:style w:type="paragraph" w:customStyle="1" w:styleId="COEFootnote">
    <w:name w:val="COE_Footnote"/>
    <w:basedOn w:val="FootnoteText"/>
    <w:link w:val="COEFootnoteChar"/>
    <w:qFormat/>
    <w:rsid w:val="00750A4A"/>
    <w:rPr>
      <w:sz w:val="16"/>
      <w:szCs w:val="16"/>
    </w:rPr>
  </w:style>
  <w:style w:type="paragraph" w:styleId="FootnoteText">
    <w:name w:val="footnote text"/>
    <w:aliases w:val="Footnote Text Char Char,Footnote Text Char2 Char Char,Footnote Text Char2 Char,Footnote Text Char Char1 Char,Footnote Text Char2 Char Char1 Char,Footnote Text Char2 Char1 Char Char,Char1 Char,Geneva 9,Font: Geneva 9,f,Fußnote,Fußnote Char"/>
    <w:basedOn w:val="Normal"/>
    <w:link w:val="FootnoteTextChar"/>
    <w:uiPriority w:val="99"/>
    <w:qFormat/>
    <w:rsid w:val="00E40601"/>
  </w:style>
  <w:style w:type="paragraph" w:styleId="BalloonText">
    <w:name w:val="Balloon Text"/>
    <w:basedOn w:val="Normal"/>
    <w:semiHidden/>
    <w:rsid w:val="00EB6438"/>
    <w:rPr>
      <w:rFonts w:ascii="Tahoma" w:hAnsi="Tahoma" w:cs="Tahoma"/>
      <w:sz w:val="16"/>
      <w:szCs w:val="16"/>
    </w:rPr>
  </w:style>
  <w:style w:type="character" w:styleId="FootnoteReference">
    <w:name w:val="footnote reference"/>
    <w:aliases w:val="Footnotes refss,Footnote Refernece,Fußnotenzeichen_Raxen,callout,Footnote Reference Number, BVI fnr,BVI fnr,Footnote Reference Char Car Char Char Car Char Car Char Car Char,callout Char,Footnotes refss Char,Exposant 3 Point,Footnote"/>
    <w:link w:val="calloutCharCharChar"/>
    <w:qFormat/>
    <w:rsid w:val="00E177B2"/>
    <w:rPr>
      <w:vertAlign w:val="superscript"/>
    </w:rPr>
  </w:style>
  <w:style w:type="character" w:styleId="Hyperlink">
    <w:name w:val="Hyperlink"/>
    <w:uiPriority w:val="99"/>
    <w:rsid w:val="00196FF8"/>
    <w:rPr>
      <w:rFonts w:ascii="Arial" w:hAnsi="Arial"/>
      <w:color w:val="0000FF"/>
      <w:sz w:val="16"/>
      <w:u w:val="single"/>
    </w:rPr>
  </w:style>
  <w:style w:type="paragraph" w:styleId="Header">
    <w:name w:val="header"/>
    <w:basedOn w:val="Normal"/>
    <w:link w:val="HeaderChar"/>
    <w:rsid w:val="000568F4"/>
    <w:pPr>
      <w:tabs>
        <w:tab w:val="center" w:pos="4513"/>
        <w:tab w:val="right" w:pos="9026"/>
      </w:tabs>
    </w:pPr>
  </w:style>
  <w:style w:type="character" w:customStyle="1" w:styleId="Style">
    <w:name w:val="Style"/>
    <w:rsid w:val="00E177B2"/>
    <w:rPr>
      <w:rFonts w:ascii="Arial" w:hAnsi="Arial" w:cs="Arial"/>
      <w:color w:val="000000"/>
      <w:sz w:val="16"/>
      <w:szCs w:val="20"/>
      <w:vertAlign w:val="superscript"/>
    </w:rPr>
  </w:style>
  <w:style w:type="paragraph" w:styleId="DocumentMap">
    <w:name w:val="Document Map"/>
    <w:basedOn w:val="Normal"/>
    <w:semiHidden/>
    <w:rsid w:val="00C8173C"/>
    <w:pPr>
      <w:shd w:val="clear" w:color="auto" w:fill="000080"/>
    </w:pPr>
    <w:rPr>
      <w:rFonts w:ascii="Tahoma" w:hAnsi="Tahoma" w:cs="Tahoma"/>
    </w:rPr>
  </w:style>
  <w:style w:type="character" w:styleId="CommentReference">
    <w:name w:val="annotation reference"/>
    <w:semiHidden/>
    <w:rsid w:val="000648E3"/>
    <w:rPr>
      <w:sz w:val="16"/>
      <w:szCs w:val="16"/>
    </w:rPr>
  </w:style>
  <w:style w:type="paragraph" w:styleId="CommentText">
    <w:name w:val="annotation text"/>
    <w:basedOn w:val="Normal"/>
    <w:semiHidden/>
    <w:rsid w:val="000648E3"/>
  </w:style>
  <w:style w:type="paragraph" w:styleId="CommentSubject">
    <w:name w:val="annotation subject"/>
    <w:basedOn w:val="CommentText"/>
    <w:next w:val="CommentText"/>
    <w:semiHidden/>
    <w:rsid w:val="000648E3"/>
    <w:rPr>
      <w:b/>
      <w:bCs/>
    </w:rPr>
  </w:style>
  <w:style w:type="paragraph" w:customStyle="1" w:styleId="COEHeading1">
    <w:name w:val="COE_Heading1"/>
    <w:basedOn w:val="Heading1"/>
    <w:link w:val="COEHeading1Char"/>
    <w:rsid w:val="00D73E06"/>
    <w:pPr>
      <w:jc w:val="left"/>
    </w:pPr>
    <w:rPr>
      <w:caps/>
    </w:rPr>
  </w:style>
  <w:style w:type="paragraph" w:styleId="TOC1">
    <w:name w:val="toc 1"/>
    <w:basedOn w:val="Normal"/>
    <w:next w:val="Normal"/>
    <w:autoRedefine/>
    <w:uiPriority w:val="39"/>
    <w:rsid w:val="00EB59B9"/>
    <w:pPr>
      <w:tabs>
        <w:tab w:val="left" w:pos="284"/>
        <w:tab w:val="right" w:leader="dot" w:pos="8931"/>
      </w:tabs>
      <w:spacing w:before="240" w:after="80"/>
      <w:jc w:val="left"/>
    </w:pPr>
    <w:rPr>
      <w:b/>
      <w:noProof/>
    </w:rPr>
  </w:style>
  <w:style w:type="paragraph" w:customStyle="1" w:styleId="COETitreCongress">
    <w:name w:val="COE_Titre_Congress"/>
    <w:basedOn w:val="COETitre"/>
    <w:link w:val="COETitreCongressChar"/>
    <w:rsid w:val="00ED058A"/>
    <w:pPr>
      <w:jc w:val="left"/>
    </w:pPr>
    <w:rPr>
      <w:b/>
      <w:szCs w:val="36"/>
    </w:rPr>
  </w:style>
  <w:style w:type="character" w:customStyle="1" w:styleId="COETitreChar">
    <w:name w:val="COE_Titre Char"/>
    <w:link w:val="COETitre"/>
    <w:rsid w:val="00ED058A"/>
    <w:rPr>
      <w:rFonts w:ascii="Arial" w:hAnsi="Arial" w:cs="Arial"/>
      <w:sz w:val="36"/>
      <w:lang w:val="fr-FR" w:eastAsia="fr-FR" w:bidi="ar-SA"/>
    </w:rPr>
  </w:style>
  <w:style w:type="character" w:customStyle="1" w:styleId="COETitreCongressChar">
    <w:name w:val="COE_Titre_Congress Char"/>
    <w:link w:val="COETitreCongress"/>
    <w:rsid w:val="00ED058A"/>
    <w:rPr>
      <w:rFonts w:ascii="Arial" w:hAnsi="Arial" w:cs="Arial"/>
      <w:b/>
      <w:sz w:val="36"/>
      <w:szCs w:val="36"/>
      <w:lang w:val="fr-FR" w:eastAsia="fr-FR" w:bidi="ar-SA"/>
    </w:rPr>
  </w:style>
  <w:style w:type="character" w:customStyle="1" w:styleId="Heading1Char">
    <w:name w:val="Heading 1 Char"/>
    <w:link w:val="Heading1"/>
    <w:rsid w:val="0085353F"/>
    <w:rPr>
      <w:rFonts w:ascii="Arial" w:hAnsi="Arial" w:cs="Arial"/>
      <w:b/>
      <w:bCs/>
      <w:snapToGrid w:val="0"/>
      <w:color w:val="000000"/>
      <w:sz w:val="24"/>
      <w:lang w:val="fr-FR" w:eastAsia="fr-FR"/>
    </w:rPr>
  </w:style>
  <w:style w:type="character" w:customStyle="1" w:styleId="COEHeading1Char">
    <w:name w:val="COE_Heading1 Char"/>
    <w:link w:val="COEHeading1"/>
    <w:rsid w:val="00D73E06"/>
    <w:rPr>
      <w:rFonts w:ascii="Arial" w:hAnsi="Arial" w:cs="Arial"/>
      <w:b/>
      <w:bCs/>
      <w:caps/>
      <w:snapToGrid w:val="0"/>
      <w:color w:val="000000"/>
      <w:lang w:val="fr-FR" w:eastAsia="fr-FR" w:bidi="ar-SA"/>
    </w:rPr>
  </w:style>
  <w:style w:type="paragraph" w:customStyle="1" w:styleId="FootnoteReference0">
    <w:name w:val="Footnote_Reference"/>
    <w:basedOn w:val="Normal"/>
    <w:link w:val="FootnoteReferenceChar"/>
    <w:autoRedefine/>
    <w:rsid w:val="0000680B"/>
    <w:rPr>
      <w:vertAlign w:val="superscript"/>
    </w:rPr>
  </w:style>
  <w:style w:type="character" w:customStyle="1" w:styleId="FootnoteReferenceChar">
    <w:name w:val="Footnote_Reference Char"/>
    <w:link w:val="FootnoteReference0"/>
    <w:rsid w:val="0000680B"/>
    <w:rPr>
      <w:rFonts w:ascii="Arial" w:hAnsi="Arial" w:cs="Arial"/>
      <w:sz w:val="16"/>
      <w:szCs w:val="16"/>
      <w:vertAlign w:val="superscript"/>
      <w:lang w:val="fr-FR" w:eastAsia="en-US" w:bidi="ar-SA"/>
    </w:rPr>
  </w:style>
  <w:style w:type="character" w:customStyle="1" w:styleId="HeaderChar">
    <w:name w:val="Header Char"/>
    <w:link w:val="Header"/>
    <w:rsid w:val="000568F4"/>
    <w:rPr>
      <w:rFonts w:ascii="Arial" w:hAnsi="Arial" w:cs="Arial"/>
      <w:lang w:eastAsia="en-US"/>
    </w:rPr>
  </w:style>
  <w:style w:type="paragraph" w:customStyle="1" w:styleId="Paragraphestandard">
    <w:name w:val="[Paragraphe standard]"/>
    <w:basedOn w:val="Normal"/>
    <w:uiPriority w:val="99"/>
    <w:rsid w:val="002E38E1"/>
    <w:pPr>
      <w:autoSpaceDE w:val="0"/>
      <w:autoSpaceDN w:val="0"/>
      <w:adjustRightInd w:val="0"/>
      <w:spacing w:line="288" w:lineRule="auto"/>
      <w:jc w:val="left"/>
      <w:textAlignment w:val="center"/>
    </w:pPr>
    <w:rPr>
      <w:rFonts w:ascii="Minion Pro" w:eastAsia="Calibri" w:hAnsi="Minion Pro" w:cs="Minion Pro"/>
      <w:color w:val="000000"/>
      <w:sz w:val="24"/>
      <w:szCs w:val="24"/>
    </w:rPr>
  </w:style>
  <w:style w:type="paragraph" w:styleId="TOC2">
    <w:name w:val="toc 2"/>
    <w:basedOn w:val="Normal"/>
    <w:next w:val="Normal"/>
    <w:autoRedefine/>
    <w:uiPriority w:val="39"/>
    <w:qFormat/>
    <w:rsid w:val="0053124D"/>
    <w:pPr>
      <w:tabs>
        <w:tab w:val="right" w:leader="dot" w:pos="8931"/>
      </w:tabs>
      <w:spacing w:before="80" w:after="80"/>
      <w:ind w:right="141"/>
    </w:pPr>
    <w:rPr>
      <w:rFonts w:eastAsia="Cambria"/>
      <w:noProof/>
      <w:sz w:val="18"/>
    </w:rPr>
  </w:style>
  <w:style w:type="character" w:customStyle="1" w:styleId="FootnoteTextChar">
    <w:name w:val="Footnote Text Char"/>
    <w:aliases w:val="Footnote Text Char Char Char,Footnote Text Char2 Char Char Char,Footnote Text Char2 Char Char1,Footnote Text Char Char1 Char Char,Footnote Text Char2 Char Char1 Char Char,Footnote Text Char2 Char1 Char Char Char,Char1 Char Char,f Char"/>
    <w:link w:val="FootnoteText"/>
    <w:uiPriority w:val="99"/>
    <w:locked/>
    <w:rsid w:val="003B27E0"/>
    <w:rPr>
      <w:rFonts w:ascii="Arial" w:hAnsi="Arial" w:cs="Arial"/>
      <w:lang w:val="fr-FR" w:eastAsia="en-US"/>
    </w:rPr>
  </w:style>
  <w:style w:type="paragraph" w:styleId="ListParagraph">
    <w:name w:val="List Paragraph"/>
    <w:basedOn w:val="Normal"/>
    <w:uiPriority w:val="34"/>
    <w:qFormat/>
    <w:rsid w:val="003B27E0"/>
    <w:pPr>
      <w:ind w:left="720"/>
      <w:contextualSpacing/>
      <w:jc w:val="left"/>
    </w:pPr>
    <w:rPr>
      <w:rFonts w:ascii="Calibri" w:hAnsi="Calibri" w:cs="Times New Roman"/>
      <w:sz w:val="24"/>
      <w:szCs w:val="24"/>
      <w:lang w:val="en-IE" w:eastAsia="ja-JP"/>
    </w:rPr>
  </w:style>
  <w:style w:type="paragraph" w:styleId="TOCHeading">
    <w:name w:val="TOC Heading"/>
    <w:basedOn w:val="Heading1"/>
    <w:next w:val="Normal"/>
    <w:uiPriority w:val="39"/>
    <w:semiHidden/>
    <w:unhideWhenUsed/>
    <w:qFormat/>
    <w:rsid w:val="003B27E0"/>
    <w:pPr>
      <w:keepNext/>
      <w:keepLines/>
      <w:spacing w:before="480" w:line="276" w:lineRule="auto"/>
      <w:jc w:val="left"/>
      <w:outlineLvl w:val="9"/>
    </w:pPr>
    <w:rPr>
      <w:rFonts w:ascii="Cambria" w:hAnsi="Cambria" w:cs="Times New Roman"/>
      <w:snapToGrid/>
      <w:color w:val="365F91"/>
      <w:sz w:val="28"/>
      <w:szCs w:val="28"/>
      <w:lang w:val="en-US" w:eastAsia="ja-JP"/>
    </w:rPr>
  </w:style>
  <w:style w:type="paragraph" w:customStyle="1" w:styleId="COENoLignes">
    <w:name w:val="COE_NoLignes"/>
    <w:rsid w:val="003700C6"/>
    <w:rPr>
      <w:sz w:val="24"/>
      <w:lang w:val="en-US" w:eastAsia="en-US"/>
    </w:rPr>
  </w:style>
  <w:style w:type="paragraph" w:customStyle="1" w:styleId="a">
    <w:name w:val="a"/>
    <w:basedOn w:val="Normal"/>
    <w:rsid w:val="00804F6C"/>
    <w:pPr>
      <w:spacing w:after="160" w:line="240" w:lineRule="exact"/>
      <w:jc w:val="left"/>
    </w:pPr>
    <w:rPr>
      <w:lang w:val="en-US"/>
    </w:rPr>
  </w:style>
  <w:style w:type="paragraph" w:customStyle="1" w:styleId="Default">
    <w:name w:val="Default"/>
    <w:rsid w:val="00486CCE"/>
    <w:pPr>
      <w:autoSpaceDE w:val="0"/>
      <w:autoSpaceDN w:val="0"/>
      <w:adjustRightInd w:val="0"/>
    </w:pPr>
    <w:rPr>
      <w:rFonts w:ascii="Arial" w:hAnsi="Arial" w:cs="Arial"/>
      <w:color w:val="000000"/>
      <w:sz w:val="24"/>
      <w:szCs w:val="24"/>
    </w:rPr>
  </w:style>
  <w:style w:type="character" w:customStyle="1" w:styleId="Sidrosprotneopombe">
    <w:name w:val="Sidro sprotne opombe"/>
    <w:rsid w:val="00B90C5B"/>
    <w:rPr>
      <w:vertAlign w:val="superscript"/>
    </w:rPr>
  </w:style>
  <w:style w:type="paragraph" w:customStyle="1" w:styleId="CGFootnote">
    <w:name w:val="CG Footnote"/>
    <w:basedOn w:val="Normal"/>
    <w:qFormat/>
    <w:rsid w:val="00B90C5B"/>
    <w:rPr>
      <w:rFonts w:cs="Times New Roman"/>
      <w:sz w:val="16"/>
      <w:szCs w:val="24"/>
      <w:lang w:val="en-GB"/>
    </w:rPr>
  </w:style>
  <w:style w:type="paragraph" w:styleId="TOC5">
    <w:name w:val="toc 5"/>
    <w:basedOn w:val="Normal"/>
    <w:next w:val="Normal"/>
    <w:autoRedefine/>
    <w:rsid w:val="001C4A25"/>
    <w:pPr>
      <w:spacing w:after="100"/>
      <w:ind w:left="800"/>
    </w:pPr>
  </w:style>
  <w:style w:type="character" w:customStyle="1" w:styleId="shorttext">
    <w:name w:val="short_text"/>
    <w:basedOn w:val="DefaultParagraphFont"/>
    <w:rsid w:val="003B28AD"/>
  </w:style>
  <w:style w:type="paragraph" w:customStyle="1" w:styleId="calloutCharCharChar">
    <w:name w:val="callout Char Char Char"/>
    <w:aliases w:val="Footnotes refss Char Char Char,Footnote Reference Char Car Char Char Car Char Car Char Car Char Char Char Char"/>
    <w:basedOn w:val="Normal"/>
    <w:link w:val="FootnoteReference"/>
    <w:uiPriority w:val="99"/>
    <w:rsid w:val="00F2082C"/>
    <w:pPr>
      <w:spacing w:after="160" w:line="240" w:lineRule="exact"/>
      <w:jc w:val="left"/>
    </w:pPr>
    <w:rPr>
      <w:rFonts w:ascii="Times New Roman" w:hAnsi="Times New Roman" w:cs="Times New Roman"/>
      <w:vertAlign w:val="superscript"/>
      <w:lang w:val="en-GB" w:eastAsia="en-GB"/>
    </w:rPr>
  </w:style>
  <w:style w:type="character" w:customStyle="1" w:styleId="Caractresdenotedebasdepage">
    <w:name w:val="Caractères de note de bas de page"/>
    <w:rsid w:val="007E2423"/>
  </w:style>
  <w:style w:type="paragraph" w:styleId="NoSpacing">
    <w:name w:val="No Spacing"/>
    <w:uiPriority w:val="1"/>
    <w:qFormat/>
    <w:rsid w:val="00CE697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186">
      <w:bodyDiv w:val="1"/>
      <w:marLeft w:val="0"/>
      <w:marRight w:val="0"/>
      <w:marTop w:val="0"/>
      <w:marBottom w:val="0"/>
      <w:divBdr>
        <w:top w:val="none" w:sz="0" w:space="0" w:color="auto"/>
        <w:left w:val="none" w:sz="0" w:space="0" w:color="auto"/>
        <w:bottom w:val="none" w:sz="0" w:space="0" w:color="auto"/>
        <w:right w:val="none" w:sz="0" w:space="0" w:color="auto"/>
      </w:divBdr>
      <w:divsChild>
        <w:div w:id="1441412907">
          <w:marLeft w:val="0"/>
          <w:marRight w:val="0"/>
          <w:marTop w:val="0"/>
          <w:marBottom w:val="0"/>
          <w:divBdr>
            <w:top w:val="none" w:sz="0" w:space="0" w:color="auto"/>
            <w:left w:val="none" w:sz="0" w:space="0" w:color="auto"/>
            <w:bottom w:val="none" w:sz="0" w:space="0" w:color="auto"/>
            <w:right w:val="none" w:sz="0" w:space="0" w:color="auto"/>
          </w:divBdr>
          <w:divsChild>
            <w:div w:id="839345815">
              <w:marLeft w:val="0"/>
              <w:marRight w:val="0"/>
              <w:marTop w:val="0"/>
              <w:marBottom w:val="0"/>
              <w:divBdr>
                <w:top w:val="none" w:sz="0" w:space="0" w:color="auto"/>
                <w:left w:val="none" w:sz="0" w:space="0" w:color="auto"/>
                <w:bottom w:val="none" w:sz="0" w:space="0" w:color="auto"/>
                <w:right w:val="none" w:sz="0" w:space="0" w:color="auto"/>
              </w:divBdr>
              <w:divsChild>
                <w:div w:id="1481530893">
                  <w:marLeft w:val="0"/>
                  <w:marRight w:val="0"/>
                  <w:marTop w:val="0"/>
                  <w:marBottom w:val="0"/>
                  <w:divBdr>
                    <w:top w:val="none" w:sz="0" w:space="0" w:color="auto"/>
                    <w:left w:val="none" w:sz="0" w:space="0" w:color="auto"/>
                    <w:bottom w:val="none" w:sz="0" w:space="0" w:color="auto"/>
                    <w:right w:val="none" w:sz="0" w:space="0" w:color="auto"/>
                  </w:divBdr>
                  <w:divsChild>
                    <w:div w:id="1167399503">
                      <w:marLeft w:val="0"/>
                      <w:marRight w:val="0"/>
                      <w:marTop w:val="0"/>
                      <w:marBottom w:val="0"/>
                      <w:divBdr>
                        <w:top w:val="none" w:sz="0" w:space="0" w:color="auto"/>
                        <w:left w:val="none" w:sz="0" w:space="0" w:color="auto"/>
                        <w:bottom w:val="none" w:sz="0" w:space="0" w:color="auto"/>
                        <w:right w:val="none" w:sz="0" w:space="0" w:color="auto"/>
                      </w:divBdr>
                      <w:divsChild>
                        <w:div w:id="416170220">
                          <w:marLeft w:val="0"/>
                          <w:marRight w:val="0"/>
                          <w:marTop w:val="15"/>
                          <w:marBottom w:val="0"/>
                          <w:divBdr>
                            <w:top w:val="none" w:sz="0" w:space="0" w:color="auto"/>
                            <w:left w:val="none" w:sz="0" w:space="0" w:color="auto"/>
                            <w:bottom w:val="none" w:sz="0" w:space="0" w:color="auto"/>
                            <w:right w:val="none" w:sz="0" w:space="0" w:color="auto"/>
                          </w:divBdr>
                          <w:divsChild>
                            <w:div w:id="624849028">
                              <w:marLeft w:val="0"/>
                              <w:marRight w:val="0"/>
                              <w:marTop w:val="0"/>
                              <w:marBottom w:val="0"/>
                              <w:divBdr>
                                <w:top w:val="none" w:sz="0" w:space="0" w:color="auto"/>
                                <w:left w:val="none" w:sz="0" w:space="0" w:color="auto"/>
                                <w:bottom w:val="none" w:sz="0" w:space="0" w:color="auto"/>
                                <w:right w:val="none" w:sz="0" w:space="0" w:color="auto"/>
                              </w:divBdr>
                              <w:divsChild>
                                <w:div w:id="1561861776">
                                  <w:marLeft w:val="0"/>
                                  <w:marRight w:val="0"/>
                                  <w:marTop w:val="0"/>
                                  <w:marBottom w:val="0"/>
                                  <w:divBdr>
                                    <w:top w:val="none" w:sz="0" w:space="0" w:color="auto"/>
                                    <w:left w:val="none" w:sz="0" w:space="0" w:color="auto"/>
                                    <w:bottom w:val="none" w:sz="0" w:space="0" w:color="auto"/>
                                    <w:right w:val="none" w:sz="0" w:space="0" w:color="auto"/>
                                  </w:divBdr>
                                </w:div>
                                <w:div w:id="68501600">
                                  <w:marLeft w:val="0"/>
                                  <w:marRight w:val="0"/>
                                  <w:marTop w:val="0"/>
                                  <w:marBottom w:val="0"/>
                                  <w:divBdr>
                                    <w:top w:val="none" w:sz="0" w:space="0" w:color="auto"/>
                                    <w:left w:val="none" w:sz="0" w:space="0" w:color="auto"/>
                                    <w:bottom w:val="none" w:sz="0" w:space="0" w:color="auto"/>
                                    <w:right w:val="none" w:sz="0" w:space="0" w:color="auto"/>
                                  </w:divBdr>
                                </w:div>
                                <w:div w:id="1048532862">
                                  <w:marLeft w:val="0"/>
                                  <w:marRight w:val="0"/>
                                  <w:marTop w:val="0"/>
                                  <w:marBottom w:val="0"/>
                                  <w:divBdr>
                                    <w:top w:val="none" w:sz="0" w:space="0" w:color="auto"/>
                                    <w:left w:val="none" w:sz="0" w:space="0" w:color="auto"/>
                                    <w:bottom w:val="none" w:sz="0" w:space="0" w:color="auto"/>
                                    <w:right w:val="none" w:sz="0" w:space="0" w:color="auto"/>
                                  </w:divBdr>
                                </w:div>
                                <w:div w:id="663050527">
                                  <w:marLeft w:val="0"/>
                                  <w:marRight w:val="0"/>
                                  <w:marTop w:val="0"/>
                                  <w:marBottom w:val="0"/>
                                  <w:divBdr>
                                    <w:top w:val="none" w:sz="0" w:space="0" w:color="auto"/>
                                    <w:left w:val="none" w:sz="0" w:space="0" w:color="auto"/>
                                    <w:bottom w:val="none" w:sz="0" w:space="0" w:color="auto"/>
                                    <w:right w:val="none" w:sz="0" w:space="0" w:color="auto"/>
                                  </w:divBdr>
                                </w:div>
                                <w:div w:id="701900512">
                                  <w:marLeft w:val="0"/>
                                  <w:marRight w:val="0"/>
                                  <w:marTop w:val="0"/>
                                  <w:marBottom w:val="0"/>
                                  <w:divBdr>
                                    <w:top w:val="none" w:sz="0" w:space="0" w:color="auto"/>
                                    <w:left w:val="none" w:sz="0" w:space="0" w:color="auto"/>
                                    <w:bottom w:val="none" w:sz="0" w:space="0" w:color="auto"/>
                                    <w:right w:val="none" w:sz="0" w:space="0" w:color="auto"/>
                                  </w:divBdr>
                                </w:div>
                                <w:div w:id="1835103986">
                                  <w:marLeft w:val="0"/>
                                  <w:marRight w:val="0"/>
                                  <w:marTop w:val="0"/>
                                  <w:marBottom w:val="0"/>
                                  <w:divBdr>
                                    <w:top w:val="none" w:sz="0" w:space="0" w:color="auto"/>
                                    <w:left w:val="none" w:sz="0" w:space="0" w:color="auto"/>
                                    <w:bottom w:val="none" w:sz="0" w:space="0" w:color="auto"/>
                                    <w:right w:val="none" w:sz="0" w:space="0" w:color="auto"/>
                                  </w:divBdr>
                                </w:div>
                                <w:div w:id="1002320423">
                                  <w:marLeft w:val="0"/>
                                  <w:marRight w:val="0"/>
                                  <w:marTop w:val="0"/>
                                  <w:marBottom w:val="0"/>
                                  <w:divBdr>
                                    <w:top w:val="none" w:sz="0" w:space="0" w:color="auto"/>
                                    <w:left w:val="none" w:sz="0" w:space="0" w:color="auto"/>
                                    <w:bottom w:val="none" w:sz="0" w:space="0" w:color="auto"/>
                                    <w:right w:val="none" w:sz="0" w:space="0" w:color="auto"/>
                                  </w:divBdr>
                                </w:div>
                                <w:div w:id="156583339">
                                  <w:marLeft w:val="0"/>
                                  <w:marRight w:val="0"/>
                                  <w:marTop w:val="0"/>
                                  <w:marBottom w:val="0"/>
                                  <w:divBdr>
                                    <w:top w:val="none" w:sz="0" w:space="0" w:color="auto"/>
                                    <w:left w:val="none" w:sz="0" w:space="0" w:color="auto"/>
                                    <w:bottom w:val="none" w:sz="0" w:space="0" w:color="auto"/>
                                    <w:right w:val="none" w:sz="0" w:space="0" w:color="auto"/>
                                  </w:divBdr>
                                </w:div>
                                <w:div w:id="1083063975">
                                  <w:marLeft w:val="0"/>
                                  <w:marRight w:val="0"/>
                                  <w:marTop w:val="0"/>
                                  <w:marBottom w:val="0"/>
                                  <w:divBdr>
                                    <w:top w:val="none" w:sz="0" w:space="0" w:color="auto"/>
                                    <w:left w:val="none" w:sz="0" w:space="0" w:color="auto"/>
                                    <w:bottom w:val="none" w:sz="0" w:space="0" w:color="auto"/>
                                    <w:right w:val="none" w:sz="0" w:space="0" w:color="auto"/>
                                  </w:divBdr>
                                </w:div>
                                <w:div w:id="722673992">
                                  <w:marLeft w:val="0"/>
                                  <w:marRight w:val="0"/>
                                  <w:marTop w:val="0"/>
                                  <w:marBottom w:val="0"/>
                                  <w:divBdr>
                                    <w:top w:val="none" w:sz="0" w:space="0" w:color="auto"/>
                                    <w:left w:val="none" w:sz="0" w:space="0" w:color="auto"/>
                                    <w:bottom w:val="none" w:sz="0" w:space="0" w:color="auto"/>
                                    <w:right w:val="none" w:sz="0" w:space="0" w:color="auto"/>
                                  </w:divBdr>
                                </w:div>
                                <w:div w:id="1463042177">
                                  <w:marLeft w:val="0"/>
                                  <w:marRight w:val="0"/>
                                  <w:marTop w:val="0"/>
                                  <w:marBottom w:val="0"/>
                                  <w:divBdr>
                                    <w:top w:val="none" w:sz="0" w:space="0" w:color="auto"/>
                                    <w:left w:val="none" w:sz="0" w:space="0" w:color="auto"/>
                                    <w:bottom w:val="none" w:sz="0" w:space="0" w:color="auto"/>
                                    <w:right w:val="none" w:sz="0" w:space="0" w:color="auto"/>
                                  </w:divBdr>
                                </w:div>
                                <w:div w:id="808321337">
                                  <w:marLeft w:val="0"/>
                                  <w:marRight w:val="0"/>
                                  <w:marTop w:val="0"/>
                                  <w:marBottom w:val="0"/>
                                  <w:divBdr>
                                    <w:top w:val="none" w:sz="0" w:space="0" w:color="auto"/>
                                    <w:left w:val="none" w:sz="0" w:space="0" w:color="auto"/>
                                    <w:bottom w:val="none" w:sz="0" w:space="0" w:color="auto"/>
                                    <w:right w:val="none" w:sz="0" w:space="0" w:color="auto"/>
                                  </w:divBdr>
                                </w:div>
                                <w:div w:id="1765495657">
                                  <w:marLeft w:val="0"/>
                                  <w:marRight w:val="0"/>
                                  <w:marTop w:val="0"/>
                                  <w:marBottom w:val="0"/>
                                  <w:divBdr>
                                    <w:top w:val="none" w:sz="0" w:space="0" w:color="auto"/>
                                    <w:left w:val="none" w:sz="0" w:space="0" w:color="auto"/>
                                    <w:bottom w:val="none" w:sz="0" w:space="0" w:color="auto"/>
                                    <w:right w:val="none" w:sz="0" w:space="0" w:color="auto"/>
                                  </w:divBdr>
                                </w:div>
                                <w:div w:id="2066441199">
                                  <w:marLeft w:val="0"/>
                                  <w:marRight w:val="0"/>
                                  <w:marTop w:val="0"/>
                                  <w:marBottom w:val="0"/>
                                  <w:divBdr>
                                    <w:top w:val="none" w:sz="0" w:space="0" w:color="auto"/>
                                    <w:left w:val="none" w:sz="0" w:space="0" w:color="auto"/>
                                    <w:bottom w:val="none" w:sz="0" w:space="0" w:color="auto"/>
                                    <w:right w:val="none" w:sz="0" w:space="0" w:color="auto"/>
                                  </w:divBdr>
                                </w:div>
                                <w:div w:id="2107844835">
                                  <w:marLeft w:val="0"/>
                                  <w:marRight w:val="0"/>
                                  <w:marTop w:val="0"/>
                                  <w:marBottom w:val="0"/>
                                  <w:divBdr>
                                    <w:top w:val="none" w:sz="0" w:space="0" w:color="auto"/>
                                    <w:left w:val="none" w:sz="0" w:space="0" w:color="auto"/>
                                    <w:bottom w:val="none" w:sz="0" w:space="0" w:color="auto"/>
                                    <w:right w:val="none" w:sz="0" w:space="0" w:color="auto"/>
                                  </w:divBdr>
                                </w:div>
                                <w:div w:id="866605172">
                                  <w:marLeft w:val="0"/>
                                  <w:marRight w:val="0"/>
                                  <w:marTop w:val="0"/>
                                  <w:marBottom w:val="0"/>
                                  <w:divBdr>
                                    <w:top w:val="none" w:sz="0" w:space="0" w:color="auto"/>
                                    <w:left w:val="none" w:sz="0" w:space="0" w:color="auto"/>
                                    <w:bottom w:val="none" w:sz="0" w:space="0" w:color="auto"/>
                                    <w:right w:val="none" w:sz="0" w:space="0" w:color="auto"/>
                                  </w:divBdr>
                                </w:div>
                                <w:div w:id="171185795">
                                  <w:marLeft w:val="0"/>
                                  <w:marRight w:val="0"/>
                                  <w:marTop w:val="0"/>
                                  <w:marBottom w:val="0"/>
                                  <w:divBdr>
                                    <w:top w:val="none" w:sz="0" w:space="0" w:color="auto"/>
                                    <w:left w:val="none" w:sz="0" w:space="0" w:color="auto"/>
                                    <w:bottom w:val="none" w:sz="0" w:space="0" w:color="auto"/>
                                    <w:right w:val="none" w:sz="0" w:space="0" w:color="auto"/>
                                  </w:divBdr>
                                </w:div>
                                <w:div w:id="551697660">
                                  <w:marLeft w:val="0"/>
                                  <w:marRight w:val="0"/>
                                  <w:marTop w:val="0"/>
                                  <w:marBottom w:val="0"/>
                                  <w:divBdr>
                                    <w:top w:val="none" w:sz="0" w:space="0" w:color="auto"/>
                                    <w:left w:val="none" w:sz="0" w:space="0" w:color="auto"/>
                                    <w:bottom w:val="none" w:sz="0" w:space="0" w:color="auto"/>
                                    <w:right w:val="none" w:sz="0" w:space="0" w:color="auto"/>
                                  </w:divBdr>
                                </w:div>
                                <w:div w:id="1013147764">
                                  <w:marLeft w:val="0"/>
                                  <w:marRight w:val="0"/>
                                  <w:marTop w:val="0"/>
                                  <w:marBottom w:val="0"/>
                                  <w:divBdr>
                                    <w:top w:val="none" w:sz="0" w:space="0" w:color="auto"/>
                                    <w:left w:val="none" w:sz="0" w:space="0" w:color="auto"/>
                                    <w:bottom w:val="none" w:sz="0" w:space="0" w:color="auto"/>
                                    <w:right w:val="none" w:sz="0" w:space="0" w:color="auto"/>
                                  </w:divBdr>
                                </w:div>
                                <w:div w:id="1467046103">
                                  <w:marLeft w:val="0"/>
                                  <w:marRight w:val="0"/>
                                  <w:marTop w:val="0"/>
                                  <w:marBottom w:val="0"/>
                                  <w:divBdr>
                                    <w:top w:val="none" w:sz="0" w:space="0" w:color="auto"/>
                                    <w:left w:val="none" w:sz="0" w:space="0" w:color="auto"/>
                                    <w:bottom w:val="none" w:sz="0" w:space="0" w:color="auto"/>
                                    <w:right w:val="none" w:sz="0" w:space="0" w:color="auto"/>
                                  </w:divBdr>
                                </w:div>
                                <w:div w:id="1379933521">
                                  <w:marLeft w:val="0"/>
                                  <w:marRight w:val="0"/>
                                  <w:marTop w:val="0"/>
                                  <w:marBottom w:val="0"/>
                                  <w:divBdr>
                                    <w:top w:val="none" w:sz="0" w:space="0" w:color="auto"/>
                                    <w:left w:val="none" w:sz="0" w:space="0" w:color="auto"/>
                                    <w:bottom w:val="none" w:sz="0" w:space="0" w:color="auto"/>
                                    <w:right w:val="none" w:sz="0" w:space="0" w:color="auto"/>
                                  </w:divBdr>
                                </w:div>
                                <w:div w:id="1340696701">
                                  <w:marLeft w:val="0"/>
                                  <w:marRight w:val="0"/>
                                  <w:marTop w:val="0"/>
                                  <w:marBottom w:val="0"/>
                                  <w:divBdr>
                                    <w:top w:val="none" w:sz="0" w:space="0" w:color="auto"/>
                                    <w:left w:val="none" w:sz="0" w:space="0" w:color="auto"/>
                                    <w:bottom w:val="none" w:sz="0" w:space="0" w:color="auto"/>
                                    <w:right w:val="none" w:sz="0" w:space="0" w:color="auto"/>
                                  </w:divBdr>
                                </w:div>
                                <w:div w:id="696850581">
                                  <w:marLeft w:val="0"/>
                                  <w:marRight w:val="0"/>
                                  <w:marTop w:val="0"/>
                                  <w:marBottom w:val="0"/>
                                  <w:divBdr>
                                    <w:top w:val="none" w:sz="0" w:space="0" w:color="auto"/>
                                    <w:left w:val="none" w:sz="0" w:space="0" w:color="auto"/>
                                    <w:bottom w:val="none" w:sz="0" w:space="0" w:color="auto"/>
                                    <w:right w:val="none" w:sz="0" w:space="0" w:color="auto"/>
                                  </w:divBdr>
                                </w:div>
                                <w:div w:id="439836953">
                                  <w:marLeft w:val="0"/>
                                  <w:marRight w:val="0"/>
                                  <w:marTop w:val="0"/>
                                  <w:marBottom w:val="0"/>
                                  <w:divBdr>
                                    <w:top w:val="none" w:sz="0" w:space="0" w:color="auto"/>
                                    <w:left w:val="none" w:sz="0" w:space="0" w:color="auto"/>
                                    <w:bottom w:val="none" w:sz="0" w:space="0" w:color="auto"/>
                                    <w:right w:val="none" w:sz="0" w:space="0" w:color="auto"/>
                                  </w:divBdr>
                                </w:div>
                                <w:div w:id="354967098">
                                  <w:marLeft w:val="0"/>
                                  <w:marRight w:val="0"/>
                                  <w:marTop w:val="0"/>
                                  <w:marBottom w:val="0"/>
                                  <w:divBdr>
                                    <w:top w:val="none" w:sz="0" w:space="0" w:color="auto"/>
                                    <w:left w:val="none" w:sz="0" w:space="0" w:color="auto"/>
                                    <w:bottom w:val="none" w:sz="0" w:space="0" w:color="auto"/>
                                    <w:right w:val="none" w:sz="0" w:space="0" w:color="auto"/>
                                  </w:divBdr>
                                </w:div>
                                <w:div w:id="1826314554">
                                  <w:marLeft w:val="0"/>
                                  <w:marRight w:val="0"/>
                                  <w:marTop w:val="0"/>
                                  <w:marBottom w:val="0"/>
                                  <w:divBdr>
                                    <w:top w:val="none" w:sz="0" w:space="0" w:color="auto"/>
                                    <w:left w:val="none" w:sz="0" w:space="0" w:color="auto"/>
                                    <w:bottom w:val="none" w:sz="0" w:space="0" w:color="auto"/>
                                    <w:right w:val="none" w:sz="0" w:space="0" w:color="auto"/>
                                  </w:divBdr>
                                </w:div>
                                <w:div w:id="759763638">
                                  <w:marLeft w:val="0"/>
                                  <w:marRight w:val="0"/>
                                  <w:marTop w:val="0"/>
                                  <w:marBottom w:val="0"/>
                                  <w:divBdr>
                                    <w:top w:val="none" w:sz="0" w:space="0" w:color="auto"/>
                                    <w:left w:val="none" w:sz="0" w:space="0" w:color="auto"/>
                                    <w:bottom w:val="none" w:sz="0" w:space="0" w:color="auto"/>
                                    <w:right w:val="none" w:sz="0" w:space="0" w:color="auto"/>
                                  </w:divBdr>
                                </w:div>
                                <w:div w:id="1661228937">
                                  <w:marLeft w:val="0"/>
                                  <w:marRight w:val="0"/>
                                  <w:marTop w:val="0"/>
                                  <w:marBottom w:val="0"/>
                                  <w:divBdr>
                                    <w:top w:val="none" w:sz="0" w:space="0" w:color="auto"/>
                                    <w:left w:val="none" w:sz="0" w:space="0" w:color="auto"/>
                                    <w:bottom w:val="none" w:sz="0" w:space="0" w:color="auto"/>
                                    <w:right w:val="none" w:sz="0" w:space="0" w:color="auto"/>
                                  </w:divBdr>
                                </w:div>
                                <w:div w:id="1380855349">
                                  <w:marLeft w:val="0"/>
                                  <w:marRight w:val="0"/>
                                  <w:marTop w:val="0"/>
                                  <w:marBottom w:val="0"/>
                                  <w:divBdr>
                                    <w:top w:val="none" w:sz="0" w:space="0" w:color="auto"/>
                                    <w:left w:val="none" w:sz="0" w:space="0" w:color="auto"/>
                                    <w:bottom w:val="none" w:sz="0" w:space="0" w:color="auto"/>
                                    <w:right w:val="none" w:sz="0" w:space="0" w:color="auto"/>
                                  </w:divBdr>
                                </w:div>
                                <w:div w:id="1033072872">
                                  <w:marLeft w:val="0"/>
                                  <w:marRight w:val="0"/>
                                  <w:marTop w:val="0"/>
                                  <w:marBottom w:val="0"/>
                                  <w:divBdr>
                                    <w:top w:val="none" w:sz="0" w:space="0" w:color="auto"/>
                                    <w:left w:val="none" w:sz="0" w:space="0" w:color="auto"/>
                                    <w:bottom w:val="none" w:sz="0" w:space="0" w:color="auto"/>
                                    <w:right w:val="none" w:sz="0" w:space="0" w:color="auto"/>
                                  </w:divBdr>
                                </w:div>
                                <w:div w:id="487675805">
                                  <w:marLeft w:val="0"/>
                                  <w:marRight w:val="0"/>
                                  <w:marTop w:val="0"/>
                                  <w:marBottom w:val="0"/>
                                  <w:divBdr>
                                    <w:top w:val="none" w:sz="0" w:space="0" w:color="auto"/>
                                    <w:left w:val="none" w:sz="0" w:space="0" w:color="auto"/>
                                    <w:bottom w:val="none" w:sz="0" w:space="0" w:color="auto"/>
                                    <w:right w:val="none" w:sz="0" w:space="0" w:color="auto"/>
                                  </w:divBdr>
                                </w:div>
                                <w:div w:id="1180244060">
                                  <w:marLeft w:val="0"/>
                                  <w:marRight w:val="0"/>
                                  <w:marTop w:val="0"/>
                                  <w:marBottom w:val="0"/>
                                  <w:divBdr>
                                    <w:top w:val="none" w:sz="0" w:space="0" w:color="auto"/>
                                    <w:left w:val="none" w:sz="0" w:space="0" w:color="auto"/>
                                    <w:bottom w:val="none" w:sz="0" w:space="0" w:color="auto"/>
                                    <w:right w:val="none" w:sz="0" w:space="0" w:color="auto"/>
                                  </w:divBdr>
                                </w:div>
                                <w:div w:id="374430232">
                                  <w:marLeft w:val="0"/>
                                  <w:marRight w:val="0"/>
                                  <w:marTop w:val="0"/>
                                  <w:marBottom w:val="0"/>
                                  <w:divBdr>
                                    <w:top w:val="none" w:sz="0" w:space="0" w:color="auto"/>
                                    <w:left w:val="none" w:sz="0" w:space="0" w:color="auto"/>
                                    <w:bottom w:val="none" w:sz="0" w:space="0" w:color="auto"/>
                                    <w:right w:val="none" w:sz="0" w:space="0" w:color="auto"/>
                                  </w:divBdr>
                                </w:div>
                                <w:div w:id="1915820184">
                                  <w:marLeft w:val="0"/>
                                  <w:marRight w:val="0"/>
                                  <w:marTop w:val="0"/>
                                  <w:marBottom w:val="0"/>
                                  <w:divBdr>
                                    <w:top w:val="none" w:sz="0" w:space="0" w:color="auto"/>
                                    <w:left w:val="none" w:sz="0" w:space="0" w:color="auto"/>
                                    <w:bottom w:val="none" w:sz="0" w:space="0" w:color="auto"/>
                                    <w:right w:val="none" w:sz="0" w:space="0" w:color="auto"/>
                                  </w:divBdr>
                                </w:div>
                                <w:div w:id="366679264">
                                  <w:marLeft w:val="0"/>
                                  <w:marRight w:val="0"/>
                                  <w:marTop w:val="0"/>
                                  <w:marBottom w:val="0"/>
                                  <w:divBdr>
                                    <w:top w:val="none" w:sz="0" w:space="0" w:color="auto"/>
                                    <w:left w:val="none" w:sz="0" w:space="0" w:color="auto"/>
                                    <w:bottom w:val="none" w:sz="0" w:space="0" w:color="auto"/>
                                    <w:right w:val="none" w:sz="0" w:space="0" w:color="auto"/>
                                  </w:divBdr>
                                </w:div>
                                <w:div w:id="1828667188">
                                  <w:marLeft w:val="0"/>
                                  <w:marRight w:val="0"/>
                                  <w:marTop w:val="0"/>
                                  <w:marBottom w:val="0"/>
                                  <w:divBdr>
                                    <w:top w:val="none" w:sz="0" w:space="0" w:color="auto"/>
                                    <w:left w:val="none" w:sz="0" w:space="0" w:color="auto"/>
                                    <w:bottom w:val="none" w:sz="0" w:space="0" w:color="auto"/>
                                    <w:right w:val="none" w:sz="0" w:space="0" w:color="auto"/>
                                  </w:divBdr>
                                </w:div>
                                <w:div w:id="1100832698">
                                  <w:marLeft w:val="0"/>
                                  <w:marRight w:val="0"/>
                                  <w:marTop w:val="0"/>
                                  <w:marBottom w:val="0"/>
                                  <w:divBdr>
                                    <w:top w:val="none" w:sz="0" w:space="0" w:color="auto"/>
                                    <w:left w:val="none" w:sz="0" w:space="0" w:color="auto"/>
                                    <w:bottom w:val="none" w:sz="0" w:space="0" w:color="auto"/>
                                    <w:right w:val="none" w:sz="0" w:space="0" w:color="auto"/>
                                  </w:divBdr>
                                </w:div>
                                <w:div w:id="2018388178">
                                  <w:marLeft w:val="0"/>
                                  <w:marRight w:val="0"/>
                                  <w:marTop w:val="0"/>
                                  <w:marBottom w:val="0"/>
                                  <w:divBdr>
                                    <w:top w:val="none" w:sz="0" w:space="0" w:color="auto"/>
                                    <w:left w:val="none" w:sz="0" w:space="0" w:color="auto"/>
                                    <w:bottom w:val="none" w:sz="0" w:space="0" w:color="auto"/>
                                    <w:right w:val="none" w:sz="0" w:space="0" w:color="auto"/>
                                  </w:divBdr>
                                </w:div>
                                <w:div w:id="502822535">
                                  <w:marLeft w:val="0"/>
                                  <w:marRight w:val="0"/>
                                  <w:marTop w:val="0"/>
                                  <w:marBottom w:val="0"/>
                                  <w:divBdr>
                                    <w:top w:val="none" w:sz="0" w:space="0" w:color="auto"/>
                                    <w:left w:val="none" w:sz="0" w:space="0" w:color="auto"/>
                                    <w:bottom w:val="none" w:sz="0" w:space="0" w:color="auto"/>
                                    <w:right w:val="none" w:sz="0" w:space="0" w:color="auto"/>
                                  </w:divBdr>
                                </w:div>
                                <w:div w:id="1164247882">
                                  <w:marLeft w:val="0"/>
                                  <w:marRight w:val="0"/>
                                  <w:marTop w:val="0"/>
                                  <w:marBottom w:val="0"/>
                                  <w:divBdr>
                                    <w:top w:val="none" w:sz="0" w:space="0" w:color="auto"/>
                                    <w:left w:val="none" w:sz="0" w:space="0" w:color="auto"/>
                                    <w:bottom w:val="none" w:sz="0" w:space="0" w:color="auto"/>
                                    <w:right w:val="none" w:sz="0" w:space="0" w:color="auto"/>
                                  </w:divBdr>
                                </w:div>
                                <w:div w:id="1105005008">
                                  <w:marLeft w:val="0"/>
                                  <w:marRight w:val="0"/>
                                  <w:marTop w:val="0"/>
                                  <w:marBottom w:val="0"/>
                                  <w:divBdr>
                                    <w:top w:val="none" w:sz="0" w:space="0" w:color="auto"/>
                                    <w:left w:val="none" w:sz="0" w:space="0" w:color="auto"/>
                                    <w:bottom w:val="none" w:sz="0" w:space="0" w:color="auto"/>
                                    <w:right w:val="none" w:sz="0" w:space="0" w:color="auto"/>
                                  </w:divBdr>
                                </w:div>
                                <w:div w:id="2003391290">
                                  <w:marLeft w:val="0"/>
                                  <w:marRight w:val="0"/>
                                  <w:marTop w:val="0"/>
                                  <w:marBottom w:val="0"/>
                                  <w:divBdr>
                                    <w:top w:val="none" w:sz="0" w:space="0" w:color="auto"/>
                                    <w:left w:val="none" w:sz="0" w:space="0" w:color="auto"/>
                                    <w:bottom w:val="none" w:sz="0" w:space="0" w:color="auto"/>
                                    <w:right w:val="none" w:sz="0" w:space="0" w:color="auto"/>
                                  </w:divBdr>
                                </w:div>
                                <w:div w:id="1953780572">
                                  <w:marLeft w:val="0"/>
                                  <w:marRight w:val="0"/>
                                  <w:marTop w:val="0"/>
                                  <w:marBottom w:val="0"/>
                                  <w:divBdr>
                                    <w:top w:val="none" w:sz="0" w:space="0" w:color="auto"/>
                                    <w:left w:val="none" w:sz="0" w:space="0" w:color="auto"/>
                                    <w:bottom w:val="none" w:sz="0" w:space="0" w:color="auto"/>
                                    <w:right w:val="none" w:sz="0" w:space="0" w:color="auto"/>
                                  </w:divBdr>
                                </w:div>
                                <w:div w:id="219096344">
                                  <w:marLeft w:val="0"/>
                                  <w:marRight w:val="0"/>
                                  <w:marTop w:val="0"/>
                                  <w:marBottom w:val="0"/>
                                  <w:divBdr>
                                    <w:top w:val="none" w:sz="0" w:space="0" w:color="auto"/>
                                    <w:left w:val="none" w:sz="0" w:space="0" w:color="auto"/>
                                    <w:bottom w:val="none" w:sz="0" w:space="0" w:color="auto"/>
                                    <w:right w:val="none" w:sz="0" w:space="0" w:color="auto"/>
                                  </w:divBdr>
                                </w:div>
                                <w:div w:id="660088205">
                                  <w:marLeft w:val="0"/>
                                  <w:marRight w:val="0"/>
                                  <w:marTop w:val="0"/>
                                  <w:marBottom w:val="0"/>
                                  <w:divBdr>
                                    <w:top w:val="none" w:sz="0" w:space="0" w:color="auto"/>
                                    <w:left w:val="none" w:sz="0" w:space="0" w:color="auto"/>
                                    <w:bottom w:val="none" w:sz="0" w:space="0" w:color="auto"/>
                                    <w:right w:val="none" w:sz="0" w:space="0" w:color="auto"/>
                                  </w:divBdr>
                                </w:div>
                                <w:div w:id="626661726">
                                  <w:marLeft w:val="0"/>
                                  <w:marRight w:val="0"/>
                                  <w:marTop w:val="0"/>
                                  <w:marBottom w:val="0"/>
                                  <w:divBdr>
                                    <w:top w:val="none" w:sz="0" w:space="0" w:color="auto"/>
                                    <w:left w:val="none" w:sz="0" w:space="0" w:color="auto"/>
                                    <w:bottom w:val="none" w:sz="0" w:space="0" w:color="auto"/>
                                    <w:right w:val="none" w:sz="0" w:space="0" w:color="auto"/>
                                  </w:divBdr>
                                </w:div>
                                <w:div w:id="974068105">
                                  <w:marLeft w:val="0"/>
                                  <w:marRight w:val="0"/>
                                  <w:marTop w:val="0"/>
                                  <w:marBottom w:val="0"/>
                                  <w:divBdr>
                                    <w:top w:val="none" w:sz="0" w:space="0" w:color="auto"/>
                                    <w:left w:val="none" w:sz="0" w:space="0" w:color="auto"/>
                                    <w:bottom w:val="none" w:sz="0" w:space="0" w:color="auto"/>
                                    <w:right w:val="none" w:sz="0" w:space="0" w:color="auto"/>
                                  </w:divBdr>
                                </w:div>
                                <w:div w:id="4410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431909">
      <w:bodyDiv w:val="1"/>
      <w:marLeft w:val="0"/>
      <w:marRight w:val="0"/>
      <w:marTop w:val="0"/>
      <w:marBottom w:val="0"/>
      <w:divBdr>
        <w:top w:val="none" w:sz="0" w:space="0" w:color="auto"/>
        <w:left w:val="none" w:sz="0" w:space="0" w:color="auto"/>
        <w:bottom w:val="none" w:sz="0" w:space="0" w:color="auto"/>
        <w:right w:val="none" w:sz="0" w:space="0" w:color="auto"/>
      </w:divBdr>
    </w:div>
    <w:div w:id="432556088">
      <w:bodyDiv w:val="1"/>
      <w:marLeft w:val="0"/>
      <w:marRight w:val="0"/>
      <w:marTop w:val="0"/>
      <w:marBottom w:val="0"/>
      <w:divBdr>
        <w:top w:val="none" w:sz="0" w:space="0" w:color="auto"/>
        <w:left w:val="none" w:sz="0" w:space="0" w:color="auto"/>
        <w:bottom w:val="none" w:sz="0" w:space="0" w:color="auto"/>
        <w:right w:val="none" w:sz="0" w:space="0" w:color="auto"/>
      </w:divBdr>
    </w:div>
    <w:div w:id="1174078236">
      <w:bodyDiv w:val="1"/>
      <w:marLeft w:val="0"/>
      <w:marRight w:val="0"/>
      <w:marTop w:val="0"/>
      <w:marBottom w:val="0"/>
      <w:divBdr>
        <w:top w:val="none" w:sz="0" w:space="0" w:color="auto"/>
        <w:left w:val="none" w:sz="0" w:space="0" w:color="auto"/>
        <w:bottom w:val="none" w:sz="0" w:space="0" w:color="auto"/>
        <w:right w:val="none" w:sz="0" w:space="0" w:color="auto"/>
      </w:divBdr>
    </w:div>
    <w:div w:id="1220941656">
      <w:bodyDiv w:val="1"/>
      <w:marLeft w:val="0"/>
      <w:marRight w:val="0"/>
      <w:marTop w:val="0"/>
      <w:marBottom w:val="0"/>
      <w:divBdr>
        <w:top w:val="none" w:sz="0" w:space="0" w:color="auto"/>
        <w:left w:val="none" w:sz="0" w:space="0" w:color="auto"/>
        <w:bottom w:val="none" w:sz="0" w:space="0" w:color="auto"/>
        <w:right w:val="none" w:sz="0" w:space="0" w:color="auto"/>
      </w:divBdr>
    </w:div>
    <w:div w:id="1318219184">
      <w:bodyDiv w:val="1"/>
      <w:marLeft w:val="0"/>
      <w:marRight w:val="0"/>
      <w:marTop w:val="0"/>
      <w:marBottom w:val="0"/>
      <w:divBdr>
        <w:top w:val="none" w:sz="0" w:space="0" w:color="auto"/>
        <w:left w:val="none" w:sz="0" w:space="0" w:color="auto"/>
        <w:bottom w:val="none" w:sz="0" w:space="0" w:color="auto"/>
        <w:right w:val="none" w:sz="0" w:space="0" w:color="auto"/>
      </w:divBdr>
    </w:div>
    <w:div w:id="1367290037">
      <w:bodyDiv w:val="1"/>
      <w:marLeft w:val="0"/>
      <w:marRight w:val="0"/>
      <w:marTop w:val="0"/>
      <w:marBottom w:val="0"/>
      <w:divBdr>
        <w:top w:val="none" w:sz="0" w:space="0" w:color="auto"/>
        <w:left w:val="none" w:sz="0" w:space="0" w:color="auto"/>
        <w:bottom w:val="none" w:sz="0" w:space="0" w:color="auto"/>
        <w:right w:val="none" w:sz="0" w:space="0" w:color="auto"/>
      </w:divBdr>
    </w:div>
    <w:div w:id="1558053728">
      <w:bodyDiv w:val="1"/>
      <w:marLeft w:val="0"/>
      <w:marRight w:val="0"/>
      <w:marTop w:val="0"/>
      <w:marBottom w:val="0"/>
      <w:divBdr>
        <w:top w:val="none" w:sz="0" w:space="0" w:color="auto"/>
        <w:left w:val="none" w:sz="0" w:space="0" w:color="auto"/>
        <w:bottom w:val="none" w:sz="0" w:space="0" w:color="auto"/>
        <w:right w:val="none" w:sz="0" w:space="0" w:color="auto"/>
      </w:divBdr>
    </w:div>
    <w:div w:id="1662854708">
      <w:bodyDiv w:val="1"/>
      <w:marLeft w:val="0"/>
      <w:marRight w:val="0"/>
      <w:marTop w:val="0"/>
      <w:marBottom w:val="0"/>
      <w:divBdr>
        <w:top w:val="none" w:sz="0" w:space="0" w:color="auto"/>
        <w:left w:val="none" w:sz="0" w:space="0" w:color="auto"/>
        <w:bottom w:val="none" w:sz="0" w:space="0" w:color="auto"/>
        <w:right w:val="none" w:sz="0" w:space="0" w:color="auto"/>
      </w:divBdr>
    </w:div>
    <w:div w:id="1695425290">
      <w:bodyDiv w:val="1"/>
      <w:marLeft w:val="0"/>
      <w:marRight w:val="0"/>
      <w:marTop w:val="0"/>
      <w:marBottom w:val="0"/>
      <w:divBdr>
        <w:top w:val="none" w:sz="0" w:space="0" w:color="auto"/>
        <w:left w:val="none" w:sz="0" w:space="0" w:color="auto"/>
        <w:bottom w:val="none" w:sz="0" w:space="0" w:color="auto"/>
        <w:right w:val="none" w:sz="0" w:space="0" w:color="auto"/>
      </w:divBdr>
      <w:divsChild>
        <w:div w:id="620188857">
          <w:marLeft w:val="0"/>
          <w:marRight w:val="0"/>
          <w:marTop w:val="0"/>
          <w:marBottom w:val="0"/>
          <w:divBdr>
            <w:top w:val="none" w:sz="0" w:space="0" w:color="auto"/>
            <w:left w:val="none" w:sz="0" w:space="0" w:color="auto"/>
            <w:bottom w:val="none" w:sz="0" w:space="0" w:color="auto"/>
            <w:right w:val="none" w:sz="0" w:space="0" w:color="auto"/>
          </w:divBdr>
          <w:divsChild>
            <w:div w:id="1247769225">
              <w:marLeft w:val="0"/>
              <w:marRight w:val="0"/>
              <w:marTop w:val="0"/>
              <w:marBottom w:val="0"/>
              <w:divBdr>
                <w:top w:val="none" w:sz="0" w:space="0" w:color="auto"/>
                <w:left w:val="none" w:sz="0" w:space="0" w:color="auto"/>
                <w:bottom w:val="none" w:sz="0" w:space="0" w:color="auto"/>
                <w:right w:val="none" w:sz="0" w:space="0" w:color="auto"/>
              </w:divBdr>
              <w:divsChild>
                <w:div w:id="615530426">
                  <w:marLeft w:val="0"/>
                  <w:marRight w:val="0"/>
                  <w:marTop w:val="0"/>
                  <w:marBottom w:val="0"/>
                  <w:divBdr>
                    <w:top w:val="none" w:sz="0" w:space="0" w:color="auto"/>
                    <w:left w:val="none" w:sz="0" w:space="0" w:color="auto"/>
                    <w:bottom w:val="none" w:sz="0" w:space="0" w:color="auto"/>
                    <w:right w:val="none" w:sz="0" w:space="0" w:color="auto"/>
                  </w:divBdr>
                  <w:divsChild>
                    <w:div w:id="816919296">
                      <w:marLeft w:val="0"/>
                      <w:marRight w:val="0"/>
                      <w:marTop w:val="0"/>
                      <w:marBottom w:val="0"/>
                      <w:divBdr>
                        <w:top w:val="none" w:sz="0" w:space="0" w:color="auto"/>
                        <w:left w:val="none" w:sz="0" w:space="0" w:color="auto"/>
                        <w:bottom w:val="none" w:sz="0" w:space="0" w:color="auto"/>
                        <w:right w:val="none" w:sz="0" w:space="0" w:color="auto"/>
                      </w:divBdr>
                      <w:divsChild>
                        <w:div w:id="1568567805">
                          <w:marLeft w:val="0"/>
                          <w:marRight w:val="0"/>
                          <w:marTop w:val="15"/>
                          <w:marBottom w:val="0"/>
                          <w:divBdr>
                            <w:top w:val="none" w:sz="0" w:space="0" w:color="auto"/>
                            <w:left w:val="none" w:sz="0" w:space="0" w:color="auto"/>
                            <w:bottom w:val="none" w:sz="0" w:space="0" w:color="auto"/>
                            <w:right w:val="none" w:sz="0" w:space="0" w:color="auto"/>
                          </w:divBdr>
                          <w:divsChild>
                            <w:div w:id="1502160768">
                              <w:marLeft w:val="0"/>
                              <w:marRight w:val="0"/>
                              <w:marTop w:val="0"/>
                              <w:marBottom w:val="0"/>
                              <w:divBdr>
                                <w:top w:val="none" w:sz="0" w:space="0" w:color="auto"/>
                                <w:left w:val="none" w:sz="0" w:space="0" w:color="auto"/>
                                <w:bottom w:val="none" w:sz="0" w:space="0" w:color="auto"/>
                                <w:right w:val="none" w:sz="0" w:space="0" w:color="auto"/>
                              </w:divBdr>
                              <w:divsChild>
                                <w:div w:id="758016032">
                                  <w:marLeft w:val="0"/>
                                  <w:marRight w:val="0"/>
                                  <w:marTop w:val="0"/>
                                  <w:marBottom w:val="0"/>
                                  <w:divBdr>
                                    <w:top w:val="none" w:sz="0" w:space="0" w:color="auto"/>
                                    <w:left w:val="none" w:sz="0" w:space="0" w:color="auto"/>
                                    <w:bottom w:val="none" w:sz="0" w:space="0" w:color="auto"/>
                                    <w:right w:val="none" w:sz="0" w:space="0" w:color="auto"/>
                                  </w:divBdr>
                                </w:div>
                                <w:div w:id="1286693056">
                                  <w:marLeft w:val="0"/>
                                  <w:marRight w:val="0"/>
                                  <w:marTop w:val="0"/>
                                  <w:marBottom w:val="0"/>
                                  <w:divBdr>
                                    <w:top w:val="none" w:sz="0" w:space="0" w:color="auto"/>
                                    <w:left w:val="none" w:sz="0" w:space="0" w:color="auto"/>
                                    <w:bottom w:val="none" w:sz="0" w:space="0" w:color="auto"/>
                                    <w:right w:val="none" w:sz="0" w:space="0" w:color="auto"/>
                                  </w:divBdr>
                                </w:div>
                                <w:div w:id="1149712667">
                                  <w:marLeft w:val="0"/>
                                  <w:marRight w:val="0"/>
                                  <w:marTop w:val="0"/>
                                  <w:marBottom w:val="0"/>
                                  <w:divBdr>
                                    <w:top w:val="none" w:sz="0" w:space="0" w:color="auto"/>
                                    <w:left w:val="none" w:sz="0" w:space="0" w:color="auto"/>
                                    <w:bottom w:val="none" w:sz="0" w:space="0" w:color="auto"/>
                                    <w:right w:val="none" w:sz="0" w:space="0" w:color="auto"/>
                                  </w:divBdr>
                                </w:div>
                                <w:div w:id="17169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890736">
      <w:bodyDiv w:val="1"/>
      <w:marLeft w:val="0"/>
      <w:marRight w:val="0"/>
      <w:marTop w:val="0"/>
      <w:marBottom w:val="0"/>
      <w:divBdr>
        <w:top w:val="none" w:sz="0" w:space="0" w:color="auto"/>
        <w:left w:val="none" w:sz="0" w:space="0" w:color="auto"/>
        <w:bottom w:val="none" w:sz="0" w:space="0" w:color="auto"/>
        <w:right w:val="none" w:sz="0" w:space="0" w:color="auto"/>
      </w:divBdr>
    </w:div>
    <w:div w:id="1978487112">
      <w:bodyDiv w:val="1"/>
      <w:marLeft w:val="0"/>
      <w:marRight w:val="0"/>
      <w:marTop w:val="0"/>
      <w:marBottom w:val="0"/>
      <w:divBdr>
        <w:top w:val="none" w:sz="0" w:space="0" w:color="auto"/>
        <w:left w:val="none" w:sz="0" w:space="0" w:color="auto"/>
        <w:bottom w:val="none" w:sz="0" w:space="0" w:color="auto"/>
        <w:right w:val="none" w:sz="0" w:space="0" w:color="auto"/>
      </w:divBdr>
    </w:div>
    <w:div w:id="21152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143DB-C6DB-4DBE-AE37-BC27817D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9</Pages>
  <Words>3230</Words>
  <Characters>19325</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Session -Rapport - Congrès des Pouvoirs locaux et régionnaux du Conseil de l'Europe</vt:lpstr>
      <vt:lpstr>Session -Rapport - Congrès des Pouvoirs locaux et régionnaux du Conseil de l'Europe</vt:lpstr>
    </vt:vector>
  </TitlesOfParts>
  <Company>Council of Europe</Company>
  <LinksUpToDate>false</LinksUpToDate>
  <CharactersWithSpaces>22510</CharactersWithSpaces>
  <SharedDoc>false</SharedDoc>
  <HLinks>
    <vt:vector size="18" baseType="variant">
      <vt:variant>
        <vt:i4>1572923</vt:i4>
      </vt:variant>
      <vt:variant>
        <vt:i4>14</vt:i4>
      </vt:variant>
      <vt:variant>
        <vt:i4>0</vt:i4>
      </vt:variant>
      <vt:variant>
        <vt:i4>5</vt:i4>
      </vt:variant>
      <vt:variant>
        <vt:lpwstr/>
      </vt:variant>
      <vt:variant>
        <vt:lpwstr>_Toc239561680</vt:lpwstr>
      </vt:variant>
      <vt:variant>
        <vt:i4>1507387</vt:i4>
      </vt:variant>
      <vt:variant>
        <vt:i4>8</vt:i4>
      </vt:variant>
      <vt:variant>
        <vt:i4>0</vt:i4>
      </vt:variant>
      <vt:variant>
        <vt:i4>5</vt:i4>
      </vt:variant>
      <vt:variant>
        <vt:lpwstr/>
      </vt:variant>
      <vt:variant>
        <vt:lpwstr>_Toc239561679</vt:lpwstr>
      </vt:variant>
      <vt:variant>
        <vt:i4>1507387</vt:i4>
      </vt:variant>
      <vt:variant>
        <vt:i4>2</vt:i4>
      </vt:variant>
      <vt:variant>
        <vt:i4>0</vt:i4>
      </vt:variant>
      <vt:variant>
        <vt:i4>5</vt:i4>
      </vt:variant>
      <vt:variant>
        <vt:lpwstr/>
      </vt:variant>
      <vt:variant>
        <vt:lpwstr>_Toc239561678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-Rapport - Congrès des Pouvoirs locaux et régionnaux du Conseil de l'Europe</dc:title>
  <dc:creator>schandene</dc:creator>
  <cp:lastModifiedBy>HATTENVILLE Imogen</cp:lastModifiedBy>
  <cp:revision>17</cp:revision>
  <cp:lastPrinted>2018-03-21T08:57:00Z</cp:lastPrinted>
  <dcterms:created xsi:type="dcterms:W3CDTF">2018-03-16T10:51:00Z</dcterms:created>
  <dcterms:modified xsi:type="dcterms:W3CDTF">2018-03-21T08:57:00Z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