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rsidTr="00491E67">
        <w:trPr>
          <w:trHeight w:val="737"/>
        </w:trPr>
        <w:tc>
          <w:tcPr>
            <w:tcW w:w="1250" w:type="pct"/>
            <w:shd w:val="clear" w:color="auto" w:fill="auto"/>
            <w:vAlign w:val="center"/>
          </w:tcPr>
          <w:p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rsidR="002D11B8" w:rsidRPr="009C5258" w:rsidRDefault="003D6AC2" w:rsidP="00491E67">
            <w:pPr>
              <w:ind w:left="-108"/>
              <w:jc w:val="center"/>
              <w:rPr>
                <w:rFonts w:ascii="Arial Narrow" w:hAnsi="Arial Narrow" w:cs="Arial"/>
                <w:szCs w:val="20"/>
              </w:rPr>
            </w:pPr>
            <w:r w:rsidRPr="003D6AC2">
              <w:rPr>
                <w:rFonts w:ascii="Arial Narrow" w:hAnsi="Arial Narrow" w:cs="Calibri"/>
                <w:szCs w:val="20"/>
              </w:rPr>
              <w:t>Documents</w:t>
            </w:r>
            <w:r w:rsidR="004728F8">
              <w:rPr>
                <w:rFonts w:ascii="Arial Narrow" w:hAnsi="Arial Narrow" w:cs="Calibri"/>
                <w:szCs w:val="20"/>
              </w:rPr>
              <w:t xml:space="preserve"> CM</w:t>
            </w:r>
          </w:p>
        </w:tc>
        <w:tc>
          <w:tcPr>
            <w:tcW w:w="1250" w:type="pct"/>
            <w:shd w:val="clear" w:color="auto" w:fill="auto"/>
            <w:vAlign w:val="center"/>
          </w:tcPr>
          <w:p w:rsidR="002D11B8" w:rsidRPr="00D75E31" w:rsidRDefault="00980FCA" w:rsidP="00980FCA">
            <w:pPr>
              <w:ind w:left="-40"/>
              <w:jc w:val="center"/>
              <w:rPr>
                <w:rFonts w:ascii="Arial Narrow" w:hAnsi="Arial Narrow" w:cs="Arial"/>
                <w:b/>
                <w:sz w:val="22"/>
              </w:rPr>
            </w:pPr>
            <w:r>
              <w:rPr>
                <w:rFonts w:ascii="Arial Narrow" w:hAnsi="Arial Narrow" w:cs="Calibri"/>
                <w:b/>
                <w:sz w:val="22"/>
              </w:rPr>
              <w:t>CM/</w:t>
            </w:r>
            <w:proofErr w:type="spellStart"/>
            <w:r>
              <w:rPr>
                <w:rFonts w:ascii="Arial Narrow" w:hAnsi="Arial Narrow" w:cs="Calibri"/>
                <w:b/>
                <w:sz w:val="22"/>
              </w:rPr>
              <w:t>Cong</w:t>
            </w:r>
            <w:proofErr w:type="spellEnd"/>
            <w:r>
              <w:rPr>
                <w:rFonts w:ascii="Arial Narrow" w:hAnsi="Arial Narrow" w:cs="Calibri"/>
                <w:b/>
                <w:sz w:val="22"/>
              </w:rPr>
              <w:t>(2017</w:t>
            </w:r>
            <w:proofErr w:type="gramStart"/>
            <w:r>
              <w:rPr>
                <w:rFonts w:ascii="Arial Narrow" w:hAnsi="Arial Narrow" w:cs="Calibri"/>
                <w:b/>
                <w:sz w:val="22"/>
              </w:rPr>
              <w:t>)Rec392</w:t>
            </w:r>
            <w:proofErr w:type="gramEnd"/>
            <w:r w:rsidR="00D75E31" w:rsidRPr="00D75E31">
              <w:rPr>
                <w:rFonts w:ascii="Arial Narrow" w:hAnsi="Arial Narrow" w:cs="Calibri"/>
                <w:b/>
                <w:sz w:val="22"/>
              </w:rPr>
              <w:t>-final</w:t>
            </w:r>
          </w:p>
        </w:tc>
        <w:tc>
          <w:tcPr>
            <w:tcW w:w="1250" w:type="pct"/>
            <w:shd w:val="clear" w:color="auto" w:fill="auto"/>
            <w:vAlign w:val="center"/>
          </w:tcPr>
          <w:p w:rsidR="002D11B8" w:rsidRPr="00F96689" w:rsidRDefault="00D452B9" w:rsidP="00795D1E">
            <w:pPr>
              <w:jc w:val="right"/>
              <w:rPr>
                <w:rFonts w:ascii="Arial Narrow" w:hAnsi="Arial Narrow" w:cs="Arial"/>
                <w:sz w:val="16"/>
                <w:szCs w:val="16"/>
              </w:rPr>
            </w:pPr>
            <w:r>
              <w:rPr>
                <w:rFonts w:ascii="Arial Narrow" w:hAnsi="Arial Narrow" w:cs="Calibri"/>
                <w:sz w:val="16"/>
                <w:szCs w:val="16"/>
              </w:rPr>
              <w:t>22</w:t>
            </w:r>
            <w:bookmarkStart w:id="0" w:name="_GoBack"/>
            <w:bookmarkEnd w:id="0"/>
            <w:r w:rsidR="00D75E31">
              <w:rPr>
                <w:rFonts w:ascii="Arial Narrow" w:hAnsi="Arial Narrow" w:cs="Calibri"/>
                <w:sz w:val="16"/>
                <w:szCs w:val="16"/>
              </w:rPr>
              <w:t xml:space="preserve"> </w:t>
            </w:r>
            <w:r w:rsidR="005400DD">
              <w:rPr>
                <w:rFonts w:ascii="Arial Narrow" w:hAnsi="Arial Narrow" w:cs="Calibri"/>
                <w:sz w:val="16"/>
                <w:szCs w:val="16"/>
              </w:rPr>
              <w:t xml:space="preserve">février </w:t>
            </w:r>
            <w:r w:rsidR="002D11B8" w:rsidRPr="00F96689">
              <w:rPr>
                <w:rFonts w:ascii="Arial Narrow" w:hAnsi="Arial Narrow" w:cs="Calibri"/>
                <w:sz w:val="16"/>
                <w:szCs w:val="16"/>
              </w:rPr>
              <w:t>201</w:t>
            </w:r>
            <w:r w:rsidR="00795D1E">
              <w:rPr>
                <w:rFonts w:ascii="Arial Narrow" w:hAnsi="Arial Narrow" w:cs="Calibri"/>
                <w:sz w:val="16"/>
                <w:szCs w:val="16"/>
              </w:rPr>
              <w:t>7</w:t>
            </w:r>
          </w:p>
        </w:tc>
      </w:tr>
    </w:tbl>
    <w:p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F20C75" w:rsidTr="00491E67">
        <w:tc>
          <w:tcPr>
            <w:tcW w:w="9399" w:type="dxa"/>
            <w:shd w:val="clear" w:color="auto" w:fill="auto"/>
            <w:tcMar>
              <w:top w:w="227" w:type="dxa"/>
              <w:bottom w:w="227" w:type="dxa"/>
            </w:tcMar>
            <w:vAlign w:val="center"/>
          </w:tcPr>
          <w:p w:rsidR="003D6AC2" w:rsidRPr="00F20C75" w:rsidRDefault="00980FCA" w:rsidP="009A16E0">
            <w:pPr>
              <w:rPr>
                <w:rFonts w:ascii="Arial Narrow" w:hAnsi="Arial Narrow" w:cs="Calibri"/>
                <w:b/>
                <w:sz w:val="28"/>
                <w:szCs w:val="28"/>
              </w:rPr>
            </w:pPr>
            <w:r>
              <w:rPr>
                <w:rFonts w:ascii="Arial Narrow" w:hAnsi="Arial Narrow" w:cs="Calibri"/>
                <w:b/>
                <w:sz w:val="28"/>
                <w:szCs w:val="28"/>
              </w:rPr>
              <w:t>« </w:t>
            </w:r>
            <w:r w:rsidRPr="00DF16CC">
              <w:rPr>
                <w:rFonts w:ascii="Arial Narrow" w:hAnsi="Arial Narrow" w:cs="Calibri"/>
                <w:b/>
                <w:sz w:val="28"/>
                <w:szCs w:val="28"/>
              </w:rPr>
              <w:t>Pour une bonne gouvernance des territoires métropolitains</w:t>
            </w:r>
            <w:r>
              <w:rPr>
                <w:rFonts w:ascii="Arial Narrow" w:hAnsi="Arial Narrow" w:cs="Calibri"/>
                <w:b/>
                <w:sz w:val="28"/>
                <w:szCs w:val="28"/>
              </w:rPr>
              <w:t> </w:t>
            </w:r>
            <w:r w:rsidRPr="00DF16CC">
              <w:rPr>
                <w:rFonts w:ascii="Arial Narrow" w:hAnsi="Arial Narrow" w:cs="Calibri"/>
                <w:b/>
                <w:sz w:val="28"/>
                <w:szCs w:val="28"/>
              </w:rPr>
              <w:t>»</w:t>
            </w:r>
            <w:r>
              <w:rPr>
                <w:rFonts w:ascii="Arial Narrow" w:hAnsi="Arial Narrow" w:cs="Calibri"/>
                <w:b/>
                <w:sz w:val="28"/>
                <w:szCs w:val="28"/>
              </w:rPr>
              <w:t xml:space="preserve"> </w:t>
            </w:r>
            <w:r w:rsidR="00DB18CE">
              <w:rPr>
                <w:rFonts w:ascii="Arial Narrow" w:hAnsi="Arial Narrow" w:cs="Calibri"/>
                <w:b/>
                <w:sz w:val="28"/>
                <w:szCs w:val="28"/>
              </w:rPr>
              <w:t>–</w:t>
            </w:r>
            <w:r w:rsidR="009A16E0" w:rsidRPr="00F20C75">
              <w:rPr>
                <w:rFonts w:ascii="Arial Narrow" w:hAnsi="Arial Narrow" w:cs="Calibri"/>
                <w:b/>
                <w:sz w:val="28"/>
                <w:szCs w:val="28"/>
              </w:rPr>
              <w:br/>
              <w:t xml:space="preserve">Recommandation </w:t>
            </w:r>
            <w:r w:rsidR="00795D1E">
              <w:rPr>
                <w:rFonts w:ascii="Arial Narrow" w:hAnsi="Arial Narrow" w:cs="Calibri"/>
                <w:b/>
                <w:sz w:val="28"/>
                <w:szCs w:val="28"/>
              </w:rPr>
              <w:t>3</w:t>
            </w:r>
            <w:r>
              <w:rPr>
                <w:rFonts w:ascii="Arial Narrow" w:hAnsi="Arial Narrow" w:cs="Calibri"/>
                <w:b/>
                <w:sz w:val="28"/>
                <w:szCs w:val="28"/>
              </w:rPr>
              <w:t>92</w:t>
            </w:r>
            <w:r w:rsidR="009A16E0" w:rsidRPr="00F20C75">
              <w:rPr>
                <w:rFonts w:ascii="Arial Narrow" w:hAnsi="Arial Narrow" w:cs="Calibri"/>
                <w:b/>
                <w:sz w:val="28"/>
                <w:szCs w:val="28"/>
              </w:rPr>
              <w:t xml:space="preserve"> (</w:t>
            </w:r>
            <w:r w:rsidR="00795D1E">
              <w:rPr>
                <w:rFonts w:ascii="Arial Narrow" w:hAnsi="Arial Narrow" w:cs="Calibri"/>
                <w:b/>
                <w:sz w:val="28"/>
                <w:szCs w:val="28"/>
              </w:rPr>
              <w:t>2016</w:t>
            </w:r>
            <w:r w:rsidR="009A16E0" w:rsidRPr="00F20C75">
              <w:rPr>
                <w:rFonts w:ascii="Arial Narrow" w:hAnsi="Arial Narrow" w:cs="Calibri"/>
                <w:b/>
                <w:sz w:val="28"/>
                <w:szCs w:val="28"/>
              </w:rPr>
              <w:t>) du Congrès des Pouvoirs locaux et régionaux</w:t>
            </w:r>
            <w:r w:rsidR="009A16E0" w:rsidRPr="00F20C75">
              <w:rPr>
                <w:rFonts w:ascii="Arial Narrow" w:hAnsi="Arial Narrow" w:cs="Calibri"/>
                <w:b/>
                <w:sz w:val="28"/>
                <w:szCs w:val="28"/>
              </w:rPr>
              <w:br/>
              <w:t>du Conseil de l'Europe</w:t>
            </w:r>
          </w:p>
          <w:p w:rsidR="000A307B" w:rsidRPr="00F20C75" w:rsidRDefault="009A16E0" w:rsidP="00827482">
            <w:pPr>
              <w:rPr>
                <w:rFonts w:ascii="Arial Narrow" w:hAnsi="Arial Narrow" w:cs="Calibri"/>
                <w:b/>
                <w:szCs w:val="20"/>
              </w:rPr>
            </w:pPr>
            <w:r w:rsidRPr="00F20C75">
              <w:rPr>
                <w:rFonts w:ascii="Arial Narrow" w:hAnsi="Arial Narrow" w:cs="Calibri"/>
                <w:sz w:val="22"/>
              </w:rPr>
              <w:t>(Réponse adoptée par le Comité des Mi</w:t>
            </w:r>
            <w:r w:rsidR="00827482">
              <w:rPr>
                <w:rFonts w:ascii="Arial Narrow" w:hAnsi="Arial Narrow" w:cs="Calibri"/>
                <w:sz w:val="22"/>
              </w:rPr>
              <w:t>nistres le 22</w:t>
            </w:r>
            <w:r w:rsidR="00795D1E">
              <w:rPr>
                <w:rFonts w:ascii="Arial Narrow" w:hAnsi="Arial Narrow" w:cs="Calibri"/>
                <w:sz w:val="22"/>
              </w:rPr>
              <w:t xml:space="preserve"> février 2017</w:t>
            </w:r>
            <w:r w:rsidR="00795D1E">
              <w:rPr>
                <w:rFonts w:ascii="Arial Narrow" w:hAnsi="Arial Narrow" w:cs="Calibri"/>
                <w:sz w:val="22"/>
              </w:rPr>
              <w:br/>
              <w:t>lors de la 127</w:t>
            </w:r>
            <w:r w:rsidR="00827482">
              <w:rPr>
                <w:rFonts w:ascii="Arial Narrow" w:hAnsi="Arial Narrow" w:cs="Calibri"/>
                <w:sz w:val="22"/>
              </w:rPr>
              <w:t>8</w:t>
            </w:r>
            <w:r w:rsidRPr="00F20C75">
              <w:rPr>
                <w:rFonts w:ascii="Arial Narrow" w:hAnsi="Arial Narrow" w:cs="Calibri"/>
                <w:sz w:val="22"/>
                <w:vertAlign w:val="superscript"/>
              </w:rPr>
              <w:t>e</w:t>
            </w:r>
            <w:r w:rsidRPr="00F20C75">
              <w:rPr>
                <w:rFonts w:ascii="Arial Narrow" w:hAnsi="Arial Narrow" w:cs="Calibri"/>
                <w:sz w:val="22"/>
              </w:rPr>
              <w:t xml:space="preserve"> réunion des Délégués des Ministres)</w:t>
            </w:r>
          </w:p>
        </w:tc>
      </w:tr>
    </w:tbl>
    <w:p w:rsidR="00491E67" w:rsidRPr="00F20C75" w:rsidRDefault="00491E67" w:rsidP="0037200F">
      <w:pPr>
        <w:rPr>
          <w:rFonts w:eastAsia="Times New Roman"/>
          <w:szCs w:val="24"/>
        </w:rPr>
      </w:pPr>
      <w:r w:rsidRPr="00F20C75">
        <w:rPr>
          <w:rFonts w:eastAsia="Times New Roman"/>
          <w:szCs w:val="24"/>
        </w:rPr>
        <w:t xml:space="preserve"> </w:t>
      </w:r>
    </w:p>
    <w:p w:rsidR="00491E67" w:rsidRPr="009A16E0" w:rsidRDefault="00491E67" w:rsidP="0037200F">
      <w:pPr>
        <w:rPr>
          <w:rFonts w:eastAsia="Times New Roman"/>
          <w:szCs w:val="24"/>
        </w:rPr>
      </w:pPr>
      <w:r w:rsidRPr="009A16E0">
        <w:rPr>
          <w:rFonts w:eastAsia="Times New Roman"/>
          <w:szCs w:val="24"/>
        </w:rPr>
        <w:t xml:space="preserve"> </w:t>
      </w:r>
    </w:p>
    <w:p w:rsidR="00980FCA" w:rsidRDefault="00980FCA" w:rsidP="00980FCA">
      <w:pPr>
        <w:rPr>
          <w:rFonts w:eastAsia="Times New Roman" w:cs="Arial"/>
          <w:szCs w:val="20"/>
          <w:lang w:eastAsia="fr-FR"/>
        </w:rPr>
      </w:pPr>
      <w:r>
        <w:rPr>
          <w:rFonts w:eastAsia="Times New Roman" w:cs="Arial"/>
          <w:szCs w:val="20"/>
          <w:lang w:eastAsia="fr-FR"/>
        </w:rPr>
        <w:t>1.</w:t>
      </w:r>
      <w:r>
        <w:rPr>
          <w:rFonts w:eastAsia="Times New Roman" w:cs="Arial"/>
          <w:szCs w:val="20"/>
          <w:lang w:eastAsia="fr-FR"/>
        </w:rPr>
        <w:tab/>
        <w:t>Le Comité des Ministres a examiné attentivement la Recommandation 392 (2016) du Congrès des pouvoirs locaux et régionaux intitulée « Pour une bonne gouvernance des territoires métropolitains » et l’a portée à l’attention de son Comité européen sur la démocratie et la gouvernance (CDDG).</w:t>
      </w:r>
    </w:p>
    <w:p w:rsidR="00980FCA" w:rsidRDefault="00980FCA" w:rsidP="00980FCA">
      <w:pPr>
        <w:rPr>
          <w:rFonts w:eastAsia="Times New Roman" w:cs="Arial"/>
          <w:szCs w:val="20"/>
          <w:lang w:eastAsia="fr-FR"/>
        </w:rPr>
      </w:pPr>
    </w:p>
    <w:p w:rsidR="00980FCA" w:rsidRDefault="00980FCA" w:rsidP="00980FCA">
      <w:pPr>
        <w:rPr>
          <w:rFonts w:eastAsia="Times New Roman" w:cs="Arial"/>
          <w:szCs w:val="20"/>
          <w:lang w:eastAsia="fr-FR"/>
        </w:rPr>
      </w:pPr>
      <w:r>
        <w:rPr>
          <w:rFonts w:eastAsia="Times New Roman" w:cs="Arial"/>
          <w:szCs w:val="20"/>
          <w:lang w:eastAsia="fr-FR"/>
        </w:rPr>
        <w:t>2.</w:t>
      </w:r>
      <w:r>
        <w:rPr>
          <w:rFonts w:eastAsia="Times New Roman" w:cs="Arial"/>
          <w:szCs w:val="20"/>
          <w:lang w:eastAsia="fr-FR"/>
        </w:rPr>
        <w:tab/>
        <w:t>Le Comité des Ministres estime que la Recommandation 392 (2016) soulève des points importants concernant la façon d’assurer la bonne gouvernance démocratique ainsi que le développement durable et cohésif des territoires métropolitains.</w:t>
      </w:r>
    </w:p>
    <w:p w:rsidR="00980FCA" w:rsidRDefault="00980FCA" w:rsidP="00980FCA">
      <w:pPr>
        <w:rPr>
          <w:rFonts w:eastAsia="Times New Roman" w:cs="Arial"/>
          <w:szCs w:val="20"/>
          <w:lang w:eastAsia="fr-FR"/>
        </w:rPr>
      </w:pPr>
    </w:p>
    <w:p w:rsidR="00980FCA" w:rsidRDefault="00980FCA" w:rsidP="00980FCA">
      <w:pPr>
        <w:rPr>
          <w:rFonts w:eastAsia="Times New Roman" w:cs="Arial"/>
          <w:szCs w:val="20"/>
          <w:lang w:eastAsia="fr-FR"/>
        </w:rPr>
      </w:pPr>
      <w:r>
        <w:rPr>
          <w:rFonts w:eastAsia="Times New Roman" w:cs="Arial"/>
          <w:szCs w:val="20"/>
          <w:lang w:eastAsia="fr-FR"/>
        </w:rPr>
        <w:t>3.</w:t>
      </w:r>
      <w:r>
        <w:rPr>
          <w:rFonts w:eastAsia="Times New Roman" w:cs="Arial"/>
          <w:szCs w:val="20"/>
          <w:lang w:eastAsia="fr-FR"/>
        </w:rPr>
        <w:tab/>
        <w:t>Au cours du second semestre 2017, le CDDG prévoit d’organiser un séminaire européen sur les</w:t>
      </w:r>
      <w:r>
        <w:t xml:space="preserve"> </w:t>
      </w:r>
      <w:r>
        <w:rPr>
          <w:rFonts w:eastAsia="Times New Roman" w:cs="Arial"/>
          <w:szCs w:val="20"/>
          <w:lang w:eastAsia="fr-FR"/>
        </w:rPr>
        <w:t>modèles de gouvernance pour les régions métropolitaines et leur</w:t>
      </w:r>
      <w:r w:rsidR="00472638">
        <w:rPr>
          <w:rFonts w:eastAsia="Times New Roman" w:cs="Arial"/>
          <w:szCs w:val="20"/>
          <w:lang w:eastAsia="fr-FR"/>
        </w:rPr>
        <w:t>s</w:t>
      </w:r>
      <w:r>
        <w:rPr>
          <w:rFonts w:eastAsia="Times New Roman" w:cs="Arial"/>
          <w:szCs w:val="20"/>
          <w:lang w:eastAsia="fr-FR"/>
        </w:rPr>
        <w:t xml:space="preserve"> périphéries, basé sur l'expérience et l’étendue des « bonnes pratiques » des Etats membres dans ce domaine. Le CDDG pourrait être amené à traduire les enseignements de ce séminaire dans des projets d’instruments, tels que </w:t>
      </w:r>
      <w:r w:rsidR="00421EDD">
        <w:rPr>
          <w:rFonts w:eastAsia="Times New Roman" w:cs="Arial"/>
          <w:szCs w:val="20"/>
          <w:lang w:eastAsia="fr-FR"/>
        </w:rPr>
        <w:t>d</w:t>
      </w:r>
      <w:r>
        <w:rPr>
          <w:rFonts w:eastAsia="Times New Roman" w:cs="Arial"/>
          <w:szCs w:val="20"/>
          <w:lang w:eastAsia="fr-FR"/>
        </w:rPr>
        <w:t>es lignes directrices visées au paragraphe 12.a de la Recommandation, en vue de leur adoption par le Comité des Ministres. Le Congrès sera tenu informé de ces éventuelles initiatives.</w:t>
      </w:r>
    </w:p>
    <w:p w:rsidR="00980FCA" w:rsidRDefault="00980FCA" w:rsidP="00980FCA">
      <w:pPr>
        <w:rPr>
          <w:rFonts w:eastAsia="Times New Roman" w:cs="Arial"/>
          <w:szCs w:val="20"/>
          <w:lang w:eastAsia="fr-FR"/>
        </w:rPr>
      </w:pPr>
    </w:p>
    <w:p w:rsidR="00980FCA" w:rsidRDefault="00980FCA" w:rsidP="00980FCA">
      <w:pPr>
        <w:rPr>
          <w:rFonts w:eastAsia="Times New Roman" w:cs="Arial"/>
          <w:szCs w:val="20"/>
          <w:lang w:eastAsia="fr-FR"/>
        </w:rPr>
      </w:pPr>
      <w:r>
        <w:rPr>
          <w:rFonts w:eastAsia="Times New Roman" w:cs="Arial"/>
          <w:szCs w:val="20"/>
          <w:lang w:eastAsia="fr-FR"/>
        </w:rPr>
        <w:t>4.</w:t>
      </w:r>
      <w:r>
        <w:rPr>
          <w:rFonts w:eastAsia="Times New Roman" w:cs="Arial"/>
          <w:szCs w:val="20"/>
          <w:lang w:eastAsia="fr-FR"/>
        </w:rPr>
        <w:tab/>
        <w:t xml:space="preserve">Les résultats du séminaire pourraient également être utilisés par les Etats membres qui souhaiteraient préparer des lignes directrices pour la cohésion du développement de leurs périphéries métropolitaines (paragraphe 12.b) ou développer des structures de gouvernance multiniveaux appropriées pour les territoires métropolitains (paragraphe 12.c). Les Etats membres pourraient également s’inspirer des normes et outils du </w:t>
      </w:r>
      <w:r w:rsidR="00421EDD">
        <w:rPr>
          <w:rFonts w:eastAsia="Times New Roman" w:cs="Arial"/>
          <w:szCs w:val="20"/>
          <w:lang w:eastAsia="fr-FR"/>
        </w:rPr>
        <w:t>Conseil de l’Europe, y compris l</w:t>
      </w:r>
      <w:r>
        <w:rPr>
          <w:rFonts w:eastAsia="Times New Roman" w:cs="Arial"/>
          <w:szCs w:val="20"/>
          <w:lang w:eastAsia="fr-FR"/>
        </w:rPr>
        <w:t xml:space="preserve">es boîtes à outils développées par le Centre d'expertise sur la réforme de l'administration locale et, plus spécifiquement, </w:t>
      </w:r>
      <w:r w:rsidR="00421EDD">
        <w:rPr>
          <w:rFonts w:eastAsia="Times New Roman" w:cs="Arial"/>
          <w:szCs w:val="20"/>
          <w:lang w:eastAsia="fr-FR"/>
        </w:rPr>
        <w:t>l</w:t>
      </w:r>
      <w:r>
        <w:rPr>
          <w:rFonts w:eastAsia="Times New Roman" w:cs="Arial"/>
          <w:szCs w:val="20"/>
          <w:lang w:eastAsia="fr-FR"/>
        </w:rPr>
        <w:t>es Douze principes de la bonne gouvernance au niveau local.</w:t>
      </w:r>
    </w:p>
    <w:p w:rsidR="00980FCA" w:rsidRDefault="00980FCA" w:rsidP="00980FCA">
      <w:pPr>
        <w:rPr>
          <w:rFonts w:ascii="Calibri" w:hAnsi="Calibri"/>
          <w:sz w:val="22"/>
        </w:rPr>
      </w:pPr>
    </w:p>
    <w:p w:rsidR="009A16E0" w:rsidRPr="00795D1E" w:rsidRDefault="009A16E0">
      <w:pPr>
        <w:rPr>
          <w:rFonts w:eastAsia="Times New Roman"/>
          <w:szCs w:val="24"/>
        </w:rPr>
      </w:pPr>
    </w:p>
    <w:p w:rsidR="00491E67" w:rsidRPr="00795D1E" w:rsidRDefault="00491E67">
      <w:pPr>
        <w:rPr>
          <w:rFonts w:eastAsia="Times New Roman"/>
          <w:szCs w:val="24"/>
        </w:rPr>
      </w:pPr>
    </w:p>
    <w:p w:rsidR="004D1C0F" w:rsidRPr="00795D1E" w:rsidRDefault="004D1C0F" w:rsidP="0037200F">
      <w:pPr>
        <w:rPr>
          <w:rFonts w:eastAsia="Times New Roman"/>
          <w:szCs w:val="24"/>
        </w:rPr>
      </w:pPr>
    </w:p>
    <w:sectPr w:rsidR="004D1C0F" w:rsidRPr="00795D1E" w:rsidSect="00544F6A">
      <w:headerReference w:type="even" r:id="rId8"/>
      <w:headerReference w:type="default" r:id="rId9"/>
      <w:footerReference w:type="default" r:id="rId10"/>
      <w:headerReference w:type="first" r:id="rId11"/>
      <w:footerReference w:type="first" r:id="rId12"/>
      <w:type w:val="continuous"/>
      <w:pgSz w:w="11907" w:h="16840" w:code="9"/>
      <w:pgMar w:top="992" w:right="851" w:bottom="709"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D1E" w:rsidRDefault="00795D1E" w:rsidP="00FD6043">
      <w:r>
        <w:separator/>
      </w:r>
    </w:p>
  </w:endnote>
  <w:endnote w:type="continuationSeparator" w:id="0">
    <w:p w:rsidR="00795D1E" w:rsidRDefault="00795D1E"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auto"/>
    <w:pitch w:val="variable"/>
    <w:sig w:usb0="00000001"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006" w:rsidRPr="002F3006" w:rsidRDefault="002F3006" w:rsidP="002F3006">
    <w:pPr>
      <w:pStyle w:val="Pieddepage"/>
      <w:jc w:val="right"/>
      <w:rPr>
        <w:rFonts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6B8" w:rsidRPr="00113EB0" w:rsidRDefault="00E1656D" w:rsidP="00E15639">
    <w:pPr>
      <w:pStyle w:val="Pieddepage"/>
      <w:rPr>
        <w:sz w:val="16"/>
        <w:szCs w:val="16"/>
      </w:rPr>
    </w:pPr>
    <w:r>
      <w:rPr>
        <w:sz w:val="16"/>
        <w:szCs w:val="16"/>
      </w:rPr>
      <w:t>Site internet </w:t>
    </w:r>
    <w:r w:rsidR="00E15639" w:rsidRPr="00113EB0">
      <w:rPr>
        <w:sz w:val="16"/>
        <w:szCs w:val="16"/>
      </w:rPr>
      <w:t xml:space="preserve">: </w:t>
    </w:r>
    <w:hyperlink r:id="rId1" w:history="1">
      <w:r w:rsidR="00AE76B8" w:rsidRPr="00533557">
        <w:rPr>
          <w:rStyle w:val="Lienhypertexte"/>
          <w:sz w:val="16"/>
          <w:szCs w:val="16"/>
        </w:rPr>
        <w:t>www.coe.int/cm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D1E" w:rsidRDefault="00795D1E" w:rsidP="00FD6043">
      <w:r>
        <w:separator/>
      </w:r>
    </w:p>
  </w:footnote>
  <w:footnote w:type="continuationSeparator" w:id="0">
    <w:p w:rsidR="00795D1E" w:rsidRDefault="00795D1E" w:rsidP="00FD6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C57" w:rsidRPr="00491E67" w:rsidRDefault="009A16E0" w:rsidP="00491E67">
    <w:pPr>
      <w:pStyle w:val="En-tte"/>
    </w:pPr>
    <w:r w:rsidRPr="009A16E0">
      <w:t>CM/</w:t>
    </w:r>
    <w:proofErr w:type="spellStart"/>
    <w:r w:rsidRPr="009A16E0">
      <w:t>Cong</w:t>
    </w:r>
    <w:proofErr w:type="spellEnd"/>
    <w:r w:rsidRPr="009A16E0">
      <w:t>(201</w:t>
    </w:r>
    <w:r w:rsidR="00827482">
      <w:t>7</w:t>
    </w:r>
    <w:proofErr w:type="gramStart"/>
    <w:r w:rsidRPr="009A16E0">
      <w:t>)Rec</w:t>
    </w:r>
    <w:r w:rsidR="00C466E5">
      <w:t>3</w:t>
    </w:r>
    <w:r w:rsidR="00827482">
      <w:t>88</w:t>
    </w:r>
    <w:proofErr w:type="gramEnd"/>
    <w:r w:rsidRPr="009A16E0">
      <w:t>-final</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sidR="00C6434A">
      <w:rPr>
        <w:noProof/>
      </w:rPr>
      <w:t>2</w:t>
    </w:r>
    <w:r w:rsidR="00E15639" w:rsidRPr="00491E67">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C57" w:rsidRPr="00491E67" w:rsidRDefault="00E15639" w:rsidP="00491E67">
    <w:pPr>
      <w:pStyle w:val="En-tte"/>
    </w:pPr>
    <w:r w:rsidRPr="00491E67">
      <w:tab/>
    </w:r>
    <w:r w:rsidRPr="00491E67">
      <w:fldChar w:fldCharType="begin"/>
    </w:r>
    <w:r w:rsidRPr="00491E67">
      <w:instrText xml:space="preserve"> PAGE  \* Arabic  \* MERGEFORMAT </w:instrText>
    </w:r>
    <w:r w:rsidRPr="00491E67">
      <w:fldChar w:fldCharType="separate"/>
    </w:r>
    <w:r w:rsidR="009A16E0">
      <w:rPr>
        <w:noProof/>
      </w:rPr>
      <w:t>3</w:t>
    </w:r>
    <w:r w:rsidRPr="00491E67">
      <w:fldChar w:fldCharType="end"/>
    </w:r>
    <w:r w:rsidR="00E475F9" w:rsidRPr="00491E67">
      <w:tab/>
    </w:r>
    <w:r w:rsidR="009A16E0" w:rsidRPr="009A16E0">
      <w:t>CM/</w:t>
    </w:r>
    <w:proofErr w:type="spellStart"/>
    <w:proofErr w:type="gramStart"/>
    <w:r w:rsidR="009A16E0" w:rsidRPr="009A16E0">
      <w:t>Cong</w:t>
    </w:r>
    <w:proofErr w:type="spellEnd"/>
    <w:r w:rsidR="009A16E0" w:rsidRPr="009A16E0">
      <w:t>(</w:t>
    </w:r>
    <w:proofErr w:type="gramEnd"/>
    <w:r w:rsidR="009A16E0" w:rsidRPr="009A16E0">
      <w:t>201..)Rec...-final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BDB" w:rsidRDefault="00137BB4" w:rsidP="00123CDD">
    <w:pPr>
      <w:pStyle w:val="En-tte"/>
      <w:spacing w:after="2280"/>
    </w:pPr>
    <w:r>
      <w:rPr>
        <w:noProof/>
        <w:lang w:val="en-GB" w:eastAsia="en-GB"/>
      </w:rPr>
      <w:drawing>
        <wp:anchor distT="0" distB="0" distL="114300" distR="114300" simplePos="0" relativeHeight="251657728" behindDoc="1" locked="0" layoutInCell="0" allowOverlap="0">
          <wp:simplePos x="0" y="0"/>
          <wp:positionH relativeFrom="page">
            <wp:posOffset>410210</wp:posOffset>
          </wp:positionH>
          <wp:positionV relativeFrom="page">
            <wp:posOffset>17780</wp:posOffset>
          </wp:positionV>
          <wp:extent cx="7581900" cy="10724515"/>
          <wp:effectExtent l="0" t="0" r="0" b="635"/>
          <wp:wrapNone/>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7245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1E"/>
    <w:rsid w:val="00027B2B"/>
    <w:rsid w:val="00035FDF"/>
    <w:rsid w:val="00071EA7"/>
    <w:rsid w:val="00072CBD"/>
    <w:rsid w:val="00082CEE"/>
    <w:rsid w:val="000A307B"/>
    <w:rsid w:val="000C52A6"/>
    <w:rsid w:val="000C5E2A"/>
    <w:rsid w:val="000E50A4"/>
    <w:rsid w:val="000F4CF2"/>
    <w:rsid w:val="000F58C3"/>
    <w:rsid w:val="000F5ADA"/>
    <w:rsid w:val="000F708C"/>
    <w:rsid w:val="00106141"/>
    <w:rsid w:val="00110729"/>
    <w:rsid w:val="00113EB0"/>
    <w:rsid w:val="00123CDD"/>
    <w:rsid w:val="00134D9A"/>
    <w:rsid w:val="00135BDB"/>
    <w:rsid w:val="00137BB4"/>
    <w:rsid w:val="0014266D"/>
    <w:rsid w:val="00147EF4"/>
    <w:rsid w:val="00153BB3"/>
    <w:rsid w:val="00156DC1"/>
    <w:rsid w:val="00160B03"/>
    <w:rsid w:val="00171115"/>
    <w:rsid w:val="001A6076"/>
    <w:rsid w:val="001B7E0B"/>
    <w:rsid w:val="001E7C29"/>
    <w:rsid w:val="001F297D"/>
    <w:rsid w:val="001F4F04"/>
    <w:rsid w:val="00214299"/>
    <w:rsid w:val="002250DD"/>
    <w:rsid w:val="0023437D"/>
    <w:rsid w:val="00242ABB"/>
    <w:rsid w:val="00251353"/>
    <w:rsid w:val="00262B36"/>
    <w:rsid w:val="00265917"/>
    <w:rsid w:val="002861FB"/>
    <w:rsid w:val="00293EE6"/>
    <w:rsid w:val="002B1EAE"/>
    <w:rsid w:val="002B43C6"/>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7200F"/>
    <w:rsid w:val="00373957"/>
    <w:rsid w:val="00381C50"/>
    <w:rsid w:val="00385587"/>
    <w:rsid w:val="00392D1D"/>
    <w:rsid w:val="003A5509"/>
    <w:rsid w:val="003B2C8C"/>
    <w:rsid w:val="003B345B"/>
    <w:rsid w:val="003D3B17"/>
    <w:rsid w:val="003D48AE"/>
    <w:rsid w:val="003D6AC2"/>
    <w:rsid w:val="003F3D4B"/>
    <w:rsid w:val="0040027C"/>
    <w:rsid w:val="00400868"/>
    <w:rsid w:val="00421EDD"/>
    <w:rsid w:val="004256CB"/>
    <w:rsid w:val="004329B7"/>
    <w:rsid w:val="00443709"/>
    <w:rsid w:val="00447D22"/>
    <w:rsid w:val="004553F6"/>
    <w:rsid w:val="00472638"/>
    <w:rsid w:val="004728F8"/>
    <w:rsid w:val="00480D8B"/>
    <w:rsid w:val="00491E67"/>
    <w:rsid w:val="004A37E1"/>
    <w:rsid w:val="004C0C2F"/>
    <w:rsid w:val="004C11B3"/>
    <w:rsid w:val="004D1C0F"/>
    <w:rsid w:val="004F1D8B"/>
    <w:rsid w:val="0050115D"/>
    <w:rsid w:val="005400DD"/>
    <w:rsid w:val="0054041B"/>
    <w:rsid w:val="00544F6A"/>
    <w:rsid w:val="00550B6C"/>
    <w:rsid w:val="00574663"/>
    <w:rsid w:val="005B1FA1"/>
    <w:rsid w:val="005B3604"/>
    <w:rsid w:val="005C73BB"/>
    <w:rsid w:val="005D7BB3"/>
    <w:rsid w:val="005D7CDF"/>
    <w:rsid w:val="005F093B"/>
    <w:rsid w:val="005F3DC6"/>
    <w:rsid w:val="00614982"/>
    <w:rsid w:val="00643231"/>
    <w:rsid w:val="00643C3F"/>
    <w:rsid w:val="00644AD3"/>
    <w:rsid w:val="006455FA"/>
    <w:rsid w:val="00671684"/>
    <w:rsid w:val="00671EA2"/>
    <w:rsid w:val="006908C5"/>
    <w:rsid w:val="006F0318"/>
    <w:rsid w:val="006F6B48"/>
    <w:rsid w:val="00712E65"/>
    <w:rsid w:val="007150DE"/>
    <w:rsid w:val="00735569"/>
    <w:rsid w:val="00761627"/>
    <w:rsid w:val="00773CFE"/>
    <w:rsid w:val="00795D1E"/>
    <w:rsid w:val="007A543D"/>
    <w:rsid w:val="007B3DD0"/>
    <w:rsid w:val="007C0AD1"/>
    <w:rsid w:val="007D7B20"/>
    <w:rsid w:val="007E168C"/>
    <w:rsid w:val="007F6C46"/>
    <w:rsid w:val="00800A19"/>
    <w:rsid w:val="008042E6"/>
    <w:rsid w:val="00805F04"/>
    <w:rsid w:val="00810D5A"/>
    <w:rsid w:val="00814AA2"/>
    <w:rsid w:val="0082394F"/>
    <w:rsid w:val="00827482"/>
    <w:rsid w:val="00853C90"/>
    <w:rsid w:val="008575F2"/>
    <w:rsid w:val="0087380A"/>
    <w:rsid w:val="008B07D4"/>
    <w:rsid w:val="008C12CC"/>
    <w:rsid w:val="00915AB1"/>
    <w:rsid w:val="00916BF5"/>
    <w:rsid w:val="009215B8"/>
    <w:rsid w:val="00923554"/>
    <w:rsid w:val="009270C4"/>
    <w:rsid w:val="009342FF"/>
    <w:rsid w:val="00940F14"/>
    <w:rsid w:val="00950D67"/>
    <w:rsid w:val="009527D7"/>
    <w:rsid w:val="00955512"/>
    <w:rsid w:val="00963962"/>
    <w:rsid w:val="00974C41"/>
    <w:rsid w:val="00980FCA"/>
    <w:rsid w:val="00990722"/>
    <w:rsid w:val="009A16E0"/>
    <w:rsid w:val="009B3AB7"/>
    <w:rsid w:val="009C5258"/>
    <w:rsid w:val="009D28F3"/>
    <w:rsid w:val="009D28F7"/>
    <w:rsid w:val="00A12DEC"/>
    <w:rsid w:val="00A13FA3"/>
    <w:rsid w:val="00A161B3"/>
    <w:rsid w:val="00A22D53"/>
    <w:rsid w:val="00A474E5"/>
    <w:rsid w:val="00A842D4"/>
    <w:rsid w:val="00A93CA3"/>
    <w:rsid w:val="00AB6552"/>
    <w:rsid w:val="00AB67F8"/>
    <w:rsid w:val="00AB7727"/>
    <w:rsid w:val="00AC73AA"/>
    <w:rsid w:val="00AE76B8"/>
    <w:rsid w:val="00B06133"/>
    <w:rsid w:val="00B129D8"/>
    <w:rsid w:val="00B227AE"/>
    <w:rsid w:val="00B41B03"/>
    <w:rsid w:val="00B41EC3"/>
    <w:rsid w:val="00B509CE"/>
    <w:rsid w:val="00B63F08"/>
    <w:rsid w:val="00B81BAC"/>
    <w:rsid w:val="00B849E0"/>
    <w:rsid w:val="00B90246"/>
    <w:rsid w:val="00B920E4"/>
    <w:rsid w:val="00BA79A3"/>
    <w:rsid w:val="00BB4432"/>
    <w:rsid w:val="00BB7DCE"/>
    <w:rsid w:val="00BD25C0"/>
    <w:rsid w:val="00C049EE"/>
    <w:rsid w:val="00C109FD"/>
    <w:rsid w:val="00C14C2C"/>
    <w:rsid w:val="00C409C2"/>
    <w:rsid w:val="00C466E5"/>
    <w:rsid w:val="00C6434A"/>
    <w:rsid w:val="00C74E6F"/>
    <w:rsid w:val="00C8348A"/>
    <w:rsid w:val="00C92F89"/>
    <w:rsid w:val="00CC39DC"/>
    <w:rsid w:val="00CE1FF8"/>
    <w:rsid w:val="00CE4890"/>
    <w:rsid w:val="00CE6FD2"/>
    <w:rsid w:val="00D0182E"/>
    <w:rsid w:val="00D0265B"/>
    <w:rsid w:val="00D24A57"/>
    <w:rsid w:val="00D452B9"/>
    <w:rsid w:val="00D53526"/>
    <w:rsid w:val="00D554E6"/>
    <w:rsid w:val="00D70628"/>
    <w:rsid w:val="00D75E31"/>
    <w:rsid w:val="00DA7643"/>
    <w:rsid w:val="00DB029C"/>
    <w:rsid w:val="00DB18CE"/>
    <w:rsid w:val="00DC162E"/>
    <w:rsid w:val="00DC4A39"/>
    <w:rsid w:val="00DE0A21"/>
    <w:rsid w:val="00DF6796"/>
    <w:rsid w:val="00E125C6"/>
    <w:rsid w:val="00E15639"/>
    <w:rsid w:val="00E1656D"/>
    <w:rsid w:val="00E173B5"/>
    <w:rsid w:val="00E24C57"/>
    <w:rsid w:val="00E475F9"/>
    <w:rsid w:val="00E50974"/>
    <w:rsid w:val="00E86611"/>
    <w:rsid w:val="00E940BF"/>
    <w:rsid w:val="00EA643A"/>
    <w:rsid w:val="00EE34E3"/>
    <w:rsid w:val="00EF0BE4"/>
    <w:rsid w:val="00F01885"/>
    <w:rsid w:val="00F168A4"/>
    <w:rsid w:val="00F20C75"/>
    <w:rsid w:val="00F2380B"/>
    <w:rsid w:val="00F24713"/>
    <w:rsid w:val="00F40699"/>
    <w:rsid w:val="00F40B8D"/>
    <w:rsid w:val="00F433D6"/>
    <w:rsid w:val="00F61D34"/>
    <w:rsid w:val="00F76BBD"/>
    <w:rsid w:val="00F96689"/>
    <w:rsid w:val="00FD6043"/>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28F8"/>
    <w:rPr>
      <w:rFonts w:ascii="Arial" w:hAnsi="Arial"/>
      <w:szCs w:val="22"/>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37BB4"/>
    <w:pPr>
      <w:tabs>
        <w:tab w:val="center" w:pos="4961"/>
        <w:tab w:val="right" w:pos="9923"/>
      </w:tabs>
    </w:pPr>
    <w:rPr>
      <w:sz w:val="18"/>
    </w:rPr>
  </w:style>
  <w:style w:type="character" w:customStyle="1" w:styleId="En-tteCar">
    <w:name w:val="En-tête Car"/>
    <w:link w:val="En-tte"/>
    <w:uiPriority w:val="99"/>
    <w:rsid w:val="00137BB4"/>
    <w:rPr>
      <w:rFonts w:ascii="Arial" w:hAnsi="Arial"/>
      <w:sz w:val="18"/>
      <w:szCs w:val="22"/>
      <w:lang w:val="fr-FR" w:eastAsia="en-US"/>
    </w:rPr>
  </w:style>
  <w:style w:type="paragraph" w:styleId="Pieddepage">
    <w:name w:val="footer"/>
    <w:basedOn w:val="Normal"/>
    <w:link w:val="PieddepageCar"/>
    <w:uiPriority w:val="99"/>
    <w:unhideWhenUsed/>
    <w:rsid w:val="00FD6043"/>
    <w:pPr>
      <w:tabs>
        <w:tab w:val="center" w:pos="4513"/>
        <w:tab w:val="right" w:pos="9026"/>
      </w:tabs>
    </w:pPr>
  </w:style>
  <w:style w:type="character" w:customStyle="1" w:styleId="PieddepageCar">
    <w:name w:val="Pied de page Car"/>
    <w:basedOn w:val="Policepardfaut"/>
    <w:link w:val="Pieddepage"/>
    <w:uiPriority w:val="99"/>
    <w:rsid w:val="00FD6043"/>
  </w:style>
  <w:style w:type="paragraph" w:styleId="Textedebulles">
    <w:name w:val="Balloon Text"/>
    <w:basedOn w:val="Normal"/>
    <w:link w:val="TextedebullesCar"/>
    <w:uiPriority w:val="99"/>
    <w:semiHidden/>
    <w:unhideWhenUsed/>
    <w:rsid w:val="00FD6043"/>
    <w:rPr>
      <w:rFonts w:ascii="Tahoma" w:hAnsi="Tahoma" w:cs="Tahoma"/>
      <w:sz w:val="16"/>
      <w:szCs w:val="16"/>
    </w:rPr>
  </w:style>
  <w:style w:type="character" w:customStyle="1" w:styleId="TextedebullesCar">
    <w:name w:val="Texte de bulles Car"/>
    <w:link w:val="Textedebulles"/>
    <w:uiPriority w:val="99"/>
    <w:semiHidden/>
    <w:rsid w:val="00FD6043"/>
    <w:rPr>
      <w:rFonts w:ascii="Tahoma" w:hAnsi="Tahoma" w:cs="Tahoma"/>
      <w:sz w:val="16"/>
      <w:szCs w:val="16"/>
    </w:rPr>
  </w:style>
  <w:style w:type="table" w:styleId="Grilledutableau">
    <w:name w:val="Table Grid"/>
    <w:basedOn w:val="Tableau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Lienhypertexte">
    <w:name w:val="Hyperlink"/>
    <w:unhideWhenUsed/>
    <w:rsid w:val="00AE76B8"/>
    <w:rPr>
      <w:color w:val="auto"/>
      <w:u w:val="none"/>
    </w:rPr>
  </w:style>
  <w:style w:type="character" w:styleId="Numrodepage">
    <w:name w:val="page number"/>
    <w:basedOn w:val="Policepardfaut"/>
    <w:uiPriority w:val="99"/>
    <w:semiHidden/>
    <w:unhideWhenUsed/>
    <w:rsid w:val="00E24C57"/>
  </w:style>
  <w:style w:type="character" w:styleId="Marquedecommentaire">
    <w:name w:val="annotation reference"/>
    <w:uiPriority w:val="99"/>
    <w:semiHidden/>
    <w:unhideWhenUsed/>
    <w:rsid w:val="002250DD"/>
    <w:rPr>
      <w:sz w:val="18"/>
      <w:szCs w:val="18"/>
    </w:rPr>
  </w:style>
  <w:style w:type="paragraph" w:styleId="Commentaire">
    <w:name w:val="annotation text"/>
    <w:basedOn w:val="Normal"/>
    <w:link w:val="CommentaireCar"/>
    <w:uiPriority w:val="99"/>
    <w:semiHidden/>
    <w:unhideWhenUsed/>
    <w:rsid w:val="002250DD"/>
    <w:rPr>
      <w:sz w:val="24"/>
      <w:szCs w:val="24"/>
    </w:rPr>
  </w:style>
  <w:style w:type="character" w:customStyle="1" w:styleId="CommentaireCar">
    <w:name w:val="Commentaire Car"/>
    <w:link w:val="Commentaire"/>
    <w:uiPriority w:val="99"/>
    <w:semiHidden/>
    <w:rsid w:val="002250DD"/>
    <w:rPr>
      <w:sz w:val="24"/>
      <w:szCs w:val="24"/>
    </w:rPr>
  </w:style>
  <w:style w:type="paragraph" w:styleId="Objetducommentaire">
    <w:name w:val="annotation subject"/>
    <w:basedOn w:val="Commentaire"/>
    <w:next w:val="Commentaire"/>
    <w:link w:val="ObjetducommentaireCar"/>
    <w:uiPriority w:val="99"/>
    <w:semiHidden/>
    <w:unhideWhenUsed/>
    <w:rsid w:val="002250DD"/>
    <w:rPr>
      <w:b/>
      <w:bCs/>
      <w:sz w:val="20"/>
      <w:szCs w:val="20"/>
    </w:rPr>
  </w:style>
  <w:style w:type="character" w:customStyle="1" w:styleId="ObjetducommentaireCar">
    <w:name w:val="Objet du commentaire Car"/>
    <w:link w:val="Objetducommentaire"/>
    <w:uiPriority w:val="99"/>
    <w:semiHidden/>
    <w:rsid w:val="002250DD"/>
    <w:rPr>
      <w:b/>
      <w:bCs/>
      <w:sz w:val="20"/>
      <w:szCs w:val="20"/>
    </w:rPr>
  </w:style>
  <w:style w:type="paragraph" w:styleId="Notedebasdepage">
    <w:name w:val="footnote text"/>
    <w:basedOn w:val="Normal"/>
    <w:link w:val="NotedebasdepageCar"/>
    <w:unhideWhenUsed/>
    <w:rsid w:val="009C5258"/>
    <w:rPr>
      <w:sz w:val="16"/>
      <w:szCs w:val="20"/>
    </w:rPr>
  </w:style>
  <w:style w:type="character" w:customStyle="1" w:styleId="NotedebasdepageCar">
    <w:name w:val="Note de bas de page Car"/>
    <w:link w:val="Notedebasdepage"/>
    <w:rsid w:val="009C5258"/>
    <w:rPr>
      <w:rFonts w:ascii="Arial" w:hAnsi="Arial"/>
      <w:sz w:val="16"/>
      <w:lang w:val="fr-FR" w:eastAsia="en-US"/>
    </w:rPr>
  </w:style>
  <w:style w:type="character" w:styleId="Appelnotedebasdep">
    <w:name w:val="footnote reference"/>
    <w:unhideWhenUsed/>
    <w:rsid w:val="00853C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28F8"/>
    <w:rPr>
      <w:rFonts w:ascii="Arial" w:hAnsi="Arial"/>
      <w:szCs w:val="22"/>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37BB4"/>
    <w:pPr>
      <w:tabs>
        <w:tab w:val="center" w:pos="4961"/>
        <w:tab w:val="right" w:pos="9923"/>
      </w:tabs>
    </w:pPr>
    <w:rPr>
      <w:sz w:val="18"/>
    </w:rPr>
  </w:style>
  <w:style w:type="character" w:customStyle="1" w:styleId="En-tteCar">
    <w:name w:val="En-tête Car"/>
    <w:link w:val="En-tte"/>
    <w:uiPriority w:val="99"/>
    <w:rsid w:val="00137BB4"/>
    <w:rPr>
      <w:rFonts w:ascii="Arial" w:hAnsi="Arial"/>
      <w:sz w:val="18"/>
      <w:szCs w:val="22"/>
      <w:lang w:val="fr-FR" w:eastAsia="en-US"/>
    </w:rPr>
  </w:style>
  <w:style w:type="paragraph" w:styleId="Pieddepage">
    <w:name w:val="footer"/>
    <w:basedOn w:val="Normal"/>
    <w:link w:val="PieddepageCar"/>
    <w:uiPriority w:val="99"/>
    <w:unhideWhenUsed/>
    <w:rsid w:val="00FD6043"/>
    <w:pPr>
      <w:tabs>
        <w:tab w:val="center" w:pos="4513"/>
        <w:tab w:val="right" w:pos="9026"/>
      </w:tabs>
    </w:pPr>
  </w:style>
  <w:style w:type="character" w:customStyle="1" w:styleId="PieddepageCar">
    <w:name w:val="Pied de page Car"/>
    <w:basedOn w:val="Policepardfaut"/>
    <w:link w:val="Pieddepage"/>
    <w:uiPriority w:val="99"/>
    <w:rsid w:val="00FD6043"/>
  </w:style>
  <w:style w:type="paragraph" w:styleId="Textedebulles">
    <w:name w:val="Balloon Text"/>
    <w:basedOn w:val="Normal"/>
    <w:link w:val="TextedebullesCar"/>
    <w:uiPriority w:val="99"/>
    <w:semiHidden/>
    <w:unhideWhenUsed/>
    <w:rsid w:val="00FD6043"/>
    <w:rPr>
      <w:rFonts w:ascii="Tahoma" w:hAnsi="Tahoma" w:cs="Tahoma"/>
      <w:sz w:val="16"/>
      <w:szCs w:val="16"/>
    </w:rPr>
  </w:style>
  <w:style w:type="character" w:customStyle="1" w:styleId="TextedebullesCar">
    <w:name w:val="Texte de bulles Car"/>
    <w:link w:val="Textedebulles"/>
    <w:uiPriority w:val="99"/>
    <w:semiHidden/>
    <w:rsid w:val="00FD6043"/>
    <w:rPr>
      <w:rFonts w:ascii="Tahoma" w:hAnsi="Tahoma" w:cs="Tahoma"/>
      <w:sz w:val="16"/>
      <w:szCs w:val="16"/>
    </w:rPr>
  </w:style>
  <w:style w:type="table" w:styleId="Grilledutableau">
    <w:name w:val="Table Grid"/>
    <w:basedOn w:val="Tableau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Lienhypertexte">
    <w:name w:val="Hyperlink"/>
    <w:unhideWhenUsed/>
    <w:rsid w:val="00AE76B8"/>
    <w:rPr>
      <w:color w:val="auto"/>
      <w:u w:val="none"/>
    </w:rPr>
  </w:style>
  <w:style w:type="character" w:styleId="Numrodepage">
    <w:name w:val="page number"/>
    <w:basedOn w:val="Policepardfaut"/>
    <w:uiPriority w:val="99"/>
    <w:semiHidden/>
    <w:unhideWhenUsed/>
    <w:rsid w:val="00E24C57"/>
  </w:style>
  <w:style w:type="character" w:styleId="Marquedecommentaire">
    <w:name w:val="annotation reference"/>
    <w:uiPriority w:val="99"/>
    <w:semiHidden/>
    <w:unhideWhenUsed/>
    <w:rsid w:val="002250DD"/>
    <w:rPr>
      <w:sz w:val="18"/>
      <w:szCs w:val="18"/>
    </w:rPr>
  </w:style>
  <w:style w:type="paragraph" w:styleId="Commentaire">
    <w:name w:val="annotation text"/>
    <w:basedOn w:val="Normal"/>
    <w:link w:val="CommentaireCar"/>
    <w:uiPriority w:val="99"/>
    <w:semiHidden/>
    <w:unhideWhenUsed/>
    <w:rsid w:val="002250DD"/>
    <w:rPr>
      <w:sz w:val="24"/>
      <w:szCs w:val="24"/>
    </w:rPr>
  </w:style>
  <w:style w:type="character" w:customStyle="1" w:styleId="CommentaireCar">
    <w:name w:val="Commentaire Car"/>
    <w:link w:val="Commentaire"/>
    <w:uiPriority w:val="99"/>
    <w:semiHidden/>
    <w:rsid w:val="002250DD"/>
    <w:rPr>
      <w:sz w:val="24"/>
      <w:szCs w:val="24"/>
    </w:rPr>
  </w:style>
  <w:style w:type="paragraph" w:styleId="Objetducommentaire">
    <w:name w:val="annotation subject"/>
    <w:basedOn w:val="Commentaire"/>
    <w:next w:val="Commentaire"/>
    <w:link w:val="ObjetducommentaireCar"/>
    <w:uiPriority w:val="99"/>
    <w:semiHidden/>
    <w:unhideWhenUsed/>
    <w:rsid w:val="002250DD"/>
    <w:rPr>
      <w:b/>
      <w:bCs/>
      <w:sz w:val="20"/>
      <w:szCs w:val="20"/>
    </w:rPr>
  </w:style>
  <w:style w:type="character" w:customStyle="1" w:styleId="ObjetducommentaireCar">
    <w:name w:val="Objet du commentaire Car"/>
    <w:link w:val="Objetducommentaire"/>
    <w:uiPriority w:val="99"/>
    <w:semiHidden/>
    <w:rsid w:val="002250DD"/>
    <w:rPr>
      <w:b/>
      <w:bCs/>
      <w:sz w:val="20"/>
      <w:szCs w:val="20"/>
    </w:rPr>
  </w:style>
  <w:style w:type="paragraph" w:styleId="Notedebasdepage">
    <w:name w:val="footnote text"/>
    <w:basedOn w:val="Normal"/>
    <w:link w:val="NotedebasdepageCar"/>
    <w:unhideWhenUsed/>
    <w:rsid w:val="009C5258"/>
    <w:rPr>
      <w:sz w:val="16"/>
      <w:szCs w:val="20"/>
    </w:rPr>
  </w:style>
  <w:style w:type="character" w:customStyle="1" w:styleId="NotedebasdepageCar">
    <w:name w:val="Note de bas de page Car"/>
    <w:link w:val="Notedebasdepage"/>
    <w:rsid w:val="009C5258"/>
    <w:rPr>
      <w:rFonts w:ascii="Arial" w:hAnsi="Arial"/>
      <w:sz w:val="16"/>
      <w:lang w:val="fr-FR" w:eastAsia="en-US"/>
    </w:rPr>
  </w:style>
  <w:style w:type="character" w:styleId="Appelnotedebasdep">
    <w:name w:val="footnote reference"/>
    <w:unhideWhenUsed/>
    <w:rsid w:val="00853C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 w:id="1999457913">
      <w:bodyDiv w:val="1"/>
      <w:marLeft w:val="0"/>
      <w:marRight w:val="0"/>
      <w:marTop w:val="0"/>
      <w:marBottom w:val="0"/>
      <w:divBdr>
        <w:top w:val="none" w:sz="0" w:space="0" w:color="auto"/>
        <w:left w:val="none" w:sz="0" w:space="0" w:color="auto"/>
        <w:bottom w:val="none" w:sz="0" w:space="0" w:color="auto"/>
        <w:right w:val="none" w:sz="0" w:space="0" w:color="auto"/>
      </w:divBdr>
      <w:divsChild>
        <w:div w:id="511259695">
          <w:marLeft w:val="0"/>
          <w:marRight w:val="0"/>
          <w:marTop w:val="0"/>
          <w:marBottom w:val="0"/>
          <w:divBdr>
            <w:top w:val="none" w:sz="0" w:space="0" w:color="auto"/>
            <w:left w:val="none" w:sz="0" w:space="0" w:color="auto"/>
            <w:bottom w:val="none" w:sz="0" w:space="0" w:color="auto"/>
            <w:right w:val="none" w:sz="0" w:space="0" w:color="auto"/>
          </w:divBdr>
          <w:divsChild>
            <w:div w:id="1985117774">
              <w:marLeft w:val="0"/>
              <w:marRight w:val="0"/>
              <w:marTop w:val="0"/>
              <w:marBottom w:val="0"/>
              <w:divBdr>
                <w:top w:val="none" w:sz="0" w:space="0" w:color="auto"/>
                <w:left w:val="none" w:sz="0" w:space="0" w:color="auto"/>
                <w:bottom w:val="none" w:sz="0" w:space="0" w:color="auto"/>
                <w:right w:val="none" w:sz="0" w:space="0" w:color="auto"/>
              </w:divBdr>
              <w:divsChild>
                <w:div w:id="2066248852">
                  <w:marLeft w:val="0"/>
                  <w:marRight w:val="0"/>
                  <w:marTop w:val="0"/>
                  <w:marBottom w:val="0"/>
                  <w:divBdr>
                    <w:top w:val="none" w:sz="0" w:space="0" w:color="auto"/>
                    <w:left w:val="none" w:sz="0" w:space="0" w:color="auto"/>
                    <w:bottom w:val="none" w:sz="0" w:space="0" w:color="auto"/>
                    <w:right w:val="none" w:sz="0" w:space="0" w:color="auto"/>
                  </w:divBdr>
                  <w:divsChild>
                    <w:div w:id="744769087">
                      <w:marLeft w:val="0"/>
                      <w:marRight w:val="0"/>
                      <w:marTop w:val="0"/>
                      <w:marBottom w:val="0"/>
                      <w:divBdr>
                        <w:top w:val="none" w:sz="0" w:space="0" w:color="auto"/>
                        <w:left w:val="none" w:sz="0" w:space="0" w:color="auto"/>
                        <w:bottom w:val="none" w:sz="0" w:space="0" w:color="auto"/>
                        <w:right w:val="none" w:sz="0" w:space="0" w:color="auto"/>
                      </w:divBdr>
                      <w:divsChild>
                        <w:div w:id="1702511345">
                          <w:marLeft w:val="0"/>
                          <w:marRight w:val="0"/>
                          <w:marTop w:val="0"/>
                          <w:marBottom w:val="0"/>
                          <w:divBdr>
                            <w:top w:val="none" w:sz="0" w:space="0" w:color="auto"/>
                            <w:left w:val="none" w:sz="0" w:space="0" w:color="auto"/>
                            <w:bottom w:val="none" w:sz="0" w:space="0" w:color="auto"/>
                            <w:right w:val="none" w:sz="0" w:space="0" w:color="auto"/>
                          </w:divBdr>
                          <w:divsChild>
                            <w:div w:id="964504325">
                              <w:marLeft w:val="0"/>
                              <w:marRight w:val="0"/>
                              <w:marTop w:val="0"/>
                              <w:marBottom w:val="0"/>
                              <w:divBdr>
                                <w:top w:val="none" w:sz="0" w:space="0" w:color="auto"/>
                                <w:left w:val="none" w:sz="0" w:space="0" w:color="auto"/>
                                <w:bottom w:val="none" w:sz="0" w:space="0" w:color="auto"/>
                                <w:right w:val="none" w:sz="0" w:space="0" w:color="auto"/>
                              </w:divBdr>
                              <w:divsChild>
                                <w:div w:id="854416051">
                                  <w:marLeft w:val="-225"/>
                                  <w:marRight w:val="-225"/>
                                  <w:marTop w:val="0"/>
                                  <w:marBottom w:val="0"/>
                                  <w:divBdr>
                                    <w:top w:val="none" w:sz="0" w:space="0" w:color="auto"/>
                                    <w:left w:val="none" w:sz="0" w:space="0" w:color="auto"/>
                                    <w:bottom w:val="none" w:sz="0" w:space="0" w:color="auto"/>
                                    <w:right w:val="none" w:sz="0" w:space="0" w:color="auto"/>
                                  </w:divBdr>
                                  <w:divsChild>
                                    <w:div w:id="1244610492">
                                      <w:marLeft w:val="0"/>
                                      <w:marRight w:val="0"/>
                                      <w:marTop w:val="0"/>
                                      <w:marBottom w:val="0"/>
                                      <w:divBdr>
                                        <w:top w:val="none" w:sz="0" w:space="0" w:color="auto"/>
                                        <w:left w:val="none" w:sz="0" w:space="0" w:color="auto"/>
                                        <w:bottom w:val="none" w:sz="0" w:space="0" w:color="auto"/>
                                        <w:right w:val="none" w:sz="0" w:space="0" w:color="auto"/>
                                      </w:divBdr>
                                      <w:divsChild>
                                        <w:div w:id="68356532">
                                          <w:marLeft w:val="0"/>
                                          <w:marRight w:val="0"/>
                                          <w:marTop w:val="0"/>
                                          <w:marBottom w:val="0"/>
                                          <w:divBdr>
                                            <w:top w:val="none" w:sz="0" w:space="0" w:color="auto"/>
                                            <w:left w:val="none" w:sz="0" w:space="0" w:color="auto"/>
                                            <w:bottom w:val="none" w:sz="0" w:space="0" w:color="auto"/>
                                            <w:right w:val="none" w:sz="0" w:space="0" w:color="auto"/>
                                          </w:divBdr>
                                          <w:divsChild>
                                            <w:div w:id="867254070">
                                              <w:marLeft w:val="0"/>
                                              <w:marRight w:val="0"/>
                                              <w:marTop w:val="0"/>
                                              <w:marBottom w:val="0"/>
                                              <w:divBdr>
                                                <w:top w:val="single" w:sz="6" w:space="0" w:color="EEEEEE"/>
                                                <w:left w:val="single" w:sz="6" w:space="0" w:color="EEEEEE"/>
                                                <w:bottom w:val="single" w:sz="6" w:space="0" w:color="EEEEEE"/>
                                                <w:right w:val="single" w:sz="6" w:space="0" w:color="EEEEEE"/>
                                              </w:divBdr>
                                              <w:divsChild>
                                                <w:div w:id="1759715028">
                                                  <w:marLeft w:val="0"/>
                                                  <w:marRight w:val="0"/>
                                                  <w:marTop w:val="0"/>
                                                  <w:marBottom w:val="0"/>
                                                  <w:divBdr>
                                                    <w:top w:val="none" w:sz="0" w:space="0" w:color="auto"/>
                                                    <w:left w:val="none" w:sz="0" w:space="0" w:color="auto"/>
                                                    <w:bottom w:val="none" w:sz="0" w:space="0" w:color="auto"/>
                                                    <w:right w:val="none" w:sz="0" w:space="0" w:color="auto"/>
                                                  </w:divBdr>
                                                  <w:divsChild>
                                                    <w:div w:id="288509867">
                                                      <w:marLeft w:val="0"/>
                                                      <w:marRight w:val="0"/>
                                                      <w:marTop w:val="0"/>
                                                      <w:marBottom w:val="0"/>
                                                      <w:divBdr>
                                                        <w:top w:val="none" w:sz="0" w:space="0" w:color="auto"/>
                                                        <w:left w:val="none" w:sz="0" w:space="0" w:color="auto"/>
                                                        <w:bottom w:val="none" w:sz="0" w:space="0" w:color="auto"/>
                                                        <w:right w:val="none" w:sz="0" w:space="0" w:color="auto"/>
                                                      </w:divBdr>
                                                      <w:divsChild>
                                                        <w:div w:id="1118599190">
                                                          <w:marLeft w:val="0"/>
                                                          <w:marRight w:val="0"/>
                                                          <w:marTop w:val="0"/>
                                                          <w:marBottom w:val="0"/>
                                                          <w:divBdr>
                                                            <w:top w:val="none" w:sz="0" w:space="0" w:color="auto"/>
                                                            <w:left w:val="none" w:sz="0" w:space="0" w:color="auto"/>
                                                            <w:bottom w:val="none" w:sz="0" w:space="0" w:color="auto"/>
                                                            <w:right w:val="none" w:sz="0" w:space="0" w:color="auto"/>
                                                          </w:divBdr>
                                                          <w:divsChild>
                                                            <w:div w:id="963004439">
                                                              <w:marLeft w:val="0"/>
                                                              <w:marRight w:val="0"/>
                                                              <w:marTop w:val="0"/>
                                                              <w:marBottom w:val="0"/>
                                                              <w:divBdr>
                                                                <w:top w:val="none" w:sz="0" w:space="0" w:color="auto"/>
                                                                <w:left w:val="none" w:sz="0" w:space="0" w:color="auto"/>
                                                                <w:bottom w:val="none" w:sz="0" w:space="0" w:color="auto"/>
                                                                <w:right w:val="none" w:sz="0" w:space="0" w:color="auto"/>
                                                              </w:divBdr>
                                                              <w:divsChild>
                                                                <w:div w:id="1243954068">
                                                                  <w:marLeft w:val="0"/>
                                                                  <w:marRight w:val="0"/>
                                                                  <w:marTop w:val="0"/>
                                                                  <w:marBottom w:val="0"/>
                                                                  <w:divBdr>
                                                                    <w:top w:val="none" w:sz="0" w:space="0" w:color="auto"/>
                                                                    <w:left w:val="none" w:sz="0" w:space="0" w:color="auto"/>
                                                                    <w:bottom w:val="none" w:sz="0" w:space="0" w:color="auto"/>
                                                                    <w:right w:val="none" w:sz="0" w:space="0" w:color="auto"/>
                                                                  </w:divBdr>
                                                                  <w:divsChild>
                                                                    <w:div w:id="1107891964">
                                                                      <w:marLeft w:val="0"/>
                                                                      <w:marRight w:val="0"/>
                                                                      <w:marTop w:val="0"/>
                                                                      <w:marBottom w:val="0"/>
                                                                      <w:divBdr>
                                                                        <w:top w:val="none" w:sz="0" w:space="0" w:color="auto"/>
                                                                        <w:left w:val="none" w:sz="0" w:space="0" w:color="auto"/>
                                                                        <w:bottom w:val="none" w:sz="0" w:space="0" w:color="auto"/>
                                                                        <w:right w:val="none" w:sz="0" w:space="0" w:color="auto"/>
                                                                      </w:divBdr>
                                                                      <w:divsChild>
                                                                        <w:div w:id="268898163">
                                                                          <w:marLeft w:val="0"/>
                                                                          <w:marRight w:val="0"/>
                                                                          <w:marTop w:val="0"/>
                                                                          <w:marBottom w:val="0"/>
                                                                          <w:divBdr>
                                                                            <w:top w:val="none" w:sz="0" w:space="0" w:color="auto"/>
                                                                            <w:left w:val="none" w:sz="0" w:space="0" w:color="auto"/>
                                                                            <w:bottom w:val="none" w:sz="0" w:space="0" w:color="auto"/>
                                                                            <w:right w:val="none" w:sz="0" w:space="0" w:color="auto"/>
                                                                          </w:divBdr>
                                                                          <w:divsChild>
                                                                            <w:div w:id="197204103">
                                                                              <w:marLeft w:val="0"/>
                                                                              <w:marRight w:val="0"/>
                                                                              <w:marTop w:val="0"/>
                                                                              <w:marBottom w:val="0"/>
                                                                              <w:divBdr>
                                                                                <w:top w:val="none" w:sz="0" w:space="0" w:color="auto"/>
                                                                                <w:left w:val="none" w:sz="0" w:space="0" w:color="auto"/>
                                                                                <w:bottom w:val="none" w:sz="0" w:space="0" w:color="auto"/>
                                                                                <w:right w:val="none" w:sz="0" w:space="0" w:color="auto"/>
                                                                              </w:divBdr>
                                                                              <w:divsChild>
                                                                                <w:div w:id="1041134126">
                                                                                  <w:marLeft w:val="0"/>
                                                                                  <w:marRight w:val="0"/>
                                                                                  <w:marTop w:val="0"/>
                                                                                  <w:marBottom w:val="0"/>
                                                                                  <w:divBdr>
                                                                                    <w:top w:val="none" w:sz="0" w:space="0" w:color="auto"/>
                                                                                    <w:left w:val="none" w:sz="0" w:space="0" w:color="auto"/>
                                                                                    <w:bottom w:val="none" w:sz="0" w:space="0" w:color="auto"/>
                                                                                    <w:right w:val="none" w:sz="0" w:space="0" w:color="auto"/>
                                                                                  </w:divBdr>
                                                                                  <w:divsChild>
                                                                                    <w:div w:id="38105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FA895BF-72A3-4C82-BF47-A140C3239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314</Words>
  <Characters>1791</Characters>
  <Application>Microsoft Office Word</Application>
  <DocSecurity>0</DocSecurity>
  <Lines>14</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2101</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LAWRENCE</dc:creator>
  <cp:lastModifiedBy>Martine LAWRENCE</cp:lastModifiedBy>
  <cp:revision>7</cp:revision>
  <cp:lastPrinted>2017-02-22T14:04:00Z</cp:lastPrinted>
  <dcterms:created xsi:type="dcterms:W3CDTF">2017-02-17T14:44:00Z</dcterms:created>
  <dcterms:modified xsi:type="dcterms:W3CDTF">2017-02-22T14:04:00Z</dcterms:modified>
</cp:coreProperties>
</file>