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rsidTr="00491E67">
        <w:trPr>
          <w:trHeight w:val="737"/>
        </w:trPr>
        <w:tc>
          <w:tcPr>
            <w:tcW w:w="1250" w:type="pct"/>
            <w:shd w:val="clear" w:color="auto" w:fill="auto"/>
            <w:vAlign w:val="center"/>
          </w:tcPr>
          <w:p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bookmarkStart w:id="0" w:name="_ML_000000000000_PARTIAL"/>
        <w:tc>
          <w:tcPr>
            <w:tcW w:w="1250" w:type="pct"/>
            <w:shd w:val="clear" w:color="auto" w:fill="auto"/>
            <w:vAlign w:val="center"/>
          </w:tcPr>
          <w:p w:rsidR="002D11B8" w:rsidRPr="00B24E0A" w:rsidRDefault="00B24E0A" w:rsidP="00C466E5">
            <w:pPr>
              <w:ind w:left="-40"/>
              <w:jc w:val="center"/>
              <w:rPr>
                <w:rFonts w:ascii="Arial Narrow" w:hAnsi="Arial Narrow" w:cs="Arial"/>
                <w:b/>
                <w:sz w:val="22"/>
              </w:rPr>
            </w:pPr>
            <w:r w:rsidRPr="00B24E0A">
              <w:rPr>
                <w:rFonts w:ascii="Arial Narrow" w:hAnsi="Arial Narrow" w:cs="Calibri"/>
                <w:b/>
                <w:sz w:val="22"/>
              </w:rPr>
              <w:fldChar w:fldCharType="begin"/>
            </w:r>
            <w:r w:rsidRPr="00B24E0A">
              <w:rPr>
                <w:rFonts w:ascii="Arial Narrow" w:hAnsi="Arial Narrow" w:cs="Calibri"/>
                <w:b/>
                <w:sz w:val="22"/>
              </w:rPr>
              <w:instrText xml:space="preserve"> HYPERLINK "https://search.coe.int/cm/Pages/result_details.aspx?Reference=CM/Cong(2017)Rec388-final" </w:instrText>
            </w:r>
            <w:r w:rsidRPr="00B24E0A">
              <w:rPr>
                <w:rFonts w:ascii="Arial Narrow" w:hAnsi="Arial Narrow" w:cs="Calibri"/>
                <w:b/>
                <w:sz w:val="22"/>
              </w:rPr>
            </w:r>
            <w:r w:rsidRPr="00B24E0A">
              <w:rPr>
                <w:rFonts w:ascii="Arial Narrow" w:hAnsi="Arial Narrow" w:cs="Calibri"/>
                <w:b/>
                <w:sz w:val="22"/>
              </w:rPr>
              <w:fldChar w:fldCharType="separate"/>
            </w:r>
            <w:bookmarkEnd w:id="0"/>
            <w:r w:rsidRPr="00B24E0A">
              <w:rPr>
                <w:rStyle w:val="Lienhypertexte"/>
                <w:rFonts w:ascii="Arial Narrow" w:hAnsi="Arial Narrow" w:cs="Calibri"/>
                <w:b/>
                <w:sz w:val="22"/>
              </w:rPr>
              <w:t>CM/</w:t>
            </w:r>
            <w:proofErr w:type="spellStart"/>
            <w:r w:rsidRPr="00B24E0A">
              <w:rPr>
                <w:rStyle w:val="Lienhypertexte"/>
                <w:rFonts w:ascii="Arial Narrow" w:hAnsi="Arial Narrow" w:cs="Calibri"/>
                <w:b/>
                <w:sz w:val="22"/>
              </w:rPr>
              <w:t>Cong</w:t>
            </w:r>
            <w:proofErr w:type="spellEnd"/>
            <w:r w:rsidRPr="00B24E0A">
              <w:rPr>
                <w:rStyle w:val="Lienhypertexte"/>
                <w:rFonts w:ascii="Arial Narrow" w:hAnsi="Arial Narrow" w:cs="Calibri"/>
                <w:b/>
                <w:sz w:val="22"/>
              </w:rPr>
              <w:t>(2017</w:t>
            </w:r>
            <w:proofErr w:type="gramStart"/>
            <w:r w:rsidRPr="00B24E0A">
              <w:rPr>
                <w:rStyle w:val="Lienhypertexte"/>
                <w:rFonts w:ascii="Arial Narrow" w:hAnsi="Arial Narrow" w:cs="Calibri"/>
                <w:b/>
                <w:sz w:val="22"/>
              </w:rPr>
              <w:t>)Rec388</w:t>
            </w:r>
            <w:proofErr w:type="gramEnd"/>
            <w:r w:rsidRPr="00B24E0A">
              <w:rPr>
                <w:rStyle w:val="Lienhypertexte"/>
                <w:rFonts w:ascii="Arial Narrow" w:hAnsi="Arial Narrow" w:cs="Calibri"/>
                <w:b/>
                <w:sz w:val="22"/>
              </w:rPr>
              <w:t>-final</w:t>
            </w:r>
            <w:r w:rsidRPr="00B24E0A">
              <w:rPr>
                <w:rFonts w:ascii="Arial Narrow" w:hAnsi="Arial Narrow" w:cs="Calibri"/>
                <w:b/>
                <w:sz w:val="22"/>
              </w:rPr>
              <w:fldChar w:fldCharType="end"/>
            </w:r>
          </w:p>
        </w:tc>
        <w:tc>
          <w:tcPr>
            <w:tcW w:w="1250" w:type="pct"/>
            <w:shd w:val="clear" w:color="auto" w:fill="auto"/>
            <w:vAlign w:val="center"/>
          </w:tcPr>
          <w:p w:rsidR="002D11B8" w:rsidRPr="00F96689" w:rsidRDefault="004D333B" w:rsidP="00795D1E">
            <w:pPr>
              <w:jc w:val="right"/>
              <w:rPr>
                <w:rFonts w:ascii="Arial Narrow" w:hAnsi="Arial Narrow" w:cs="Arial"/>
                <w:sz w:val="16"/>
                <w:szCs w:val="16"/>
              </w:rPr>
            </w:pPr>
            <w:r>
              <w:rPr>
                <w:rFonts w:ascii="Arial Narrow" w:hAnsi="Arial Narrow" w:cs="Calibri"/>
                <w:sz w:val="16"/>
                <w:szCs w:val="16"/>
              </w:rPr>
              <w:t>22</w:t>
            </w:r>
            <w:bookmarkStart w:id="1" w:name="_GoBack"/>
            <w:bookmarkEnd w:id="1"/>
            <w:r w:rsidR="00D75E31">
              <w:rPr>
                <w:rFonts w:ascii="Arial Narrow" w:hAnsi="Arial Narrow" w:cs="Calibri"/>
                <w:sz w:val="16"/>
                <w:szCs w:val="16"/>
              </w:rPr>
              <w:t xml:space="preserve"> </w:t>
            </w:r>
            <w:r w:rsidR="005400DD">
              <w:rPr>
                <w:rFonts w:ascii="Arial Narrow" w:hAnsi="Arial Narrow" w:cs="Calibri"/>
                <w:sz w:val="16"/>
                <w:szCs w:val="16"/>
              </w:rPr>
              <w:t xml:space="preserve">février </w:t>
            </w:r>
            <w:r w:rsidR="002D11B8" w:rsidRPr="00F96689">
              <w:rPr>
                <w:rFonts w:ascii="Arial Narrow" w:hAnsi="Arial Narrow" w:cs="Calibri"/>
                <w:sz w:val="16"/>
                <w:szCs w:val="16"/>
              </w:rPr>
              <w:t>201</w:t>
            </w:r>
            <w:r w:rsidR="00795D1E">
              <w:rPr>
                <w:rFonts w:ascii="Arial Narrow" w:hAnsi="Arial Narrow" w:cs="Calibri"/>
                <w:sz w:val="16"/>
                <w:szCs w:val="16"/>
              </w:rPr>
              <w:t>7</w:t>
            </w:r>
          </w:p>
        </w:tc>
      </w:tr>
    </w:tbl>
    <w:p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F20C75" w:rsidTr="00491E67">
        <w:tc>
          <w:tcPr>
            <w:tcW w:w="9399" w:type="dxa"/>
            <w:shd w:val="clear" w:color="auto" w:fill="auto"/>
            <w:tcMar>
              <w:top w:w="227" w:type="dxa"/>
              <w:bottom w:w="227" w:type="dxa"/>
            </w:tcMar>
            <w:vAlign w:val="center"/>
          </w:tcPr>
          <w:p w:rsidR="003D6AC2" w:rsidRPr="00F20C75" w:rsidRDefault="00795D1E" w:rsidP="009A16E0">
            <w:pPr>
              <w:rPr>
                <w:rFonts w:ascii="Arial Narrow" w:hAnsi="Arial Narrow" w:cs="Calibri"/>
                <w:b/>
                <w:sz w:val="28"/>
                <w:szCs w:val="28"/>
              </w:rPr>
            </w:pPr>
            <w:r w:rsidRPr="00795D1E">
              <w:rPr>
                <w:rFonts w:ascii="Arial Narrow" w:hAnsi="Arial Narrow" w:cs="Calibri"/>
                <w:b/>
                <w:sz w:val="28"/>
                <w:szCs w:val="28"/>
              </w:rPr>
              <w:t>«</w:t>
            </w:r>
            <w:r w:rsidR="00827482">
              <w:rPr>
                <w:rFonts w:ascii="Arial Narrow" w:hAnsi="Arial Narrow" w:cs="Calibri"/>
                <w:b/>
                <w:sz w:val="28"/>
                <w:szCs w:val="28"/>
              </w:rPr>
              <w:t> </w:t>
            </w:r>
            <w:r w:rsidR="00827482" w:rsidRPr="00827482">
              <w:rPr>
                <w:rFonts w:ascii="Arial Narrow" w:hAnsi="Arial Narrow" w:cs="Calibri"/>
                <w:b/>
                <w:sz w:val="28"/>
                <w:szCs w:val="28"/>
              </w:rPr>
              <w:t xml:space="preserve">La situation des </w:t>
            </w:r>
            <w:proofErr w:type="spellStart"/>
            <w:r w:rsidR="00827482" w:rsidRPr="00827482">
              <w:rPr>
                <w:rFonts w:ascii="Arial Narrow" w:hAnsi="Arial Narrow" w:cs="Calibri"/>
                <w:b/>
                <w:sz w:val="28"/>
                <w:szCs w:val="28"/>
              </w:rPr>
              <w:t>Roms</w:t>
            </w:r>
            <w:proofErr w:type="spellEnd"/>
            <w:r w:rsidR="00827482" w:rsidRPr="00827482">
              <w:rPr>
                <w:rFonts w:ascii="Arial Narrow" w:hAnsi="Arial Narrow" w:cs="Calibri"/>
                <w:b/>
                <w:sz w:val="28"/>
                <w:szCs w:val="28"/>
              </w:rPr>
              <w:t xml:space="preserve"> et des Gens du voyage dans le contexte de la montée de l'extrémisme, de la xénophobie et de la crise des réfugiés en Europe</w:t>
            </w:r>
            <w:r w:rsidR="00827482">
              <w:rPr>
                <w:rFonts w:ascii="Arial Narrow" w:hAnsi="Arial Narrow" w:cs="Calibri"/>
                <w:b/>
                <w:sz w:val="28"/>
                <w:szCs w:val="28"/>
              </w:rPr>
              <w:t> </w:t>
            </w:r>
            <w:r w:rsidRPr="00795D1E">
              <w:rPr>
                <w:rFonts w:ascii="Arial Narrow" w:hAnsi="Arial Narrow" w:cs="Calibri"/>
                <w:b/>
                <w:sz w:val="28"/>
                <w:szCs w:val="28"/>
              </w:rPr>
              <w:t>»</w:t>
            </w:r>
            <w:r w:rsidR="00AC5A94">
              <w:rPr>
                <w:rFonts w:ascii="Arial Narrow" w:hAnsi="Arial Narrow" w:cs="Calibri"/>
                <w:b/>
                <w:sz w:val="28"/>
                <w:szCs w:val="28"/>
              </w:rPr>
              <w:t xml:space="preserve"> –</w:t>
            </w:r>
            <w:r w:rsidR="009A16E0" w:rsidRPr="00F20C75">
              <w:rPr>
                <w:rFonts w:ascii="Arial Narrow" w:hAnsi="Arial Narrow" w:cs="Calibri"/>
                <w:b/>
                <w:sz w:val="28"/>
                <w:szCs w:val="28"/>
              </w:rPr>
              <w:br/>
              <w:t xml:space="preserve">Recommandation </w:t>
            </w:r>
            <w:r>
              <w:rPr>
                <w:rFonts w:ascii="Arial Narrow" w:hAnsi="Arial Narrow" w:cs="Calibri"/>
                <w:b/>
                <w:sz w:val="28"/>
                <w:szCs w:val="28"/>
              </w:rPr>
              <w:t>38</w:t>
            </w:r>
            <w:r w:rsidR="00827482">
              <w:rPr>
                <w:rFonts w:ascii="Arial Narrow" w:hAnsi="Arial Narrow" w:cs="Calibri"/>
                <w:b/>
                <w:sz w:val="28"/>
                <w:szCs w:val="28"/>
              </w:rPr>
              <w:t>8</w:t>
            </w:r>
            <w:r w:rsidR="009A16E0" w:rsidRPr="00F20C75">
              <w:rPr>
                <w:rFonts w:ascii="Arial Narrow" w:hAnsi="Arial Narrow" w:cs="Calibri"/>
                <w:b/>
                <w:sz w:val="28"/>
                <w:szCs w:val="28"/>
              </w:rPr>
              <w:t xml:space="preserve"> (</w:t>
            </w:r>
            <w:r>
              <w:rPr>
                <w:rFonts w:ascii="Arial Narrow" w:hAnsi="Arial Narrow" w:cs="Calibri"/>
                <w:b/>
                <w:sz w:val="28"/>
                <w:szCs w:val="28"/>
              </w:rPr>
              <w:t>2016</w:t>
            </w:r>
            <w:r w:rsidR="009A16E0" w:rsidRPr="00F20C75">
              <w:rPr>
                <w:rFonts w:ascii="Arial Narrow" w:hAnsi="Arial Narrow" w:cs="Calibri"/>
                <w:b/>
                <w:sz w:val="28"/>
                <w:szCs w:val="28"/>
              </w:rPr>
              <w:t>) du Congrès des Pouvoirs locaux et régionaux</w:t>
            </w:r>
            <w:r w:rsidR="009A16E0" w:rsidRPr="00F20C75">
              <w:rPr>
                <w:rFonts w:ascii="Arial Narrow" w:hAnsi="Arial Narrow" w:cs="Calibri"/>
                <w:b/>
                <w:sz w:val="28"/>
                <w:szCs w:val="28"/>
              </w:rPr>
              <w:br/>
              <w:t>du Conseil de l'Europe</w:t>
            </w:r>
          </w:p>
          <w:p w:rsidR="000A307B" w:rsidRPr="00F20C75" w:rsidRDefault="009A16E0" w:rsidP="00827482">
            <w:pPr>
              <w:rPr>
                <w:rFonts w:ascii="Arial Narrow" w:hAnsi="Arial Narrow" w:cs="Calibri"/>
                <w:b/>
                <w:szCs w:val="20"/>
              </w:rPr>
            </w:pPr>
            <w:r w:rsidRPr="00F20C75">
              <w:rPr>
                <w:rFonts w:ascii="Arial Narrow" w:hAnsi="Arial Narrow" w:cs="Calibri"/>
                <w:sz w:val="22"/>
              </w:rPr>
              <w:t>(Réponse adoptée par le Comité des Mi</w:t>
            </w:r>
            <w:r w:rsidR="00827482">
              <w:rPr>
                <w:rFonts w:ascii="Arial Narrow" w:hAnsi="Arial Narrow" w:cs="Calibri"/>
                <w:sz w:val="22"/>
              </w:rPr>
              <w:t>nistres le 22</w:t>
            </w:r>
            <w:r w:rsidR="00795D1E">
              <w:rPr>
                <w:rFonts w:ascii="Arial Narrow" w:hAnsi="Arial Narrow" w:cs="Calibri"/>
                <w:sz w:val="22"/>
              </w:rPr>
              <w:t xml:space="preserve"> février 2017</w:t>
            </w:r>
            <w:r w:rsidR="00795D1E">
              <w:rPr>
                <w:rFonts w:ascii="Arial Narrow" w:hAnsi="Arial Narrow" w:cs="Calibri"/>
                <w:sz w:val="22"/>
              </w:rPr>
              <w:br/>
              <w:t>lors de la 127</w:t>
            </w:r>
            <w:r w:rsidR="00827482">
              <w:rPr>
                <w:rFonts w:ascii="Arial Narrow" w:hAnsi="Arial Narrow" w:cs="Calibri"/>
                <w:sz w:val="22"/>
              </w:rPr>
              <w:t>8</w:t>
            </w:r>
            <w:r w:rsidRPr="00F20C75">
              <w:rPr>
                <w:rFonts w:ascii="Arial Narrow" w:hAnsi="Arial Narrow" w:cs="Calibri"/>
                <w:sz w:val="22"/>
                <w:vertAlign w:val="superscript"/>
              </w:rPr>
              <w:t>e</w:t>
            </w:r>
            <w:r w:rsidRPr="00F20C75">
              <w:rPr>
                <w:rFonts w:ascii="Arial Narrow" w:hAnsi="Arial Narrow" w:cs="Calibri"/>
                <w:sz w:val="22"/>
              </w:rPr>
              <w:t xml:space="preserve"> réunion des Délégués des Ministres)</w:t>
            </w:r>
          </w:p>
        </w:tc>
      </w:tr>
    </w:tbl>
    <w:p w:rsidR="00491E67" w:rsidRPr="00F20C75" w:rsidRDefault="00491E67" w:rsidP="0037200F">
      <w:pPr>
        <w:rPr>
          <w:rFonts w:eastAsia="Times New Roman"/>
          <w:szCs w:val="24"/>
        </w:rPr>
      </w:pPr>
      <w:r w:rsidRPr="00F20C75">
        <w:rPr>
          <w:rFonts w:eastAsia="Times New Roman"/>
          <w:szCs w:val="24"/>
        </w:rPr>
        <w:t xml:space="preserve"> </w:t>
      </w:r>
    </w:p>
    <w:p w:rsidR="00491E67" w:rsidRPr="009A16E0" w:rsidRDefault="00491E67" w:rsidP="0037200F">
      <w:pPr>
        <w:rPr>
          <w:rFonts w:eastAsia="Times New Roman"/>
          <w:szCs w:val="24"/>
        </w:rPr>
      </w:pPr>
      <w:r w:rsidRPr="009A16E0">
        <w:rPr>
          <w:rFonts w:eastAsia="Times New Roman"/>
          <w:szCs w:val="24"/>
        </w:rPr>
        <w:t xml:space="preserve"> </w:t>
      </w:r>
    </w:p>
    <w:p w:rsidR="00827482" w:rsidRDefault="00827482" w:rsidP="00827482">
      <w:pPr>
        <w:rPr>
          <w:b/>
        </w:rPr>
      </w:pPr>
      <w:r w:rsidRPr="00DF0F60">
        <w:t>1.</w:t>
      </w:r>
      <w:r w:rsidRPr="00DF0F60">
        <w:tab/>
        <w:t xml:space="preserve">Le Comité des Ministres a examiné avec soin la Recommandation 388 (2016) du Congrès des pouvoirs locaux et régionaux du Conseil de l’Europe sur « La situation des </w:t>
      </w:r>
      <w:proofErr w:type="spellStart"/>
      <w:r w:rsidRPr="00DF0F60">
        <w:t>Roms</w:t>
      </w:r>
      <w:proofErr w:type="spellEnd"/>
      <w:r w:rsidRPr="00DF0F60">
        <w:t xml:space="preserve"> et des Gens du voyage dans le contexte de la montée de l'extrémisme, de la xénophobie et de la crise des réfugiés en Europe » et l’a portée à l’attention du Comité </w:t>
      </w:r>
      <w:r w:rsidRPr="00DF0F60">
        <w:rPr>
          <w:i/>
        </w:rPr>
        <w:t xml:space="preserve">ad hoc </w:t>
      </w:r>
      <w:r w:rsidRPr="00DF0F60">
        <w:t xml:space="preserve">d’experts sur les questions relatives aux </w:t>
      </w:r>
      <w:proofErr w:type="spellStart"/>
      <w:r w:rsidRPr="00DF0F60">
        <w:t>roms</w:t>
      </w:r>
      <w:proofErr w:type="spellEnd"/>
      <w:r w:rsidRPr="00DF0F60">
        <w:t xml:space="preserve"> et aux Gens du voyage (CAHROM)</w:t>
      </w:r>
      <w:r>
        <w:t xml:space="preserve"> et du Conseil mixte pour la jeunesse.</w:t>
      </w:r>
    </w:p>
    <w:p w:rsidR="00827482" w:rsidRPr="00C466E5" w:rsidRDefault="00827482" w:rsidP="00827482">
      <w:pPr>
        <w:rPr>
          <w:b/>
          <w:sz w:val="18"/>
          <w:szCs w:val="18"/>
        </w:rPr>
      </w:pPr>
    </w:p>
    <w:p w:rsidR="00827482" w:rsidRDefault="00827482" w:rsidP="00827482">
      <w:pPr>
        <w:rPr>
          <w:b/>
        </w:rPr>
      </w:pPr>
      <w:r w:rsidRPr="00DC46C5">
        <w:t>2.</w:t>
      </w:r>
      <w:r w:rsidRPr="00DC46C5">
        <w:tab/>
      </w:r>
      <w:r>
        <w:t xml:space="preserve">Le Congrès sait que l’amélioration de la situation des </w:t>
      </w:r>
      <w:proofErr w:type="spellStart"/>
      <w:r>
        <w:t>Roms</w:t>
      </w:r>
      <w:proofErr w:type="spellEnd"/>
      <w:r>
        <w:rPr>
          <w:rStyle w:val="Appelnotedebasdep"/>
          <w:rFonts w:cs="Arial"/>
          <w:szCs w:val="20"/>
        </w:rPr>
        <w:footnoteReference w:id="1"/>
      </w:r>
      <w:r>
        <w:t xml:space="preserve"> en Europe est depuis longtemps une priorité pour le Comité des Ministres. La mise en œuvre de la « Déclaration de Strasbourg sur les </w:t>
      </w:r>
      <w:proofErr w:type="spellStart"/>
      <w:r>
        <w:t>Roms</w:t>
      </w:r>
      <w:proofErr w:type="spellEnd"/>
      <w:r>
        <w:t xml:space="preserve"> » de 2010 reste prioritaire pour celui-ci, ainsi qu’il l’a montré tout récemment en approuvant un </w:t>
      </w:r>
      <w:hyperlink r:id="rId8" w:history="1">
        <w:r>
          <w:rPr>
            <w:rStyle w:val="Lienhypertexte"/>
            <w:rFonts w:cs="Arial"/>
            <w:szCs w:val="20"/>
          </w:rPr>
          <w:t>P</w:t>
        </w:r>
        <w:r w:rsidRPr="00807D46">
          <w:rPr>
            <w:rStyle w:val="Lienhypertexte"/>
            <w:rFonts w:cs="Arial"/>
            <w:szCs w:val="20"/>
          </w:rPr>
          <w:t>lan d’action thématique</w:t>
        </w:r>
      </w:hyperlink>
      <w:r>
        <w:t xml:space="preserve"> sur l’inclusion des </w:t>
      </w:r>
      <w:proofErr w:type="spellStart"/>
      <w:r>
        <w:t>Roms</w:t>
      </w:r>
      <w:proofErr w:type="spellEnd"/>
      <w:r>
        <w:t xml:space="preserve"> et des Gens du voyage (2016-2019), qui fixe des priorités dans trois domaines d’action de l’Organisation ces prochaines années : 1) combattre plus efficacement les préjugés, la discrimination et les infractions à l’encontre des </w:t>
      </w:r>
      <w:proofErr w:type="spellStart"/>
      <w:r>
        <w:t>Roms</w:t>
      </w:r>
      <w:proofErr w:type="spellEnd"/>
      <w:r>
        <w:t xml:space="preserve"> et des Gens du voyage ; 2) présenter des modèles novateurs de politiques d’intégration des plus vulnérables ; et 3) promouvoir des modèles novateurs de solutions locales. Ces domaines devraient contribuer à répondre à certaines des préoccupations exprimées par le Congrès. Le Comité des Ministres rappelle que le Plan d’action vise à proposer aux Etats membres un soutien ciblé portant sur des politiques d’intégration pertinentes et de mettre en œuvre des projets axés sur les résultats ayant un impact concret.</w:t>
      </w:r>
    </w:p>
    <w:p w:rsidR="00827482" w:rsidRPr="00C466E5" w:rsidRDefault="00827482" w:rsidP="00827482">
      <w:pPr>
        <w:rPr>
          <w:b/>
          <w:sz w:val="18"/>
          <w:szCs w:val="18"/>
        </w:rPr>
      </w:pPr>
    </w:p>
    <w:p w:rsidR="00827482" w:rsidRDefault="00827482" w:rsidP="00827482">
      <w:pPr>
        <w:rPr>
          <w:b/>
        </w:rPr>
      </w:pPr>
      <w:r w:rsidRPr="00070C0A">
        <w:t>3.</w:t>
      </w:r>
      <w:r w:rsidRPr="00070C0A">
        <w:tab/>
      </w:r>
      <w:r>
        <w:t xml:space="preserve">En ce qui concerne le contexte spécifique évoqué par la Recommandation du Congrès, le Comité des Ministres reconnaît que la montée générale de l’extrémisme, de l’intolérance et de la xénophobie dans toute l’Europe a eu des répercussions négatives dans plusieurs domaines de la société et que les catégories les plus vulnérables, y compris les </w:t>
      </w:r>
      <w:proofErr w:type="spellStart"/>
      <w:r>
        <w:t>Roms</w:t>
      </w:r>
      <w:proofErr w:type="spellEnd"/>
      <w:r>
        <w:t xml:space="preserve"> et les Gens du voyage, en sont souvent les premières victimes. Il note dans ce contexte qu’il incombe tout particulièrement aux responsables publics d’éviter et de combattre la diffusion de discours de haine, y compris contre les </w:t>
      </w:r>
      <w:proofErr w:type="spellStart"/>
      <w:r>
        <w:t>Roms</w:t>
      </w:r>
      <w:proofErr w:type="spellEnd"/>
      <w:r>
        <w:t xml:space="preserve">. Il invite les Etats membres à examiner tout particulièrement le paragraphe 5 de la Recommandation. Il rappelle aussi dans ce contexte les recommandations aux Etats membres formulées par le Commissaire aux droits de l’homme et par la Commission européenne contre le racisme et l’intolérance (ECRI) en ce qui concerne l’intégration des </w:t>
      </w:r>
      <w:proofErr w:type="spellStart"/>
      <w:r>
        <w:t>Roms</w:t>
      </w:r>
      <w:proofErr w:type="spellEnd"/>
      <w:r>
        <w:t xml:space="preserve"> et la lutte contre l’</w:t>
      </w:r>
      <w:proofErr w:type="spellStart"/>
      <w:r>
        <w:t>antitsiganisme</w:t>
      </w:r>
      <w:proofErr w:type="spellEnd"/>
      <w:r>
        <w:t>.</w:t>
      </w:r>
    </w:p>
    <w:p w:rsidR="00827482" w:rsidRPr="00C466E5" w:rsidRDefault="00827482" w:rsidP="00827482">
      <w:pPr>
        <w:rPr>
          <w:b/>
          <w:sz w:val="18"/>
          <w:szCs w:val="18"/>
        </w:rPr>
      </w:pPr>
    </w:p>
    <w:p w:rsidR="00827482" w:rsidRPr="00827482" w:rsidRDefault="00827482" w:rsidP="00827482">
      <w:pPr>
        <w:tabs>
          <w:tab w:val="left" w:pos="567"/>
          <w:tab w:val="left" w:pos="1134"/>
          <w:tab w:val="left" w:pos="1701"/>
        </w:tabs>
        <w:rPr>
          <w:rFonts w:eastAsia="Times New Roman"/>
          <w:szCs w:val="24"/>
          <w:lang w:eastAsia="fr-FR"/>
        </w:rPr>
      </w:pPr>
      <w:r w:rsidRPr="003646D4">
        <w:t>4.</w:t>
      </w:r>
      <w:r w:rsidRPr="003646D4">
        <w:tab/>
      </w:r>
      <w:r>
        <w:t xml:space="preserve">Le Comité des Ministres connaît les préoccupations selon lesquelles les flux accrus de migrants et de réfugiés vers l’Europe peuvent avoir des conséquences financières et politiques et en fin de compte amoindrir ou conduire à ajourner les mesures en cours visant à promouvoir l’inclusion des </w:t>
      </w:r>
      <w:proofErr w:type="spellStart"/>
      <w:r>
        <w:t>Roms</w:t>
      </w:r>
      <w:proofErr w:type="spellEnd"/>
      <w:r>
        <w:t xml:space="preserve">. Le Comité partage l’avis du Congrès que les Etats membres devraient continuer d’avoir des stratégies d’intégration et des législations et des politiques anti-discrimination qui </w:t>
      </w:r>
      <w:r w:rsidRPr="00285859">
        <w:t>permettent</w:t>
      </w:r>
      <w:r w:rsidRPr="00285859">
        <w:rPr>
          <w:b/>
        </w:rPr>
        <w:t xml:space="preserve"> </w:t>
      </w:r>
      <w:r>
        <w:t xml:space="preserve">de traiter l’ensemble des situations de discrimination, y compris celles auxquelles les </w:t>
      </w:r>
      <w:proofErr w:type="spellStart"/>
      <w:r>
        <w:t>Roms</w:t>
      </w:r>
      <w:proofErr w:type="spellEnd"/>
      <w:r>
        <w:t xml:space="preserve"> sont confrontés, tout en veillant à éviter de donner à penser qu’une question est en concurrence avec une autre quand on considère une catégorie sociale (comme les migrants) par rapport à une autre (les </w:t>
      </w:r>
      <w:proofErr w:type="spellStart"/>
      <w:r>
        <w:t>Roms</w:t>
      </w:r>
      <w:proofErr w:type="spellEnd"/>
      <w:r>
        <w:t>). Il note que lorsque les autorités envisagent des politiques d’intégration de migrants, elles pourrai</w:t>
      </w:r>
      <w:r w:rsidRPr="00827482">
        <w:rPr>
          <w:rFonts w:eastAsia="Times New Roman"/>
          <w:szCs w:val="24"/>
          <w:lang w:eastAsia="fr-FR"/>
        </w:rPr>
        <w:t xml:space="preserve">ent prendre en considération les bonnes pratiques et les leçons tirées d’actions d’inclusion / d’intégration sociale de personnes appartenant à des communautés marginalisées, y compris les </w:t>
      </w:r>
      <w:proofErr w:type="spellStart"/>
      <w:r w:rsidRPr="00827482">
        <w:rPr>
          <w:rFonts w:eastAsia="Times New Roman"/>
          <w:szCs w:val="24"/>
          <w:lang w:eastAsia="fr-FR"/>
        </w:rPr>
        <w:t>Roms</w:t>
      </w:r>
      <w:proofErr w:type="spellEnd"/>
      <w:r w:rsidRPr="00827482">
        <w:rPr>
          <w:rFonts w:eastAsia="Times New Roman"/>
          <w:szCs w:val="24"/>
          <w:lang w:eastAsia="fr-FR"/>
        </w:rPr>
        <w:t>.</w:t>
      </w:r>
    </w:p>
    <w:p w:rsidR="00827482" w:rsidRDefault="00827482" w:rsidP="00827482">
      <w:pPr>
        <w:tabs>
          <w:tab w:val="left" w:pos="567"/>
          <w:tab w:val="left" w:pos="1134"/>
          <w:tab w:val="left" w:pos="1701"/>
        </w:tabs>
        <w:rPr>
          <w:rFonts w:eastAsia="Times New Roman"/>
          <w:szCs w:val="24"/>
          <w:lang w:eastAsia="fr-FR"/>
        </w:rPr>
      </w:pPr>
    </w:p>
    <w:p w:rsidR="00827482" w:rsidRPr="00DF0F60" w:rsidRDefault="00827482" w:rsidP="00827482">
      <w:pPr>
        <w:tabs>
          <w:tab w:val="left" w:pos="567"/>
          <w:tab w:val="left" w:pos="1134"/>
          <w:tab w:val="left" w:pos="1701"/>
        </w:tabs>
        <w:rPr>
          <w:rFonts w:eastAsia="Times New Roman"/>
          <w:szCs w:val="24"/>
          <w:lang w:eastAsia="fr-FR"/>
        </w:rPr>
      </w:pPr>
      <w:r w:rsidRPr="00DF0F60">
        <w:rPr>
          <w:rFonts w:eastAsia="Times New Roman"/>
          <w:szCs w:val="24"/>
          <w:lang w:eastAsia="fr-FR"/>
        </w:rPr>
        <w:t>5.</w:t>
      </w:r>
      <w:r w:rsidRPr="00DF0F60">
        <w:rPr>
          <w:rFonts w:eastAsia="Times New Roman"/>
          <w:szCs w:val="24"/>
          <w:lang w:eastAsia="fr-FR"/>
        </w:rPr>
        <w:tab/>
      </w:r>
      <w:r>
        <w:rPr>
          <w:rFonts w:eastAsia="Times New Roman"/>
          <w:szCs w:val="24"/>
          <w:lang w:eastAsia="fr-FR"/>
        </w:rPr>
        <w:t>Le Comité des Ministres saisit cette occasion pour souligner qu’il importe que les gouvernements et les pouvoirs publics veillent à ce que leurs politique</w:t>
      </w:r>
      <w:r w:rsidRPr="00382129">
        <w:rPr>
          <w:rFonts w:eastAsia="Times New Roman"/>
          <w:szCs w:val="24"/>
          <w:lang w:eastAsia="fr-FR"/>
        </w:rPr>
        <w:t>s</w:t>
      </w:r>
      <w:r>
        <w:rPr>
          <w:rFonts w:eastAsia="Times New Roman"/>
          <w:szCs w:val="24"/>
          <w:lang w:eastAsia="fr-FR"/>
        </w:rPr>
        <w:t xml:space="preserve"> nationale</w:t>
      </w:r>
      <w:r w:rsidRPr="00382129">
        <w:rPr>
          <w:rFonts w:eastAsia="Times New Roman"/>
          <w:szCs w:val="24"/>
          <w:lang w:eastAsia="fr-FR"/>
        </w:rPr>
        <w:t>s</w:t>
      </w:r>
      <w:r>
        <w:rPr>
          <w:rFonts w:eastAsia="Times New Roman"/>
          <w:szCs w:val="24"/>
          <w:lang w:eastAsia="fr-FR"/>
        </w:rPr>
        <w:t xml:space="preserve"> </w:t>
      </w:r>
      <w:r w:rsidRPr="00827482">
        <w:rPr>
          <w:rFonts w:eastAsia="Times New Roman"/>
          <w:szCs w:val="24"/>
          <w:lang w:eastAsia="fr-FR"/>
        </w:rPr>
        <w:t xml:space="preserve">aient la capacité </w:t>
      </w:r>
      <w:r>
        <w:rPr>
          <w:rFonts w:eastAsia="Times New Roman"/>
          <w:szCs w:val="24"/>
          <w:lang w:eastAsia="fr-FR"/>
        </w:rPr>
        <w:t xml:space="preserve">de répondre aux difficultés particulières rencontrées par les femmes </w:t>
      </w:r>
      <w:proofErr w:type="spellStart"/>
      <w:r>
        <w:rPr>
          <w:rFonts w:eastAsia="Times New Roman"/>
          <w:szCs w:val="24"/>
          <w:lang w:eastAsia="fr-FR"/>
        </w:rPr>
        <w:t>roms</w:t>
      </w:r>
      <w:proofErr w:type="spellEnd"/>
      <w:r>
        <w:rPr>
          <w:rFonts w:eastAsia="Times New Roman"/>
          <w:szCs w:val="24"/>
          <w:lang w:eastAsia="fr-FR"/>
        </w:rPr>
        <w:t xml:space="preserve">, qui sont particulièrement vulnérables aux multi-discriminations ou aux violations des droits humains liés aux questions de genre. A cet égard, il salue le nouveau programme conjoint entre le Conseil de l’Europe et la Commission européenne sur l’accès à la justice des femmes </w:t>
      </w:r>
      <w:proofErr w:type="spellStart"/>
      <w:r>
        <w:rPr>
          <w:rFonts w:eastAsia="Times New Roman"/>
          <w:szCs w:val="24"/>
          <w:lang w:eastAsia="fr-FR"/>
        </w:rPr>
        <w:t>roms</w:t>
      </w:r>
      <w:proofErr w:type="spellEnd"/>
      <w:r>
        <w:rPr>
          <w:rFonts w:eastAsia="Times New Roman"/>
          <w:szCs w:val="24"/>
          <w:lang w:eastAsia="fr-FR"/>
        </w:rPr>
        <w:t xml:space="preserve"> et de la communauté des Gens du voyage (JUSTROM), qui vise à apporter une assistance juridique et une aide juridictionnelle aux femmes victimes d’</w:t>
      </w:r>
      <w:proofErr w:type="spellStart"/>
      <w:r>
        <w:rPr>
          <w:rFonts w:eastAsia="Times New Roman"/>
          <w:szCs w:val="24"/>
          <w:lang w:eastAsia="fr-FR"/>
        </w:rPr>
        <w:t>antitsiganisme</w:t>
      </w:r>
      <w:proofErr w:type="spellEnd"/>
      <w:r>
        <w:rPr>
          <w:rFonts w:eastAsia="Times New Roman"/>
          <w:szCs w:val="24"/>
          <w:lang w:eastAsia="fr-FR"/>
        </w:rPr>
        <w:t xml:space="preserve">, de formes de discrimination et de violences. Il informe aussi le Congrès qu’un projet de Recommandation du Comité des Ministres sur l’amélioration de l’accès à la justice des femmes des communautés de </w:t>
      </w:r>
      <w:proofErr w:type="spellStart"/>
      <w:r>
        <w:rPr>
          <w:rFonts w:eastAsia="Times New Roman"/>
          <w:szCs w:val="24"/>
          <w:lang w:eastAsia="fr-FR"/>
        </w:rPr>
        <w:t>Roms</w:t>
      </w:r>
      <w:proofErr w:type="spellEnd"/>
      <w:r>
        <w:rPr>
          <w:rFonts w:eastAsia="Times New Roman"/>
          <w:szCs w:val="24"/>
          <w:lang w:eastAsia="fr-FR"/>
        </w:rPr>
        <w:t xml:space="preserve"> et de Gens du voyage est en cours d’élaboration.</w:t>
      </w:r>
    </w:p>
    <w:p w:rsidR="00827482" w:rsidRDefault="00827482" w:rsidP="00827482">
      <w:pPr>
        <w:tabs>
          <w:tab w:val="left" w:pos="567"/>
          <w:tab w:val="left" w:pos="1134"/>
          <w:tab w:val="left" w:pos="1701"/>
        </w:tabs>
        <w:rPr>
          <w:rFonts w:eastAsia="Times New Roman"/>
          <w:szCs w:val="24"/>
          <w:lang w:eastAsia="fr-FR"/>
        </w:rPr>
      </w:pPr>
    </w:p>
    <w:p w:rsidR="00827482" w:rsidRPr="00BC5FC0" w:rsidRDefault="00827482" w:rsidP="00827482">
      <w:pPr>
        <w:rPr>
          <w:b/>
          <w:lang w:eastAsia="fr-FR"/>
        </w:rPr>
      </w:pPr>
      <w:r w:rsidRPr="00BC5FC0">
        <w:rPr>
          <w:lang w:eastAsia="fr-FR"/>
        </w:rPr>
        <w:t>6.</w:t>
      </w:r>
      <w:r w:rsidRPr="00BC5FC0">
        <w:rPr>
          <w:lang w:eastAsia="fr-FR"/>
        </w:rPr>
        <w:tab/>
        <w:t xml:space="preserve">De même, le Comité des Ministres note que les jeunes des communautés </w:t>
      </w:r>
      <w:proofErr w:type="spellStart"/>
      <w:r w:rsidRPr="00BC5FC0">
        <w:rPr>
          <w:lang w:eastAsia="fr-FR"/>
        </w:rPr>
        <w:t>roms</w:t>
      </w:r>
      <w:proofErr w:type="spellEnd"/>
      <w:r w:rsidRPr="00BC5FC0">
        <w:rPr>
          <w:lang w:eastAsia="fr-FR"/>
        </w:rPr>
        <w:t xml:space="preserve"> sont aussi confrontés à des obstacles spécifiques et à des problèmes d’intégration. Il est fondamental d’offrir </w:t>
      </w:r>
      <w:r>
        <w:rPr>
          <w:lang w:eastAsia="fr-FR"/>
        </w:rPr>
        <w:t>un soutien</w:t>
      </w:r>
      <w:r w:rsidRPr="00BC5FC0">
        <w:rPr>
          <w:lang w:eastAsia="fr-FR"/>
        </w:rPr>
        <w:t xml:space="preserve"> et une assistance </w:t>
      </w:r>
      <w:r>
        <w:rPr>
          <w:lang w:eastAsia="fr-FR"/>
        </w:rPr>
        <w:t>à ces</w:t>
      </w:r>
      <w:r w:rsidRPr="00BC5FC0">
        <w:rPr>
          <w:lang w:eastAsia="fr-FR"/>
        </w:rPr>
        <w:t xml:space="preserve"> jeunes pour </w:t>
      </w:r>
      <w:r>
        <w:rPr>
          <w:lang w:eastAsia="fr-FR"/>
        </w:rPr>
        <w:t>apporter un changement social</w:t>
      </w:r>
      <w:r w:rsidRPr="00BC5FC0">
        <w:rPr>
          <w:lang w:eastAsia="fr-FR"/>
        </w:rPr>
        <w:t xml:space="preserve"> et économique</w:t>
      </w:r>
      <w:r>
        <w:rPr>
          <w:lang w:eastAsia="fr-FR"/>
        </w:rPr>
        <w:t xml:space="preserve"> positif</w:t>
      </w:r>
      <w:r w:rsidRPr="00BC5FC0">
        <w:rPr>
          <w:lang w:eastAsia="fr-FR"/>
        </w:rPr>
        <w:t xml:space="preserve"> au sein des communautés de </w:t>
      </w:r>
      <w:proofErr w:type="spellStart"/>
      <w:r w:rsidRPr="00BC5FC0">
        <w:rPr>
          <w:lang w:eastAsia="fr-FR"/>
        </w:rPr>
        <w:t>Roms</w:t>
      </w:r>
      <w:proofErr w:type="spellEnd"/>
      <w:r w:rsidRPr="00BC5FC0">
        <w:rPr>
          <w:lang w:eastAsia="fr-FR"/>
        </w:rPr>
        <w:t xml:space="preserve"> et de Gens du voyage. A cet égard, le Comité des Ministres attire l’attention sur les </w:t>
      </w:r>
      <w:hyperlink r:id="rId9" w:history="1"/>
      <w:r w:rsidRPr="000C3CC8">
        <w:rPr>
          <w:lang w:eastAsia="fr-FR"/>
        </w:rPr>
        <w:t>lignes directrices</w:t>
      </w:r>
      <w:r>
        <w:rPr>
          <w:lang w:eastAsia="fr-FR"/>
        </w:rPr>
        <w:t xml:space="preserve"> du Conseil mixte de la jeunesse en vue de </w:t>
      </w:r>
      <w:r w:rsidRPr="00BC5FC0">
        <w:rPr>
          <w:lang w:eastAsia="fr-FR"/>
        </w:rPr>
        <w:t xml:space="preserve">la mise en œuvre du plan d’action </w:t>
      </w:r>
      <w:r>
        <w:rPr>
          <w:lang w:eastAsia="fr-FR"/>
        </w:rPr>
        <w:t xml:space="preserve">en faveur de la jeunesse </w:t>
      </w:r>
      <w:r w:rsidRPr="00BC5FC0">
        <w:rPr>
          <w:lang w:eastAsia="fr-FR"/>
        </w:rPr>
        <w:t xml:space="preserve">Rom en 2016-2017 et sur le manuel </w:t>
      </w:r>
      <w:r w:rsidRPr="00BC5FC0">
        <w:rPr>
          <w:i/>
          <w:lang w:eastAsia="fr-FR"/>
        </w:rPr>
        <w:t xml:space="preserve">« Miroirs - </w:t>
      </w:r>
      <w:r>
        <w:rPr>
          <w:i/>
          <w:lang w:eastAsia="fr-FR"/>
        </w:rPr>
        <w:t>C</w:t>
      </w:r>
      <w:r w:rsidRPr="00BC5FC0">
        <w:rPr>
          <w:i/>
          <w:lang w:eastAsia="fr-FR"/>
        </w:rPr>
        <w:t>ombattre l’</w:t>
      </w:r>
      <w:proofErr w:type="spellStart"/>
      <w:r w:rsidRPr="00BC5FC0">
        <w:rPr>
          <w:i/>
          <w:lang w:eastAsia="fr-FR"/>
        </w:rPr>
        <w:t>antitsiganisme</w:t>
      </w:r>
      <w:proofErr w:type="spellEnd"/>
      <w:r w:rsidRPr="00BC5FC0">
        <w:rPr>
          <w:i/>
          <w:lang w:eastAsia="fr-FR"/>
        </w:rPr>
        <w:t xml:space="preserve"> par l’éducation aux droits de l’homme</w:t>
      </w:r>
      <w:r>
        <w:rPr>
          <w:lang w:eastAsia="fr-FR"/>
        </w:rPr>
        <w:t> », particulièrement utile pour les activités de formation et de sensibilisation.</w:t>
      </w:r>
    </w:p>
    <w:p w:rsidR="00827482" w:rsidRPr="00BC5FC0" w:rsidRDefault="00827482" w:rsidP="00827482">
      <w:pPr>
        <w:tabs>
          <w:tab w:val="left" w:pos="567"/>
          <w:tab w:val="left" w:pos="1134"/>
          <w:tab w:val="left" w:pos="1701"/>
        </w:tabs>
        <w:rPr>
          <w:rFonts w:eastAsia="Times New Roman" w:cs="Arial"/>
          <w:color w:val="000000" w:themeColor="text1"/>
          <w:szCs w:val="20"/>
          <w:lang w:eastAsia="fr-FR"/>
        </w:rPr>
      </w:pPr>
    </w:p>
    <w:p w:rsidR="00827482" w:rsidRDefault="00827482" w:rsidP="00827482">
      <w:pPr>
        <w:tabs>
          <w:tab w:val="left" w:pos="567"/>
          <w:tab w:val="left" w:pos="1134"/>
          <w:tab w:val="left" w:pos="1701"/>
        </w:tabs>
        <w:rPr>
          <w:rFonts w:eastAsia="Times New Roman"/>
          <w:szCs w:val="24"/>
          <w:lang w:eastAsia="fr-FR"/>
        </w:rPr>
      </w:pPr>
      <w:r w:rsidRPr="00DF0F60">
        <w:rPr>
          <w:rFonts w:eastAsia="Times New Roman"/>
          <w:szCs w:val="24"/>
          <w:lang w:eastAsia="fr-FR"/>
        </w:rPr>
        <w:t>7.</w:t>
      </w:r>
      <w:r w:rsidRPr="00DF0F60">
        <w:rPr>
          <w:rFonts w:eastAsia="Times New Roman"/>
          <w:szCs w:val="24"/>
          <w:lang w:eastAsia="fr-FR"/>
        </w:rPr>
        <w:tab/>
      </w:r>
      <w:r>
        <w:rPr>
          <w:rFonts w:eastAsia="Times New Roman"/>
          <w:szCs w:val="24"/>
          <w:lang w:eastAsia="fr-FR"/>
        </w:rPr>
        <w:t xml:space="preserve">Le Comité des Ministres tient aussi à souligner qu’il ne faut pas négliger le rôle important des médias, y compris les réseaux sociaux et les services de communication en ligne, étant donné qu’ils peuvent exercer une influence considérable pour soit atténuer, soit aggraver les stéréotypes négatifs, les préjugés et la discrimination à l’égard des </w:t>
      </w:r>
      <w:proofErr w:type="spellStart"/>
      <w:r>
        <w:rPr>
          <w:rFonts w:eastAsia="Times New Roman"/>
          <w:szCs w:val="24"/>
          <w:lang w:eastAsia="fr-FR"/>
        </w:rPr>
        <w:t>Roms</w:t>
      </w:r>
      <w:proofErr w:type="spellEnd"/>
      <w:r>
        <w:rPr>
          <w:rFonts w:eastAsia="Times New Roman"/>
          <w:szCs w:val="24"/>
          <w:lang w:eastAsia="fr-FR"/>
        </w:rPr>
        <w:t xml:space="preserve"> et des Gens du voyage. Il invite les Etats membres à prendre toutes les mesures appropriées par voie réglementaire et / ou en encourageant l’autorégulation des médias, ainsi que des mesures telles que l’éducation aux médias pour combattre la diffusion de ces stéréotypes, tout en respectant pleinement l’indépendance des médias.</w:t>
      </w:r>
    </w:p>
    <w:p w:rsidR="00827482" w:rsidRPr="00DF0F60" w:rsidRDefault="00827482" w:rsidP="00827482">
      <w:pPr>
        <w:tabs>
          <w:tab w:val="left" w:pos="567"/>
          <w:tab w:val="left" w:pos="1134"/>
          <w:tab w:val="left" w:pos="1701"/>
        </w:tabs>
        <w:rPr>
          <w:rFonts w:eastAsia="Times New Roman"/>
          <w:szCs w:val="24"/>
          <w:lang w:eastAsia="fr-FR"/>
        </w:rPr>
      </w:pPr>
    </w:p>
    <w:p w:rsidR="00827482" w:rsidRDefault="00827482" w:rsidP="00827482">
      <w:pPr>
        <w:tabs>
          <w:tab w:val="left" w:pos="567"/>
          <w:tab w:val="left" w:pos="1134"/>
          <w:tab w:val="left" w:pos="1701"/>
        </w:tabs>
        <w:rPr>
          <w:rFonts w:eastAsia="Times New Roman"/>
          <w:szCs w:val="24"/>
          <w:lang w:eastAsia="fr-FR"/>
        </w:rPr>
      </w:pPr>
      <w:r w:rsidRPr="00DF0F60">
        <w:rPr>
          <w:rFonts w:eastAsia="Times New Roman"/>
          <w:szCs w:val="24"/>
          <w:lang w:eastAsia="fr-FR"/>
        </w:rPr>
        <w:t>8.</w:t>
      </w:r>
      <w:r w:rsidRPr="00DF0F60">
        <w:rPr>
          <w:rFonts w:eastAsia="Times New Roman"/>
          <w:szCs w:val="24"/>
          <w:lang w:eastAsia="fr-FR"/>
        </w:rPr>
        <w:tab/>
      </w:r>
      <w:r>
        <w:rPr>
          <w:rFonts w:eastAsia="Times New Roman"/>
          <w:szCs w:val="24"/>
          <w:lang w:eastAsia="fr-FR"/>
        </w:rPr>
        <w:t xml:space="preserve">Enfin, le Comité encourage le Congrès à poursuivre son travail précieux visant à encourager l’intégration des </w:t>
      </w:r>
      <w:proofErr w:type="spellStart"/>
      <w:r>
        <w:rPr>
          <w:rFonts w:eastAsia="Times New Roman"/>
          <w:szCs w:val="24"/>
          <w:lang w:eastAsia="fr-FR"/>
        </w:rPr>
        <w:t>Roms</w:t>
      </w:r>
      <w:proofErr w:type="spellEnd"/>
      <w:r>
        <w:rPr>
          <w:rFonts w:eastAsia="Times New Roman"/>
          <w:szCs w:val="24"/>
          <w:lang w:eastAsia="fr-FR"/>
        </w:rPr>
        <w:t xml:space="preserve"> et des Gens du voyage au niveau local et régional.</w:t>
      </w:r>
    </w:p>
    <w:p w:rsidR="00827482" w:rsidRDefault="00827482" w:rsidP="00827482">
      <w:pPr>
        <w:tabs>
          <w:tab w:val="left" w:pos="567"/>
          <w:tab w:val="left" w:pos="1134"/>
          <w:tab w:val="left" w:pos="1701"/>
        </w:tabs>
        <w:rPr>
          <w:rFonts w:eastAsia="Times New Roman"/>
          <w:szCs w:val="24"/>
          <w:lang w:eastAsia="fr-FR"/>
        </w:rPr>
      </w:pPr>
    </w:p>
    <w:p w:rsidR="00827482" w:rsidRDefault="00827482" w:rsidP="00827482">
      <w:pPr>
        <w:tabs>
          <w:tab w:val="left" w:pos="567"/>
          <w:tab w:val="left" w:pos="1134"/>
          <w:tab w:val="left" w:pos="1701"/>
        </w:tabs>
        <w:rPr>
          <w:rFonts w:eastAsia="Times New Roman"/>
          <w:szCs w:val="24"/>
          <w:lang w:eastAsia="fr-FR"/>
        </w:rPr>
      </w:pPr>
      <w:r>
        <w:rPr>
          <w:rFonts w:eastAsia="Times New Roman"/>
          <w:szCs w:val="24"/>
          <w:lang w:eastAsia="fr-FR"/>
        </w:rPr>
        <w:t>9.</w:t>
      </w:r>
      <w:r>
        <w:rPr>
          <w:rFonts w:eastAsia="Times New Roman"/>
          <w:szCs w:val="24"/>
          <w:lang w:eastAsia="fr-FR"/>
        </w:rPr>
        <w:tab/>
        <w:t xml:space="preserve">Le comité rappelle la nécessité de tenir compte de la pluralité et la spécificité des approches des Etats membres afin d’apporter des solutions adaptées aux problèmes rencontrés par les </w:t>
      </w:r>
      <w:proofErr w:type="spellStart"/>
      <w:r>
        <w:rPr>
          <w:rFonts w:eastAsia="Times New Roman"/>
          <w:szCs w:val="24"/>
          <w:lang w:eastAsia="fr-FR"/>
        </w:rPr>
        <w:t>Roms</w:t>
      </w:r>
      <w:proofErr w:type="spellEnd"/>
      <w:r>
        <w:rPr>
          <w:rFonts w:eastAsia="Times New Roman"/>
          <w:szCs w:val="24"/>
          <w:lang w:eastAsia="fr-FR"/>
        </w:rPr>
        <w:t xml:space="preserve"> et les gens du Voyage.</w:t>
      </w:r>
    </w:p>
    <w:p w:rsidR="009A16E0" w:rsidRPr="00795D1E" w:rsidRDefault="009A16E0">
      <w:pPr>
        <w:rPr>
          <w:rFonts w:eastAsia="Times New Roman"/>
          <w:szCs w:val="24"/>
        </w:rPr>
      </w:pPr>
    </w:p>
    <w:p w:rsidR="00491E67" w:rsidRPr="00795D1E" w:rsidRDefault="00491E67">
      <w:pPr>
        <w:rPr>
          <w:rFonts w:eastAsia="Times New Roman"/>
          <w:szCs w:val="24"/>
        </w:rPr>
      </w:pPr>
    </w:p>
    <w:p w:rsidR="004D1C0F" w:rsidRPr="00795D1E" w:rsidRDefault="004D1C0F" w:rsidP="0037200F">
      <w:pPr>
        <w:rPr>
          <w:rFonts w:eastAsia="Times New Roman"/>
          <w:szCs w:val="24"/>
        </w:rPr>
      </w:pPr>
    </w:p>
    <w:sectPr w:rsidR="004D1C0F" w:rsidRPr="00795D1E" w:rsidSect="00544F6A">
      <w:headerReference w:type="even" r:id="rId10"/>
      <w:headerReference w:type="default" r:id="rId11"/>
      <w:footerReference w:type="default" r:id="rId12"/>
      <w:headerReference w:type="first" r:id="rId13"/>
      <w:footerReference w:type="first" r:id="rId14"/>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D1E" w:rsidRDefault="00795D1E" w:rsidP="00FD6043">
      <w:r>
        <w:separator/>
      </w:r>
    </w:p>
  </w:endnote>
  <w:endnote w:type="continuationSeparator" w:id="0">
    <w:p w:rsidR="00795D1E" w:rsidRDefault="00795D1E"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variable"/>
    <w:sig w:usb0="00000001"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006" w:rsidRPr="002F3006" w:rsidRDefault="002F3006" w:rsidP="002F3006">
    <w:pPr>
      <w:pStyle w:val="Pieddepage"/>
      <w:jc w:val="right"/>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B8" w:rsidRPr="00113EB0" w:rsidRDefault="00E1656D" w:rsidP="00E15639">
    <w:pPr>
      <w:pStyle w:val="Pieddepage"/>
      <w:rPr>
        <w:sz w:val="16"/>
        <w:szCs w:val="16"/>
      </w:rPr>
    </w:pPr>
    <w:r>
      <w:rPr>
        <w:sz w:val="16"/>
        <w:szCs w:val="16"/>
      </w:rPr>
      <w:t>Site internet </w:t>
    </w:r>
    <w:r w:rsidR="00E15639" w:rsidRPr="00113EB0">
      <w:rPr>
        <w:sz w:val="16"/>
        <w:szCs w:val="16"/>
      </w:rPr>
      <w:t xml:space="preserve">: </w:t>
    </w:r>
    <w:hyperlink r:id="rId1" w:history="1">
      <w:r w:rsidR="00AE76B8" w:rsidRPr="00533557">
        <w:rPr>
          <w:rStyle w:val="Lienhypertexte"/>
          <w:sz w:val="16"/>
          <w:szCs w:val="16"/>
        </w:rPr>
        <w:t>www.coe.int/cm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D1E" w:rsidRDefault="00795D1E" w:rsidP="00FD6043">
      <w:r>
        <w:separator/>
      </w:r>
    </w:p>
  </w:footnote>
  <w:footnote w:type="continuationSeparator" w:id="0">
    <w:p w:rsidR="00795D1E" w:rsidRDefault="00795D1E" w:rsidP="00FD6043">
      <w:r>
        <w:continuationSeparator/>
      </w:r>
    </w:p>
  </w:footnote>
  <w:footnote w:id="1">
    <w:p w:rsidR="00827482" w:rsidRDefault="00827482" w:rsidP="00C466E5">
      <w:r w:rsidRPr="00811FA1">
        <w:rPr>
          <w:rStyle w:val="Appelnotedebasdep"/>
          <w:sz w:val="16"/>
        </w:rPr>
        <w:footnoteRef/>
      </w:r>
      <w:r w:rsidRPr="00811FA1">
        <w:rPr>
          <w:sz w:val="16"/>
        </w:rPr>
        <w:t xml:space="preserve"> Les termes « </w:t>
      </w:r>
      <w:proofErr w:type="spellStart"/>
      <w:r w:rsidRPr="00811FA1">
        <w:rPr>
          <w:sz w:val="16"/>
        </w:rPr>
        <w:t>Roms</w:t>
      </w:r>
      <w:proofErr w:type="spellEnd"/>
      <w:r w:rsidRPr="00811FA1">
        <w:rPr>
          <w:sz w:val="16"/>
        </w:rPr>
        <w:t xml:space="preserve"> et Gens du voyage » utilisés au Conseil de l’Europe englobent la grande diversité des groupes concernés par les travaux du Conseil de l’Europe dans ce domaine : d’une part, a) les </w:t>
      </w:r>
      <w:proofErr w:type="spellStart"/>
      <w:r w:rsidRPr="00811FA1">
        <w:rPr>
          <w:sz w:val="16"/>
        </w:rPr>
        <w:t>Roms</w:t>
      </w:r>
      <w:proofErr w:type="spellEnd"/>
      <w:r w:rsidRPr="00811FA1">
        <w:rPr>
          <w:sz w:val="16"/>
        </w:rPr>
        <w:t xml:space="preserve">, les </w:t>
      </w:r>
      <w:proofErr w:type="spellStart"/>
      <w:r w:rsidRPr="00811FA1">
        <w:rPr>
          <w:sz w:val="16"/>
        </w:rPr>
        <w:t>Sintés</w:t>
      </w:r>
      <w:proofErr w:type="spellEnd"/>
      <w:r w:rsidRPr="00811FA1">
        <w:rPr>
          <w:sz w:val="16"/>
        </w:rPr>
        <w:t xml:space="preserve">/Manouches, les Calés/Gitans, les </w:t>
      </w:r>
      <w:proofErr w:type="spellStart"/>
      <w:r w:rsidRPr="00811FA1">
        <w:rPr>
          <w:sz w:val="16"/>
        </w:rPr>
        <w:t>Kaalés</w:t>
      </w:r>
      <w:proofErr w:type="spellEnd"/>
      <w:r w:rsidRPr="00811FA1">
        <w:rPr>
          <w:sz w:val="16"/>
        </w:rPr>
        <w:t xml:space="preserve">, les Romanichels, les </w:t>
      </w:r>
      <w:proofErr w:type="spellStart"/>
      <w:r w:rsidRPr="00811FA1">
        <w:rPr>
          <w:sz w:val="16"/>
        </w:rPr>
        <w:t>Béash</w:t>
      </w:r>
      <w:proofErr w:type="spellEnd"/>
      <w:r w:rsidRPr="00811FA1">
        <w:rPr>
          <w:sz w:val="16"/>
        </w:rPr>
        <w:t>/</w:t>
      </w:r>
      <w:proofErr w:type="spellStart"/>
      <w:r w:rsidRPr="00811FA1">
        <w:rPr>
          <w:sz w:val="16"/>
        </w:rPr>
        <w:t>Rudari</w:t>
      </w:r>
      <w:proofErr w:type="spellEnd"/>
      <w:r w:rsidRPr="00811FA1">
        <w:rPr>
          <w:sz w:val="16"/>
        </w:rPr>
        <w:t xml:space="preserve"> ; b) les Egyptiens des Balkans (Egyptiens et </w:t>
      </w:r>
      <w:proofErr w:type="spellStart"/>
      <w:r w:rsidRPr="00811FA1">
        <w:rPr>
          <w:sz w:val="16"/>
        </w:rPr>
        <w:t>Ashkali</w:t>
      </w:r>
      <w:proofErr w:type="spellEnd"/>
      <w:r w:rsidRPr="00811FA1">
        <w:rPr>
          <w:sz w:val="16"/>
        </w:rPr>
        <w:t xml:space="preserve">) ; c) les branches orientales (Doms, </w:t>
      </w:r>
      <w:proofErr w:type="spellStart"/>
      <w:r w:rsidRPr="00811FA1">
        <w:rPr>
          <w:sz w:val="16"/>
        </w:rPr>
        <w:t>Loms</w:t>
      </w:r>
      <w:proofErr w:type="spellEnd"/>
      <w:r w:rsidRPr="00811FA1">
        <w:rPr>
          <w:sz w:val="16"/>
        </w:rPr>
        <w:t xml:space="preserve"> et </w:t>
      </w:r>
      <w:proofErr w:type="spellStart"/>
      <w:r w:rsidRPr="00811FA1">
        <w:rPr>
          <w:sz w:val="16"/>
        </w:rPr>
        <w:t>Abtal</w:t>
      </w:r>
      <w:proofErr w:type="spellEnd"/>
      <w:r w:rsidRPr="00811FA1">
        <w:rPr>
          <w:sz w:val="16"/>
        </w:rPr>
        <w:t xml:space="preserve">) ; d’autre part, les groupes tels que les </w:t>
      </w:r>
      <w:proofErr w:type="spellStart"/>
      <w:r w:rsidRPr="00811FA1">
        <w:rPr>
          <w:i/>
          <w:iCs/>
          <w:sz w:val="16"/>
        </w:rPr>
        <w:t>Travellers</w:t>
      </w:r>
      <w:proofErr w:type="spellEnd"/>
      <w:r w:rsidRPr="00811FA1">
        <w:rPr>
          <w:sz w:val="16"/>
        </w:rPr>
        <w:t xml:space="preserve">, les </w:t>
      </w:r>
      <w:proofErr w:type="spellStart"/>
      <w:r w:rsidRPr="00811FA1">
        <w:rPr>
          <w:sz w:val="16"/>
        </w:rPr>
        <w:t>Yéniches</w:t>
      </w:r>
      <w:proofErr w:type="spellEnd"/>
      <w:r w:rsidRPr="00811FA1">
        <w:rPr>
          <w:sz w:val="16"/>
        </w:rPr>
        <w:t xml:space="preserve"> et les personnes que l'on désigne par le terme administratif de « Gens du voyage » ainsi que celles qui s'auto-identifient comme Tsiganes.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C57" w:rsidRPr="00491E67" w:rsidRDefault="009A16E0" w:rsidP="00491E67">
    <w:pPr>
      <w:pStyle w:val="En-tte"/>
    </w:pPr>
    <w:r w:rsidRPr="009A16E0">
      <w:t>CM/</w:t>
    </w:r>
    <w:proofErr w:type="spellStart"/>
    <w:r w:rsidRPr="009A16E0">
      <w:t>Cong</w:t>
    </w:r>
    <w:proofErr w:type="spellEnd"/>
    <w:r w:rsidRPr="009A16E0">
      <w:t>(201</w:t>
    </w:r>
    <w:r w:rsidR="00827482">
      <w:t>7</w:t>
    </w:r>
    <w:proofErr w:type="gramStart"/>
    <w:r w:rsidRPr="009A16E0">
      <w:t>)Rec</w:t>
    </w:r>
    <w:r w:rsidR="00C466E5">
      <w:t>3</w:t>
    </w:r>
    <w:r w:rsidR="00827482">
      <w:t>88</w:t>
    </w:r>
    <w:proofErr w:type="gramEnd"/>
    <w:r w:rsidRPr="009A16E0">
      <w:t>-final</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B24E0A">
      <w:rPr>
        <w:noProof/>
      </w:rPr>
      <w:t>2</w:t>
    </w:r>
    <w:r w:rsidR="00E15639" w:rsidRPr="00491E6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C57" w:rsidRPr="00491E67" w:rsidRDefault="00E15639" w:rsidP="00491E67">
    <w:pPr>
      <w:pStyle w:val="En-tte"/>
    </w:pPr>
    <w:r w:rsidRPr="00491E67">
      <w:tab/>
    </w:r>
    <w:r w:rsidRPr="00491E67">
      <w:fldChar w:fldCharType="begin"/>
    </w:r>
    <w:r w:rsidRPr="00491E67">
      <w:instrText xml:space="preserve"> PAGE  \* Arabic  \* MERGEFORMAT </w:instrText>
    </w:r>
    <w:r w:rsidRPr="00491E67">
      <w:fldChar w:fldCharType="separate"/>
    </w:r>
    <w:r w:rsidR="009A16E0">
      <w:rPr>
        <w:noProof/>
      </w:rPr>
      <w:t>3</w:t>
    </w:r>
    <w:r w:rsidRPr="00491E67">
      <w:fldChar w:fldCharType="end"/>
    </w:r>
    <w:r w:rsidR="00E475F9" w:rsidRPr="00491E67">
      <w:tab/>
    </w:r>
    <w:r w:rsidR="009A16E0" w:rsidRPr="009A16E0">
      <w:t>CM/</w:t>
    </w:r>
    <w:proofErr w:type="spellStart"/>
    <w:proofErr w:type="gramStart"/>
    <w:r w:rsidR="009A16E0" w:rsidRPr="009A16E0">
      <w:t>Cong</w:t>
    </w:r>
    <w:proofErr w:type="spellEnd"/>
    <w:r w:rsidR="009A16E0" w:rsidRPr="009A16E0">
      <w:t>(</w:t>
    </w:r>
    <w:proofErr w:type="gramEnd"/>
    <w:r w:rsidR="009A16E0" w:rsidRPr="009A16E0">
      <w:t>201..)Rec...-final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BDB" w:rsidRDefault="00137BB4" w:rsidP="00123CDD">
    <w:pPr>
      <w:pStyle w:val="En-tte"/>
      <w:spacing w:after="2280"/>
    </w:pPr>
    <w:r>
      <w:rPr>
        <w:noProof/>
        <w:lang w:val="en-GB" w:eastAsia="en-GB"/>
      </w:rPr>
      <w:drawing>
        <wp:anchor distT="0" distB="0" distL="114300" distR="114300" simplePos="0" relativeHeight="251657728" behindDoc="1" locked="0" layoutInCell="0" allowOverlap="0">
          <wp:simplePos x="0" y="0"/>
          <wp:positionH relativeFrom="page">
            <wp:posOffset>410210</wp:posOffset>
          </wp:positionH>
          <wp:positionV relativeFrom="page">
            <wp:posOffset>17780</wp:posOffset>
          </wp:positionV>
          <wp:extent cx="7581900" cy="10724515"/>
          <wp:effectExtent l="0" t="0" r="0" b="635"/>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24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1E"/>
    <w:rsid w:val="00027B2B"/>
    <w:rsid w:val="00035FDF"/>
    <w:rsid w:val="00071EA7"/>
    <w:rsid w:val="00072CBD"/>
    <w:rsid w:val="00082CEE"/>
    <w:rsid w:val="000A307B"/>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BB3"/>
    <w:rsid w:val="00156DC1"/>
    <w:rsid w:val="00160B03"/>
    <w:rsid w:val="00171115"/>
    <w:rsid w:val="001A6076"/>
    <w:rsid w:val="001B7E0B"/>
    <w:rsid w:val="001E7C29"/>
    <w:rsid w:val="001F297D"/>
    <w:rsid w:val="001F4F04"/>
    <w:rsid w:val="00214299"/>
    <w:rsid w:val="002250DD"/>
    <w:rsid w:val="0023437D"/>
    <w:rsid w:val="00242ABB"/>
    <w:rsid w:val="00251353"/>
    <w:rsid w:val="00262B36"/>
    <w:rsid w:val="00265917"/>
    <w:rsid w:val="002861FB"/>
    <w:rsid w:val="00293EE6"/>
    <w:rsid w:val="002B1EAE"/>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728F8"/>
    <w:rsid w:val="00480D8B"/>
    <w:rsid w:val="00491E67"/>
    <w:rsid w:val="004A37E1"/>
    <w:rsid w:val="004C0C2F"/>
    <w:rsid w:val="004C11B3"/>
    <w:rsid w:val="004D1C0F"/>
    <w:rsid w:val="004D333B"/>
    <w:rsid w:val="004F1D8B"/>
    <w:rsid w:val="0050115D"/>
    <w:rsid w:val="005400DD"/>
    <w:rsid w:val="0054041B"/>
    <w:rsid w:val="00544F6A"/>
    <w:rsid w:val="00550B6C"/>
    <w:rsid w:val="00574663"/>
    <w:rsid w:val="005B1FA1"/>
    <w:rsid w:val="005B3604"/>
    <w:rsid w:val="005C73BB"/>
    <w:rsid w:val="005D7BB3"/>
    <w:rsid w:val="005D7CDF"/>
    <w:rsid w:val="005F093B"/>
    <w:rsid w:val="005F3DC6"/>
    <w:rsid w:val="00614982"/>
    <w:rsid w:val="00643231"/>
    <w:rsid w:val="00643C3F"/>
    <w:rsid w:val="00644AD3"/>
    <w:rsid w:val="006455FA"/>
    <w:rsid w:val="00671684"/>
    <w:rsid w:val="00671EA2"/>
    <w:rsid w:val="006908C5"/>
    <w:rsid w:val="006F0318"/>
    <w:rsid w:val="006F6B48"/>
    <w:rsid w:val="00712E65"/>
    <w:rsid w:val="007150DE"/>
    <w:rsid w:val="00735569"/>
    <w:rsid w:val="00761627"/>
    <w:rsid w:val="00773CFE"/>
    <w:rsid w:val="00795D1E"/>
    <w:rsid w:val="007A543D"/>
    <w:rsid w:val="007B3DD0"/>
    <w:rsid w:val="007C0AD1"/>
    <w:rsid w:val="007D7B20"/>
    <w:rsid w:val="007E168C"/>
    <w:rsid w:val="007F6C46"/>
    <w:rsid w:val="00800A19"/>
    <w:rsid w:val="008042E6"/>
    <w:rsid w:val="00805F04"/>
    <w:rsid w:val="00810D5A"/>
    <w:rsid w:val="00814AA2"/>
    <w:rsid w:val="0082394F"/>
    <w:rsid w:val="00827482"/>
    <w:rsid w:val="00853C90"/>
    <w:rsid w:val="008575F2"/>
    <w:rsid w:val="0087380A"/>
    <w:rsid w:val="008B07D4"/>
    <w:rsid w:val="008C12CC"/>
    <w:rsid w:val="00915AB1"/>
    <w:rsid w:val="00916BF5"/>
    <w:rsid w:val="009215B8"/>
    <w:rsid w:val="00923554"/>
    <w:rsid w:val="009270C4"/>
    <w:rsid w:val="009342FF"/>
    <w:rsid w:val="00940F14"/>
    <w:rsid w:val="00950D67"/>
    <w:rsid w:val="009527D7"/>
    <w:rsid w:val="00955512"/>
    <w:rsid w:val="00963962"/>
    <w:rsid w:val="00974C41"/>
    <w:rsid w:val="00990722"/>
    <w:rsid w:val="009A16E0"/>
    <w:rsid w:val="009B3AB7"/>
    <w:rsid w:val="009C5258"/>
    <w:rsid w:val="009D28F3"/>
    <w:rsid w:val="009D28F7"/>
    <w:rsid w:val="00A12DEC"/>
    <w:rsid w:val="00A13FA3"/>
    <w:rsid w:val="00A161B3"/>
    <w:rsid w:val="00A22D53"/>
    <w:rsid w:val="00A474E5"/>
    <w:rsid w:val="00A842D4"/>
    <w:rsid w:val="00A93CA3"/>
    <w:rsid w:val="00AB6552"/>
    <w:rsid w:val="00AB67F8"/>
    <w:rsid w:val="00AB7727"/>
    <w:rsid w:val="00AC5A94"/>
    <w:rsid w:val="00AC73AA"/>
    <w:rsid w:val="00AE76B8"/>
    <w:rsid w:val="00B06133"/>
    <w:rsid w:val="00B129D8"/>
    <w:rsid w:val="00B227AE"/>
    <w:rsid w:val="00B24E0A"/>
    <w:rsid w:val="00B41B03"/>
    <w:rsid w:val="00B41EC3"/>
    <w:rsid w:val="00B509CE"/>
    <w:rsid w:val="00B63F08"/>
    <w:rsid w:val="00B81BAC"/>
    <w:rsid w:val="00B849E0"/>
    <w:rsid w:val="00B90246"/>
    <w:rsid w:val="00B920E4"/>
    <w:rsid w:val="00BA79A3"/>
    <w:rsid w:val="00BB4432"/>
    <w:rsid w:val="00BB7DCE"/>
    <w:rsid w:val="00BD25C0"/>
    <w:rsid w:val="00C049EE"/>
    <w:rsid w:val="00C109FD"/>
    <w:rsid w:val="00C14C2C"/>
    <w:rsid w:val="00C409C2"/>
    <w:rsid w:val="00C466E5"/>
    <w:rsid w:val="00C74E6F"/>
    <w:rsid w:val="00C8348A"/>
    <w:rsid w:val="00C92F89"/>
    <w:rsid w:val="00CC39DC"/>
    <w:rsid w:val="00CE1FF8"/>
    <w:rsid w:val="00CE4890"/>
    <w:rsid w:val="00CE6FD2"/>
    <w:rsid w:val="00D0182E"/>
    <w:rsid w:val="00D0265B"/>
    <w:rsid w:val="00D24A57"/>
    <w:rsid w:val="00D53526"/>
    <w:rsid w:val="00D554E6"/>
    <w:rsid w:val="00D70628"/>
    <w:rsid w:val="00D75E31"/>
    <w:rsid w:val="00DA7643"/>
    <w:rsid w:val="00DB029C"/>
    <w:rsid w:val="00DC162E"/>
    <w:rsid w:val="00DC4A39"/>
    <w:rsid w:val="00DE0A21"/>
    <w:rsid w:val="00DF6796"/>
    <w:rsid w:val="00E125C6"/>
    <w:rsid w:val="00E15639"/>
    <w:rsid w:val="00E1656D"/>
    <w:rsid w:val="00E173B5"/>
    <w:rsid w:val="00E24C57"/>
    <w:rsid w:val="00E475F9"/>
    <w:rsid w:val="00E50974"/>
    <w:rsid w:val="00E86611"/>
    <w:rsid w:val="00E940BF"/>
    <w:rsid w:val="00EA643A"/>
    <w:rsid w:val="00EE34E3"/>
    <w:rsid w:val="00EF0BE4"/>
    <w:rsid w:val="00F01885"/>
    <w:rsid w:val="00F168A4"/>
    <w:rsid w:val="00F20C75"/>
    <w:rsid w:val="00F2380B"/>
    <w:rsid w:val="00F24713"/>
    <w:rsid w:val="00F40699"/>
    <w:rsid w:val="00F40B8D"/>
    <w:rsid w:val="00F433D6"/>
    <w:rsid w:val="00F61D34"/>
    <w:rsid w:val="00F76BBD"/>
    <w:rsid w:val="00F96689"/>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28F8"/>
    <w:rPr>
      <w:rFonts w:ascii="Arial" w:hAnsi="Arial"/>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37BB4"/>
    <w:pPr>
      <w:tabs>
        <w:tab w:val="center" w:pos="4961"/>
        <w:tab w:val="right" w:pos="9923"/>
      </w:tabs>
    </w:pPr>
    <w:rPr>
      <w:sz w:val="18"/>
    </w:rPr>
  </w:style>
  <w:style w:type="character" w:customStyle="1" w:styleId="En-tteCar">
    <w:name w:val="En-tête Car"/>
    <w:link w:val="En-tte"/>
    <w:uiPriority w:val="99"/>
    <w:rsid w:val="00137BB4"/>
    <w:rPr>
      <w:rFonts w:ascii="Arial" w:hAnsi="Arial"/>
      <w:sz w:val="18"/>
      <w:szCs w:val="22"/>
      <w:lang w:val="fr-FR" w:eastAsia="en-US"/>
    </w:rPr>
  </w:style>
  <w:style w:type="paragraph" w:styleId="Pieddepage">
    <w:name w:val="footer"/>
    <w:basedOn w:val="Normal"/>
    <w:link w:val="PieddepageCar"/>
    <w:uiPriority w:val="99"/>
    <w:unhideWhenUsed/>
    <w:rsid w:val="00FD6043"/>
    <w:pPr>
      <w:tabs>
        <w:tab w:val="center" w:pos="4513"/>
        <w:tab w:val="right" w:pos="9026"/>
      </w:tabs>
    </w:pPr>
  </w:style>
  <w:style w:type="character" w:customStyle="1" w:styleId="PieddepageCar">
    <w:name w:val="Pied de page Car"/>
    <w:basedOn w:val="Policepardfaut"/>
    <w:link w:val="Pieddepage"/>
    <w:uiPriority w:val="99"/>
    <w:rsid w:val="00FD6043"/>
  </w:style>
  <w:style w:type="paragraph" w:styleId="Textedebulles">
    <w:name w:val="Balloon Text"/>
    <w:basedOn w:val="Normal"/>
    <w:link w:val="TextedebullesCar"/>
    <w:uiPriority w:val="99"/>
    <w:semiHidden/>
    <w:unhideWhenUsed/>
    <w:rsid w:val="00FD6043"/>
    <w:rPr>
      <w:rFonts w:ascii="Tahoma" w:hAnsi="Tahoma" w:cs="Tahoma"/>
      <w:sz w:val="16"/>
      <w:szCs w:val="16"/>
    </w:rPr>
  </w:style>
  <w:style w:type="character" w:customStyle="1" w:styleId="TextedebullesCar">
    <w:name w:val="Texte de bulles Car"/>
    <w:link w:val="Textedebulles"/>
    <w:uiPriority w:val="99"/>
    <w:semiHidden/>
    <w:rsid w:val="00FD6043"/>
    <w:rPr>
      <w:rFonts w:ascii="Tahoma" w:hAnsi="Tahoma" w:cs="Tahoma"/>
      <w:sz w:val="16"/>
      <w:szCs w:val="16"/>
    </w:rPr>
  </w:style>
  <w:style w:type="table" w:styleId="Grilledutableau">
    <w:name w:val="Table Grid"/>
    <w:basedOn w:val="Tableau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unhideWhenUsed/>
    <w:rsid w:val="00AE76B8"/>
    <w:rPr>
      <w:color w:val="auto"/>
      <w:u w:val="none"/>
    </w:rPr>
  </w:style>
  <w:style w:type="character" w:styleId="Numrodepage">
    <w:name w:val="page number"/>
    <w:basedOn w:val="Policepardfaut"/>
    <w:uiPriority w:val="99"/>
    <w:semiHidden/>
    <w:unhideWhenUsed/>
    <w:rsid w:val="00E24C57"/>
  </w:style>
  <w:style w:type="character" w:styleId="Marquedecommentaire">
    <w:name w:val="annotation reference"/>
    <w:uiPriority w:val="99"/>
    <w:semiHidden/>
    <w:unhideWhenUsed/>
    <w:rsid w:val="002250DD"/>
    <w:rPr>
      <w:sz w:val="18"/>
      <w:szCs w:val="18"/>
    </w:rPr>
  </w:style>
  <w:style w:type="paragraph" w:styleId="Commentaire">
    <w:name w:val="annotation text"/>
    <w:basedOn w:val="Normal"/>
    <w:link w:val="CommentaireCar"/>
    <w:uiPriority w:val="99"/>
    <w:semiHidden/>
    <w:unhideWhenUsed/>
    <w:rsid w:val="002250DD"/>
    <w:rPr>
      <w:sz w:val="24"/>
      <w:szCs w:val="24"/>
    </w:rPr>
  </w:style>
  <w:style w:type="character" w:customStyle="1" w:styleId="CommentaireCar">
    <w:name w:val="Commentaire Car"/>
    <w:link w:val="Commentaire"/>
    <w:uiPriority w:val="99"/>
    <w:semiHidden/>
    <w:rsid w:val="002250DD"/>
    <w:rPr>
      <w:sz w:val="24"/>
      <w:szCs w:val="24"/>
    </w:rPr>
  </w:style>
  <w:style w:type="paragraph" w:styleId="Objetducommentaire">
    <w:name w:val="annotation subject"/>
    <w:basedOn w:val="Commentaire"/>
    <w:next w:val="Commentaire"/>
    <w:link w:val="ObjetducommentaireCar"/>
    <w:uiPriority w:val="99"/>
    <w:semiHidden/>
    <w:unhideWhenUsed/>
    <w:rsid w:val="002250DD"/>
    <w:rPr>
      <w:b/>
      <w:bCs/>
      <w:sz w:val="20"/>
      <w:szCs w:val="20"/>
    </w:rPr>
  </w:style>
  <w:style w:type="character" w:customStyle="1" w:styleId="ObjetducommentaireCar">
    <w:name w:val="Objet du commentaire Car"/>
    <w:link w:val="Objetducommentaire"/>
    <w:uiPriority w:val="99"/>
    <w:semiHidden/>
    <w:rsid w:val="002250DD"/>
    <w:rPr>
      <w:b/>
      <w:bCs/>
      <w:sz w:val="20"/>
      <w:szCs w:val="20"/>
    </w:rPr>
  </w:style>
  <w:style w:type="paragraph" w:styleId="Notedebasdepage">
    <w:name w:val="footnote text"/>
    <w:basedOn w:val="Normal"/>
    <w:link w:val="NotedebasdepageCar"/>
    <w:unhideWhenUsed/>
    <w:rsid w:val="009C5258"/>
    <w:rPr>
      <w:sz w:val="16"/>
      <w:szCs w:val="20"/>
    </w:rPr>
  </w:style>
  <w:style w:type="character" w:customStyle="1" w:styleId="NotedebasdepageCar">
    <w:name w:val="Note de bas de page Car"/>
    <w:link w:val="Notedebasdepage"/>
    <w:rsid w:val="009C5258"/>
    <w:rPr>
      <w:rFonts w:ascii="Arial" w:hAnsi="Arial"/>
      <w:sz w:val="16"/>
      <w:lang w:val="fr-FR" w:eastAsia="en-US"/>
    </w:rPr>
  </w:style>
  <w:style w:type="character" w:styleId="Appelnotedebasdep">
    <w:name w:val="footnote reference"/>
    <w:unhideWhenUsed/>
    <w:rsid w:val="00853C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28F8"/>
    <w:rPr>
      <w:rFonts w:ascii="Arial" w:hAnsi="Arial"/>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37BB4"/>
    <w:pPr>
      <w:tabs>
        <w:tab w:val="center" w:pos="4961"/>
        <w:tab w:val="right" w:pos="9923"/>
      </w:tabs>
    </w:pPr>
    <w:rPr>
      <w:sz w:val="18"/>
    </w:rPr>
  </w:style>
  <w:style w:type="character" w:customStyle="1" w:styleId="En-tteCar">
    <w:name w:val="En-tête Car"/>
    <w:link w:val="En-tte"/>
    <w:uiPriority w:val="99"/>
    <w:rsid w:val="00137BB4"/>
    <w:rPr>
      <w:rFonts w:ascii="Arial" w:hAnsi="Arial"/>
      <w:sz w:val="18"/>
      <w:szCs w:val="22"/>
      <w:lang w:val="fr-FR" w:eastAsia="en-US"/>
    </w:rPr>
  </w:style>
  <w:style w:type="paragraph" w:styleId="Pieddepage">
    <w:name w:val="footer"/>
    <w:basedOn w:val="Normal"/>
    <w:link w:val="PieddepageCar"/>
    <w:uiPriority w:val="99"/>
    <w:unhideWhenUsed/>
    <w:rsid w:val="00FD6043"/>
    <w:pPr>
      <w:tabs>
        <w:tab w:val="center" w:pos="4513"/>
        <w:tab w:val="right" w:pos="9026"/>
      </w:tabs>
    </w:pPr>
  </w:style>
  <w:style w:type="character" w:customStyle="1" w:styleId="PieddepageCar">
    <w:name w:val="Pied de page Car"/>
    <w:basedOn w:val="Policepardfaut"/>
    <w:link w:val="Pieddepage"/>
    <w:uiPriority w:val="99"/>
    <w:rsid w:val="00FD6043"/>
  </w:style>
  <w:style w:type="paragraph" w:styleId="Textedebulles">
    <w:name w:val="Balloon Text"/>
    <w:basedOn w:val="Normal"/>
    <w:link w:val="TextedebullesCar"/>
    <w:uiPriority w:val="99"/>
    <w:semiHidden/>
    <w:unhideWhenUsed/>
    <w:rsid w:val="00FD6043"/>
    <w:rPr>
      <w:rFonts w:ascii="Tahoma" w:hAnsi="Tahoma" w:cs="Tahoma"/>
      <w:sz w:val="16"/>
      <w:szCs w:val="16"/>
    </w:rPr>
  </w:style>
  <w:style w:type="character" w:customStyle="1" w:styleId="TextedebullesCar">
    <w:name w:val="Texte de bulles Car"/>
    <w:link w:val="Textedebulles"/>
    <w:uiPriority w:val="99"/>
    <w:semiHidden/>
    <w:rsid w:val="00FD6043"/>
    <w:rPr>
      <w:rFonts w:ascii="Tahoma" w:hAnsi="Tahoma" w:cs="Tahoma"/>
      <w:sz w:val="16"/>
      <w:szCs w:val="16"/>
    </w:rPr>
  </w:style>
  <w:style w:type="table" w:styleId="Grilledutableau">
    <w:name w:val="Table Grid"/>
    <w:basedOn w:val="Tableau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unhideWhenUsed/>
    <w:rsid w:val="00AE76B8"/>
    <w:rPr>
      <w:color w:val="auto"/>
      <w:u w:val="none"/>
    </w:rPr>
  </w:style>
  <w:style w:type="character" w:styleId="Numrodepage">
    <w:name w:val="page number"/>
    <w:basedOn w:val="Policepardfaut"/>
    <w:uiPriority w:val="99"/>
    <w:semiHidden/>
    <w:unhideWhenUsed/>
    <w:rsid w:val="00E24C57"/>
  </w:style>
  <w:style w:type="character" w:styleId="Marquedecommentaire">
    <w:name w:val="annotation reference"/>
    <w:uiPriority w:val="99"/>
    <w:semiHidden/>
    <w:unhideWhenUsed/>
    <w:rsid w:val="002250DD"/>
    <w:rPr>
      <w:sz w:val="18"/>
      <w:szCs w:val="18"/>
    </w:rPr>
  </w:style>
  <w:style w:type="paragraph" w:styleId="Commentaire">
    <w:name w:val="annotation text"/>
    <w:basedOn w:val="Normal"/>
    <w:link w:val="CommentaireCar"/>
    <w:uiPriority w:val="99"/>
    <w:semiHidden/>
    <w:unhideWhenUsed/>
    <w:rsid w:val="002250DD"/>
    <w:rPr>
      <w:sz w:val="24"/>
      <w:szCs w:val="24"/>
    </w:rPr>
  </w:style>
  <w:style w:type="character" w:customStyle="1" w:styleId="CommentaireCar">
    <w:name w:val="Commentaire Car"/>
    <w:link w:val="Commentaire"/>
    <w:uiPriority w:val="99"/>
    <w:semiHidden/>
    <w:rsid w:val="002250DD"/>
    <w:rPr>
      <w:sz w:val="24"/>
      <w:szCs w:val="24"/>
    </w:rPr>
  </w:style>
  <w:style w:type="paragraph" w:styleId="Objetducommentaire">
    <w:name w:val="annotation subject"/>
    <w:basedOn w:val="Commentaire"/>
    <w:next w:val="Commentaire"/>
    <w:link w:val="ObjetducommentaireCar"/>
    <w:uiPriority w:val="99"/>
    <w:semiHidden/>
    <w:unhideWhenUsed/>
    <w:rsid w:val="002250DD"/>
    <w:rPr>
      <w:b/>
      <w:bCs/>
      <w:sz w:val="20"/>
      <w:szCs w:val="20"/>
    </w:rPr>
  </w:style>
  <w:style w:type="character" w:customStyle="1" w:styleId="ObjetducommentaireCar">
    <w:name w:val="Objet du commentaire Car"/>
    <w:link w:val="Objetducommentaire"/>
    <w:uiPriority w:val="99"/>
    <w:semiHidden/>
    <w:rsid w:val="002250DD"/>
    <w:rPr>
      <w:b/>
      <w:bCs/>
      <w:sz w:val="20"/>
      <w:szCs w:val="20"/>
    </w:rPr>
  </w:style>
  <w:style w:type="paragraph" w:styleId="Notedebasdepage">
    <w:name w:val="footnote text"/>
    <w:basedOn w:val="Normal"/>
    <w:link w:val="NotedebasdepageCar"/>
    <w:unhideWhenUsed/>
    <w:rsid w:val="009C5258"/>
    <w:rPr>
      <w:sz w:val="16"/>
      <w:szCs w:val="20"/>
    </w:rPr>
  </w:style>
  <w:style w:type="character" w:customStyle="1" w:styleId="NotedebasdepageCar">
    <w:name w:val="Note de bas de page Car"/>
    <w:link w:val="Notedebasdepage"/>
    <w:rsid w:val="009C5258"/>
    <w:rPr>
      <w:rFonts w:ascii="Arial" w:hAnsi="Arial"/>
      <w:sz w:val="16"/>
      <w:lang w:val="fr-FR" w:eastAsia="en-US"/>
    </w:rPr>
  </w:style>
  <w:style w:type="character" w:styleId="Appelnotedebasdep">
    <w:name w:val="footnote reference"/>
    <w:unhideWhenUsed/>
    <w:rsid w:val="00853C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 w:id="1999457913">
      <w:bodyDiv w:val="1"/>
      <w:marLeft w:val="0"/>
      <w:marRight w:val="0"/>
      <w:marTop w:val="0"/>
      <w:marBottom w:val="0"/>
      <w:divBdr>
        <w:top w:val="none" w:sz="0" w:space="0" w:color="auto"/>
        <w:left w:val="none" w:sz="0" w:space="0" w:color="auto"/>
        <w:bottom w:val="none" w:sz="0" w:space="0" w:color="auto"/>
        <w:right w:val="none" w:sz="0" w:space="0" w:color="auto"/>
      </w:divBdr>
      <w:divsChild>
        <w:div w:id="511259695">
          <w:marLeft w:val="0"/>
          <w:marRight w:val="0"/>
          <w:marTop w:val="0"/>
          <w:marBottom w:val="0"/>
          <w:divBdr>
            <w:top w:val="none" w:sz="0" w:space="0" w:color="auto"/>
            <w:left w:val="none" w:sz="0" w:space="0" w:color="auto"/>
            <w:bottom w:val="none" w:sz="0" w:space="0" w:color="auto"/>
            <w:right w:val="none" w:sz="0" w:space="0" w:color="auto"/>
          </w:divBdr>
          <w:divsChild>
            <w:div w:id="1985117774">
              <w:marLeft w:val="0"/>
              <w:marRight w:val="0"/>
              <w:marTop w:val="0"/>
              <w:marBottom w:val="0"/>
              <w:divBdr>
                <w:top w:val="none" w:sz="0" w:space="0" w:color="auto"/>
                <w:left w:val="none" w:sz="0" w:space="0" w:color="auto"/>
                <w:bottom w:val="none" w:sz="0" w:space="0" w:color="auto"/>
                <w:right w:val="none" w:sz="0" w:space="0" w:color="auto"/>
              </w:divBdr>
              <w:divsChild>
                <w:div w:id="2066248852">
                  <w:marLeft w:val="0"/>
                  <w:marRight w:val="0"/>
                  <w:marTop w:val="0"/>
                  <w:marBottom w:val="0"/>
                  <w:divBdr>
                    <w:top w:val="none" w:sz="0" w:space="0" w:color="auto"/>
                    <w:left w:val="none" w:sz="0" w:space="0" w:color="auto"/>
                    <w:bottom w:val="none" w:sz="0" w:space="0" w:color="auto"/>
                    <w:right w:val="none" w:sz="0" w:space="0" w:color="auto"/>
                  </w:divBdr>
                  <w:divsChild>
                    <w:div w:id="744769087">
                      <w:marLeft w:val="0"/>
                      <w:marRight w:val="0"/>
                      <w:marTop w:val="0"/>
                      <w:marBottom w:val="0"/>
                      <w:divBdr>
                        <w:top w:val="none" w:sz="0" w:space="0" w:color="auto"/>
                        <w:left w:val="none" w:sz="0" w:space="0" w:color="auto"/>
                        <w:bottom w:val="none" w:sz="0" w:space="0" w:color="auto"/>
                        <w:right w:val="none" w:sz="0" w:space="0" w:color="auto"/>
                      </w:divBdr>
                      <w:divsChild>
                        <w:div w:id="1702511345">
                          <w:marLeft w:val="0"/>
                          <w:marRight w:val="0"/>
                          <w:marTop w:val="0"/>
                          <w:marBottom w:val="0"/>
                          <w:divBdr>
                            <w:top w:val="none" w:sz="0" w:space="0" w:color="auto"/>
                            <w:left w:val="none" w:sz="0" w:space="0" w:color="auto"/>
                            <w:bottom w:val="none" w:sz="0" w:space="0" w:color="auto"/>
                            <w:right w:val="none" w:sz="0" w:space="0" w:color="auto"/>
                          </w:divBdr>
                          <w:divsChild>
                            <w:div w:id="964504325">
                              <w:marLeft w:val="0"/>
                              <w:marRight w:val="0"/>
                              <w:marTop w:val="0"/>
                              <w:marBottom w:val="0"/>
                              <w:divBdr>
                                <w:top w:val="none" w:sz="0" w:space="0" w:color="auto"/>
                                <w:left w:val="none" w:sz="0" w:space="0" w:color="auto"/>
                                <w:bottom w:val="none" w:sz="0" w:space="0" w:color="auto"/>
                                <w:right w:val="none" w:sz="0" w:space="0" w:color="auto"/>
                              </w:divBdr>
                              <w:divsChild>
                                <w:div w:id="854416051">
                                  <w:marLeft w:val="-225"/>
                                  <w:marRight w:val="-225"/>
                                  <w:marTop w:val="0"/>
                                  <w:marBottom w:val="0"/>
                                  <w:divBdr>
                                    <w:top w:val="none" w:sz="0" w:space="0" w:color="auto"/>
                                    <w:left w:val="none" w:sz="0" w:space="0" w:color="auto"/>
                                    <w:bottom w:val="none" w:sz="0" w:space="0" w:color="auto"/>
                                    <w:right w:val="none" w:sz="0" w:space="0" w:color="auto"/>
                                  </w:divBdr>
                                  <w:divsChild>
                                    <w:div w:id="1244610492">
                                      <w:marLeft w:val="0"/>
                                      <w:marRight w:val="0"/>
                                      <w:marTop w:val="0"/>
                                      <w:marBottom w:val="0"/>
                                      <w:divBdr>
                                        <w:top w:val="none" w:sz="0" w:space="0" w:color="auto"/>
                                        <w:left w:val="none" w:sz="0" w:space="0" w:color="auto"/>
                                        <w:bottom w:val="none" w:sz="0" w:space="0" w:color="auto"/>
                                        <w:right w:val="none" w:sz="0" w:space="0" w:color="auto"/>
                                      </w:divBdr>
                                      <w:divsChild>
                                        <w:div w:id="68356532">
                                          <w:marLeft w:val="0"/>
                                          <w:marRight w:val="0"/>
                                          <w:marTop w:val="0"/>
                                          <w:marBottom w:val="0"/>
                                          <w:divBdr>
                                            <w:top w:val="none" w:sz="0" w:space="0" w:color="auto"/>
                                            <w:left w:val="none" w:sz="0" w:space="0" w:color="auto"/>
                                            <w:bottom w:val="none" w:sz="0" w:space="0" w:color="auto"/>
                                            <w:right w:val="none" w:sz="0" w:space="0" w:color="auto"/>
                                          </w:divBdr>
                                          <w:divsChild>
                                            <w:div w:id="867254070">
                                              <w:marLeft w:val="0"/>
                                              <w:marRight w:val="0"/>
                                              <w:marTop w:val="0"/>
                                              <w:marBottom w:val="0"/>
                                              <w:divBdr>
                                                <w:top w:val="single" w:sz="6" w:space="0" w:color="EEEEEE"/>
                                                <w:left w:val="single" w:sz="6" w:space="0" w:color="EEEEEE"/>
                                                <w:bottom w:val="single" w:sz="6" w:space="0" w:color="EEEEEE"/>
                                                <w:right w:val="single" w:sz="6" w:space="0" w:color="EEEEEE"/>
                                              </w:divBdr>
                                              <w:divsChild>
                                                <w:div w:id="1759715028">
                                                  <w:marLeft w:val="0"/>
                                                  <w:marRight w:val="0"/>
                                                  <w:marTop w:val="0"/>
                                                  <w:marBottom w:val="0"/>
                                                  <w:divBdr>
                                                    <w:top w:val="none" w:sz="0" w:space="0" w:color="auto"/>
                                                    <w:left w:val="none" w:sz="0" w:space="0" w:color="auto"/>
                                                    <w:bottom w:val="none" w:sz="0" w:space="0" w:color="auto"/>
                                                    <w:right w:val="none" w:sz="0" w:space="0" w:color="auto"/>
                                                  </w:divBdr>
                                                  <w:divsChild>
                                                    <w:div w:id="288509867">
                                                      <w:marLeft w:val="0"/>
                                                      <w:marRight w:val="0"/>
                                                      <w:marTop w:val="0"/>
                                                      <w:marBottom w:val="0"/>
                                                      <w:divBdr>
                                                        <w:top w:val="none" w:sz="0" w:space="0" w:color="auto"/>
                                                        <w:left w:val="none" w:sz="0" w:space="0" w:color="auto"/>
                                                        <w:bottom w:val="none" w:sz="0" w:space="0" w:color="auto"/>
                                                        <w:right w:val="none" w:sz="0" w:space="0" w:color="auto"/>
                                                      </w:divBdr>
                                                      <w:divsChild>
                                                        <w:div w:id="1118599190">
                                                          <w:marLeft w:val="0"/>
                                                          <w:marRight w:val="0"/>
                                                          <w:marTop w:val="0"/>
                                                          <w:marBottom w:val="0"/>
                                                          <w:divBdr>
                                                            <w:top w:val="none" w:sz="0" w:space="0" w:color="auto"/>
                                                            <w:left w:val="none" w:sz="0" w:space="0" w:color="auto"/>
                                                            <w:bottom w:val="none" w:sz="0" w:space="0" w:color="auto"/>
                                                            <w:right w:val="none" w:sz="0" w:space="0" w:color="auto"/>
                                                          </w:divBdr>
                                                          <w:divsChild>
                                                            <w:div w:id="963004439">
                                                              <w:marLeft w:val="0"/>
                                                              <w:marRight w:val="0"/>
                                                              <w:marTop w:val="0"/>
                                                              <w:marBottom w:val="0"/>
                                                              <w:divBdr>
                                                                <w:top w:val="none" w:sz="0" w:space="0" w:color="auto"/>
                                                                <w:left w:val="none" w:sz="0" w:space="0" w:color="auto"/>
                                                                <w:bottom w:val="none" w:sz="0" w:space="0" w:color="auto"/>
                                                                <w:right w:val="none" w:sz="0" w:space="0" w:color="auto"/>
                                                              </w:divBdr>
                                                              <w:divsChild>
                                                                <w:div w:id="1243954068">
                                                                  <w:marLeft w:val="0"/>
                                                                  <w:marRight w:val="0"/>
                                                                  <w:marTop w:val="0"/>
                                                                  <w:marBottom w:val="0"/>
                                                                  <w:divBdr>
                                                                    <w:top w:val="none" w:sz="0" w:space="0" w:color="auto"/>
                                                                    <w:left w:val="none" w:sz="0" w:space="0" w:color="auto"/>
                                                                    <w:bottom w:val="none" w:sz="0" w:space="0" w:color="auto"/>
                                                                    <w:right w:val="none" w:sz="0" w:space="0" w:color="auto"/>
                                                                  </w:divBdr>
                                                                  <w:divsChild>
                                                                    <w:div w:id="1107891964">
                                                                      <w:marLeft w:val="0"/>
                                                                      <w:marRight w:val="0"/>
                                                                      <w:marTop w:val="0"/>
                                                                      <w:marBottom w:val="0"/>
                                                                      <w:divBdr>
                                                                        <w:top w:val="none" w:sz="0" w:space="0" w:color="auto"/>
                                                                        <w:left w:val="none" w:sz="0" w:space="0" w:color="auto"/>
                                                                        <w:bottom w:val="none" w:sz="0" w:space="0" w:color="auto"/>
                                                                        <w:right w:val="none" w:sz="0" w:space="0" w:color="auto"/>
                                                                      </w:divBdr>
                                                                      <w:divsChild>
                                                                        <w:div w:id="268898163">
                                                                          <w:marLeft w:val="0"/>
                                                                          <w:marRight w:val="0"/>
                                                                          <w:marTop w:val="0"/>
                                                                          <w:marBottom w:val="0"/>
                                                                          <w:divBdr>
                                                                            <w:top w:val="none" w:sz="0" w:space="0" w:color="auto"/>
                                                                            <w:left w:val="none" w:sz="0" w:space="0" w:color="auto"/>
                                                                            <w:bottom w:val="none" w:sz="0" w:space="0" w:color="auto"/>
                                                                            <w:right w:val="none" w:sz="0" w:space="0" w:color="auto"/>
                                                                          </w:divBdr>
                                                                          <w:divsChild>
                                                                            <w:div w:id="197204103">
                                                                              <w:marLeft w:val="0"/>
                                                                              <w:marRight w:val="0"/>
                                                                              <w:marTop w:val="0"/>
                                                                              <w:marBottom w:val="0"/>
                                                                              <w:divBdr>
                                                                                <w:top w:val="none" w:sz="0" w:space="0" w:color="auto"/>
                                                                                <w:left w:val="none" w:sz="0" w:space="0" w:color="auto"/>
                                                                                <w:bottom w:val="none" w:sz="0" w:space="0" w:color="auto"/>
                                                                                <w:right w:val="none" w:sz="0" w:space="0" w:color="auto"/>
                                                                              </w:divBdr>
                                                                              <w:divsChild>
                                                                                <w:div w:id="1041134126">
                                                                                  <w:marLeft w:val="0"/>
                                                                                  <w:marRight w:val="0"/>
                                                                                  <w:marTop w:val="0"/>
                                                                                  <w:marBottom w:val="0"/>
                                                                                  <w:divBdr>
                                                                                    <w:top w:val="none" w:sz="0" w:space="0" w:color="auto"/>
                                                                                    <w:left w:val="none" w:sz="0" w:space="0" w:color="auto"/>
                                                                                    <w:bottom w:val="none" w:sz="0" w:space="0" w:color="auto"/>
                                                                                    <w:right w:val="none" w:sz="0" w:space="0" w:color="auto"/>
                                                                                  </w:divBdr>
                                                                                  <w:divsChild>
                                                                                    <w:div w:id="3810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ObjectID=09000016805c5a1b"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m.coe.int/CoERMPublicCommonSearchServices/DisplayDCTMContent?documentId=09000016806926ac"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Transit%20templates\CM%20General%20documents\F_CMCongRec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9C3E209-3C61-4DDA-BFB3-0CFC3AA9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F_CMCongRec_final.dotx</Template>
  <TotalTime>1</TotalTime>
  <Pages>2</Pages>
  <Words>1063</Words>
  <Characters>6061</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7110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LAWRENCE</dc:creator>
  <cp:lastModifiedBy>Martine LAWRENCE</cp:lastModifiedBy>
  <cp:revision>5</cp:revision>
  <cp:lastPrinted>2017-02-22T14:01:00Z</cp:lastPrinted>
  <dcterms:created xsi:type="dcterms:W3CDTF">2017-02-14T15:37:00Z</dcterms:created>
  <dcterms:modified xsi:type="dcterms:W3CDTF">2017-02-22T14:01:00Z</dcterms:modified>
</cp:coreProperties>
</file>