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9A499" w14:textId="77777777" w:rsidR="008E3CBC" w:rsidRDefault="008E3CBC" w:rsidP="000E7304">
      <w:pPr>
        <w:jc w:val="both"/>
        <w:rPr>
          <w:b/>
        </w:rPr>
      </w:pPr>
      <w:bookmarkStart w:id="0" w:name="_GoBack"/>
      <w:bookmarkEnd w:id="0"/>
    </w:p>
    <w:p w14:paraId="2196431F" w14:textId="77777777" w:rsidR="008E3CBC" w:rsidRDefault="00207711" w:rsidP="008E3CBC">
      <w:pPr>
        <w:jc w:val="center"/>
        <w:rPr>
          <w:b/>
          <w:sz w:val="36"/>
          <w:szCs w:val="36"/>
        </w:rPr>
      </w:pPr>
      <w:r w:rsidRPr="008E3CBC">
        <w:rPr>
          <w:b/>
          <w:sz w:val="36"/>
          <w:szCs w:val="36"/>
        </w:rPr>
        <w:t xml:space="preserve">THE </w:t>
      </w:r>
      <w:r w:rsidR="00CB1150" w:rsidRPr="008E3CBC">
        <w:rPr>
          <w:b/>
          <w:sz w:val="36"/>
          <w:szCs w:val="36"/>
        </w:rPr>
        <w:t>EXPERTISE CO-ORDINATION MECHANISM</w:t>
      </w:r>
      <w:r w:rsidR="00440B26" w:rsidRPr="008E3CBC">
        <w:rPr>
          <w:b/>
          <w:sz w:val="36"/>
          <w:szCs w:val="36"/>
        </w:rPr>
        <w:t xml:space="preserve"> </w:t>
      </w:r>
    </w:p>
    <w:p w14:paraId="327DD66E" w14:textId="6C29FB30" w:rsidR="00C836F8" w:rsidRPr="008E3CBC" w:rsidRDefault="00440B26" w:rsidP="008E3CBC">
      <w:pPr>
        <w:jc w:val="center"/>
        <w:rPr>
          <w:b/>
          <w:sz w:val="36"/>
          <w:szCs w:val="36"/>
        </w:rPr>
      </w:pPr>
      <w:r w:rsidRPr="008E3CBC">
        <w:rPr>
          <w:b/>
          <w:sz w:val="36"/>
          <w:szCs w:val="36"/>
        </w:rPr>
        <w:t>AN OVERVIEW</w:t>
      </w:r>
    </w:p>
    <w:p w14:paraId="4D3EB6DB" w14:textId="1C5C4445" w:rsidR="00E4650C" w:rsidRPr="008E3CBC" w:rsidRDefault="00940569" w:rsidP="008E3CBC">
      <w:pPr>
        <w:jc w:val="center"/>
        <w:rPr>
          <w:b/>
          <w:sz w:val="36"/>
          <w:szCs w:val="36"/>
        </w:rPr>
      </w:pPr>
      <w:r w:rsidRPr="008E3CBC">
        <w:rPr>
          <w:b/>
          <w:sz w:val="36"/>
          <w:szCs w:val="36"/>
        </w:rPr>
        <w:t>Horizontal Facility for the Western Balkans and Turkey</w:t>
      </w:r>
    </w:p>
    <w:p w14:paraId="209813E1" w14:textId="77777777" w:rsidR="00CB1150" w:rsidRPr="009A7052" w:rsidRDefault="00CD495F" w:rsidP="00E67B6F">
      <w:pPr>
        <w:jc w:val="right"/>
        <w:rPr>
          <w:b/>
          <w:bCs/>
        </w:rPr>
      </w:pPr>
      <w:hyperlink r:id="rId8" w:history="1">
        <w:r w:rsidR="00CB1150" w:rsidRPr="009A7052">
          <w:rPr>
            <w:rStyle w:val="Hyperlink"/>
            <w:b/>
            <w:bCs/>
          </w:rPr>
          <w:t>http://horizontal-facility-eu.coe.int</w:t>
        </w:r>
      </w:hyperlink>
    </w:p>
    <w:p w14:paraId="053F5105" w14:textId="0AF75FA9" w:rsidR="00E67B6F" w:rsidRPr="003D6ED6" w:rsidRDefault="00E67B6F" w:rsidP="000E7304">
      <w:pPr>
        <w:autoSpaceDE w:val="0"/>
        <w:autoSpaceDN w:val="0"/>
        <w:adjustRightInd w:val="0"/>
        <w:spacing w:after="0" w:line="360" w:lineRule="auto"/>
        <w:jc w:val="both"/>
        <w:rPr>
          <w:rFonts w:cs="MyriadPro-BoldCond"/>
          <w:b/>
          <w:bCs/>
        </w:rPr>
      </w:pPr>
    </w:p>
    <w:p w14:paraId="13A9146F" w14:textId="3B99F737" w:rsidR="00032E5C" w:rsidRPr="003D6ED6" w:rsidRDefault="00032E5C" w:rsidP="000E7304">
      <w:pPr>
        <w:autoSpaceDE w:val="0"/>
        <w:autoSpaceDN w:val="0"/>
        <w:adjustRightInd w:val="0"/>
        <w:spacing w:after="0" w:line="360" w:lineRule="auto"/>
        <w:jc w:val="both"/>
        <w:rPr>
          <w:rFonts w:cs="MyriadPro-BoldCond"/>
          <w:b/>
          <w:bCs/>
          <w:color w:val="FF0000"/>
        </w:rPr>
      </w:pPr>
    </w:p>
    <w:tbl>
      <w:tblPr>
        <w:tblW w:w="991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5"/>
      </w:tblGrid>
      <w:tr w:rsidR="00316195" w:rsidRPr="003D6ED6" w14:paraId="7244EBB2" w14:textId="77777777" w:rsidTr="00316195">
        <w:trPr>
          <w:trHeight w:val="5193"/>
        </w:trPr>
        <w:tc>
          <w:tcPr>
            <w:tcW w:w="9915" w:type="dxa"/>
          </w:tcPr>
          <w:p w14:paraId="736B5322" w14:textId="4234EE49" w:rsidR="00316195" w:rsidRPr="003D6ED6" w:rsidRDefault="00316195" w:rsidP="00316195">
            <w:pPr>
              <w:shd w:val="clear" w:color="auto" w:fill="FFFFFF"/>
              <w:spacing w:after="150"/>
              <w:ind w:left="180"/>
              <w:jc w:val="both"/>
              <w:rPr>
                <w:rFonts w:ascii="Calibri" w:hAnsi="Calibri" w:cs="MyriadPro-BoldCond"/>
                <w:bCs/>
              </w:rPr>
            </w:pPr>
            <w:r w:rsidRPr="003D6ED6">
              <w:rPr>
                <w:rFonts w:ascii="Calibri" w:eastAsia="Times New Roman" w:hAnsi="Calibri" w:cstheme="minorHAnsi"/>
                <w:b/>
                <w:color w:val="161616"/>
              </w:rPr>
              <w:t xml:space="preserve">The </w:t>
            </w:r>
            <w:r w:rsidRPr="003D6ED6">
              <w:rPr>
                <w:rFonts w:ascii="Calibri" w:eastAsia="Times New Roman" w:hAnsi="Calibri" w:cstheme="minorHAnsi"/>
                <w:b/>
                <w:iCs/>
                <w:color w:val="161616"/>
              </w:rPr>
              <w:t>Horizontal Facility for the Western Balkans and Turkey (Horizontal Facility II)</w:t>
            </w:r>
            <w:r w:rsidRPr="003D6ED6">
              <w:rPr>
                <w:rFonts w:ascii="Calibri" w:eastAsia="Times New Roman" w:hAnsi="Calibri" w:cstheme="minorHAnsi"/>
                <w:iCs/>
                <w:color w:val="161616"/>
              </w:rPr>
              <w:t xml:space="preserve"> 2019-2022</w:t>
            </w:r>
            <w:r w:rsidRPr="003D6ED6">
              <w:rPr>
                <w:rFonts w:ascii="Calibri" w:eastAsia="Times New Roman" w:hAnsi="Calibri" w:cstheme="minorHAnsi"/>
                <w:color w:val="161616"/>
              </w:rPr>
              <w:t xml:space="preserve"> </w:t>
            </w:r>
            <w:r w:rsidRPr="003D6ED6">
              <w:rPr>
                <w:rFonts w:ascii="Calibri" w:hAnsi="Calibri"/>
              </w:rPr>
              <w:t xml:space="preserve">is the host programme of the </w:t>
            </w:r>
            <w:r w:rsidRPr="003D6ED6">
              <w:rPr>
                <w:rFonts w:ascii="Calibri" w:hAnsi="Calibri" w:cs="MyriadPro-BoldCond"/>
                <w:bCs/>
              </w:rPr>
              <w:t>Expertise Co-</w:t>
            </w:r>
            <w:r w:rsidR="009A19BC" w:rsidRPr="003D6ED6">
              <w:rPr>
                <w:rFonts w:ascii="Calibri" w:hAnsi="Calibri" w:cs="MyriadPro-BoldCond"/>
                <w:bCs/>
              </w:rPr>
              <w:t>o</w:t>
            </w:r>
            <w:r w:rsidRPr="003D6ED6">
              <w:rPr>
                <w:rFonts w:ascii="Calibri" w:hAnsi="Calibri" w:cs="MyriadPro-BoldCond"/>
                <w:bCs/>
              </w:rPr>
              <w:t xml:space="preserve">rdination Mechanism. </w:t>
            </w:r>
          </w:p>
          <w:p w14:paraId="77612673" w14:textId="77777777" w:rsidR="00316195" w:rsidRPr="003D6ED6" w:rsidRDefault="00316195" w:rsidP="00316195">
            <w:pPr>
              <w:pStyle w:val="NormalWeb"/>
              <w:shd w:val="clear" w:color="auto" w:fill="FFFFFF"/>
              <w:spacing w:before="0" w:beforeAutospacing="0" w:after="240" w:afterAutospacing="0"/>
              <w:ind w:left="180"/>
              <w:jc w:val="both"/>
              <w:rPr>
                <w:rFonts w:ascii="Calibri" w:hAnsi="Calibri" w:cstheme="minorHAnsi"/>
                <w:color w:val="161616"/>
                <w:sz w:val="22"/>
                <w:szCs w:val="22"/>
              </w:rPr>
            </w:pPr>
            <w:r w:rsidRPr="003D6ED6">
              <w:rPr>
                <w:rFonts w:ascii="Calibri" w:hAnsi="Calibri" w:cs="MyriadPro-BoldCond"/>
                <w:bCs/>
                <w:sz w:val="22"/>
                <w:szCs w:val="22"/>
              </w:rPr>
              <w:t>It is</w:t>
            </w:r>
            <w:r w:rsidRPr="003D6ED6">
              <w:rPr>
                <w:rFonts w:ascii="Calibri" w:hAnsi="Calibri" w:cstheme="minorHAnsi"/>
                <w:color w:val="161616"/>
                <w:sz w:val="22"/>
                <w:szCs w:val="22"/>
              </w:rPr>
              <w:t xml:space="preserve"> the second phase of co-operation initiative of the European Union and the Council of Europe aiming to assist </w:t>
            </w:r>
            <w:r w:rsidRPr="003D6ED6">
              <w:rPr>
                <w:rFonts w:ascii="Calibri" w:hAnsi="Calibri" w:cs="MyriadPro-Regular"/>
                <w:color w:val="000000"/>
                <w:sz w:val="22"/>
                <w:szCs w:val="22"/>
              </w:rPr>
              <w:t xml:space="preserve">Albania, Bosnia and Herzegovina, </w:t>
            </w:r>
            <w:r w:rsidRPr="002E4284">
              <w:rPr>
                <w:rFonts w:ascii="Calibri" w:hAnsi="Calibri" w:cs="MyriadPro-Regular"/>
                <w:color w:val="000000"/>
                <w:sz w:val="22"/>
                <w:szCs w:val="22"/>
              </w:rPr>
              <w:t>Kosovo</w:t>
            </w:r>
            <w:r w:rsidRPr="002E4284">
              <w:rPr>
                <w:rFonts w:ascii="Calibri" w:hAnsi="Calibri" w:cs="MyriadPro-Regular"/>
                <w:color w:val="000000"/>
                <w:sz w:val="22"/>
                <w:szCs w:val="22"/>
                <w:vertAlign w:val="superscript"/>
              </w:rPr>
              <w:footnoteReference w:customMarkFollows="1" w:id="1"/>
              <w:sym w:font="Symbol" w:char="F02A"/>
            </w:r>
            <w:r w:rsidRPr="003D6ED6">
              <w:rPr>
                <w:rFonts w:ascii="Calibri" w:hAnsi="Calibri" w:cs="MyriadPro-Regular"/>
                <w:color w:val="000000"/>
                <w:sz w:val="22"/>
                <w:szCs w:val="22"/>
              </w:rPr>
              <w:t>, Montenegro, North Macedonia, Serbia and Turkey</w:t>
            </w:r>
            <w:r w:rsidRPr="003D6ED6">
              <w:rPr>
                <w:rFonts w:ascii="Calibri" w:hAnsi="Calibri" w:cstheme="minorHAnsi"/>
                <w:color w:val="161616"/>
                <w:sz w:val="22"/>
                <w:szCs w:val="22"/>
              </w:rPr>
              <w:t xml:space="preserve"> in complying with Council of Europe standards and European Union </w:t>
            </w:r>
            <w:r w:rsidRPr="003D6ED6">
              <w:rPr>
                <w:rFonts w:ascii="Calibri" w:hAnsi="Calibri" w:cstheme="minorHAnsi"/>
                <w:i/>
                <w:iCs/>
                <w:color w:val="161616"/>
                <w:sz w:val="22"/>
                <w:szCs w:val="22"/>
              </w:rPr>
              <w:t>acquis</w:t>
            </w:r>
            <w:r w:rsidRPr="003D6ED6">
              <w:rPr>
                <w:rFonts w:ascii="Calibri" w:hAnsi="Calibri" w:cstheme="minorHAnsi"/>
                <w:color w:val="161616"/>
                <w:sz w:val="22"/>
                <w:szCs w:val="22"/>
              </w:rPr>
              <w:t xml:space="preserve"> in the framework of the enlargement process. </w:t>
            </w:r>
          </w:p>
          <w:p w14:paraId="650D0794" w14:textId="05746237" w:rsidR="00316195" w:rsidRPr="003D6ED6" w:rsidRDefault="00316195" w:rsidP="00316195">
            <w:pPr>
              <w:shd w:val="clear" w:color="auto" w:fill="FFFFFF"/>
              <w:spacing w:after="150"/>
              <w:ind w:left="180"/>
              <w:jc w:val="both"/>
              <w:rPr>
                <w:rFonts w:ascii="Calibri" w:eastAsia="Times New Roman" w:hAnsi="Calibri" w:cstheme="minorHAnsi"/>
              </w:rPr>
            </w:pPr>
            <w:r w:rsidRPr="003D6ED6">
              <w:rPr>
                <w:rFonts w:ascii="Calibri" w:hAnsi="Calibri" w:cstheme="minorHAnsi"/>
                <w:color w:val="161616"/>
              </w:rPr>
              <w:t xml:space="preserve">It builds on the results of the first phase which ran from 2016 to 2019 with broader thematic areas </w:t>
            </w:r>
            <w:r w:rsidR="003D6ED6" w:rsidRPr="003D6ED6">
              <w:rPr>
                <w:rFonts w:ascii="Calibri" w:hAnsi="Calibri" w:cstheme="minorHAnsi"/>
                <w:color w:val="161616"/>
              </w:rPr>
              <w:t>including:</w:t>
            </w:r>
            <w:r w:rsidRPr="003D6ED6">
              <w:rPr>
                <w:rFonts w:ascii="Calibri" w:hAnsi="Calibri" w:cstheme="minorHAnsi"/>
                <w:color w:val="161616"/>
              </w:rPr>
              <w:t xml:space="preserve"> </w:t>
            </w:r>
            <w:r w:rsidRPr="003D6ED6">
              <w:rPr>
                <w:rFonts w:ascii="Calibri" w:eastAsia="Times New Roman" w:hAnsi="Calibri" w:cstheme="minorHAnsi"/>
              </w:rPr>
              <w:t>ensuring justice; fighting economic crime; combating discrimination and protecting the rights of vulnerable groups (including LGBTI, minorities and Roma) and freedom of expression and freedom of the media.</w:t>
            </w:r>
          </w:p>
          <w:p w14:paraId="3FE8B812" w14:textId="77777777" w:rsidR="00316195" w:rsidRPr="003D6ED6" w:rsidRDefault="00316195" w:rsidP="00316195">
            <w:pPr>
              <w:autoSpaceDE w:val="0"/>
              <w:autoSpaceDN w:val="0"/>
              <w:adjustRightInd w:val="0"/>
              <w:spacing w:after="0" w:line="360" w:lineRule="auto"/>
              <w:ind w:left="180"/>
              <w:jc w:val="both"/>
              <w:rPr>
                <w:rFonts w:ascii="Calibri" w:hAnsi="Calibri" w:cs="MyriadPro-Regular"/>
                <w:color w:val="000000"/>
              </w:rPr>
            </w:pPr>
            <w:r w:rsidRPr="003D6ED6">
              <w:rPr>
                <w:rFonts w:ascii="Calibri" w:hAnsi="Calibri" w:cs="MyriadPro-Regular"/>
                <w:color w:val="000000"/>
              </w:rPr>
              <w:t xml:space="preserve">The Horizontal Facility II supports the beneficiary concerned through a complementary two-fold approach: </w:t>
            </w:r>
          </w:p>
          <w:p w14:paraId="5DEA5551" w14:textId="77777777" w:rsidR="00316195" w:rsidRPr="003D6ED6" w:rsidRDefault="00316195" w:rsidP="00316195">
            <w:pPr>
              <w:pStyle w:val="ListParagraph"/>
              <w:numPr>
                <w:ilvl w:val="0"/>
                <w:numId w:val="4"/>
              </w:numPr>
              <w:autoSpaceDE w:val="0"/>
              <w:autoSpaceDN w:val="0"/>
              <w:adjustRightInd w:val="0"/>
              <w:spacing w:after="0" w:line="360" w:lineRule="auto"/>
              <w:ind w:left="900"/>
              <w:jc w:val="both"/>
              <w:rPr>
                <w:rFonts w:ascii="Calibri" w:hAnsi="Calibri" w:cs="MyriadPro-Regular"/>
                <w:color w:val="000000"/>
              </w:rPr>
            </w:pPr>
            <w:r w:rsidRPr="003D6ED6">
              <w:rPr>
                <w:rFonts w:ascii="Calibri" w:hAnsi="Calibri" w:cs="MyriadPro-Regular"/>
                <w:color w:val="000000"/>
              </w:rPr>
              <w:t xml:space="preserve">Technical co-operation tailored to achieve increased compliance with European standards, and </w:t>
            </w:r>
          </w:p>
          <w:p w14:paraId="12195E57" w14:textId="528762E1" w:rsidR="00316195" w:rsidRPr="003D6ED6" w:rsidRDefault="00316195" w:rsidP="007A182B">
            <w:pPr>
              <w:pStyle w:val="ListParagraph"/>
              <w:numPr>
                <w:ilvl w:val="0"/>
                <w:numId w:val="4"/>
              </w:numPr>
              <w:autoSpaceDE w:val="0"/>
              <w:autoSpaceDN w:val="0"/>
              <w:adjustRightInd w:val="0"/>
              <w:spacing w:after="0" w:line="360" w:lineRule="auto"/>
              <w:ind w:left="900"/>
              <w:jc w:val="both"/>
              <w:rPr>
                <w:rFonts w:eastAsia="Times New Roman" w:cstheme="minorHAnsi"/>
                <w:b/>
                <w:color w:val="161616"/>
              </w:rPr>
            </w:pPr>
            <w:r w:rsidRPr="003D6ED6">
              <w:rPr>
                <w:rFonts w:ascii="Calibri" w:hAnsi="Calibri" w:cs="MyriadPro-Regular"/>
                <w:color w:val="000000"/>
              </w:rPr>
              <w:t xml:space="preserve">Provision of ad-hoc advice and expertise in response to requests for legislative analysis and related assistance through the </w:t>
            </w:r>
            <w:r w:rsidRPr="003D6ED6">
              <w:rPr>
                <w:rFonts w:ascii="Calibri" w:hAnsi="Calibri" w:cs="MyriadPro-Regular"/>
                <w:b/>
                <w:color w:val="000000"/>
              </w:rPr>
              <w:t xml:space="preserve">Expertise Co-ordination Mechanism </w:t>
            </w:r>
            <w:r w:rsidR="007A182B" w:rsidRPr="003D6ED6">
              <w:rPr>
                <w:rFonts w:ascii="Calibri" w:hAnsi="Calibri" w:cs="MyriadPro-Regular"/>
                <w:b/>
                <w:color w:val="000000"/>
              </w:rPr>
              <w:t>(</w:t>
            </w:r>
            <w:r w:rsidRPr="003D6ED6">
              <w:rPr>
                <w:rFonts w:ascii="Calibri" w:hAnsi="Calibri" w:cs="MyriadPro-Regular"/>
                <w:b/>
                <w:color w:val="000000"/>
              </w:rPr>
              <w:t>ECM</w:t>
            </w:r>
            <w:r w:rsidR="007A182B" w:rsidRPr="003D6ED6">
              <w:rPr>
                <w:rFonts w:ascii="Calibri" w:hAnsi="Calibri" w:cs="MyriadPro-Regular"/>
                <w:b/>
                <w:color w:val="000000"/>
              </w:rPr>
              <w:t>)</w:t>
            </w:r>
            <w:r w:rsidRPr="003D6ED6">
              <w:rPr>
                <w:rFonts w:ascii="Calibri" w:hAnsi="Calibri" w:cs="MyriadPro-Regular"/>
                <w:color w:val="000000"/>
              </w:rPr>
              <w:t>.</w:t>
            </w:r>
          </w:p>
        </w:tc>
      </w:tr>
    </w:tbl>
    <w:p w14:paraId="65AA030A" w14:textId="77777777" w:rsidR="00A92BDB" w:rsidRPr="003D6ED6" w:rsidRDefault="00A92BDB" w:rsidP="001D4E19">
      <w:pPr>
        <w:shd w:val="clear" w:color="auto" w:fill="FFFFFF"/>
        <w:spacing w:after="150"/>
        <w:jc w:val="both"/>
        <w:rPr>
          <w:rFonts w:eastAsia="Times New Roman" w:cstheme="minorHAnsi"/>
        </w:rPr>
      </w:pPr>
    </w:p>
    <w:p w14:paraId="39D50697" w14:textId="1C99B848" w:rsidR="008E3CBC" w:rsidRDefault="008E3CBC">
      <w:pPr>
        <w:rPr>
          <w:rFonts w:cs="MyriadPro-BoldCond"/>
          <w:b/>
          <w:bCs/>
        </w:rPr>
      </w:pPr>
      <w:r>
        <w:rPr>
          <w:rFonts w:cs="MyriadPro-BoldCond"/>
          <w:b/>
          <w:bCs/>
        </w:rPr>
        <w:br w:type="page"/>
      </w:r>
    </w:p>
    <w:p w14:paraId="6913DBB8" w14:textId="23312979" w:rsidR="00CB1150" w:rsidRPr="003D6ED6" w:rsidRDefault="00207711" w:rsidP="000E7304">
      <w:pPr>
        <w:autoSpaceDE w:val="0"/>
        <w:autoSpaceDN w:val="0"/>
        <w:adjustRightInd w:val="0"/>
        <w:spacing w:after="0" w:line="360" w:lineRule="auto"/>
        <w:jc w:val="both"/>
        <w:rPr>
          <w:rFonts w:cs="MyriadPro-BoldCond"/>
          <w:b/>
          <w:bCs/>
        </w:rPr>
      </w:pPr>
      <w:r w:rsidRPr="003D6ED6">
        <w:rPr>
          <w:rFonts w:cs="MyriadPro-BoldCond"/>
          <w:b/>
          <w:bCs/>
        </w:rPr>
        <w:lastRenderedPageBreak/>
        <w:t>WHAT IS THE EXPERTISE CO-ORDINATION MECHANISM</w:t>
      </w:r>
      <w:r w:rsidR="00CB1150" w:rsidRPr="003D6ED6">
        <w:rPr>
          <w:rFonts w:cs="MyriadPro-BoldCond"/>
          <w:b/>
          <w:bCs/>
        </w:rPr>
        <w:t>?</w:t>
      </w:r>
    </w:p>
    <w:p w14:paraId="39E116CF" w14:textId="77777777" w:rsidR="00CB1150" w:rsidRPr="003D6ED6" w:rsidRDefault="00CB1150" w:rsidP="000E7304">
      <w:pPr>
        <w:autoSpaceDE w:val="0"/>
        <w:autoSpaceDN w:val="0"/>
        <w:adjustRightInd w:val="0"/>
        <w:spacing w:after="0" w:line="360" w:lineRule="auto"/>
        <w:jc w:val="both"/>
        <w:rPr>
          <w:rFonts w:cs="MyriadPro-BoldCond"/>
          <w:b/>
          <w:bCs/>
          <w:color w:val="FFFFFF"/>
        </w:rPr>
      </w:pPr>
    </w:p>
    <w:p w14:paraId="678DD8DE" w14:textId="52AB8155" w:rsidR="00440B26" w:rsidRPr="003D6ED6" w:rsidRDefault="00CB1150" w:rsidP="000E7304">
      <w:pPr>
        <w:autoSpaceDE w:val="0"/>
        <w:autoSpaceDN w:val="0"/>
        <w:adjustRightInd w:val="0"/>
        <w:spacing w:after="0" w:line="360" w:lineRule="auto"/>
        <w:jc w:val="both"/>
        <w:rPr>
          <w:rFonts w:cs="MyriadPro-Regular"/>
          <w:color w:val="000000"/>
        </w:rPr>
      </w:pPr>
      <w:r w:rsidRPr="003D6ED6">
        <w:rPr>
          <w:rFonts w:cs="MyriadPro-Regular"/>
          <w:color w:val="000000"/>
        </w:rPr>
        <w:t xml:space="preserve">The Expertise Co-ordination Mechanism (ECM) </w:t>
      </w:r>
      <w:r w:rsidR="0015622D" w:rsidRPr="003D6ED6">
        <w:rPr>
          <w:rFonts w:cs="MyriadPro-Regular"/>
          <w:color w:val="000000"/>
        </w:rPr>
        <w:t>is a too</w:t>
      </w:r>
      <w:r w:rsidR="00A77BB3" w:rsidRPr="003D6ED6">
        <w:rPr>
          <w:rFonts w:cs="MyriadPro-Regular"/>
          <w:color w:val="000000"/>
        </w:rPr>
        <w:t>l for provision of</w:t>
      </w:r>
      <w:r w:rsidR="00440B26" w:rsidRPr="003D6ED6">
        <w:rPr>
          <w:rFonts w:cs="MyriadPro-Regular"/>
          <w:color w:val="000000"/>
        </w:rPr>
        <w:t xml:space="preserve"> legislative expertise and policy advice by the Council of Europe in response to </w:t>
      </w:r>
      <w:r w:rsidR="005D6A1D" w:rsidRPr="003D6ED6">
        <w:rPr>
          <w:rFonts w:cs="MyriadPro-Regular"/>
          <w:color w:val="000000"/>
        </w:rPr>
        <w:t xml:space="preserve">specific </w:t>
      </w:r>
      <w:r w:rsidR="00440B26" w:rsidRPr="003D6ED6">
        <w:rPr>
          <w:rFonts w:cs="MyriadPro-Regular"/>
          <w:color w:val="000000"/>
        </w:rPr>
        <w:t>requests</w:t>
      </w:r>
      <w:r w:rsidR="00A77BB3" w:rsidRPr="003D6ED6">
        <w:rPr>
          <w:rFonts w:cs="MyriadPro-Regular"/>
          <w:color w:val="000000"/>
        </w:rPr>
        <w:t xml:space="preserve">. It is part of </w:t>
      </w:r>
      <w:r w:rsidR="00440B26" w:rsidRPr="003D6ED6">
        <w:rPr>
          <w:rFonts w:cs="MyriadPro-Regular"/>
          <w:color w:val="000000"/>
        </w:rPr>
        <w:t>the European Union and the Council of Europe co-operation programme</w:t>
      </w:r>
      <w:r w:rsidR="00A77BB3" w:rsidRPr="003D6ED6">
        <w:rPr>
          <w:rFonts w:cs="MyriadPro-Regular"/>
          <w:color w:val="000000"/>
        </w:rPr>
        <w:t>,</w:t>
      </w:r>
      <w:r w:rsidR="00440B26" w:rsidRPr="003D6ED6">
        <w:rPr>
          <w:rFonts w:cs="MyriadPro-Regular"/>
          <w:color w:val="000000"/>
        </w:rPr>
        <w:t xml:space="preserve"> the Horizontal Facility for the Western Balkans and Turkey II (referred to hereafter as the Horizontal Facility</w:t>
      </w:r>
      <w:r w:rsidR="0015622D" w:rsidRPr="003D6ED6">
        <w:rPr>
          <w:rFonts w:cs="MyriadPro-Regular"/>
          <w:color w:val="000000"/>
        </w:rPr>
        <w:t xml:space="preserve"> II</w:t>
      </w:r>
      <w:r w:rsidR="00440B26" w:rsidRPr="003D6ED6">
        <w:rPr>
          <w:rFonts w:cs="MyriadPro-Regular"/>
          <w:color w:val="000000"/>
        </w:rPr>
        <w:t>).</w:t>
      </w:r>
    </w:p>
    <w:p w14:paraId="04CCE942" w14:textId="77777777" w:rsidR="00A77BB3" w:rsidRPr="003D6ED6" w:rsidRDefault="00A77BB3" w:rsidP="000E7304">
      <w:pPr>
        <w:autoSpaceDE w:val="0"/>
        <w:autoSpaceDN w:val="0"/>
        <w:adjustRightInd w:val="0"/>
        <w:spacing w:after="0" w:line="360" w:lineRule="auto"/>
        <w:jc w:val="both"/>
        <w:rPr>
          <w:rFonts w:cs="MyriadPro-Regular"/>
          <w:color w:val="000000"/>
        </w:rPr>
      </w:pPr>
    </w:p>
    <w:p w14:paraId="0B59476C" w14:textId="67E0BFE5" w:rsidR="00CB1150" w:rsidRPr="003D6ED6" w:rsidRDefault="005D6A1D" w:rsidP="000E7304">
      <w:pPr>
        <w:autoSpaceDE w:val="0"/>
        <w:autoSpaceDN w:val="0"/>
        <w:adjustRightInd w:val="0"/>
        <w:spacing w:after="0" w:line="360" w:lineRule="auto"/>
        <w:jc w:val="both"/>
        <w:rPr>
          <w:rFonts w:cs="MyriadPro-Regular"/>
          <w:b/>
          <w:color w:val="000000"/>
        </w:rPr>
      </w:pPr>
      <w:r w:rsidRPr="003D6ED6">
        <w:rPr>
          <w:rFonts w:cs="MyriadPro-Regular"/>
          <w:b/>
          <w:color w:val="000000"/>
        </w:rPr>
        <w:t>WH</w:t>
      </w:r>
      <w:r w:rsidR="00A77BB3" w:rsidRPr="003D6ED6">
        <w:rPr>
          <w:rFonts w:cs="MyriadPro-Regular"/>
          <w:b/>
          <w:color w:val="000000"/>
        </w:rPr>
        <w:t>A</w:t>
      </w:r>
      <w:r w:rsidR="00C95305" w:rsidRPr="003D6ED6">
        <w:rPr>
          <w:rFonts w:cs="MyriadPro-Regular"/>
          <w:b/>
          <w:color w:val="000000"/>
        </w:rPr>
        <w:t>T</w:t>
      </w:r>
      <w:r w:rsidR="00A77BB3" w:rsidRPr="003D6ED6">
        <w:rPr>
          <w:rFonts w:cs="MyriadPro-Regular"/>
          <w:b/>
          <w:color w:val="000000"/>
        </w:rPr>
        <w:t xml:space="preserve"> IS THE SCOPE</w:t>
      </w:r>
      <w:r w:rsidR="00C95305" w:rsidRPr="003D6ED6">
        <w:rPr>
          <w:rFonts w:cs="MyriadPro-Regular"/>
          <w:b/>
          <w:color w:val="000000"/>
        </w:rPr>
        <w:t xml:space="preserve"> </w:t>
      </w:r>
      <w:r w:rsidR="00A77BB3" w:rsidRPr="003D6ED6">
        <w:rPr>
          <w:rFonts w:cs="MyriadPro-Regular"/>
          <w:b/>
          <w:color w:val="000000"/>
        </w:rPr>
        <w:t>OF</w:t>
      </w:r>
      <w:r w:rsidRPr="003D6ED6">
        <w:rPr>
          <w:rFonts w:cs="MyriadPro-Regular"/>
          <w:b/>
          <w:color w:val="000000"/>
        </w:rPr>
        <w:t xml:space="preserve"> THE ECM? </w:t>
      </w:r>
    </w:p>
    <w:p w14:paraId="4F007553" w14:textId="77777777" w:rsidR="00A77BB3" w:rsidRPr="003D6ED6" w:rsidRDefault="00A77BB3" w:rsidP="000E7304">
      <w:pPr>
        <w:autoSpaceDE w:val="0"/>
        <w:autoSpaceDN w:val="0"/>
        <w:adjustRightInd w:val="0"/>
        <w:spacing w:after="0" w:line="360" w:lineRule="auto"/>
        <w:jc w:val="both"/>
        <w:rPr>
          <w:rFonts w:cs="MyriadPro-Regular"/>
          <w:color w:val="000000"/>
        </w:rPr>
      </w:pPr>
      <w:r w:rsidRPr="003D6ED6">
        <w:rPr>
          <w:rFonts w:cs="MyriadPro-Regular"/>
          <w:color w:val="000000"/>
        </w:rPr>
        <w:t xml:space="preserve">Geographically the ECM covers Albania, Bosnia and Herzegovina, Kosovo, Montenegro, North Macedonia, Serbia and Turkey. </w:t>
      </w:r>
    </w:p>
    <w:p w14:paraId="0C061627" w14:textId="7D3A73EE" w:rsidR="00CB1150" w:rsidRPr="003D6ED6" w:rsidRDefault="00A77BB3" w:rsidP="000E7304">
      <w:pPr>
        <w:autoSpaceDE w:val="0"/>
        <w:autoSpaceDN w:val="0"/>
        <w:adjustRightInd w:val="0"/>
        <w:spacing w:after="0" w:line="360" w:lineRule="auto"/>
        <w:jc w:val="both"/>
        <w:rPr>
          <w:rFonts w:cs="MyriadPro-Regular"/>
          <w:color w:val="000000"/>
        </w:rPr>
      </w:pPr>
      <w:r w:rsidRPr="003D6ED6">
        <w:rPr>
          <w:rFonts w:cs="MyriadPro-Regular"/>
          <w:color w:val="000000"/>
        </w:rPr>
        <w:t xml:space="preserve">Its scope of work includes </w:t>
      </w:r>
      <w:r w:rsidR="00CB1150" w:rsidRPr="003D6ED6">
        <w:rPr>
          <w:rFonts w:cs="MyriadPro-Regular"/>
          <w:color w:val="000000"/>
        </w:rPr>
        <w:t xml:space="preserve">expert advice on legislative and policy issues, </w:t>
      </w:r>
      <w:r w:rsidRPr="003D6ED6">
        <w:rPr>
          <w:rFonts w:cs="MyriadPro-Regular"/>
          <w:color w:val="000000"/>
        </w:rPr>
        <w:t>including</w:t>
      </w:r>
      <w:r w:rsidR="00CB1150" w:rsidRPr="003D6ED6">
        <w:rPr>
          <w:rFonts w:cs="MyriadPro-Regular"/>
          <w:color w:val="000000"/>
        </w:rPr>
        <w:t xml:space="preserve"> </w:t>
      </w:r>
      <w:r w:rsidR="00C95305" w:rsidRPr="003D6ED6">
        <w:rPr>
          <w:rFonts w:cs="MyriadPro-Regular"/>
          <w:color w:val="000000"/>
        </w:rPr>
        <w:t xml:space="preserve">to </w:t>
      </w:r>
      <w:r w:rsidR="00CB1150" w:rsidRPr="003D6ED6">
        <w:rPr>
          <w:rFonts w:cs="MyriadPro-Regular"/>
          <w:color w:val="000000"/>
        </w:rPr>
        <w:t xml:space="preserve">assess </w:t>
      </w:r>
      <w:r w:rsidR="00C95305" w:rsidRPr="003D6ED6">
        <w:rPr>
          <w:rFonts w:cs="MyriadPro-Regular"/>
          <w:color w:val="000000"/>
        </w:rPr>
        <w:t>the</w:t>
      </w:r>
      <w:r w:rsidRPr="003D6ED6">
        <w:rPr>
          <w:rFonts w:cs="MyriadPro-Regular"/>
          <w:color w:val="000000"/>
        </w:rPr>
        <w:t xml:space="preserve"> </w:t>
      </w:r>
      <w:r w:rsidR="00C95305" w:rsidRPr="003D6ED6">
        <w:rPr>
          <w:rFonts w:cs="MyriadPro-Regular"/>
          <w:color w:val="000000"/>
        </w:rPr>
        <w:t>alignment</w:t>
      </w:r>
      <w:r w:rsidRPr="003D6ED6">
        <w:rPr>
          <w:rFonts w:cs="MyriadPro-Regular"/>
          <w:color w:val="000000"/>
        </w:rPr>
        <w:t xml:space="preserve"> of </w:t>
      </w:r>
      <w:r w:rsidR="00CB1150" w:rsidRPr="003D6ED6">
        <w:rPr>
          <w:rFonts w:cs="MyriadPro-Regular"/>
          <w:color w:val="000000"/>
        </w:rPr>
        <w:t>legislation and/or policy documents with Council of Europe standards</w:t>
      </w:r>
      <w:r w:rsidR="00C95305" w:rsidRPr="003D6ED6">
        <w:rPr>
          <w:rFonts w:cs="MyriadPro-Regular"/>
          <w:color w:val="000000"/>
        </w:rPr>
        <w:t>,</w:t>
      </w:r>
      <w:r w:rsidR="00CB1150" w:rsidRPr="003D6ED6">
        <w:rPr>
          <w:rFonts w:cs="MyriadPro-Regular"/>
          <w:color w:val="000000"/>
        </w:rPr>
        <w:t xml:space="preserve"> in the following areas: </w:t>
      </w:r>
    </w:p>
    <w:p w14:paraId="608C843F" w14:textId="77777777" w:rsidR="00CB1150" w:rsidRPr="003D6ED6" w:rsidRDefault="00CB1150" w:rsidP="000E7304">
      <w:pPr>
        <w:pStyle w:val="ListParagraph"/>
        <w:numPr>
          <w:ilvl w:val="0"/>
          <w:numId w:val="1"/>
        </w:numPr>
        <w:autoSpaceDE w:val="0"/>
        <w:autoSpaceDN w:val="0"/>
        <w:adjustRightInd w:val="0"/>
        <w:spacing w:after="0" w:line="360" w:lineRule="auto"/>
        <w:jc w:val="both"/>
        <w:rPr>
          <w:rFonts w:cs="MyriadPro-Regular"/>
          <w:color w:val="000000"/>
        </w:rPr>
      </w:pPr>
      <w:r w:rsidRPr="003D6ED6">
        <w:rPr>
          <w:rFonts w:cs="MyriadPro-Regular"/>
          <w:color w:val="000000"/>
        </w:rPr>
        <w:t>ensuring justice;</w:t>
      </w:r>
    </w:p>
    <w:p w14:paraId="09BA59EE" w14:textId="77777777" w:rsidR="00CB1150" w:rsidRPr="003D6ED6" w:rsidRDefault="00CB1150" w:rsidP="000E7304">
      <w:pPr>
        <w:pStyle w:val="ListParagraph"/>
        <w:numPr>
          <w:ilvl w:val="0"/>
          <w:numId w:val="1"/>
        </w:numPr>
        <w:autoSpaceDE w:val="0"/>
        <w:autoSpaceDN w:val="0"/>
        <w:adjustRightInd w:val="0"/>
        <w:spacing w:after="0" w:line="360" w:lineRule="auto"/>
        <w:jc w:val="both"/>
        <w:rPr>
          <w:rFonts w:cs="MyriadPro-Regular"/>
          <w:color w:val="000000"/>
        </w:rPr>
      </w:pPr>
      <w:r w:rsidRPr="003D6ED6">
        <w:rPr>
          <w:rFonts w:cs="MyriadPro-Regular"/>
          <w:color w:val="000000"/>
        </w:rPr>
        <w:t>fighting economic crime;</w:t>
      </w:r>
    </w:p>
    <w:p w14:paraId="4D18A84C" w14:textId="77777777" w:rsidR="00CB1150" w:rsidRPr="003D6ED6" w:rsidRDefault="00CB1150" w:rsidP="000E7304">
      <w:pPr>
        <w:pStyle w:val="ListParagraph"/>
        <w:numPr>
          <w:ilvl w:val="0"/>
          <w:numId w:val="1"/>
        </w:numPr>
        <w:autoSpaceDE w:val="0"/>
        <w:autoSpaceDN w:val="0"/>
        <w:adjustRightInd w:val="0"/>
        <w:spacing w:after="0" w:line="360" w:lineRule="auto"/>
        <w:jc w:val="both"/>
        <w:rPr>
          <w:rFonts w:cs="MyriadPro-Regular"/>
          <w:color w:val="000000"/>
        </w:rPr>
      </w:pPr>
      <w:r w:rsidRPr="003D6ED6">
        <w:rPr>
          <w:rFonts w:cs="MyriadPro-Regular"/>
          <w:color w:val="000000"/>
        </w:rPr>
        <w:t>anti-discrimination and the protection of the rights of vulnerable groups;</w:t>
      </w:r>
    </w:p>
    <w:p w14:paraId="45FD4539" w14:textId="77777777" w:rsidR="00CB1150" w:rsidRPr="003D6ED6" w:rsidRDefault="00CB1150" w:rsidP="000E7304">
      <w:pPr>
        <w:pStyle w:val="ListParagraph"/>
        <w:numPr>
          <w:ilvl w:val="0"/>
          <w:numId w:val="1"/>
        </w:numPr>
        <w:autoSpaceDE w:val="0"/>
        <w:autoSpaceDN w:val="0"/>
        <w:adjustRightInd w:val="0"/>
        <w:spacing w:after="0" w:line="360" w:lineRule="auto"/>
        <w:jc w:val="both"/>
        <w:rPr>
          <w:rFonts w:cs="MyriadPro-Regular"/>
          <w:color w:val="000000"/>
        </w:rPr>
      </w:pPr>
      <w:r w:rsidRPr="003D6ED6">
        <w:rPr>
          <w:rFonts w:cs="MyriadPro-Regular"/>
          <w:color w:val="000000"/>
        </w:rPr>
        <w:t>freedom of expression and the media;</w:t>
      </w:r>
    </w:p>
    <w:p w14:paraId="20557ED7" w14:textId="467E70D7" w:rsidR="00CB1150" w:rsidRPr="003D6ED6" w:rsidRDefault="00CB1150" w:rsidP="000E7304">
      <w:pPr>
        <w:pStyle w:val="ListParagraph"/>
        <w:numPr>
          <w:ilvl w:val="0"/>
          <w:numId w:val="1"/>
        </w:numPr>
        <w:autoSpaceDE w:val="0"/>
        <w:autoSpaceDN w:val="0"/>
        <w:adjustRightInd w:val="0"/>
        <w:spacing w:after="0" w:line="360" w:lineRule="auto"/>
        <w:jc w:val="both"/>
        <w:rPr>
          <w:rFonts w:cs="MyriadPro-Regular"/>
          <w:color w:val="000000"/>
        </w:rPr>
      </w:pPr>
      <w:r w:rsidRPr="003D6ED6">
        <w:rPr>
          <w:rFonts w:cs="MyriadPro-Regular"/>
          <w:color w:val="000000"/>
        </w:rPr>
        <w:t>constitutional issues, falling within the area of competence of the European</w:t>
      </w:r>
      <w:r w:rsidR="00C75855" w:rsidRPr="003D6ED6">
        <w:rPr>
          <w:rFonts w:cs="MyriadPro-Regular"/>
          <w:color w:val="000000"/>
        </w:rPr>
        <w:t xml:space="preserve"> </w:t>
      </w:r>
      <w:r w:rsidRPr="003D6ED6">
        <w:rPr>
          <w:rFonts w:cs="MyriadPro-Regular"/>
          <w:color w:val="000000"/>
        </w:rPr>
        <w:t>Commission for Democracy through Law (better known as the Venice</w:t>
      </w:r>
      <w:r w:rsidR="00C75855" w:rsidRPr="003D6ED6">
        <w:rPr>
          <w:rFonts w:cs="MyriadPro-Regular"/>
          <w:color w:val="000000"/>
        </w:rPr>
        <w:t xml:space="preserve"> </w:t>
      </w:r>
      <w:r w:rsidRPr="003D6ED6">
        <w:rPr>
          <w:rFonts w:cs="MyriadPro-Regular"/>
          <w:color w:val="000000"/>
        </w:rPr>
        <w:t>Commission).</w:t>
      </w:r>
    </w:p>
    <w:p w14:paraId="5BEAEBB4" w14:textId="77777777" w:rsidR="00A92BDB" w:rsidRPr="003D6ED6" w:rsidRDefault="00A92BDB" w:rsidP="000E7304">
      <w:pPr>
        <w:autoSpaceDE w:val="0"/>
        <w:autoSpaceDN w:val="0"/>
        <w:adjustRightInd w:val="0"/>
        <w:spacing w:after="0" w:line="360" w:lineRule="auto"/>
        <w:jc w:val="both"/>
        <w:rPr>
          <w:rFonts w:cs="MyriadPro-Regular"/>
          <w:b/>
          <w:color w:val="FF0000"/>
        </w:rPr>
      </w:pPr>
    </w:p>
    <w:p w14:paraId="2A457E3D" w14:textId="7BBBC563" w:rsidR="000E7304" w:rsidRPr="003D6ED6" w:rsidRDefault="00207711" w:rsidP="000E7304">
      <w:pPr>
        <w:autoSpaceDE w:val="0"/>
        <w:autoSpaceDN w:val="0"/>
        <w:adjustRightInd w:val="0"/>
        <w:spacing w:after="0" w:line="360" w:lineRule="auto"/>
        <w:jc w:val="both"/>
        <w:rPr>
          <w:rFonts w:cs="MyriadPro-Regular"/>
          <w:b/>
          <w:color w:val="000000"/>
        </w:rPr>
      </w:pPr>
      <w:r w:rsidRPr="003D6ED6">
        <w:rPr>
          <w:rFonts w:cs="MyriadPro-Regular"/>
          <w:b/>
          <w:color w:val="000000"/>
        </w:rPr>
        <w:t>WHO CAN MAKE A REQUEST UNDER THE ECM?</w:t>
      </w:r>
    </w:p>
    <w:p w14:paraId="13AE0250" w14:textId="0EFD9239" w:rsidR="006B2DC2" w:rsidRPr="003D6ED6" w:rsidRDefault="000E7304" w:rsidP="000E7304">
      <w:pPr>
        <w:autoSpaceDE w:val="0"/>
        <w:autoSpaceDN w:val="0"/>
        <w:adjustRightInd w:val="0"/>
        <w:spacing w:after="0" w:line="360" w:lineRule="auto"/>
        <w:jc w:val="both"/>
        <w:rPr>
          <w:rFonts w:cs="MyriadPro-Regular"/>
          <w:color w:val="000000"/>
        </w:rPr>
      </w:pPr>
      <w:r w:rsidRPr="003D6ED6">
        <w:rPr>
          <w:rFonts w:cs="MyriadPro-Regular"/>
          <w:color w:val="000000"/>
        </w:rPr>
        <w:t>Ministers (and other members of the government) or the speaker of parliament of</w:t>
      </w:r>
      <w:r w:rsidR="004861A2" w:rsidRPr="003D6ED6">
        <w:rPr>
          <w:rFonts w:cs="MyriadPro-Regular"/>
          <w:color w:val="000000"/>
        </w:rPr>
        <w:t xml:space="preserve"> the </w:t>
      </w:r>
      <w:r w:rsidR="005169AD" w:rsidRPr="003D6ED6">
        <w:rPr>
          <w:rFonts w:cs="MyriadPro-Regular"/>
          <w:color w:val="000000"/>
        </w:rPr>
        <w:t>B</w:t>
      </w:r>
      <w:r w:rsidR="004861A2" w:rsidRPr="003D6ED6">
        <w:rPr>
          <w:rFonts w:cs="MyriadPro-Regular"/>
          <w:color w:val="000000"/>
        </w:rPr>
        <w:t>eneficiary concerned</w:t>
      </w:r>
      <w:r w:rsidRPr="003D6ED6">
        <w:rPr>
          <w:rFonts w:cs="MyriadPro-Regular"/>
          <w:color w:val="000000"/>
        </w:rPr>
        <w:t xml:space="preserve"> can make a request for an expert opinion under the ECM. </w:t>
      </w:r>
    </w:p>
    <w:p w14:paraId="4708C07A" w14:textId="184B1695" w:rsidR="000E7304" w:rsidRPr="003D6ED6" w:rsidRDefault="005F72C8" w:rsidP="000E7304">
      <w:pPr>
        <w:autoSpaceDE w:val="0"/>
        <w:autoSpaceDN w:val="0"/>
        <w:adjustRightInd w:val="0"/>
        <w:spacing w:after="0" w:line="360" w:lineRule="auto"/>
        <w:jc w:val="both"/>
        <w:rPr>
          <w:rFonts w:cs="MyriadPro-Regular"/>
          <w:color w:val="000000"/>
        </w:rPr>
      </w:pPr>
      <w:r w:rsidRPr="003D6ED6">
        <w:rPr>
          <w:rFonts w:cs="MyriadPro-Regular"/>
          <w:color w:val="000000"/>
        </w:rPr>
        <w:t>Furthermore, specifically for issues which fall within the area of competence of the Venice Commission, the European Union a</w:t>
      </w:r>
      <w:r w:rsidR="0063710C" w:rsidRPr="003D6ED6">
        <w:rPr>
          <w:rFonts w:cs="MyriadPro-Regular"/>
          <w:color w:val="000000"/>
        </w:rPr>
        <w:t xml:space="preserve">s well as </w:t>
      </w:r>
      <w:r w:rsidRPr="003D6ED6">
        <w:rPr>
          <w:rFonts w:cs="MyriadPro-Regular"/>
          <w:color w:val="000000"/>
        </w:rPr>
        <w:t>Council of Europe organs (i.e. the Secretary General, Committee of Ministers, Parliamentary Assembly and the Congress of Local and Regional Authorities) can also submit requests for ECM assistance. In addition, r</w:t>
      </w:r>
      <w:r w:rsidR="000E7304" w:rsidRPr="003D6ED6">
        <w:rPr>
          <w:rFonts w:cs="MyriadPro-Regular"/>
          <w:color w:val="000000"/>
        </w:rPr>
        <w:t xml:space="preserve">equests for </w:t>
      </w:r>
      <w:r w:rsidR="000E7304" w:rsidRPr="003D6ED6">
        <w:rPr>
          <w:rFonts w:cs="MyriadPro-Regular"/>
          <w:i/>
          <w:color w:val="000000"/>
        </w:rPr>
        <w:t>amicus curiae</w:t>
      </w:r>
      <w:r w:rsidR="000E7304" w:rsidRPr="003D6ED6">
        <w:rPr>
          <w:rFonts w:cs="MyriadPro-Regular"/>
          <w:color w:val="000000"/>
        </w:rPr>
        <w:t xml:space="preserve"> briefs by the Venice Commission can also be made by constitutional courts.</w:t>
      </w:r>
    </w:p>
    <w:p w14:paraId="35CCEBC0" w14:textId="1665DB75" w:rsidR="008E3CBC" w:rsidRDefault="008E3CBC">
      <w:pPr>
        <w:rPr>
          <w:rFonts w:cs="MyriadPro-Regular"/>
          <w:color w:val="000000"/>
        </w:rPr>
      </w:pPr>
      <w:r>
        <w:rPr>
          <w:rFonts w:cs="MyriadPro-Regular"/>
          <w:color w:val="000000"/>
        </w:rPr>
        <w:br w:type="page"/>
      </w:r>
    </w:p>
    <w:p w14:paraId="5CA0D551" w14:textId="77777777" w:rsidR="00973B70" w:rsidRPr="003D6ED6" w:rsidRDefault="00973B70" w:rsidP="000E7304">
      <w:pPr>
        <w:autoSpaceDE w:val="0"/>
        <w:autoSpaceDN w:val="0"/>
        <w:adjustRightInd w:val="0"/>
        <w:spacing w:after="0" w:line="360" w:lineRule="auto"/>
        <w:jc w:val="both"/>
        <w:rPr>
          <w:rFonts w:cs="MyriadPro-Regular"/>
          <w:color w:val="000000"/>
        </w:rPr>
      </w:pPr>
    </w:p>
    <w:p w14:paraId="7B6F14DC" w14:textId="77777777" w:rsidR="0015622D" w:rsidRPr="003D6ED6" w:rsidRDefault="0015622D" w:rsidP="0015622D">
      <w:pPr>
        <w:jc w:val="both"/>
        <w:rPr>
          <w:b/>
        </w:rPr>
      </w:pPr>
      <w:r w:rsidRPr="003D6ED6">
        <w:rPr>
          <w:b/>
        </w:rPr>
        <w:t>HOW TO FORMULATE A REQUEST AND HOW IS IT PROCESSED</w:t>
      </w:r>
    </w:p>
    <w:p w14:paraId="03765613" w14:textId="77777777" w:rsidR="000E7304" w:rsidRPr="003D6ED6" w:rsidRDefault="000E7304" w:rsidP="000E7304">
      <w:pPr>
        <w:autoSpaceDE w:val="0"/>
        <w:autoSpaceDN w:val="0"/>
        <w:adjustRightInd w:val="0"/>
        <w:spacing w:after="0" w:line="360" w:lineRule="auto"/>
        <w:jc w:val="both"/>
        <w:rPr>
          <w:rFonts w:cs="MyriadPro-Regular"/>
          <w:b/>
          <w:color w:val="000000"/>
        </w:rPr>
      </w:pPr>
    </w:p>
    <w:p w14:paraId="3EA3A88D" w14:textId="28FAFEFD" w:rsidR="0015622D" w:rsidRPr="003D6ED6" w:rsidRDefault="000E7304" w:rsidP="000E7304">
      <w:pPr>
        <w:autoSpaceDE w:val="0"/>
        <w:autoSpaceDN w:val="0"/>
        <w:adjustRightInd w:val="0"/>
        <w:spacing w:after="0" w:line="360" w:lineRule="auto"/>
        <w:jc w:val="both"/>
        <w:rPr>
          <w:rFonts w:cs="MyriadPro-Regular"/>
          <w:color w:val="000000"/>
        </w:rPr>
      </w:pPr>
      <w:r w:rsidRPr="003D6ED6">
        <w:rPr>
          <w:rFonts w:cs="MyriadPro-Regular"/>
          <w:color w:val="000000"/>
        </w:rPr>
        <w:t xml:space="preserve">Requests can be addressed in writing by letter or fax to the Secretary General of the Council of Europe, </w:t>
      </w:r>
      <w:r w:rsidR="002D5E4C" w:rsidRPr="003D6ED6">
        <w:rPr>
          <w:rFonts w:cs="MyriadPro-Regular"/>
          <w:color w:val="000000"/>
        </w:rPr>
        <w:t>Marija Pej</w:t>
      </w:r>
      <w:r w:rsidR="002D5E4C" w:rsidRPr="002E4284">
        <w:rPr>
          <w:rFonts w:cs="MyriadPro-Regular"/>
          <w:color w:val="000000"/>
        </w:rPr>
        <w:t>činović Burić</w:t>
      </w:r>
      <w:r w:rsidRPr="003D6ED6">
        <w:rPr>
          <w:rFonts w:cs="MyriadPro-Regular"/>
          <w:color w:val="000000"/>
        </w:rPr>
        <w:t xml:space="preserve">. Requests involving Venice Commission expertise can also be addressed directly to the President of the Venice Commission, Gianni Buquicchio. </w:t>
      </w:r>
    </w:p>
    <w:p w14:paraId="59C96D78" w14:textId="77777777" w:rsidR="0015622D" w:rsidRPr="003D6ED6" w:rsidRDefault="0015622D" w:rsidP="000E7304">
      <w:pPr>
        <w:autoSpaceDE w:val="0"/>
        <w:autoSpaceDN w:val="0"/>
        <w:adjustRightInd w:val="0"/>
        <w:spacing w:after="0" w:line="360" w:lineRule="auto"/>
        <w:jc w:val="both"/>
        <w:rPr>
          <w:rFonts w:cs="MyriadPro-Regular"/>
          <w:color w:val="000000"/>
        </w:rPr>
      </w:pPr>
    </w:p>
    <w:p w14:paraId="6DD0C85A" w14:textId="7CB98296" w:rsidR="000E7304" w:rsidRPr="003D6ED6" w:rsidRDefault="000E7304" w:rsidP="000E7304">
      <w:pPr>
        <w:autoSpaceDE w:val="0"/>
        <w:autoSpaceDN w:val="0"/>
        <w:adjustRightInd w:val="0"/>
        <w:spacing w:after="0" w:line="360" w:lineRule="auto"/>
        <w:jc w:val="both"/>
        <w:rPr>
          <w:rFonts w:cs="MyriadPro-Regular"/>
          <w:color w:val="000000"/>
        </w:rPr>
      </w:pPr>
      <w:r w:rsidRPr="003D6ED6">
        <w:rPr>
          <w:rFonts w:cs="MyriadPro-Regular"/>
          <w:color w:val="000000"/>
        </w:rPr>
        <w:t>Requests should preferably include as many details as possible, including the name and type of legislation or policy document on which expertise is being sought, the reasons for seeking expertise or for amending legislation or policies and the envisaged time-line for adoption of the new legislation or policy documents (or amendments to existing legislation and policy documents), following the provision of th</w:t>
      </w:r>
      <w:r w:rsidR="00C95305" w:rsidRPr="003D6ED6">
        <w:rPr>
          <w:rFonts w:cs="MyriadPro-Regular"/>
          <w:color w:val="000000"/>
        </w:rPr>
        <w:t>e requested</w:t>
      </w:r>
      <w:r w:rsidRPr="003D6ED6">
        <w:rPr>
          <w:rFonts w:cs="MyriadPro-Regular"/>
          <w:color w:val="000000"/>
        </w:rPr>
        <w:t xml:space="preserve"> expertise.</w:t>
      </w:r>
    </w:p>
    <w:p w14:paraId="47A93ABA" w14:textId="77777777" w:rsidR="0015622D" w:rsidRPr="003D6ED6" w:rsidRDefault="0015622D" w:rsidP="0015622D">
      <w:pPr>
        <w:autoSpaceDE w:val="0"/>
        <w:autoSpaceDN w:val="0"/>
        <w:adjustRightInd w:val="0"/>
        <w:spacing w:after="0" w:line="360" w:lineRule="auto"/>
        <w:jc w:val="both"/>
        <w:rPr>
          <w:rFonts w:cstheme="minorHAnsi"/>
          <w:color w:val="000000"/>
        </w:rPr>
      </w:pPr>
    </w:p>
    <w:p w14:paraId="7DF00606" w14:textId="1256305A" w:rsidR="0015622D" w:rsidRPr="003D6ED6" w:rsidRDefault="0015622D" w:rsidP="0015622D">
      <w:pPr>
        <w:autoSpaceDE w:val="0"/>
        <w:autoSpaceDN w:val="0"/>
        <w:adjustRightInd w:val="0"/>
        <w:spacing w:after="0" w:line="360" w:lineRule="auto"/>
        <w:jc w:val="both"/>
        <w:rPr>
          <w:rFonts w:cs="MyriadPro-Regular"/>
          <w:color w:val="000000"/>
        </w:rPr>
      </w:pPr>
      <w:r w:rsidRPr="003D6ED6">
        <w:rPr>
          <w:rFonts w:cstheme="minorHAnsi"/>
          <w:color w:val="000000"/>
        </w:rPr>
        <w:t>Once received, the requests will be processed</w:t>
      </w:r>
      <w:r w:rsidR="003C448F" w:rsidRPr="003D6ED6">
        <w:rPr>
          <w:rFonts w:cstheme="minorHAnsi"/>
          <w:color w:val="000000"/>
        </w:rPr>
        <w:t xml:space="preserve"> by the relevant Council of Europe entities</w:t>
      </w:r>
      <w:r w:rsidRPr="003D6ED6">
        <w:rPr>
          <w:rFonts w:cstheme="minorHAnsi"/>
          <w:color w:val="000000"/>
        </w:rPr>
        <w:t>.</w:t>
      </w:r>
      <w:r w:rsidRPr="003D6ED6">
        <w:rPr>
          <w:rFonts w:cs="MyriadPro-Regular"/>
          <w:color w:val="000000"/>
        </w:rPr>
        <w:t xml:space="preserve"> While the Council of Europe aims to deliver requested expertise as soon as possible, the precise timeframe is defined in consultation with the requesting authorities.</w:t>
      </w:r>
    </w:p>
    <w:p w14:paraId="1E9482D3" w14:textId="77777777" w:rsidR="00316195" w:rsidRPr="003D6ED6" w:rsidRDefault="00316195" w:rsidP="00316195">
      <w:pPr>
        <w:autoSpaceDE w:val="0"/>
        <w:autoSpaceDN w:val="0"/>
        <w:adjustRightInd w:val="0"/>
        <w:spacing w:after="0" w:line="360" w:lineRule="auto"/>
        <w:jc w:val="both"/>
        <w:rPr>
          <w:rFonts w:cs="MyriadPro-Regular"/>
          <w:b/>
          <w:color w:val="FF0000"/>
        </w:rPr>
      </w:pPr>
    </w:p>
    <w:p w14:paraId="761EE50F" w14:textId="7C92FC83" w:rsidR="000E7304" w:rsidRPr="003D6ED6" w:rsidRDefault="00207711" w:rsidP="000E7304">
      <w:pPr>
        <w:autoSpaceDE w:val="0"/>
        <w:autoSpaceDN w:val="0"/>
        <w:adjustRightInd w:val="0"/>
        <w:spacing w:after="0" w:line="360" w:lineRule="auto"/>
        <w:jc w:val="both"/>
        <w:rPr>
          <w:rFonts w:cs="MyriadPro-Regular"/>
          <w:b/>
          <w:color w:val="000000"/>
        </w:rPr>
      </w:pPr>
      <w:r w:rsidRPr="003D6ED6">
        <w:rPr>
          <w:rFonts w:cs="MyriadPro-Regular"/>
          <w:b/>
          <w:color w:val="000000"/>
        </w:rPr>
        <w:t>WHAT ARE THE CRITERIA FOR GRANTING A REQUEST?</w:t>
      </w:r>
    </w:p>
    <w:p w14:paraId="1A4661F8" w14:textId="5CE88277" w:rsidR="000E7304" w:rsidRPr="003D6ED6" w:rsidRDefault="000E7304" w:rsidP="000E7304">
      <w:pPr>
        <w:autoSpaceDE w:val="0"/>
        <w:autoSpaceDN w:val="0"/>
        <w:adjustRightInd w:val="0"/>
        <w:spacing w:after="0" w:line="360" w:lineRule="auto"/>
        <w:jc w:val="both"/>
        <w:rPr>
          <w:rFonts w:cs="MyriadPro-Regular"/>
          <w:color w:val="000000"/>
        </w:rPr>
      </w:pPr>
      <w:r w:rsidRPr="003D6ED6">
        <w:rPr>
          <w:rFonts w:cs="MyriadPro-Regular"/>
          <w:color w:val="000000"/>
        </w:rPr>
        <w:t xml:space="preserve">An ECM request must meet </w:t>
      </w:r>
      <w:r w:rsidR="003D6ED6" w:rsidRPr="003D6ED6">
        <w:rPr>
          <w:rFonts w:cs="MyriadPro-Regular"/>
          <w:color w:val="000000"/>
        </w:rPr>
        <w:t>all</w:t>
      </w:r>
      <w:r w:rsidRPr="003D6ED6">
        <w:rPr>
          <w:rFonts w:cs="MyriadPro-Regular"/>
          <w:color w:val="000000"/>
        </w:rPr>
        <w:t xml:space="preserve"> the following criteria</w:t>
      </w:r>
      <w:r w:rsidR="006B2DC2" w:rsidRPr="003D6ED6">
        <w:rPr>
          <w:rFonts w:cs="MyriadPro-Regular"/>
          <w:color w:val="000000"/>
        </w:rPr>
        <w:t xml:space="preserve">. The request: </w:t>
      </w:r>
    </w:p>
    <w:p w14:paraId="192921C4" w14:textId="3554C48E" w:rsidR="000E7304" w:rsidRPr="003D6ED6" w:rsidRDefault="000E7304" w:rsidP="000E7304">
      <w:pPr>
        <w:pStyle w:val="ListParagraph"/>
        <w:numPr>
          <w:ilvl w:val="0"/>
          <w:numId w:val="2"/>
        </w:numPr>
        <w:autoSpaceDE w:val="0"/>
        <w:autoSpaceDN w:val="0"/>
        <w:adjustRightInd w:val="0"/>
        <w:spacing w:after="0" w:line="360" w:lineRule="auto"/>
        <w:jc w:val="both"/>
        <w:rPr>
          <w:rFonts w:cs="MyriadPro-Regular"/>
          <w:color w:val="000000"/>
        </w:rPr>
      </w:pPr>
      <w:r w:rsidRPr="003D6ED6">
        <w:rPr>
          <w:rFonts w:cs="MyriadPro-Regular"/>
          <w:color w:val="000000"/>
        </w:rPr>
        <w:t xml:space="preserve">must be made by a member of the government or speaker of the parliament or, </w:t>
      </w:r>
      <w:r w:rsidR="0060519D" w:rsidRPr="003D6ED6">
        <w:rPr>
          <w:rFonts w:cs="MyriadPro-Regular"/>
          <w:color w:val="000000"/>
        </w:rPr>
        <w:t xml:space="preserve">if it concerns an </w:t>
      </w:r>
      <w:r w:rsidR="000046F5" w:rsidRPr="003D6ED6">
        <w:rPr>
          <w:rFonts w:cs="MyriadPro-Regular"/>
          <w:i/>
          <w:color w:val="000000"/>
        </w:rPr>
        <w:t>amicus c</w:t>
      </w:r>
      <w:r w:rsidR="0060519D" w:rsidRPr="003D6ED6">
        <w:rPr>
          <w:rFonts w:cs="MyriadPro-Regular"/>
          <w:i/>
          <w:color w:val="000000"/>
        </w:rPr>
        <w:t xml:space="preserve">uriae </w:t>
      </w:r>
      <w:r w:rsidR="0060519D" w:rsidRPr="003D6ED6">
        <w:rPr>
          <w:rFonts w:cs="MyriadPro-Regular"/>
          <w:color w:val="000000"/>
        </w:rPr>
        <w:t>opinion</w:t>
      </w:r>
      <w:r w:rsidRPr="003D6ED6">
        <w:rPr>
          <w:rFonts w:cs="MyriadPro-Regular"/>
          <w:color w:val="000000"/>
        </w:rPr>
        <w:t>, by the constitutional court of Albania, Bosnia and Herzegovina, Kosovo, Montenegro,</w:t>
      </w:r>
      <w:r w:rsidR="00166316" w:rsidRPr="003D6ED6">
        <w:rPr>
          <w:rFonts w:cs="MyriadPro-Regular"/>
          <w:color w:val="000000"/>
        </w:rPr>
        <w:t xml:space="preserve"> North Macedonia,</w:t>
      </w:r>
      <w:r w:rsidRPr="003D6ED6">
        <w:rPr>
          <w:rFonts w:cs="MyriadPro-Regular"/>
          <w:color w:val="000000"/>
        </w:rPr>
        <w:t xml:space="preserve"> Serbia or Turkey</w:t>
      </w:r>
      <w:r w:rsidR="0060519D" w:rsidRPr="003D6ED6">
        <w:rPr>
          <w:rFonts w:cs="MyriadPro-Regular"/>
          <w:color w:val="000000"/>
        </w:rPr>
        <w:t xml:space="preserve"> (or can</w:t>
      </w:r>
      <w:r w:rsidR="00973B70" w:rsidRPr="003D6ED6">
        <w:rPr>
          <w:rFonts w:cs="MyriadPro-Regular"/>
          <w:color w:val="000000"/>
        </w:rPr>
        <w:t xml:space="preserve"> </w:t>
      </w:r>
      <w:r w:rsidR="0060519D" w:rsidRPr="003D6ED6">
        <w:rPr>
          <w:rFonts w:cs="MyriadPro-Regular"/>
          <w:color w:val="000000"/>
        </w:rPr>
        <w:t>– in case the re</w:t>
      </w:r>
      <w:r w:rsidR="0071746A" w:rsidRPr="003D6ED6">
        <w:rPr>
          <w:rFonts w:cs="MyriadPro-Regular"/>
          <w:color w:val="000000"/>
        </w:rPr>
        <w:t>quest would concern expertise of</w:t>
      </w:r>
      <w:r w:rsidR="0060519D" w:rsidRPr="003D6ED6">
        <w:rPr>
          <w:rFonts w:cs="MyriadPro-Regular"/>
          <w:color w:val="000000"/>
        </w:rPr>
        <w:t xml:space="preserve"> the Venice Commission –also be made </w:t>
      </w:r>
      <w:r w:rsidR="00973B70" w:rsidRPr="003D6ED6">
        <w:rPr>
          <w:rFonts w:cs="MyriadPro-Regular"/>
          <w:color w:val="000000"/>
        </w:rPr>
        <w:t>by the European Union or the Secretary General, Committee of Ministers, Parliamentary Assembly</w:t>
      </w:r>
      <w:r w:rsidR="0060519D" w:rsidRPr="003D6ED6">
        <w:rPr>
          <w:rFonts w:cs="MyriadPro-Regular"/>
          <w:color w:val="000000"/>
        </w:rPr>
        <w:t xml:space="preserve"> or Congress of Local and Regional </w:t>
      </w:r>
      <w:r w:rsidR="00973B70" w:rsidRPr="003D6ED6">
        <w:rPr>
          <w:rFonts w:cs="MyriadPro-Regular"/>
          <w:color w:val="000000"/>
        </w:rPr>
        <w:t xml:space="preserve"> </w:t>
      </w:r>
      <w:r w:rsidR="0060519D" w:rsidRPr="003D6ED6">
        <w:rPr>
          <w:rFonts w:cs="MyriadPro-Regular"/>
          <w:color w:val="000000"/>
        </w:rPr>
        <w:t>Authorities)</w:t>
      </w:r>
      <w:r w:rsidRPr="003D6ED6">
        <w:rPr>
          <w:rFonts w:cs="MyriadPro-Regular"/>
          <w:color w:val="000000"/>
        </w:rPr>
        <w:t>;</w:t>
      </w:r>
    </w:p>
    <w:p w14:paraId="5A01184B" w14:textId="53B95C63" w:rsidR="000E7304" w:rsidRPr="003D6ED6" w:rsidRDefault="000E7304" w:rsidP="000E7304">
      <w:pPr>
        <w:pStyle w:val="ListParagraph"/>
        <w:numPr>
          <w:ilvl w:val="0"/>
          <w:numId w:val="2"/>
        </w:numPr>
        <w:autoSpaceDE w:val="0"/>
        <w:autoSpaceDN w:val="0"/>
        <w:adjustRightInd w:val="0"/>
        <w:spacing w:after="0" w:line="360" w:lineRule="auto"/>
        <w:jc w:val="both"/>
        <w:rPr>
          <w:rFonts w:cs="MyriadPro-Regular"/>
          <w:color w:val="000000"/>
        </w:rPr>
      </w:pPr>
      <w:r w:rsidRPr="003D6ED6">
        <w:rPr>
          <w:rFonts w:cs="MyriadPro-Regular"/>
          <w:color w:val="000000"/>
        </w:rPr>
        <w:t xml:space="preserve">must fall within an area of expertise of the Council of Europe; </w:t>
      </w:r>
    </w:p>
    <w:p w14:paraId="770DE902" w14:textId="746D31A4" w:rsidR="000E7304" w:rsidRPr="003D6ED6" w:rsidRDefault="000E7304" w:rsidP="000E7304">
      <w:pPr>
        <w:pStyle w:val="ListParagraph"/>
        <w:numPr>
          <w:ilvl w:val="0"/>
          <w:numId w:val="2"/>
        </w:numPr>
        <w:autoSpaceDE w:val="0"/>
        <w:autoSpaceDN w:val="0"/>
        <w:adjustRightInd w:val="0"/>
        <w:spacing w:after="0" w:line="360" w:lineRule="auto"/>
        <w:jc w:val="both"/>
        <w:rPr>
          <w:rFonts w:cs="MyriadPro-Regular"/>
          <w:color w:val="000000"/>
        </w:rPr>
      </w:pPr>
      <w:r w:rsidRPr="003D6ED6">
        <w:rPr>
          <w:rFonts w:cs="MyriadPro-Regular"/>
          <w:color w:val="000000"/>
        </w:rPr>
        <w:t>must fall within the following thematic areas: ensuring justice</w:t>
      </w:r>
      <w:r w:rsidR="0029318F" w:rsidRPr="003D6ED6">
        <w:rPr>
          <w:rFonts w:cs="MyriadPro-Regular"/>
          <w:color w:val="000000"/>
        </w:rPr>
        <w:t>;</w:t>
      </w:r>
      <w:r w:rsidRPr="003D6ED6">
        <w:rPr>
          <w:rFonts w:cs="MyriadPro-Regular"/>
          <w:color w:val="000000"/>
        </w:rPr>
        <w:t xml:space="preserve"> fighting economic crime</w:t>
      </w:r>
      <w:r w:rsidR="0029318F" w:rsidRPr="003D6ED6">
        <w:rPr>
          <w:rFonts w:cs="MyriadPro-Regular"/>
          <w:color w:val="000000"/>
        </w:rPr>
        <w:t>;</w:t>
      </w:r>
      <w:r w:rsidRPr="003D6ED6">
        <w:rPr>
          <w:rFonts w:cs="MyriadPro-Regular"/>
          <w:color w:val="000000"/>
        </w:rPr>
        <w:t xml:space="preserve"> anti-discrimination and the protection of the rights of vulnerable groups</w:t>
      </w:r>
      <w:r w:rsidR="0029318F" w:rsidRPr="003D6ED6">
        <w:rPr>
          <w:rFonts w:cs="MyriadPro-Regular"/>
          <w:color w:val="000000"/>
        </w:rPr>
        <w:t>;</w:t>
      </w:r>
      <w:r w:rsidRPr="003D6ED6">
        <w:rPr>
          <w:rFonts w:cs="MyriadPro-Regular"/>
          <w:color w:val="000000"/>
        </w:rPr>
        <w:t xml:space="preserve"> freedom of expression and the media</w:t>
      </w:r>
      <w:r w:rsidR="0029318F" w:rsidRPr="003D6ED6">
        <w:rPr>
          <w:rFonts w:cs="MyriadPro-Regular"/>
          <w:color w:val="000000"/>
        </w:rPr>
        <w:t xml:space="preserve">; </w:t>
      </w:r>
      <w:r w:rsidRPr="003D6ED6">
        <w:rPr>
          <w:rFonts w:cs="MyriadPro-Regular"/>
          <w:color w:val="000000"/>
        </w:rPr>
        <w:t>constitutional issues falling within the area of competence of the Venice Commission;</w:t>
      </w:r>
    </w:p>
    <w:p w14:paraId="6BB0E3EA" w14:textId="2B2E2F4A" w:rsidR="000E7304" w:rsidRPr="003D6ED6" w:rsidRDefault="000E7304" w:rsidP="000E7304">
      <w:pPr>
        <w:pStyle w:val="ListParagraph"/>
        <w:numPr>
          <w:ilvl w:val="0"/>
          <w:numId w:val="2"/>
        </w:numPr>
        <w:autoSpaceDE w:val="0"/>
        <w:autoSpaceDN w:val="0"/>
        <w:adjustRightInd w:val="0"/>
        <w:spacing w:after="0" w:line="360" w:lineRule="auto"/>
        <w:jc w:val="both"/>
        <w:rPr>
          <w:rFonts w:cs="MyriadPro-Regular"/>
          <w:color w:val="000000"/>
        </w:rPr>
      </w:pPr>
      <w:r w:rsidRPr="003D6ED6">
        <w:rPr>
          <w:rFonts w:cs="MyriadPro-Regular"/>
          <w:color w:val="000000"/>
        </w:rPr>
        <w:t>cannot be provided within the format of one of the ongoing actions</w:t>
      </w:r>
      <w:r w:rsidR="00A42F13" w:rsidRPr="003D6ED6">
        <w:rPr>
          <w:rFonts w:cs="MyriadPro-Regular"/>
          <w:color w:val="000000"/>
        </w:rPr>
        <w:t xml:space="preserve"> </w:t>
      </w:r>
      <w:r w:rsidRPr="003D6ED6">
        <w:rPr>
          <w:rFonts w:cs="MyriadPro-Regular"/>
          <w:color w:val="000000"/>
        </w:rPr>
        <w:t>of the technical co-operation component of the Horizontal Facility.</w:t>
      </w:r>
    </w:p>
    <w:p w14:paraId="7C248150" w14:textId="77777777" w:rsidR="00377CEC" w:rsidRPr="003D6ED6" w:rsidRDefault="00377CEC" w:rsidP="00E67B6F">
      <w:pPr>
        <w:pStyle w:val="ListParagraph"/>
        <w:autoSpaceDE w:val="0"/>
        <w:autoSpaceDN w:val="0"/>
        <w:adjustRightInd w:val="0"/>
        <w:spacing w:after="0" w:line="360" w:lineRule="auto"/>
        <w:jc w:val="both"/>
        <w:rPr>
          <w:rFonts w:cs="MyriadPro-Regular"/>
          <w:color w:val="000000"/>
        </w:rPr>
      </w:pPr>
    </w:p>
    <w:p w14:paraId="6E7A90ED" w14:textId="21AB6EB3" w:rsidR="00377CEC" w:rsidRPr="003D6ED6" w:rsidRDefault="00207711" w:rsidP="00377CEC">
      <w:pPr>
        <w:autoSpaceDE w:val="0"/>
        <w:autoSpaceDN w:val="0"/>
        <w:adjustRightInd w:val="0"/>
        <w:spacing w:after="0" w:line="360" w:lineRule="auto"/>
        <w:jc w:val="both"/>
        <w:rPr>
          <w:rFonts w:cs="MyriadPro-Regular"/>
          <w:b/>
          <w:color w:val="000000"/>
        </w:rPr>
      </w:pPr>
      <w:r w:rsidRPr="003D6ED6">
        <w:rPr>
          <w:rFonts w:cs="MyriadPro-Regular"/>
          <w:b/>
          <w:color w:val="000000"/>
        </w:rPr>
        <w:lastRenderedPageBreak/>
        <w:t>WHERE TO ADDRESS THE REQUEST?</w:t>
      </w:r>
    </w:p>
    <w:p w14:paraId="6F16D32C"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ECM requests can be sent by letter or fax to the Secretary General of the Council of Europe:</w:t>
      </w:r>
    </w:p>
    <w:p w14:paraId="59B04195" w14:textId="77777777" w:rsidR="00377CEC" w:rsidRPr="003D6ED6" w:rsidRDefault="00377CEC" w:rsidP="00377CEC">
      <w:pPr>
        <w:autoSpaceDE w:val="0"/>
        <w:autoSpaceDN w:val="0"/>
        <w:adjustRightInd w:val="0"/>
        <w:spacing w:after="0" w:line="360" w:lineRule="auto"/>
        <w:jc w:val="both"/>
        <w:rPr>
          <w:rFonts w:cs="MyriadPro-Regular"/>
          <w:color w:val="000000"/>
        </w:rPr>
      </w:pPr>
    </w:p>
    <w:p w14:paraId="59D0E20B" w14:textId="4014E5C9" w:rsidR="00377CEC" w:rsidRPr="003D6ED6" w:rsidRDefault="008443E3" w:rsidP="00377CEC">
      <w:pPr>
        <w:autoSpaceDE w:val="0"/>
        <w:autoSpaceDN w:val="0"/>
        <w:adjustRightInd w:val="0"/>
        <w:spacing w:after="0" w:line="360" w:lineRule="auto"/>
        <w:jc w:val="both"/>
        <w:rPr>
          <w:rFonts w:cs="MyriadPro-Regular"/>
          <w:color w:val="000000"/>
        </w:rPr>
      </w:pPr>
      <w:r w:rsidRPr="003D6ED6">
        <w:rPr>
          <w:rFonts w:cs="MyriadPro-Regular"/>
          <w:color w:val="000000"/>
        </w:rPr>
        <w:t>Marija Pejčinović Burić</w:t>
      </w:r>
    </w:p>
    <w:p w14:paraId="3D7CB5EF"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Secretary General of the Council of Europe</w:t>
      </w:r>
    </w:p>
    <w:p w14:paraId="745C67EA"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Council of Europe</w:t>
      </w:r>
    </w:p>
    <w:p w14:paraId="180B70E6"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F-67075 Strasbourg Cedex</w:t>
      </w:r>
    </w:p>
    <w:p w14:paraId="0B0E6492" w14:textId="35A59F8D" w:rsidR="002E4284" w:rsidRPr="009A7052" w:rsidRDefault="00DE7A8A" w:rsidP="00377CEC">
      <w:pPr>
        <w:autoSpaceDE w:val="0"/>
        <w:autoSpaceDN w:val="0"/>
        <w:adjustRightInd w:val="0"/>
        <w:spacing w:after="0" w:line="360" w:lineRule="auto"/>
        <w:jc w:val="both"/>
        <w:rPr>
          <w:rFonts w:cs="MyriadPro-Regular"/>
          <w:color w:val="000000"/>
          <w:lang w:val="fr-FR"/>
        </w:rPr>
      </w:pPr>
      <w:r>
        <w:rPr>
          <w:rFonts w:cs="MyriadPro-Regular"/>
          <w:color w:val="000000"/>
          <w:lang w:val="fr-FR"/>
        </w:rPr>
        <w:t>France</w:t>
      </w:r>
      <w:r>
        <w:rPr>
          <w:rFonts w:cs="MyriadPro-Regular"/>
          <w:color w:val="000000"/>
          <w:lang w:val="fr-FR"/>
        </w:rPr>
        <w:br/>
      </w:r>
      <w:r w:rsidR="00377CEC" w:rsidRPr="009A7052">
        <w:rPr>
          <w:rFonts w:cs="MyriadPro-Regular"/>
          <w:color w:val="000000"/>
          <w:lang w:val="fr-FR"/>
        </w:rPr>
        <w:t>Fax: + 33 3 88 41 27 99</w:t>
      </w:r>
      <w:r w:rsidR="002E4284" w:rsidRPr="009A7052">
        <w:rPr>
          <w:rFonts w:cs="MyriadPro-Regular"/>
          <w:color w:val="000000"/>
          <w:lang w:val="fr-FR"/>
        </w:rPr>
        <w:t xml:space="preserve"> </w:t>
      </w:r>
    </w:p>
    <w:p w14:paraId="604E7BC8" w14:textId="4E2F63A4" w:rsidR="00377CEC" w:rsidRPr="009A7052" w:rsidRDefault="002E4284" w:rsidP="00377CEC">
      <w:pPr>
        <w:autoSpaceDE w:val="0"/>
        <w:autoSpaceDN w:val="0"/>
        <w:adjustRightInd w:val="0"/>
        <w:spacing w:after="0" w:line="360" w:lineRule="auto"/>
        <w:jc w:val="both"/>
        <w:rPr>
          <w:rFonts w:cs="MyriadPro-Regular"/>
          <w:color w:val="000000"/>
          <w:lang w:val="fr-FR"/>
        </w:rPr>
      </w:pPr>
      <w:r w:rsidRPr="009A7052">
        <w:rPr>
          <w:rFonts w:cs="MyriadPro-Regular"/>
          <w:color w:val="000000"/>
          <w:lang w:val="fr-FR"/>
        </w:rPr>
        <w:t>Website:</w:t>
      </w:r>
      <w:r w:rsidRPr="009A7052">
        <w:rPr>
          <w:lang w:val="fr-FR"/>
        </w:rPr>
        <w:t xml:space="preserve"> </w:t>
      </w:r>
      <w:hyperlink r:id="rId9" w:history="1">
        <w:r w:rsidRPr="009A7052">
          <w:rPr>
            <w:rStyle w:val="Hyperlink"/>
            <w:lang w:val="fr-FR"/>
          </w:rPr>
          <w:t>www.coe.int/en/web/secretary-general/private-office</w:t>
        </w:r>
      </w:hyperlink>
    </w:p>
    <w:p w14:paraId="3DEF8A0A" w14:textId="77777777" w:rsidR="00377CEC" w:rsidRPr="009A7052" w:rsidRDefault="00377CEC" w:rsidP="00377CEC">
      <w:pPr>
        <w:autoSpaceDE w:val="0"/>
        <w:autoSpaceDN w:val="0"/>
        <w:adjustRightInd w:val="0"/>
        <w:spacing w:after="0" w:line="360" w:lineRule="auto"/>
        <w:jc w:val="both"/>
        <w:rPr>
          <w:rFonts w:cs="MyriadPro-Regular"/>
          <w:color w:val="000000"/>
          <w:lang w:val="fr-FR"/>
        </w:rPr>
      </w:pPr>
    </w:p>
    <w:p w14:paraId="298F6811"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ECM requests involving Venice Commission expertise can also be sent by letter, e-mail or fax to the President of the Venice Commission:</w:t>
      </w:r>
    </w:p>
    <w:p w14:paraId="7D98241F" w14:textId="77777777" w:rsidR="00377CEC" w:rsidRPr="003D6ED6" w:rsidRDefault="00377CEC" w:rsidP="00377CEC">
      <w:pPr>
        <w:autoSpaceDE w:val="0"/>
        <w:autoSpaceDN w:val="0"/>
        <w:adjustRightInd w:val="0"/>
        <w:spacing w:after="0" w:line="360" w:lineRule="auto"/>
        <w:jc w:val="both"/>
        <w:rPr>
          <w:rFonts w:cs="MyriadPro-Regular"/>
          <w:color w:val="000000"/>
        </w:rPr>
      </w:pPr>
    </w:p>
    <w:p w14:paraId="50AEB232" w14:textId="7CC01A7F"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Gianni Buquicchio</w:t>
      </w:r>
    </w:p>
    <w:p w14:paraId="58F70898"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President of the Venice Commission</w:t>
      </w:r>
    </w:p>
    <w:p w14:paraId="1811A6A8"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Council of Europe</w:t>
      </w:r>
    </w:p>
    <w:p w14:paraId="78334309"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67075 Strasbourg Cedex</w:t>
      </w:r>
    </w:p>
    <w:p w14:paraId="619F9F76" w14:textId="77777777" w:rsidR="00377CEC" w:rsidRPr="003D6ED6" w:rsidRDefault="00377CEC" w:rsidP="00377CEC">
      <w:pPr>
        <w:autoSpaceDE w:val="0"/>
        <w:autoSpaceDN w:val="0"/>
        <w:adjustRightInd w:val="0"/>
        <w:spacing w:after="0" w:line="360" w:lineRule="auto"/>
        <w:jc w:val="both"/>
        <w:rPr>
          <w:rFonts w:cs="MyriadPro-Regular"/>
          <w:color w:val="000000"/>
        </w:rPr>
      </w:pPr>
      <w:r w:rsidRPr="003D6ED6">
        <w:rPr>
          <w:rFonts w:cs="MyriadPro-Regular"/>
          <w:color w:val="000000"/>
        </w:rPr>
        <w:t>France</w:t>
      </w:r>
    </w:p>
    <w:p w14:paraId="43B560FC" w14:textId="77777777" w:rsidR="00377CEC" w:rsidRPr="00DE7A8A" w:rsidRDefault="00377CEC" w:rsidP="00377CEC">
      <w:pPr>
        <w:autoSpaceDE w:val="0"/>
        <w:autoSpaceDN w:val="0"/>
        <w:adjustRightInd w:val="0"/>
        <w:spacing w:after="0" w:line="360" w:lineRule="auto"/>
        <w:jc w:val="both"/>
        <w:rPr>
          <w:rFonts w:cs="MyriadPro-Regular"/>
          <w:color w:val="000000"/>
          <w:lang w:val="fr-FR"/>
        </w:rPr>
      </w:pPr>
      <w:r w:rsidRPr="00DE7A8A">
        <w:rPr>
          <w:rFonts w:cs="MyriadPro-Regular"/>
          <w:color w:val="000000"/>
          <w:lang w:val="fr-FR"/>
        </w:rPr>
        <w:t>Fax: +33 3 88 41 37 38</w:t>
      </w:r>
    </w:p>
    <w:p w14:paraId="20568BB3" w14:textId="77777777" w:rsidR="00377CEC" w:rsidRPr="00DE7A8A" w:rsidRDefault="00377CEC" w:rsidP="00377CEC">
      <w:pPr>
        <w:autoSpaceDE w:val="0"/>
        <w:autoSpaceDN w:val="0"/>
        <w:adjustRightInd w:val="0"/>
        <w:spacing w:after="0" w:line="360" w:lineRule="auto"/>
        <w:jc w:val="both"/>
        <w:rPr>
          <w:rFonts w:cs="MyriadPro-Regular"/>
          <w:color w:val="000000"/>
          <w:lang w:val="fr-FR"/>
        </w:rPr>
      </w:pPr>
      <w:r w:rsidRPr="00DE7A8A">
        <w:rPr>
          <w:rFonts w:cs="MyriadPro-Regular"/>
          <w:color w:val="000000"/>
          <w:lang w:val="fr-FR"/>
        </w:rPr>
        <w:t xml:space="preserve">e-mail: </w:t>
      </w:r>
      <w:hyperlink r:id="rId10" w:history="1">
        <w:r w:rsidRPr="00DE7A8A">
          <w:rPr>
            <w:rStyle w:val="Hyperlink"/>
            <w:rFonts w:cs="MyriadPro-Regular"/>
            <w:lang w:val="fr-FR"/>
          </w:rPr>
          <w:t>venice@coe.int</w:t>
        </w:r>
      </w:hyperlink>
    </w:p>
    <w:p w14:paraId="333A17F0" w14:textId="0E3F1798" w:rsidR="008E3CBC" w:rsidRDefault="008E3CBC">
      <w:pPr>
        <w:rPr>
          <w:rFonts w:cs="MyriadPro-Regular"/>
          <w:color w:val="000000"/>
          <w:lang w:val="fr-FR"/>
        </w:rPr>
      </w:pPr>
      <w:r>
        <w:rPr>
          <w:rFonts w:cs="MyriadPro-Regular"/>
          <w:color w:val="000000"/>
          <w:lang w:val="fr-FR"/>
        </w:rPr>
        <w:br w:type="page"/>
      </w:r>
    </w:p>
    <w:p w14:paraId="2578E009" w14:textId="77777777" w:rsidR="00377CEC" w:rsidRDefault="00377CEC" w:rsidP="00377CEC">
      <w:pPr>
        <w:autoSpaceDE w:val="0"/>
        <w:autoSpaceDN w:val="0"/>
        <w:adjustRightInd w:val="0"/>
        <w:spacing w:after="0" w:line="360" w:lineRule="auto"/>
        <w:jc w:val="both"/>
        <w:rPr>
          <w:rFonts w:cs="MyriadPro-Regular"/>
          <w:color w:val="000000"/>
          <w:lang w:val="fr-FR"/>
        </w:rPr>
      </w:pPr>
    </w:p>
    <w:p w14:paraId="28BA1D81" w14:textId="77777777" w:rsidR="008E3CBC" w:rsidRPr="002E4284" w:rsidRDefault="008E3CBC" w:rsidP="008E3CBC">
      <w:pPr>
        <w:autoSpaceDE w:val="0"/>
        <w:autoSpaceDN w:val="0"/>
        <w:adjustRightInd w:val="0"/>
        <w:spacing w:after="0" w:line="360" w:lineRule="auto"/>
        <w:jc w:val="both"/>
        <w:rPr>
          <w:rFonts w:cs="MyriadPro-Regular"/>
          <w:color w:val="000000"/>
          <w:lang w:val="fr-FR"/>
        </w:rPr>
      </w:pPr>
    </w:p>
    <w:p w14:paraId="070AA5B9" w14:textId="77777777" w:rsidR="008E3CBC" w:rsidRPr="002E4284" w:rsidRDefault="008E3CBC" w:rsidP="008E3CBC">
      <w:pPr>
        <w:rPr>
          <w:rFonts w:cs="MyriadPro-Regular"/>
          <w:b/>
          <w:color w:val="FF0000"/>
          <w:lang w:val="fr-FR"/>
        </w:rPr>
      </w:pPr>
    </w:p>
    <w:p w14:paraId="3E84651A" w14:textId="77777777" w:rsidR="008E3CBC" w:rsidRPr="00DE7A8A" w:rsidRDefault="008E3CBC" w:rsidP="008E3CBC">
      <w:pPr>
        <w:autoSpaceDE w:val="0"/>
        <w:autoSpaceDN w:val="0"/>
        <w:adjustRightInd w:val="0"/>
        <w:spacing w:after="0" w:line="360" w:lineRule="auto"/>
        <w:jc w:val="both"/>
        <w:rPr>
          <w:rFonts w:cs="MyriadPro-Regular"/>
          <w:b/>
          <w:color w:val="FF0000"/>
          <w:lang w:val="fr-FR"/>
        </w:rPr>
      </w:pPr>
      <w:r w:rsidRPr="00DE7A8A">
        <w:rPr>
          <w:rFonts w:cs="MyriadPro-Regular"/>
          <w:noProof/>
          <w:color w:val="000000"/>
          <w:lang w:eastAsia="en-GB"/>
        </w:rPr>
        <mc:AlternateContent>
          <mc:Choice Requires="wps">
            <w:drawing>
              <wp:anchor distT="0" distB="0" distL="114300" distR="114300" simplePos="0" relativeHeight="251659264" behindDoc="0" locked="0" layoutInCell="1" allowOverlap="1" wp14:anchorId="0B5F9F5D" wp14:editId="6E715E64">
                <wp:simplePos x="0" y="0"/>
                <wp:positionH relativeFrom="column">
                  <wp:posOffset>0</wp:posOffset>
                </wp:positionH>
                <wp:positionV relativeFrom="paragraph">
                  <wp:posOffset>-438150</wp:posOffset>
                </wp:positionV>
                <wp:extent cx="6286500" cy="47148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714875"/>
                        </a:xfrm>
                        <a:prstGeom prst="rect">
                          <a:avLst/>
                        </a:prstGeom>
                        <a:solidFill>
                          <a:srgbClr val="FFFFFF"/>
                        </a:solidFill>
                        <a:ln w="9525">
                          <a:solidFill>
                            <a:srgbClr val="000000"/>
                          </a:solidFill>
                          <a:miter lim="800000"/>
                          <a:headEnd/>
                          <a:tailEnd/>
                        </a:ln>
                      </wps:spPr>
                      <wps:txbx>
                        <w:txbxContent>
                          <w:p w14:paraId="0E43331F" w14:textId="77777777" w:rsidR="008E3CBC" w:rsidRPr="007A182B" w:rsidRDefault="008E3CBC" w:rsidP="008E3CBC">
                            <w:pPr>
                              <w:jc w:val="both"/>
                              <w:rPr>
                                <w:b/>
                              </w:rPr>
                            </w:pPr>
                            <w:r w:rsidRPr="007A182B">
                              <w:rPr>
                                <w:b/>
                              </w:rPr>
                              <w:t xml:space="preserve">Examples of support provided under the ECM </w:t>
                            </w:r>
                            <w:r>
                              <w:rPr>
                                <w:b/>
                              </w:rPr>
                              <w:t>(2016- 2019)</w:t>
                            </w:r>
                          </w:p>
                          <w:p w14:paraId="430CF05F" w14:textId="77777777" w:rsidR="008E3CBC" w:rsidRDefault="008E3CBC" w:rsidP="008E3CBC">
                            <w:pPr>
                              <w:jc w:val="both"/>
                              <w:rPr>
                                <w:rFonts w:eastAsia="Times New Roman"/>
                                <w:lang w:eastAsia="en-GB"/>
                              </w:rPr>
                            </w:pPr>
                            <w:r>
                              <w:t xml:space="preserve">The </w:t>
                            </w:r>
                            <w:r>
                              <w:rPr>
                                <w:rFonts w:eastAsia="Times New Roman"/>
                                <w:lang w:eastAsia="en-GB"/>
                              </w:rPr>
                              <w:t xml:space="preserve">Constitutional Court </w:t>
                            </w:r>
                            <w:r>
                              <w:t xml:space="preserve">of Albania </w:t>
                            </w:r>
                            <w:r>
                              <w:rPr>
                                <w:rFonts w:eastAsia="Times New Roman"/>
                                <w:lang w:eastAsia="en-GB"/>
                              </w:rPr>
                              <w:t xml:space="preserve">requested an </w:t>
                            </w:r>
                            <w:r w:rsidRPr="003C2871">
                              <w:rPr>
                                <w:rFonts w:eastAsia="Times New Roman"/>
                                <w:b/>
                                <w:lang w:eastAsia="en-GB"/>
                              </w:rPr>
                              <w:t>amicus curiae brief on the Law on Treatment of Property and Finalisation of the Process of Compensation of Property</w:t>
                            </w:r>
                            <w:r>
                              <w:rPr>
                                <w:rFonts w:eastAsia="Times New Roman"/>
                                <w:lang w:eastAsia="en-GB"/>
                              </w:rPr>
                              <w:t>. The brief was adopted by the Venice Commission on 14-15 October 2016, paving the way to the adaption and implementation of this key legislation.</w:t>
                            </w:r>
                          </w:p>
                          <w:p w14:paraId="626E4A9F" w14:textId="77777777" w:rsidR="008E3CBC" w:rsidRDefault="008E3CBC" w:rsidP="008E3CBC">
                            <w:pPr>
                              <w:spacing w:after="0" w:line="240" w:lineRule="auto"/>
                              <w:jc w:val="both"/>
                              <w:rPr>
                                <w:rFonts w:eastAsia="Times New Roman"/>
                                <w:lang w:eastAsia="en-GB"/>
                              </w:rPr>
                            </w:pPr>
                            <w:r>
                              <w:rPr>
                                <w:rFonts w:eastAsia="Times New Roman"/>
                                <w:lang w:eastAsia="en-GB"/>
                              </w:rPr>
                              <w:t xml:space="preserve">In Bosnia and Herzegovina, legal expertise </w:t>
                            </w:r>
                            <w:r>
                              <w:rPr>
                                <w:rFonts w:eastAsia="Times New Roman"/>
                              </w:rPr>
                              <w:t xml:space="preserve">was provided by the Council of Europe in April 2018 on the </w:t>
                            </w:r>
                          </w:p>
                          <w:p w14:paraId="3C3194FF" w14:textId="77777777" w:rsidR="008E3CBC" w:rsidRDefault="008E3CBC" w:rsidP="008E3CBC">
                            <w:pPr>
                              <w:jc w:val="both"/>
                              <w:rPr>
                                <w:rFonts w:eastAsia="Times New Roman"/>
                              </w:rPr>
                            </w:pPr>
                            <w:r>
                              <w:rPr>
                                <w:rFonts w:eastAsia="Times New Roman"/>
                                <w:b/>
                                <w:bCs/>
                              </w:rPr>
                              <w:t>Law on the rights of the victims of torture</w:t>
                            </w:r>
                            <w:r>
                              <w:rPr>
                                <w:rFonts w:eastAsia="Times New Roman"/>
                              </w:rPr>
                              <w:t>, upon the request of the Ministry of Human Rights and Refugees.</w:t>
                            </w:r>
                          </w:p>
                          <w:p w14:paraId="552DCF4E" w14:textId="77777777" w:rsidR="008E3CBC" w:rsidRDefault="008E3CBC" w:rsidP="008E3CBC">
                            <w:pPr>
                              <w:spacing w:after="0" w:line="240" w:lineRule="auto"/>
                              <w:jc w:val="both"/>
                              <w:rPr>
                                <w:rFonts w:eastAsia="Times New Roman"/>
                              </w:rPr>
                            </w:pPr>
                            <w:r>
                              <w:rPr>
                                <w:rFonts w:eastAsia="Times New Roman"/>
                              </w:rPr>
                              <w:t xml:space="preserve">In Montenegro, an opinion was provided on human-rights related provisions of draft </w:t>
                            </w:r>
                            <w:r w:rsidRPr="00B97CFE">
                              <w:rPr>
                                <w:rFonts w:eastAsia="Times New Roman"/>
                                <w:b/>
                              </w:rPr>
                              <w:t>Law on Foreigners</w:t>
                            </w:r>
                            <w:r>
                              <w:rPr>
                                <w:rFonts w:eastAsia="Times New Roman"/>
                              </w:rPr>
                              <w:t>. The Law, which was adopted in February 2018, ensured a better balance of security provisions with those safeguarding human rights of persons in migration,</w:t>
                            </w:r>
                            <w:r w:rsidRPr="003919B7">
                              <w:rPr>
                                <w:rFonts w:eastAsia="Times New Roman"/>
                              </w:rPr>
                              <w:t xml:space="preserve"> </w:t>
                            </w:r>
                            <w:r>
                              <w:rPr>
                                <w:rFonts w:eastAsia="Times New Roman"/>
                              </w:rPr>
                              <w:t>in line with the European Convention on Human Rights and European Court of Human Rights case law.</w:t>
                            </w:r>
                          </w:p>
                          <w:p w14:paraId="5976C6EA" w14:textId="77777777" w:rsidR="008E3CBC" w:rsidRPr="00D92383" w:rsidRDefault="008E3CBC" w:rsidP="008E3CBC">
                            <w:pPr>
                              <w:spacing w:after="0" w:line="240" w:lineRule="auto"/>
                              <w:jc w:val="both"/>
                              <w:rPr>
                                <w:rFonts w:eastAsia="Times New Roman"/>
                              </w:rPr>
                            </w:pPr>
                          </w:p>
                          <w:p w14:paraId="3CB9E835" w14:textId="77777777" w:rsidR="008E3CBC" w:rsidRDefault="008E3CBC" w:rsidP="008E3CBC">
                            <w:pPr>
                              <w:spacing w:after="0" w:line="240" w:lineRule="auto"/>
                              <w:jc w:val="both"/>
                              <w:rPr>
                                <w:rFonts w:eastAsia="Times New Roman"/>
                              </w:rPr>
                            </w:pPr>
                            <w:r w:rsidRPr="00D92383">
                              <w:rPr>
                                <w:rFonts w:eastAsia="Times New Roman"/>
                              </w:rPr>
                              <w:t xml:space="preserve">The Ministry of Labour and Social Policy of North Macedonia requested support for drafting </w:t>
                            </w:r>
                            <w:r w:rsidRPr="00D92383">
                              <w:rPr>
                                <w:rFonts w:eastAsia="Times New Roman"/>
                                <w:b/>
                              </w:rPr>
                              <w:t>the Law on the Prevention and Protection against Discrimination</w:t>
                            </w:r>
                            <w:r w:rsidRPr="00D92383">
                              <w:rPr>
                                <w:rFonts w:eastAsia="Times New Roman"/>
                              </w:rPr>
                              <w:t>. Following an opinion</w:t>
                            </w:r>
                            <w:r>
                              <w:rPr>
                                <w:rFonts w:eastAsia="Times New Roman"/>
                              </w:rPr>
                              <w:t xml:space="preserve"> by the Venice commission adopted at its </w:t>
                            </w:r>
                            <w:r w:rsidRPr="00D92383">
                              <w:rPr>
                                <w:rFonts w:eastAsia="Times New Roman"/>
                              </w:rPr>
                              <w:t>Plena</w:t>
                            </w:r>
                            <w:r>
                              <w:rPr>
                                <w:rFonts w:eastAsia="Times New Roman"/>
                              </w:rPr>
                              <w:t xml:space="preserve">ry Session on 16-17 March 2018 </w:t>
                            </w:r>
                            <w:r w:rsidRPr="00D92383">
                              <w:rPr>
                                <w:rFonts w:eastAsia="Times New Roman"/>
                              </w:rPr>
                              <w:t>(CDL-AD(2018)001)</w:t>
                            </w:r>
                            <w:r>
                              <w:rPr>
                                <w:rFonts w:eastAsia="Times New Roman"/>
                              </w:rPr>
                              <w:t xml:space="preserve">, the Law was adopted in March 2019, significantly introducing </w:t>
                            </w:r>
                            <w:r w:rsidRPr="00C83419">
                              <w:rPr>
                                <w:rFonts w:eastAsia="Times New Roman"/>
                              </w:rPr>
                              <w:t>gender identity as a ground for discrimination</w:t>
                            </w:r>
                            <w:r>
                              <w:rPr>
                                <w:rFonts w:eastAsia="Times New Roman"/>
                              </w:rPr>
                              <w:t xml:space="preserve">. </w:t>
                            </w:r>
                          </w:p>
                          <w:p w14:paraId="430E13FE" w14:textId="77777777" w:rsidR="008E3CBC" w:rsidRPr="00D92383" w:rsidRDefault="008E3CBC" w:rsidP="008E3CBC">
                            <w:pPr>
                              <w:spacing w:after="0" w:line="240" w:lineRule="auto"/>
                              <w:jc w:val="both"/>
                              <w:rPr>
                                <w:rFonts w:eastAsia="Times New Roman"/>
                              </w:rPr>
                            </w:pPr>
                          </w:p>
                          <w:p w14:paraId="0E21CFD8" w14:textId="77777777" w:rsidR="008E3CBC" w:rsidRPr="00D92383" w:rsidRDefault="008E3CBC" w:rsidP="008E3CBC">
                            <w:pPr>
                              <w:spacing w:after="0" w:line="240" w:lineRule="auto"/>
                              <w:jc w:val="both"/>
                              <w:rPr>
                                <w:rFonts w:eastAsia="Times New Roman"/>
                              </w:rPr>
                            </w:pPr>
                            <w:r w:rsidRPr="00D92383">
                              <w:rPr>
                                <w:rFonts w:eastAsia="Times New Roman"/>
                              </w:rPr>
                              <w:t xml:space="preserve">Support was provided to improve draft amendments to the </w:t>
                            </w:r>
                            <w:r w:rsidRPr="00D92383">
                              <w:rPr>
                                <w:rFonts w:eastAsia="Times New Roman"/>
                                <w:b/>
                              </w:rPr>
                              <w:t>Constitutional provisions relating to the judiciary</w:t>
                            </w:r>
                            <w:r w:rsidRPr="00D92383">
                              <w:rPr>
                                <w:rFonts w:eastAsia="Times New Roman"/>
                              </w:rPr>
                              <w:t xml:space="preserve"> in Serbia. An opinion was adopted by the Venice Commission in June 2018 (</w:t>
                            </w:r>
                            <w:hyperlink r:id="rId11" w:history="1">
                              <w:r w:rsidRPr="00D92383">
                                <w:rPr>
                                  <w:rFonts w:eastAsia="Times New Roman"/>
                                </w:rPr>
                                <w:t>CDL-AD(2018)011</w:t>
                              </w:r>
                            </w:hyperlink>
                            <w:r w:rsidRPr="00D92383">
                              <w:rPr>
                                <w:rFonts w:eastAsia="Times New Roman"/>
                              </w:rPr>
                              <w:t xml:space="preserve">) which raised a number of issues to be addressed. At its October 2018 plenary session, the Venice Commission found that the government of Serbia had followed its recommendations in the revised draft of the Constitution. </w:t>
                            </w:r>
                          </w:p>
                          <w:p w14:paraId="422F3968" w14:textId="77777777" w:rsidR="008E3CBC" w:rsidRDefault="008E3CBC" w:rsidP="008E3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5F9F5D" id="_x0000_t202" coordsize="21600,21600" o:spt="202" path="m,l,21600r21600,l21600,xe">
                <v:stroke joinstyle="miter"/>
                <v:path gradientshapeok="t" o:connecttype="rect"/>
              </v:shapetype>
              <v:shape id="Text Box 2" o:spid="_x0000_s1026" type="#_x0000_t202" style="position:absolute;left:0;text-align:left;margin-left:0;margin-top:-34.5pt;width:495pt;height:3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">
                <v:textbox>
                  <w:txbxContent>
                    <w:p w14:paraId="0E43331F" w14:textId="77777777" w:rsidR="008E3CBC" w:rsidRPr="007A182B" w:rsidRDefault="008E3CBC" w:rsidP="008E3CBC">
                      <w:pPr>
                        <w:jc w:val="both"/>
                        <w:rPr>
                          <w:b/>
                        </w:rPr>
                      </w:pPr>
                      <w:r w:rsidRPr="007A182B">
                        <w:rPr>
                          <w:b/>
                        </w:rPr>
                        <w:t xml:space="preserve">Examples of support provided under the ECM </w:t>
                      </w:r>
                      <w:r>
                        <w:rPr>
                          <w:b/>
                        </w:rPr>
                        <w:t>(2016- 2019)</w:t>
                      </w:r>
                    </w:p>
                    <w:p w14:paraId="430CF05F" w14:textId="77777777" w:rsidR="008E3CBC" w:rsidRDefault="008E3CBC" w:rsidP="008E3CBC">
                      <w:pPr>
                        <w:jc w:val="both"/>
                        <w:rPr>
                          <w:rFonts w:eastAsia="Times New Roman"/>
                          <w:lang w:eastAsia="en-GB"/>
                        </w:rPr>
                      </w:pPr>
                      <w:r>
                        <w:t xml:space="preserve">The </w:t>
                      </w:r>
                      <w:r>
                        <w:rPr>
                          <w:rFonts w:eastAsia="Times New Roman"/>
                          <w:lang w:eastAsia="en-GB"/>
                        </w:rPr>
                        <w:t xml:space="preserve">Constitutional Court </w:t>
                      </w:r>
                      <w:r>
                        <w:t xml:space="preserve">of Albania </w:t>
                      </w:r>
                      <w:r>
                        <w:rPr>
                          <w:rFonts w:eastAsia="Times New Roman"/>
                          <w:lang w:eastAsia="en-GB"/>
                        </w:rPr>
                        <w:t xml:space="preserve">requested an </w:t>
                      </w:r>
                      <w:r w:rsidRPr="003C2871">
                        <w:rPr>
                          <w:rFonts w:eastAsia="Times New Roman"/>
                          <w:b/>
                          <w:lang w:eastAsia="en-GB"/>
                        </w:rPr>
                        <w:t>amicus curiae brief on the Law on Treatment of Property and Finalisation of the Process of Compensation of Property</w:t>
                      </w:r>
                      <w:r>
                        <w:rPr>
                          <w:rFonts w:eastAsia="Times New Roman"/>
                          <w:lang w:eastAsia="en-GB"/>
                        </w:rPr>
                        <w:t>. The brief was adopted by the Venice Commission on 14-15 October 2016, paving the way to the adaption and implementation of this key legislation.</w:t>
                      </w:r>
                    </w:p>
                    <w:p w14:paraId="626E4A9F" w14:textId="77777777" w:rsidR="008E3CBC" w:rsidRDefault="008E3CBC" w:rsidP="008E3CBC">
                      <w:pPr>
                        <w:spacing w:after="0" w:line="240" w:lineRule="auto"/>
                        <w:jc w:val="both"/>
                        <w:rPr>
                          <w:rFonts w:eastAsia="Times New Roman"/>
                          <w:lang w:eastAsia="en-GB"/>
                        </w:rPr>
                      </w:pPr>
                      <w:r>
                        <w:rPr>
                          <w:rFonts w:eastAsia="Times New Roman"/>
                          <w:lang w:eastAsia="en-GB"/>
                        </w:rPr>
                        <w:t xml:space="preserve">In Bosnia and Herzegovina, legal expertise </w:t>
                      </w:r>
                      <w:r>
                        <w:rPr>
                          <w:rFonts w:eastAsia="Times New Roman"/>
                        </w:rPr>
                        <w:t xml:space="preserve">was provided by the Council of Europe in April 2018 on the </w:t>
                      </w:r>
                    </w:p>
                    <w:p w14:paraId="3C3194FF" w14:textId="77777777" w:rsidR="008E3CBC" w:rsidRDefault="008E3CBC" w:rsidP="008E3CBC">
                      <w:pPr>
                        <w:jc w:val="both"/>
                        <w:rPr>
                          <w:rFonts w:eastAsia="Times New Roman"/>
                        </w:rPr>
                      </w:pPr>
                      <w:r>
                        <w:rPr>
                          <w:rFonts w:eastAsia="Times New Roman"/>
                          <w:b/>
                          <w:bCs/>
                        </w:rPr>
                        <w:t>Law on the rights of the victims of torture</w:t>
                      </w:r>
                      <w:r>
                        <w:rPr>
                          <w:rFonts w:eastAsia="Times New Roman"/>
                        </w:rPr>
                        <w:t>, upon the request of the Ministry of Human Rights and Refugees.</w:t>
                      </w:r>
                    </w:p>
                    <w:p w14:paraId="552DCF4E" w14:textId="77777777" w:rsidR="008E3CBC" w:rsidRDefault="008E3CBC" w:rsidP="008E3CBC">
                      <w:pPr>
                        <w:spacing w:after="0" w:line="240" w:lineRule="auto"/>
                        <w:jc w:val="both"/>
                        <w:rPr>
                          <w:rFonts w:eastAsia="Times New Roman"/>
                        </w:rPr>
                      </w:pPr>
                      <w:r>
                        <w:rPr>
                          <w:rFonts w:eastAsia="Times New Roman"/>
                        </w:rPr>
                        <w:t xml:space="preserve">In Montenegro, an opinion was provided on human-rights related provisions of draft </w:t>
                      </w:r>
                      <w:r w:rsidRPr="00B97CFE">
                        <w:rPr>
                          <w:rFonts w:eastAsia="Times New Roman"/>
                          <w:b/>
                        </w:rPr>
                        <w:t>Law on Foreigners</w:t>
                      </w:r>
                      <w:r>
                        <w:rPr>
                          <w:rFonts w:eastAsia="Times New Roman"/>
                        </w:rPr>
                        <w:t>. The Law, which was adopted in February 2018, ensured a better balance of security provisions with those safeguarding human rights of persons in migration,</w:t>
                      </w:r>
                      <w:r w:rsidRPr="003919B7">
                        <w:rPr>
                          <w:rFonts w:eastAsia="Times New Roman"/>
                        </w:rPr>
                        <w:t xml:space="preserve"> </w:t>
                      </w:r>
                      <w:r>
                        <w:rPr>
                          <w:rFonts w:eastAsia="Times New Roman"/>
                        </w:rPr>
                        <w:t>in line with the European Convention on Human Rights and European Court of Human Rights case law.</w:t>
                      </w:r>
                    </w:p>
                    <w:p w14:paraId="5976C6EA" w14:textId="77777777" w:rsidR="008E3CBC" w:rsidRPr="00D92383" w:rsidRDefault="008E3CBC" w:rsidP="008E3CBC">
                      <w:pPr>
                        <w:spacing w:after="0" w:line="240" w:lineRule="auto"/>
                        <w:jc w:val="both"/>
                        <w:rPr>
                          <w:rFonts w:eastAsia="Times New Roman"/>
                        </w:rPr>
                      </w:pPr>
                    </w:p>
                    <w:p w14:paraId="3CB9E835" w14:textId="77777777" w:rsidR="008E3CBC" w:rsidRDefault="008E3CBC" w:rsidP="008E3CBC">
                      <w:pPr>
                        <w:spacing w:after="0" w:line="240" w:lineRule="auto"/>
                        <w:jc w:val="both"/>
                        <w:rPr>
                          <w:rFonts w:eastAsia="Times New Roman"/>
                        </w:rPr>
                      </w:pPr>
                      <w:r w:rsidRPr="00D92383">
                        <w:rPr>
                          <w:rFonts w:eastAsia="Times New Roman"/>
                        </w:rPr>
                        <w:t xml:space="preserve">The Ministry of Labour and Social Policy of North Macedonia requested support for drafting </w:t>
                      </w:r>
                      <w:r w:rsidRPr="00D92383">
                        <w:rPr>
                          <w:rFonts w:eastAsia="Times New Roman"/>
                          <w:b/>
                        </w:rPr>
                        <w:t>the Law on the Prevention and Protection against Discrimination</w:t>
                      </w:r>
                      <w:r w:rsidRPr="00D92383">
                        <w:rPr>
                          <w:rFonts w:eastAsia="Times New Roman"/>
                        </w:rPr>
                        <w:t>. Following an opinion</w:t>
                      </w:r>
                      <w:r>
                        <w:rPr>
                          <w:rFonts w:eastAsia="Times New Roman"/>
                        </w:rPr>
                        <w:t xml:space="preserve"> by the Venice commission adopted at its </w:t>
                      </w:r>
                      <w:r w:rsidRPr="00D92383">
                        <w:rPr>
                          <w:rFonts w:eastAsia="Times New Roman"/>
                        </w:rPr>
                        <w:t>Plena</w:t>
                      </w:r>
                      <w:r>
                        <w:rPr>
                          <w:rFonts w:eastAsia="Times New Roman"/>
                        </w:rPr>
                        <w:t xml:space="preserve">ry Session on 16-17 March 2018 </w:t>
                      </w:r>
                      <w:r w:rsidRPr="00D92383">
                        <w:rPr>
                          <w:rFonts w:eastAsia="Times New Roman"/>
                        </w:rPr>
                        <w:t>(CDL-AD(2018)001)</w:t>
                      </w:r>
                      <w:r>
                        <w:rPr>
                          <w:rFonts w:eastAsia="Times New Roman"/>
                        </w:rPr>
                        <w:t xml:space="preserve">, the Law was adopted in March 2019, significantly introducing </w:t>
                      </w:r>
                      <w:r w:rsidRPr="00C83419">
                        <w:rPr>
                          <w:rFonts w:eastAsia="Times New Roman"/>
                        </w:rPr>
                        <w:t>gender identity as a ground for discrimination</w:t>
                      </w:r>
                      <w:r>
                        <w:rPr>
                          <w:rFonts w:eastAsia="Times New Roman"/>
                        </w:rPr>
                        <w:t xml:space="preserve">. </w:t>
                      </w:r>
                    </w:p>
                    <w:p w14:paraId="430E13FE" w14:textId="77777777" w:rsidR="008E3CBC" w:rsidRPr="00D92383" w:rsidRDefault="008E3CBC" w:rsidP="008E3CBC">
                      <w:pPr>
                        <w:spacing w:after="0" w:line="240" w:lineRule="auto"/>
                        <w:jc w:val="both"/>
                        <w:rPr>
                          <w:rFonts w:eastAsia="Times New Roman"/>
                        </w:rPr>
                      </w:pPr>
                    </w:p>
                    <w:p w14:paraId="0E21CFD8" w14:textId="77777777" w:rsidR="008E3CBC" w:rsidRPr="00D92383" w:rsidRDefault="008E3CBC" w:rsidP="008E3CBC">
                      <w:pPr>
                        <w:spacing w:after="0" w:line="240" w:lineRule="auto"/>
                        <w:jc w:val="both"/>
                        <w:rPr>
                          <w:rFonts w:eastAsia="Times New Roman"/>
                        </w:rPr>
                      </w:pPr>
                      <w:r w:rsidRPr="00D92383">
                        <w:rPr>
                          <w:rFonts w:eastAsia="Times New Roman"/>
                        </w:rPr>
                        <w:t xml:space="preserve">Support was provided to improve draft amendments to the </w:t>
                      </w:r>
                      <w:r w:rsidRPr="00D92383">
                        <w:rPr>
                          <w:rFonts w:eastAsia="Times New Roman"/>
                          <w:b/>
                        </w:rPr>
                        <w:t>Constitutional provisions relating to the judiciary</w:t>
                      </w:r>
                      <w:r w:rsidRPr="00D92383">
                        <w:rPr>
                          <w:rFonts w:eastAsia="Times New Roman"/>
                        </w:rPr>
                        <w:t xml:space="preserve"> in Serbia. An opinion was adopted by the Venice Commission in June 2018 (</w:t>
                      </w:r>
                      <w:hyperlink r:id="rId12" w:history="1">
                        <w:r w:rsidRPr="00D92383">
                          <w:rPr>
                            <w:rFonts w:eastAsia="Times New Roman"/>
                          </w:rPr>
                          <w:t>CDL-AD(2018)011</w:t>
                        </w:r>
                      </w:hyperlink>
                      <w:r w:rsidRPr="00D92383">
                        <w:rPr>
                          <w:rFonts w:eastAsia="Times New Roman"/>
                        </w:rPr>
                        <w:t xml:space="preserve">) which raised a number of issues to be addressed. At its October 2018 plenary session, the Venice Commission found that the government of Serbia had followed its recommendations in the revised draft of the Constitution. </w:t>
                      </w:r>
                    </w:p>
                    <w:p w14:paraId="422F3968" w14:textId="77777777" w:rsidR="008E3CBC" w:rsidRDefault="008E3CBC" w:rsidP="008E3CBC"/>
                  </w:txbxContent>
                </v:textbox>
              </v:shape>
            </w:pict>
          </mc:Fallback>
        </mc:AlternateContent>
      </w:r>
    </w:p>
    <w:p w14:paraId="78276771"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1AB84174"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29B3CC18"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71A97D19"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0E3113C2"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0BCFADB5"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39479D05" w14:textId="77777777" w:rsidR="008E3CBC" w:rsidRPr="002E4284" w:rsidRDefault="008E3CBC" w:rsidP="008E3CBC">
      <w:pPr>
        <w:autoSpaceDE w:val="0"/>
        <w:autoSpaceDN w:val="0"/>
        <w:adjustRightInd w:val="0"/>
        <w:spacing w:after="0" w:line="360" w:lineRule="auto"/>
        <w:jc w:val="both"/>
        <w:rPr>
          <w:rFonts w:cs="MyriadPro-Regular"/>
          <w:b/>
          <w:color w:val="FF0000"/>
          <w:lang w:val="fr-FR"/>
        </w:rPr>
      </w:pPr>
    </w:p>
    <w:p w14:paraId="21B740F1" w14:textId="77777777" w:rsidR="008E3CBC" w:rsidRDefault="008E3CBC" w:rsidP="00377CEC">
      <w:pPr>
        <w:autoSpaceDE w:val="0"/>
        <w:autoSpaceDN w:val="0"/>
        <w:adjustRightInd w:val="0"/>
        <w:spacing w:after="0" w:line="360" w:lineRule="auto"/>
        <w:jc w:val="both"/>
        <w:rPr>
          <w:rFonts w:cs="MyriadPro-Regular"/>
          <w:color w:val="000000"/>
          <w:lang w:val="fr-FR"/>
        </w:rPr>
      </w:pPr>
    </w:p>
    <w:p w14:paraId="49B36427" w14:textId="0AF472E0" w:rsidR="008E3CBC" w:rsidRDefault="008E3CBC">
      <w:pPr>
        <w:rPr>
          <w:rFonts w:cs="MyriadPro-Regular"/>
          <w:b/>
          <w:color w:val="FF0000"/>
          <w:lang w:val="fr-FR"/>
        </w:rPr>
      </w:pPr>
      <w:r>
        <w:rPr>
          <w:rFonts w:cs="MyriadPro-Regular"/>
          <w:b/>
          <w:color w:val="FF0000"/>
          <w:lang w:val="fr-FR"/>
        </w:rPr>
        <w:br w:type="page"/>
      </w:r>
    </w:p>
    <w:p w14:paraId="3437A011" w14:textId="10787C62" w:rsidR="00B97CFE" w:rsidRDefault="00B97CFE" w:rsidP="00377CEC">
      <w:pPr>
        <w:autoSpaceDE w:val="0"/>
        <w:autoSpaceDN w:val="0"/>
        <w:adjustRightInd w:val="0"/>
        <w:spacing w:after="0" w:line="360" w:lineRule="auto"/>
        <w:jc w:val="both"/>
        <w:rPr>
          <w:rFonts w:cs="MyriadPro-Regular"/>
          <w:b/>
          <w:color w:val="FF0000"/>
          <w:lang w:val="fr-FR"/>
        </w:rPr>
      </w:pPr>
    </w:p>
    <w:p w14:paraId="1DD4EEC9" w14:textId="77777777" w:rsidR="00D27A7F" w:rsidRPr="003D6ED6" w:rsidRDefault="00D27A7F" w:rsidP="00D27A7F">
      <w:pPr>
        <w:autoSpaceDE w:val="0"/>
        <w:autoSpaceDN w:val="0"/>
        <w:adjustRightInd w:val="0"/>
        <w:spacing w:after="0" w:line="360" w:lineRule="auto"/>
        <w:jc w:val="both"/>
        <w:rPr>
          <w:rFonts w:cs="MyriadPro-Regular"/>
          <w:b/>
          <w:bCs/>
          <w:color w:val="000000"/>
        </w:rPr>
      </w:pPr>
      <w:r w:rsidRPr="003D6ED6">
        <w:rPr>
          <w:rFonts w:cs="MyriadPro-Regular"/>
          <w:b/>
          <w:bCs/>
          <w:color w:val="000000"/>
        </w:rPr>
        <w:t>MORE INFORMATION</w:t>
      </w:r>
    </w:p>
    <w:p w14:paraId="0CD96426" w14:textId="77777777" w:rsidR="00D27A7F" w:rsidRPr="003D6ED6" w:rsidRDefault="00D27A7F" w:rsidP="00E67B6F">
      <w:pPr>
        <w:pStyle w:val="ListParagraph"/>
        <w:numPr>
          <w:ilvl w:val="0"/>
          <w:numId w:val="3"/>
        </w:numPr>
        <w:autoSpaceDE w:val="0"/>
        <w:autoSpaceDN w:val="0"/>
        <w:adjustRightInd w:val="0"/>
        <w:spacing w:after="0" w:line="360" w:lineRule="auto"/>
        <w:jc w:val="both"/>
        <w:rPr>
          <w:rFonts w:cs="MyriadPro-Regular"/>
          <w:color w:val="000000"/>
        </w:rPr>
      </w:pPr>
      <w:r w:rsidRPr="003D6ED6">
        <w:rPr>
          <w:rFonts w:cs="MyriadPro-Regular"/>
          <w:color w:val="000000"/>
        </w:rPr>
        <w:t>Website</w:t>
      </w:r>
    </w:p>
    <w:p w14:paraId="0AE3B217" w14:textId="77777777" w:rsidR="00D27A7F" w:rsidRPr="003D6ED6" w:rsidRDefault="00D27A7F" w:rsidP="00E67B6F">
      <w:pPr>
        <w:autoSpaceDE w:val="0"/>
        <w:autoSpaceDN w:val="0"/>
        <w:adjustRightInd w:val="0"/>
        <w:spacing w:after="0" w:line="360" w:lineRule="auto"/>
        <w:ind w:firstLine="720"/>
        <w:jc w:val="both"/>
        <w:rPr>
          <w:rFonts w:cs="MyriadPro-Regular"/>
          <w:color w:val="000000"/>
        </w:rPr>
      </w:pPr>
      <w:r w:rsidRPr="003D6ED6">
        <w:rPr>
          <w:rFonts w:cs="MyriadPro-Regular"/>
          <w:color w:val="000000"/>
        </w:rPr>
        <w:t>http://horizontal-facility-eu.coe.int</w:t>
      </w:r>
    </w:p>
    <w:p w14:paraId="5C33DD3E" w14:textId="2099B4D0" w:rsidR="00D27A7F" w:rsidRPr="003D6ED6" w:rsidRDefault="00D27A7F" w:rsidP="00D27A7F">
      <w:pPr>
        <w:autoSpaceDE w:val="0"/>
        <w:autoSpaceDN w:val="0"/>
        <w:adjustRightInd w:val="0"/>
        <w:spacing w:after="0" w:line="360" w:lineRule="auto"/>
        <w:jc w:val="both"/>
        <w:rPr>
          <w:rFonts w:cs="MyriadPro-Regular"/>
          <w:color w:val="000000"/>
        </w:rPr>
      </w:pPr>
    </w:p>
    <w:p w14:paraId="4CBB78E7" w14:textId="77777777" w:rsidR="00D27A7F" w:rsidRPr="003D6ED6" w:rsidRDefault="00D27A7F" w:rsidP="00E67B6F">
      <w:pPr>
        <w:pStyle w:val="ListParagraph"/>
        <w:numPr>
          <w:ilvl w:val="0"/>
          <w:numId w:val="3"/>
        </w:numPr>
        <w:autoSpaceDE w:val="0"/>
        <w:autoSpaceDN w:val="0"/>
        <w:adjustRightInd w:val="0"/>
        <w:spacing w:after="0" w:line="360" w:lineRule="auto"/>
        <w:jc w:val="both"/>
        <w:rPr>
          <w:rFonts w:cs="MyriadPro-Regular"/>
          <w:color w:val="000000"/>
        </w:rPr>
      </w:pPr>
      <w:r w:rsidRPr="003D6ED6">
        <w:rPr>
          <w:rFonts w:cs="MyriadPro-Regular"/>
          <w:color w:val="000000"/>
        </w:rPr>
        <w:t>Facebook</w:t>
      </w:r>
    </w:p>
    <w:p w14:paraId="4F1A068A" w14:textId="02029107" w:rsidR="00D27A7F" w:rsidRPr="003D6ED6" w:rsidRDefault="00D27A7F" w:rsidP="00E67B6F">
      <w:pPr>
        <w:autoSpaceDE w:val="0"/>
        <w:autoSpaceDN w:val="0"/>
        <w:adjustRightInd w:val="0"/>
        <w:spacing w:after="0" w:line="360" w:lineRule="auto"/>
        <w:ind w:firstLine="720"/>
        <w:jc w:val="both"/>
        <w:rPr>
          <w:rFonts w:cs="MyriadPro-Regular"/>
          <w:color w:val="000000"/>
        </w:rPr>
      </w:pPr>
      <w:r w:rsidRPr="003D6ED6">
        <w:rPr>
          <w:rFonts w:cs="MyriadPro-Regular"/>
          <w:color w:val="000000"/>
        </w:rPr>
        <w:t>jp.horizontal.facility</w:t>
      </w:r>
    </w:p>
    <w:p w14:paraId="3479C70E" w14:textId="77777777" w:rsidR="00D27A7F" w:rsidRPr="003D6ED6" w:rsidRDefault="00D27A7F" w:rsidP="00D27A7F">
      <w:pPr>
        <w:autoSpaceDE w:val="0"/>
        <w:autoSpaceDN w:val="0"/>
        <w:adjustRightInd w:val="0"/>
        <w:spacing w:after="0" w:line="360" w:lineRule="auto"/>
        <w:jc w:val="both"/>
        <w:rPr>
          <w:rFonts w:cs="MyriadPro-Regular"/>
          <w:color w:val="000000"/>
        </w:rPr>
      </w:pPr>
    </w:p>
    <w:p w14:paraId="3ED645A5" w14:textId="77777777" w:rsidR="00D27A7F" w:rsidRPr="003D6ED6" w:rsidRDefault="00D27A7F" w:rsidP="00E67B6F">
      <w:pPr>
        <w:pStyle w:val="ListParagraph"/>
        <w:numPr>
          <w:ilvl w:val="0"/>
          <w:numId w:val="3"/>
        </w:numPr>
        <w:autoSpaceDE w:val="0"/>
        <w:autoSpaceDN w:val="0"/>
        <w:adjustRightInd w:val="0"/>
        <w:spacing w:after="0" w:line="360" w:lineRule="auto"/>
        <w:jc w:val="both"/>
        <w:rPr>
          <w:rFonts w:cs="MyriadPro-Regular"/>
          <w:color w:val="000000"/>
        </w:rPr>
      </w:pPr>
      <w:r w:rsidRPr="003D6ED6">
        <w:rPr>
          <w:rFonts w:cs="MyriadPro-Regular"/>
          <w:color w:val="000000"/>
        </w:rPr>
        <w:t>Twitter</w:t>
      </w:r>
    </w:p>
    <w:p w14:paraId="3D3A9173" w14:textId="77777777" w:rsidR="00D27A7F" w:rsidRPr="003D6ED6" w:rsidRDefault="00D27A7F" w:rsidP="00E67B6F">
      <w:pPr>
        <w:autoSpaceDE w:val="0"/>
        <w:autoSpaceDN w:val="0"/>
        <w:adjustRightInd w:val="0"/>
        <w:spacing w:after="0" w:line="360" w:lineRule="auto"/>
        <w:ind w:firstLine="720"/>
        <w:jc w:val="both"/>
        <w:rPr>
          <w:rFonts w:cs="MyriadPro-Regular"/>
          <w:color w:val="000000"/>
        </w:rPr>
      </w:pPr>
      <w:r w:rsidRPr="003D6ED6">
        <w:rPr>
          <w:rFonts w:cs="MyriadPro-Regular"/>
          <w:color w:val="000000"/>
        </w:rPr>
        <w:t>@CoE_EU_HF</w:t>
      </w:r>
    </w:p>
    <w:p w14:paraId="0AEABFB3" w14:textId="77777777" w:rsidR="00D27A7F" w:rsidRPr="003D6ED6" w:rsidRDefault="00D27A7F" w:rsidP="00D27A7F">
      <w:pPr>
        <w:autoSpaceDE w:val="0"/>
        <w:autoSpaceDN w:val="0"/>
        <w:adjustRightInd w:val="0"/>
        <w:spacing w:after="0" w:line="360" w:lineRule="auto"/>
        <w:jc w:val="both"/>
        <w:rPr>
          <w:rFonts w:cs="MyriadPro-Regular"/>
          <w:color w:val="000000"/>
        </w:rPr>
      </w:pPr>
    </w:p>
    <w:p w14:paraId="57099003" w14:textId="77777777" w:rsidR="00316195" w:rsidRPr="003D6ED6" w:rsidRDefault="00D27A7F" w:rsidP="00316195">
      <w:pPr>
        <w:autoSpaceDE w:val="0"/>
        <w:autoSpaceDN w:val="0"/>
        <w:adjustRightInd w:val="0"/>
        <w:spacing w:after="0" w:line="360" w:lineRule="auto"/>
        <w:jc w:val="both"/>
        <w:rPr>
          <w:rFonts w:cs="MyriadPro-Regular"/>
          <w:color w:val="000000"/>
        </w:rPr>
      </w:pPr>
      <w:r w:rsidRPr="003D6ED6">
        <w:rPr>
          <w:rFonts w:cs="MyriadPro-Regular"/>
          <w:color w:val="000000"/>
        </w:rPr>
        <w:t>Contact</w:t>
      </w:r>
      <w:r w:rsidR="00316195" w:rsidRPr="003D6ED6">
        <w:rPr>
          <w:rFonts w:cs="MyriadPro-Regular"/>
          <w:color w:val="000000"/>
        </w:rPr>
        <w:t xml:space="preserve"> </w:t>
      </w:r>
    </w:p>
    <w:p w14:paraId="5B3D7F9D" w14:textId="7AD4F6B6" w:rsidR="00316195" w:rsidRPr="003D6ED6" w:rsidRDefault="00316195" w:rsidP="00316195">
      <w:pPr>
        <w:autoSpaceDE w:val="0"/>
        <w:autoSpaceDN w:val="0"/>
        <w:adjustRightInd w:val="0"/>
        <w:spacing w:after="0" w:line="360" w:lineRule="auto"/>
        <w:jc w:val="both"/>
        <w:rPr>
          <w:rFonts w:cs="MyriadPro-Regular"/>
          <w:color w:val="000000"/>
        </w:rPr>
      </w:pPr>
      <w:r w:rsidRPr="003D6ED6">
        <w:rPr>
          <w:rFonts w:cs="MyriadPro-Regular"/>
          <w:color w:val="000000"/>
        </w:rPr>
        <w:t>Horizontal Facility Co-ordination Team</w:t>
      </w:r>
    </w:p>
    <w:p w14:paraId="61558A77" w14:textId="77777777" w:rsidR="00316195" w:rsidRPr="003D6ED6" w:rsidRDefault="00316195" w:rsidP="00316195">
      <w:pPr>
        <w:autoSpaceDE w:val="0"/>
        <w:autoSpaceDN w:val="0"/>
        <w:adjustRightInd w:val="0"/>
        <w:spacing w:after="0" w:line="360" w:lineRule="auto"/>
        <w:jc w:val="both"/>
        <w:rPr>
          <w:rFonts w:cs="MyriadPro-Regular"/>
          <w:color w:val="000000"/>
        </w:rPr>
      </w:pPr>
      <w:r w:rsidRPr="003D6ED6">
        <w:rPr>
          <w:rFonts w:cs="MyriadPro-Regular"/>
          <w:color w:val="000000"/>
        </w:rPr>
        <w:t>Office of the Directorate General of Programmes</w:t>
      </w:r>
    </w:p>
    <w:p w14:paraId="29ADEEAB" w14:textId="77777777" w:rsidR="00316195" w:rsidRPr="00DE7A8A" w:rsidRDefault="00316195" w:rsidP="00316195">
      <w:pPr>
        <w:autoSpaceDE w:val="0"/>
        <w:autoSpaceDN w:val="0"/>
        <w:adjustRightInd w:val="0"/>
        <w:spacing w:after="0" w:line="360" w:lineRule="auto"/>
        <w:jc w:val="both"/>
        <w:rPr>
          <w:rFonts w:cs="MyriadPro-Regular"/>
          <w:color w:val="000000"/>
          <w:lang w:val="fr-FR"/>
        </w:rPr>
      </w:pPr>
      <w:r w:rsidRPr="00DE7A8A">
        <w:rPr>
          <w:rFonts w:cs="MyriadPro-Regular"/>
          <w:color w:val="000000"/>
          <w:lang w:val="fr-FR"/>
        </w:rPr>
        <w:t>Council of Europe</w:t>
      </w:r>
    </w:p>
    <w:p w14:paraId="10A9DE21" w14:textId="77777777" w:rsidR="00316195" w:rsidRPr="002E4284" w:rsidRDefault="00316195" w:rsidP="00316195">
      <w:pPr>
        <w:autoSpaceDE w:val="0"/>
        <w:autoSpaceDN w:val="0"/>
        <w:adjustRightInd w:val="0"/>
        <w:spacing w:after="0" w:line="360" w:lineRule="auto"/>
        <w:jc w:val="both"/>
        <w:rPr>
          <w:rFonts w:cs="MyriadPro-Regular"/>
          <w:color w:val="000000"/>
          <w:lang w:val="fr-FR"/>
        </w:rPr>
      </w:pPr>
      <w:r w:rsidRPr="002E4284">
        <w:rPr>
          <w:rFonts w:cs="MyriadPro-Regular"/>
          <w:color w:val="000000"/>
          <w:lang w:val="fr-FR"/>
        </w:rPr>
        <w:t>Avenue de l'Europe</w:t>
      </w:r>
    </w:p>
    <w:p w14:paraId="5FBB60D1" w14:textId="77777777" w:rsidR="00316195" w:rsidRPr="002E4284" w:rsidRDefault="00316195" w:rsidP="00316195">
      <w:pPr>
        <w:autoSpaceDE w:val="0"/>
        <w:autoSpaceDN w:val="0"/>
        <w:adjustRightInd w:val="0"/>
        <w:spacing w:after="0" w:line="360" w:lineRule="auto"/>
        <w:jc w:val="both"/>
        <w:rPr>
          <w:rFonts w:cs="MyriadPro-Regular"/>
          <w:color w:val="000000"/>
          <w:lang w:val="fr-FR"/>
        </w:rPr>
      </w:pPr>
      <w:r w:rsidRPr="002E4284">
        <w:rPr>
          <w:rFonts w:cs="MyriadPro-Regular"/>
          <w:color w:val="000000"/>
          <w:lang w:val="fr-FR"/>
        </w:rPr>
        <w:t>F-67075 Strasbourg Cedex</w:t>
      </w:r>
    </w:p>
    <w:p w14:paraId="327E210C" w14:textId="77777777" w:rsidR="00316195" w:rsidRPr="002E4284" w:rsidRDefault="00316195" w:rsidP="00316195">
      <w:pPr>
        <w:autoSpaceDE w:val="0"/>
        <w:autoSpaceDN w:val="0"/>
        <w:adjustRightInd w:val="0"/>
        <w:spacing w:after="0" w:line="360" w:lineRule="auto"/>
        <w:jc w:val="both"/>
        <w:rPr>
          <w:rFonts w:cs="MyriadPro-Regular"/>
          <w:color w:val="000000"/>
          <w:lang w:val="fr-FR"/>
        </w:rPr>
      </w:pPr>
      <w:r w:rsidRPr="002E4284">
        <w:rPr>
          <w:rFonts w:cs="MyriadPro-Regular"/>
          <w:color w:val="000000"/>
          <w:lang w:val="fr-FR"/>
        </w:rPr>
        <w:t>France</w:t>
      </w:r>
    </w:p>
    <w:p w14:paraId="2BC68B26" w14:textId="77777777" w:rsidR="00316195" w:rsidRPr="002E4284" w:rsidRDefault="00316195" w:rsidP="00316195">
      <w:pPr>
        <w:autoSpaceDE w:val="0"/>
        <w:autoSpaceDN w:val="0"/>
        <w:adjustRightInd w:val="0"/>
        <w:spacing w:after="0" w:line="360" w:lineRule="auto"/>
        <w:jc w:val="both"/>
        <w:rPr>
          <w:rFonts w:cs="MyriadPro-Regular"/>
          <w:color w:val="000000"/>
          <w:lang w:val="fr-FR"/>
        </w:rPr>
      </w:pPr>
      <w:r w:rsidRPr="002E4284">
        <w:rPr>
          <w:rFonts w:cs="MyriadPro-Regular"/>
          <w:color w:val="000000"/>
          <w:lang w:val="fr-FR"/>
        </w:rPr>
        <w:t>E-mail: horizontal.facility@coe.int</w:t>
      </w:r>
    </w:p>
    <w:p w14:paraId="72857328" w14:textId="77777777" w:rsidR="00D27A7F" w:rsidRPr="002E4284" w:rsidRDefault="00D27A7F" w:rsidP="00D27A7F">
      <w:pPr>
        <w:autoSpaceDE w:val="0"/>
        <w:autoSpaceDN w:val="0"/>
        <w:adjustRightInd w:val="0"/>
        <w:spacing w:after="0" w:line="360" w:lineRule="auto"/>
        <w:jc w:val="both"/>
        <w:rPr>
          <w:rFonts w:cs="MyriadPro-Regular"/>
          <w:color w:val="000000"/>
          <w:lang w:val="fr-FR"/>
        </w:rPr>
      </w:pPr>
    </w:p>
    <w:p w14:paraId="049FBB2C" w14:textId="77777777" w:rsidR="00B51F2B" w:rsidRPr="003D6ED6" w:rsidRDefault="00B51F2B" w:rsidP="00B51F2B">
      <w:pPr>
        <w:widowControl w:val="0"/>
        <w:autoSpaceDE w:val="0"/>
        <w:autoSpaceDN w:val="0"/>
        <w:adjustRightInd w:val="0"/>
        <w:spacing w:after="0"/>
        <w:jc w:val="both"/>
        <w:rPr>
          <w:rFonts w:cs="Arial"/>
        </w:rPr>
      </w:pPr>
      <w:r w:rsidRPr="003D6ED6">
        <w:rPr>
          <w:rFonts w:cs="Arial"/>
        </w:rPr>
        <w:t>The Member States of the European Union have decided to link together their know-how, resources and destinies. Together, they have built a zone of stability, democracy and sustainable development whilst maintaining cultural diversity, tolerance and individual freedoms. The European Union is committed to sharing its achievements and its values with countries and peoples beyond its borders.</w:t>
      </w:r>
      <w:r w:rsidRPr="003D6ED6">
        <w:rPr>
          <w:rFonts w:cs="Arial"/>
        </w:rPr>
        <w:br/>
      </w:r>
      <w:hyperlink r:id="rId13" w:history="1">
        <w:r w:rsidRPr="003D6ED6">
          <w:rPr>
            <w:rStyle w:val="Hyperlink"/>
            <w:rFonts w:cs="Arial"/>
          </w:rPr>
          <w:t>www.europa.eu</w:t>
        </w:r>
      </w:hyperlink>
      <w:r w:rsidRPr="003D6ED6">
        <w:rPr>
          <w:rFonts w:cs="Arial"/>
        </w:rPr>
        <w:t xml:space="preserve"> </w:t>
      </w:r>
    </w:p>
    <w:p w14:paraId="7EDC415A" w14:textId="77777777" w:rsidR="00B51F2B" w:rsidRPr="003D6ED6" w:rsidRDefault="00B51F2B" w:rsidP="00D27A7F">
      <w:pPr>
        <w:autoSpaceDE w:val="0"/>
        <w:autoSpaceDN w:val="0"/>
        <w:adjustRightInd w:val="0"/>
        <w:spacing w:after="0" w:line="360" w:lineRule="auto"/>
        <w:jc w:val="both"/>
        <w:rPr>
          <w:rFonts w:cs="MyriadPro-Regular"/>
          <w:color w:val="000000"/>
        </w:rPr>
      </w:pPr>
    </w:p>
    <w:p w14:paraId="62C406A4" w14:textId="77777777" w:rsidR="00B51F2B" w:rsidRPr="003D6ED6" w:rsidRDefault="00B51F2B" w:rsidP="00B51F2B">
      <w:pPr>
        <w:widowControl w:val="0"/>
        <w:autoSpaceDE w:val="0"/>
        <w:autoSpaceDN w:val="0"/>
        <w:adjustRightInd w:val="0"/>
        <w:spacing w:after="0"/>
        <w:jc w:val="both"/>
        <w:rPr>
          <w:rFonts w:cs="Arial"/>
        </w:rPr>
      </w:pPr>
      <w:r w:rsidRPr="003D6ED6">
        <w:rPr>
          <w:rFonts w:cs="Arial"/>
        </w:rPr>
        <w:t>The Council of Europe is the continent’s leading human rights organisation. It comprises 47 member states, including all members of the European Union. All Council of Europe member states have signed up to the European Convention on Human Rights, a treaty designed to protect human rights, democracy and the rule of law. The European Court of Human Rights oversees the implementation of the Convention in the member states.</w:t>
      </w:r>
    </w:p>
    <w:p w14:paraId="153F9F9E" w14:textId="77777777" w:rsidR="00B51F2B" w:rsidRPr="003D6ED6" w:rsidRDefault="00CD495F" w:rsidP="00B51F2B">
      <w:pPr>
        <w:widowControl w:val="0"/>
        <w:autoSpaceDE w:val="0"/>
        <w:autoSpaceDN w:val="0"/>
        <w:adjustRightInd w:val="0"/>
        <w:spacing w:after="0"/>
        <w:jc w:val="both"/>
        <w:rPr>
          <w:rFonts w:cs="Arial"/>
        </w:rPr>
      </w:pPr>
      <w:hyperlink r:id="rId14" w:history="1">
        <w:r w:rsidR="00B51F2B" w:rsidRPr="003D6ED6">
          <w:rPr>
            <w:rStyle w:val="Hyperlink"/>
            <w:rFonts w:cs="Arial"/>
          </w:rPr>
          <w:t>www.coe.int</w:t>
        </w:r>
      </w:hyperlink>
      <w:r w:rsidR="00B51F2B" w:rsidRPr="003D6ED6">
        <w:rPr>
          <w:rFonts w:cs="Arial"/>
        </w:rPr>
        <w:t xml:space="preserve"> </w:t>
      </w:r>
    </w:p>
    <w:p w14:paraId="44DB224D" w14:textId="77777777" w:rsidR="00B51F2B" w:rsidRPr="003D6ED6" w:rsidRDefault="00B51F2B" w:rsidP="00D27A7F">
      <w:pPr>
        <w:autoSpaceDE w:val="0"/>
        <w:autoSpaceDN w:val="0"/>
        <w:adjustRightInd w:val="0"/>
        <w:spacing w:after="0" w:line="360" w:lineRule="auto"/>
        <w:jc w:val="both"/>
        <w:rPr>
          <w:rFonts w:cs="MyriadPro-Regular"/>
          <w:color w:val="000000"/>
        </w:rPr>
      </w:pPr>
    </w:p>
    <w:p w14:paraId="2ED95AB8" w14:textId="77777777" w:rsidR="00D27A7F" w:rsidRPr="003D6ED6" w:rsidRDefault="00D27A7F" w:rsidP="00D27A7F">
      <w:pPr>
        <w:autoSpaceDE w:val="0"/>
        <w:autoSpaceDN w:val="0"/>
        <w:adjustRightInd w:val="0"/>
        <w:spacing w:after="0" w:line="360" w:lineRule="auto"/>
        <w:jc w:val="both"/>
        <w:rPr>
          <w:rFonts w:cs="MyriadPro-Regular"/>
          <w:b/>
        </w:rPr>
      </w:pPr>
    </w:p>
    <w:p w14:paraId="5C712E58" w14:textId="40F0B9AD" w:rsidR="00D27A7F" w:rsidRPr="002E4284" w:rsidRDefault="00E67B6F" w:rsidP="00D27A7F">
      <w:pPr>
        <w:autoSpaceDE w:val="0"/>
        <w:autoSpaceDN w:val="0"/>
        <w:adjustRightInd w:val="0"/>
        <w:spacing w:after="0" w:line="360" w:lineRule="auto"/>
        <w:jc w:val="both"/>
        <w:rPr>
          <w:rFonts w:cs="MyriadPro-Regular"/>
          <w:b/>
        </w:rPr>
      </w:pPr>
      <w:r w:rsidRPr="002E4284">
        <w:rPr>
          <w:rFonts w:cs="MyriadPro-Regular"/>
          <w:b/>
        </w:rPr>
        <w:t xml:space="preserve"> </w:t>
      </w:r>
    </w:p>
    <w:sectPr w:rsidR="00D27A7F" w:rsidRPr="002E4284" w:rsidSect="008E3CBC">
      <w:headerReference w:type="default" r:id="rId15"/>
      <w:headerReference w:type="first" r:id="rId16"/>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C97E7" w14:textId="77777777" w:rsidR="00CD495F" w:rsidRDefault="00CD495F" w:rsidP="00C75855">
      <w:pPr>
        <w:spacing w:after="0" w:line="240" w:lineRule="auto"/>
      </w:pPr>
      <w:r>
        <w:separator/>
      </w:r>
    </w:p>
  </w:endnote>
  <w:endnote w:type="continuationSeparator" w:id="0">
    <w:p w14:paraId="65B78083" w14:textId="77777777" w:rsidR="00CD495F" w:rsidRDefault="00CD495F" w:rsidP="00C75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MyriadPro-Regular">
    <w:panose1 w:val="00000000000000000000"/>
    <w:charset w:val="00"/>
    <w:family w:val="swiss"/>
    <w:notTrueType/>
    <w:pitch w:val="default"/>
    <w:sig w:usb0="00000000" w:usb1="08070000" w:usb2="00000010"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MyriadPro-Bold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813E46" w14:textId="77777777" w:rsidR="00CD495F" w:rsidRDefault="00CD495F" w:rsidP="00C75855">
      <w:pPr>
        <w:spacing w:after="0" w:line="240" w:lineRule="auto"/>
      </w:pPr>
      <w:r>
        <w:separator/>
      </w:r>
    </w:p>
  </w:footnote>
  <w:footnote w:type="continuationSeparator" w:id="0">
    <w:p w14:paraId="074BD951" w14:textId="77777777" w:rsidR="00CD495F" w:rsidRDefault="00CD495F" w:rsidP="00C75855">
      <w:pPr>
        <w:spacing w:after="0" w:line="240" w:lineRule="auto"/>
      </w:pPr>
      <w:r>
        <w:continuationSeparator/>
      </w:r>
    </w:p>
  </w:footnote>
  <w:footnote w:id="1">
    <w:p w14:paraId="530ED603" w14:textId="77777777" w:rsidR="00316195" w:rsidRPr="00C75855" w:rsidRDefault="00316195" w:rsidP="00316195">
      <w:pPr>
        <w:pStyle w:val="FootnoteText"/>
        <w:jc w:val="both"/>
      </w:pPr>
      <w:r w:rsidRPr="00C75855">
        <w:rPr>
          <w:rStyle w:val="FootnoteReference"/>
        </w:rPr>
        <w:sym w:font="Symbol" w:char="F02A"/>
      </w:r>
      <w:r w:rsidRPr="00C75855">
        <w:t xml:space="preserve"> This designation is without prejudice to positions on status, and is in line with UNSCR 1244 and the ICJ Opinion on the Kosovo Declaration of Independence.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18AD0" w14:textId="7FC929CB" w:rsidR="008E3CBC" w:rsidRDefault="008E3CBC" w:rsidP="008E3CB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16A28" w14:textId="1564A8FF" w:rsidR="008E3CBC" w:rsidRDefault="008E3CBC" w:rsidP="008E3CBC">
    <w:pPr>
      <w:pStyle w:val="Header"/>
      <w:jc w:val="center"/>
    </w:pPr>
    <w:r w:rsidRPr="00DE7A8A">
      <w:rPr>
        <w:rFonts w:cs="MyriadPro-BoldCond"/>
        <w:b/>
        <w:bCs/>
        <w:noProof/>
        <w:lang w:eastAsia="en-GB"/>
      </w:rPr>
      <w:drawing>
        <wp:inline distT="0" distB="0" distL="0" distR="0" wp14:anchorId="51B3EED1" wp14:editId="7EDD99E5">
          <wp:extent cx="5187950" cy="122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F II logo.jpg"/>
                  <pic:cNvPicPr/>
                </pic:nvPicPr>
                <pic:blipFill>
                  <a:blip r:embed="rId1"/>
                  <a:stretch>
                    <a:fillRect/>
                  </a:stretch>
                </pic:blipFill>
                <pic:spPr>
                  <a:xfrm>
                    <a:off x="0" y="0"/>
                    <a:ext cx="5187950" cy="1225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391219"/>
    <w:multiLevelType w:val="hybridMultilevel"/>
    <w:tmpl w:val="99560D5E"/>
    <w:lvl w:ilvl="0" w:tplc="73F02840">
      <w:start w:val="5"/>
      <w:numFmt w:val="bullet"/>
      <w:lvlText w:val="-"/>
      <w:lvlJc w:val="left"/>
      <w:pPr>
        <w:ind w:left="720" w:hanging="360"/>
      </w:pPr>
      <w:rPr>
        <w:rFonts w:ascii="Calibri" w:eastAsiaTheme="minorHAnsi" w:hAnsi="Calibri" w:cs="MyriadPro-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B41586"/>
    <w:multiLevelType w:val="hybridMultilevel"/>
    <w:tmpl w:val="0AD4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A86BDA"/>
    <w:multiLevelType w:val="hybridMultilevel"/>
    <w:tmpl w:val="DC14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0B36AF"/>
    <w:multiLevelType w:val="multilevel"/>
    <w:tmpl w:val="28D27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52BED"/>
    <w:multiLevelType w:val="hybridMultilevel"/>
    <w:tmpl w:val="9AFA0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241848"/>
    <w:multiLevelType w:val="hybridMultilevel"/>
    <w:tmpl w:val="05FCF6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150"/>
    <w:rsid w:val="000046F5"/>
    <w:rsid w:val="00004BC3"/>
    <w:rsid w:val="000324D3"/>
    <w:rsid w:val="00032E5C"/>
    <w:rsid w:val="00071825"/>
    <w:rsid w:val="000752FC"/>
    <w:rsid w:val="000A220C"/>
    <w:rsid w:val="000B0DE1"/>
    <w:rsid w:val="000B5F2F"/>
    <w:rsid w:val="000C257D"/>
    <w:rsid w:val="000D6CB1"/>
    <w:rsid w:val="000E7304"/>
    <w:rsid w:val="000F7028"/>
    <w:rsid w:val="0015622D"/>
    <w:rsid w:val="00166316"/>
    <w:rsid w:val="00186A97"/>
    <w:rsid w:val="001875B6"/>
    <w:rsid w:val="001B1869"/>
    <w:rsid w:val="001D4E19"/>
    <w:rsid w:val="00207711"/>
    <w:rsid w:val="00213E40"/>
    <w:rsid w:val="0023787C"/>
    <w:rsid w:val="00240EF7"/>
    <w:rsid w:val="00256A78"/>
    <w:rsid w:val="00272BDF"/>
    <w:rsid w:val="0029318F"/>
    <w:rsid w:val="002D5E4C"/>
    <w:rsid w:val="002D6541"/>
    <w:rsid w:val="002E4284"/>
    <w:rsid w:val="002E7683"/>
    <w:rsid w:val="002F39B8"/>
    <w:rsid w:val="00316195"/>
    <w:rsid w:val="00340E94"/>
    <w:rsid w:val="00377CEC"/>
    <w:rsid w:val="003C448F"/>
    <w:rsid w:val="003D6ED6"/>
    <w:rsid w:val="00435646"/>
    <w:rsid w:val="00440B26"/>
    <w:rsid w:val="004438E9"/>
    <w:rsid w:val="0045670E"/>
    <w:rsid w:val="00456B24"/>
    <w:rsid w:val="004845C1"/>
    <w:rsid w:val="004861A2"/>
    <w:rsid w:val="004927B6"/>
    <w:rsid w:val="0049516E"/>
    <w:rsid w:val="004A2CF0"/>
    <w:rsid w:val="004B31B3"/>
    <w:rsid w:val="004B3E40"/>
    <w:rsid w:val="004C6DB8"/>
    <w:rsid w:val="004F3104"/>
    <w:rsid w:val="005169AD"/>
    <w:rsid w:val="00527E52"/>
    <w:rsid w:val="0058219B"/>
    <w:rsid w:val="00591AD3"/>
    <w:rsid w:val="005D6A1D"/>
    <w:rsid w:val="005F72C8"/>
    <w:rsid w:val="0060519D"/>
    <w:rsid w:val="006071A5"/>
    <w:rsid w:val="0063710C"/>
    <w:rsid w:val="006B2DC2"/>
    <w:rsid w:val="0071746A"/>
    <w:rsid w:val="007306F7"/>
    <w:rsid w:val="007A182B"/>
    <w:rsid w:val="007B43E3"/>
    <w:rsid w:val="008228B1"/>
    <w:rsid w:val="00831CA8"/>
    <w:rsid w:val="008443E3"/>
    <w:rsid w:val="008E3CBC"/>
    <w:rsid w:val="00917A81"/>
    <w:rsid w:val="00920633"/>
    <w:rsid w:val="00940569"/>
    <w:rsid w:val="009540FC"/>
    <w:rsid w:val="00973B70"/>
    <w:rsid w:val="009A19BC"/>
    <w:rsid w:val="009A7052"/>
    <w:rsid w:val="009D5264"/>
    <w:rsid w:val="009F6E70"/>
    <w:rsid w:val="00A03F51"/>
    <w:rsid w:val="00A122A7"/>
    <w:rsid w:val="00A13F89"/>
    <w:rsid w:val="00A42F13"/>
    <w:rsid w:val="00A77BB3"/>
    <w:rsid w:val="00A92BDB"/>
    <w:rsid w:val="00AD2B45"/>
    <w:rsid w:val="00B51F2B"/>
    <w:rsid w:val="00B65A4B"/>
    <w:rsid w:val="00B812E8"/>
    <w:rsid w:val="00B97CFE"/>
    <w:rsid w:val="00C02ED6"/>
    <w:rsid w:val="00C60C23"/>
    <w:rsid w:val="00C75855"/>
    <w:rsid w:val="00C83419"/>
    <w:rsid w:val="00C836F8"/>
    <w:rsid w:val="00C84BD7"/>
    <w:rsid w:val="00C95305"/>
    <w:rsid w:val="00CA14F0"/>
    <w:rsid w:val="00CB1150"/>
    <w:rsid w:val="00CD495F"/>
    <w:rsid w:val="00D07F5F"/>
    <w:rsid w:val="00D10CAC"/>
    <w:rsid w:val="00D27A7F"/>
    <w:rsid w:val="00D54324"/>
    <w:rsid w:val="00D92383"/>
    <w:rsid w:val="00DB2F43"/>
    <w:rsid w:val="00DE7726"/>
    <w:rsid w:val="00DE7A8A"/>
    <w:rsid w:val="00E4650C"/>
    <w:rsid w:val="00E537B0"/>
    <w:rsid w:val="00E63EAB"/>
    <w:rsid w:val="00E67B6F"/>
    <w:rsid w:val="00E72077"/>
    <w:rsid w:val="00EB48D1"/>
    <w:rsid w:val="00ED4B2C"/>
    <w:rsid w:val="00EF0C4B"/>
    <w:rsid w:val="00F27E69"/>
    <w:rsid w:val="00F30204"/>
    <w:rsid w:val="00F36F2E"/>
    <w:rsid w:val="00FE3094"/>
    <w:rsid w:val="00FF13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2F7A7F"/>
  <w15:docId w15:val="{CA7172A9-52F6-4B0B-972D-6A6AC83C5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1150"/>
    <w:rPr>
      <w:color w:val="0000FF" w:themeColor="hyperlink"/>
      <w:u w:val="single"/>
    </w:rPr>
  </w:style>
  <w:style w:type="paragraph" w:styleId="ListParagraph">
    <w:name w:val="List Paragraph"/>
    <w:basedOn w:val="Normal"/>
    <w:uiPriority w:val="34"/>
    <w:qFormat/>
    <w:rsid w:val="00C75855"/>
    <w:pPr>
      <w:ind w:left="720"/>
      <w:contextualSpacing/>
    </w:pPr>
  </w:style>
  <w:style w:type="paragraph" w:styleId="Header">
    <w:name w:val="header"/>
    <w:basedOn w:val="Normal"/>
    <w:link w:val="HeaderChar"/>
    <w:uiPriority w:val="99"/>
    <w:unhideWhenUsed/>
    <w:rsid w:val="00C75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855"/>
  </w:style>
  <w:style w:type="paragraph" w:styleId="Footer">
    <w:name w:val="footer"/>
    <w:basedOn w:val="Normal"/>
    <w:link w:val="FooterChar"/>
    <w:uiPriority w:val="99"/>
    <w:unhideWhenUsed/>
    <w:rsid w:val="00C75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855"/>
  </w:style>
  <w:style w:type="paragraph" w:styleId="FootnoteText">
    <w:name w:val="footnote text"/>
    <w:basedOn w:val="Normal"/>
    <w:link w:val="FootnoteTextChar"/>
    <w:uiPriority w:val="99"/>
    <w:semiHidden/>
    <w:unhideWhenUsed/>
    <w:rsid w:val="00C758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855"/>
    <w:rPr>
      <w:sz w:val="20"/>
      <w:szCs w:val="20"/>
    </w:rPr>
  </w:style>
  <w:style w:type="character" w:styleId="FootnoteReference">
    <w:name w:val="footnote reference"/>
    <w:aliases w:val="callout Char Char Char Char Char Char Char Char Char Char1 Char Char Char Char Char,Footnotes refss Char Char Char Char Char Char Char Char1 Char Char Char Char Char Char Char Char Char Char Char Char Char,BVI fnr Car Car Car Car"/>
    <w:basedOn w:val="DefaultParagraphFont"/>
    <w:uiPriority w:val="99"/>
    <w:unhideWhenUsed/>
    <w:qFormat/>
    <w:rsid w:val="00C75855"/>
    <w:rPr>
      <w:vertAlign w:val="superscript"/>
    </w:rPr>
  </w:style>
  <w:style w:type="paragraph" w:styleId="BalloonText">
    <w:name w:val="Balloon Text"/>
    <w:basedOn w:val="Normal"/>
    <w:link w:val="BalloonTextChar"/>
    <w:uiPriority w:val="99"/>
    <w:semiHidden/>
    <w:unhideWhenUsed/>
    <w:rsid w:val="005F72C8"/>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72C8"/>
    <w:rPr>
      <w:rFonts w:ascii="Lucida Grande" w:hAnsi="Lucida Grande" w:cs="Lucida Grande"/>
      <w:sz w:val="18"/>
      <w:szCs w:val="18"/>
    </w:rPr>
  </w:style>
  <w:style w:type="character" w:styleId="CommentReference">
    <w:name w:val="annotation reference"/>
    <w:basedOn w:val="DefaultParagraphFont"/>
    <w:uiPriority w:val="99"/>
    <w:semiHidden/>
    <w:unhideWhenUsed/>
    <w:rsid w:val="005F72C8"/>
    <w:rPr>
      <w:sz w:val="18"/>
      <w:szCs w:val="18"/>
    </w:rPr>
  </w:style>
  <w:style w:type="paragraph" w:styleId="CommentText">
    <w:name w:val="annotation text"/>
    <w:basedOn w:val="Normal"/>
    <w:link w:val="CommentTextChar"/>
    <w:uiPriority w:val="99"/>
    <w:unhideWhenUsed/>
    <w:rsid w:val="005F72C8"/>
    <w:pPr>
      <w:spacing w:line="240" w:lineRule="auto"/>
    </w:pPr>
    <w:rPr>
      <w:sz w:val="24"/>
      <w:szCs w:val="24"/>
    </w:rPr>
  </w:style>
  <w:style w:type="character" w:customStyle="1" w:styleId="CommentTextChar">
    <w:name w:val="Comment Text Char"/>
    <w:basedOn w:val="DefaultParagraphFont"/>
    <w:link w:val="CommentText"/>
    <w:uiPriority w:val="99"/>
    <w:rsid w:val="005F72C8"/>
    <w:rPr>
      <w:sz w:val="24"/>
      <w:szCs w:val="24"/>
    </w:rPr>
  </w:style>
  <w:style w:type="paragraph" w:styleId="CommentSubject">
    <w:name w:val="annotation subject"/>
    <w:basedOn w:val="CommentText"/>
    <w:next w:val="CommentText"/>
    <w:link w:val="CommentSubjectChar"/>
    <w:uiPriority w:val="99"/>
    <w:semiHidden/>
    <w:unhideWhenUsed/>
    <w:rsid w:val="005F72C8"/>
    <w:rPr>
      <w:b/>
      <w:bCs/>
      <w:sz w:val="20"/>
      <w:szCs w:val="20"/>
    </w:rPr>
  </w:style>
  <w:style w:type="character" w:customStyle="1" w:styleId="CommentSubjectChar">
    <w:name w:val="Comment Subject Char"/>
    <w:basedOn w:val="CommentTextChar"/>
    <w:link w:val="CommentSubject"/>
    <w:uiPriority w:val="99"/>
    <w:semiHidden/>
    <w:rsid w:val="005F72C8"/>
    <w:rPr>
      <w:b/>
      <w:bCs/>
      <w:sz w:val="20"/>
      <w:szCs w:val="20"/>
    </w:rPr>
  </w:style>
  <w:style w:type="paragraph" w:styleId="Revision">
    <w:name w:val="Revision"/>
    <w:hidden/>
    <w:uiPriority w:val="99"/>
    <w:semiHidden/>
    <w:rsid w:val="005F72C8"/>
    <w:pPr>
      <w:spacing w:after="0" w:line="240" w:lineRule="auto"/>
    </w:pPr>
  </w:style>
  <w:style w:type="paragraph" w:styleId="NormalWeb">
    <w:name w:val="Normal (Web)"/>
    <w:basedOn w:val="Normal"/>
    <w:uiPriority w:val="99"/>
    <w:unhideWhenUsed/>
    <w:rsid w:val="004C6D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ref1">
    <w:name w:val="docref1"/>
    <w:basedOn w:val="DefaultParagraphFont"/>
    <w:rsid w:val="00D92383"/>
    <w:rPr>
      <w:b/>
      <w:bCs/>
    </w:rPr>
  </w:style>
  <w:style w:type="character" w:styleId="UnresolvedMention">
    <w:name w:val="Unresolved Mention"/>
    <w:basedOn w:val="DefaultParagraphFont"/>
    <w:uiPriority w:val="99"/>
    <w:semiHidden/>
    <w:unhideWhenUsed/>
    <w:rsid w:val="002E4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734253">
      <w:bodyDiv w:val="1"/>
      <w:marLeft w:val="0"/>
      <w:marRight w:val="0"/>
      <w:marTop w:val="0"/>
      <w:marBottom w:val="0"/>
      <w:divBdr>
        <w:top w:val="none" w:sz="0" w:space="0" w:color="auto"/>
        <w:left w:val="none" w:sz="0" w:space="0" w:color="auto"/>
        <w:bottom w:val="none" w:sz="0" w:space="0" w:color="auto"/>
        <w:right w:val="none" w:sz="0" w:space="0" w:color="auto"/>
      </w:divBdr>
    </w:div>
    <w:div w:id="1302728869">
      <w:bodyDiv w:val="1"/>
      <w:marLeft w:val="0"/>
      <w:marRight w:val="0"/>
      <w:marTop w:val="0"/>
      <w:marBottom w:val="0"/>
      <w:divBdr>
        <w:top w:val="none" w:sz="0" w:space="0" w:color="auto"/>
        <w:left w:val="none" w:sz="0" w:space="0" w:color="auto"/>
        <w:bottom w:val="none" w:sz="0" w:space="0" w:color="auto"/>
        <w:right w:val="none" w:sz="0" w:space="0" w:color="auto"/>
      </w:divBdr>
    </w:div>
    <w:div w:id="166948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rizontal-facility-eu.coe.int" TargetMode="External"/><Relationship Id="rId13" Type="http://schemas.openxmlformats.org/officeDocument/2006/relationships/hyperlink" Target="http://www.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enice.coe.int/webforms/documents/default.aspx?pdffile=CDL-AD(2018)011-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nice.coe.int/webforms/documents/default.aspx?pdffile=CDL-AD(2018)011-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enice@coe.int" TargetMode="External"/><Relationship Id="rId4" Type="http://schemas.openxmlformats.org/officeDocument/2006/relationships/settings" Target="settings.xml"/><Relationship Id="rId9" Type="http://schemas.openxmlformats.org/officeDocument/2006/relationships/hyperlink" Target="http://www.coe.int/en/web/secretary-general/private-office" TargetMode="External"/><Relationship Id="rId14" Type="http://schemas.openxmlformats.org/officeDocument/2006/relationships/hyperlink" Target="http://www.coe.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465A4-17CE-4D06-8D6F-30A1E868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MAJSTOROVIC Vedran</dc:creator>
  <cp:lastModifiedBy>PAPILA Serkan</cp:lastModifiedBy>
  <cp:revision>2</cp:revision>
  <dcterms:created xsi:type="dcterms:W3CDTF">2019-10-31T12:59:00Z</dcterms:created>
  <dcterms:modified xsi:type="dcterms:W3CDTF">2019-10-31T12:59:00Z</dcterms:modified>
</cp:coreProperties>
</file>