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3329D3" w14:paraId="521BF4A1" w14:textId="77777777">
        <w:trPr>
          <w:trHeight w:val="737"/>
        </w:trPr>
        <w:tc>
          <w:tcPr>
            <w:tcW w:w="1250" w:type="pct"/>
            <w:shd w:val="clear" w:color="auto" w:fill="auto"/>
            <w:vAlign w:val="center"/>
          </w:tcPr>
          <w:p w14:paraId="2C781652" w14:textId="77777777" w:rsidR="002D11B8" w:rsidRPr="003329D3" w:rsidRDefault="002E5869" w:rsidP="00CA5958">
            <w:pPr>
              <w:widowControl w:val="0"/>
              <w:autoSpaceDE w:val="0"/>
              <w:autoSpaceDN w:val="0"/>
              <w:adjustRightInd w:val="0"/>
              <w:rPr>
                <w:rFonts w:ascii="Arial Narrow" w:hAnsi="Arial Narrow" w:cs="Calibri"/>
                <w:szCs w:val="20"/>
              </w:rPr>
            </w:pPr>
            <w:r w:rsidRPr="003329D3">
              <w:rPr>
                <w:rFonts w:ascii="Arial Narrow" w:hAnsi="Arial Narrow" w:cs="Calibri"/>
                <w:b/>
                <w:bCs/>
                <w:szCs w:val="20"/>
              </w:rPr>
              <w:t>MINISTERS’ DEPUTIES</w:t>
            </w:r>
          </w:p>
        </w:tc>
        <w:tc>
          <w:tcPr>
            <w:tcW w:w="1250" w:type="pct"/>
            <w:shd w:val="clear" w:color="auto" w:fill="auto"/>
            <w:vAlign w:val="center"/>
          </w:tcPr>
          <w:p w14:paraId="15FD1917" w14:textId="77777777" w:rsidR="002D11B8" w:rsidRPr="003329D3" w:rsidRDefault="003D6AC2" w:rsidP="00E54322">
            <w:pPr>
              <w:ind w:left="-108"/>
              <w:jc w:val="center"/>
              <w:rPr>
                <w:rFonts w:ascii="Arial Narrow" w:hAnsi="Arial Narrow" w:cs="Arial"/>
                <w:szCs w:val="20"/>
              </w:rPr>
            </w:pPr>
            <w:r w:rsidRPr="003329D3">
              <w:rPr>
                <w:rFonts w:ascii="Arial Narrow" w:hAnsi="Arial Narrow" w:cs="Calibri"/>
                <w:szCs w:val="20"/>
              </w:rPr>
              <w:t>CM Documents</w:t>
            </w:r>
          </w:p>
        </w:tc>
        <w:tc>
          <w:tcPr>
            <w:tcW w:w="1250" w:type="pct"/>
            <w:shd w:val="clear" w:color="auto" w:fill="auto"/>
            <w:vAlign w:val="center"/>
          </w:tcPr>
          <w:p w14:paraId="29B83DE8" w14:textId="6AC55E86" w:rsidR="002D11B8" w:rsidRPr="001F583A" w:rsidRDefault="001F583A" w:rsidP="006A5E24">
            <w:pPr>
              <w:ind w:left="-40"/>
              <w:jc w:val="center"/>
              <w:rPr>
                <w:rFonts w:ascii="Arial Narrow" w:hAnsi="Arial Narrow" w:cs="Arial"/>
                <w:b/>
                <w:szCs w:val="24"/>
              </w:rPr>
            </w:pPr>
            <w:r w:rsidRPr="001F583A">
              <w:rPr>
                <w:rFonts w:ascii="Arial Narrow" w:hAnsi="Arial Narrow" w:cs="Calibri"/>
                <w:b/>
                <w:szCs w:val="24"/>
              </w:rPr>
              <w:t>CM(2019)70-</w:t>
            </w:r>
            <w:r w:rsidR="006A5E24">
              <w:rPr>
                <w:rFonts w:ascii="Arial Narrow" w:hAnsi="Arial Narrow" w:cs="Calibri"/>
                <w:b/>
                <w:szCs w:val="24"/>
              </w:rPr>
              <w:t>final</w:t>
            </w:r>
          </w:p>
        </w:tc>
        <w:tc>
          <w:tcPr>
            <w:tcW w:w="1250" w:type="pct"/>
            <w:shd w:val="clear" w:color="auto" w:fill="auto"/>
            <w:vAlign w:val="center"/>
          </w:tcPr>
          <w:p w14:paraId="1C2BA9C0" w14:textId="6F9A03A5" w:rsidR="002D11B8" w:rsidRPr="003329D3" w:rsidRDefault="009B3B57" w:rsidP="00BB03B4">
            <w:pPr>
              <w:jc w:val="right"/>
              <w:rPr>
                <w:rFonts w:ascii="Arial Narrow" w:hAnsi="Arial Narrow" w:cs="Arial"/>
                <w:sz w:val="16"/>
                <w:szCs w:val="16"/>
              </w:rPr>
            </w:pPr>
            <w:r>
              <w:rPr>
                <w:rFonts w:ascii="Arial Narrow" w:hAnsi="Arial Narrow" w:cs="Calibri"/>
                <w:sz w:val="16"/>
                <w:szCs w:val="16"/>
              </w:rPr>
              <w:t xml:space="preserve">10 </w:t>
            </w:r>
            <w:bookmarkStart w:id="0" w:name="_GoBack"/>
            <w:bookmarkEnd w:id="0"/>
            <w:r w:rsidR="008A75E5">
              <w:rPr>
                <w:rFonts w:ascii="Arial Narrow" w:hAnsi="Arial Narrow" w:cs="Calibri"/>
                <w:sz w:val="16"/>
                <w:szCs w:val="16"/>
              </w:rPr>
              <w:t>May</w:t>
            </w:r>
            <w:r w:rsidR="00A25E3F">
              <w:rPr>
                <w:rFonts w:ascii="Arial Narrow" w:hAnsi="Arial Narrow" w:cs="Calibri"/>
                <w:sz w:val="16"/>
                <w:szCs w:val="16"/>
              </w:rPr>
              <w:t xml:space="preserve"> 2019</w:t>
            </w:r>
          </w:p>
        </w:tc>
      </w:tr>
    </w:tbl>
    <w:p w14:paraId="1584A214" w14:textId="77777777" w:rsidR="00D554E6" w:rsidRPr="003329D3"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3329D3" w14:paraId="71999D60" w14:textId="77777777">
        <w:tc>
          <w:tcPr>
            <w:tcW w:w="9399" w:type="dxa"/>
            <w:shd w:val="clear" w:color="auto" w:fill="auto"/>
            <w:tcMar>
              <w:top w:w="227" w:type="dxa"/>
              <w:bottom w:w="227" w:type="dxa"/>
            </w:tcMar>
            <w:vAlign w:val="center"/>
          </w:tcPr>
          <w:p w14:paraId="1C4A87B9" w14:textId="77777777" w:rsidR="00E24C57" w:rsidRPr="003329D3" w:rsidRDefault="00A25E3F" w:rsidP="00E54322">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129</w:t>
            </w:r>
            <w:r>
              <w:rPr>
                <w:rFonts w:ascii="Arial Narrow" w:hAnsi="Arial Narrow" w:cs="Calibri"/>
                <w:b/>
                <w:bCs/>
                <w:sz w:val="32"/>
                <w:szCs w:val="32"/>
                <w:vertAlign w:val="superscript"/>
              </w:rPr>
              <w:t>th</w:t>
            </w:r>
            <w:r>
              <w:rPr>
                <w:rFonts w:ascii="Arial Narrow" w:hAnsi="Arial Narrow" w:cs="Calibri"/>
                <w:b/>
                <w:bCs/>
                <w:sz w:val="32"/>
                <w:szCs w:val="32"/>
              </w:rPr>
              <w:t xml:space="preserve"> Session of the Committee of Ministers</w:t>
            </w:r>
            <w:r>
              <w:rPr>
                <w:rFonts w:ascii="Arial Narrow" w:hAnsi="Arial Narrow" w:cs="Calibri"/>
                <w:b/>
                <w:bCs/>
                <w:sz w:val="32"/>
                <w:szCs w:val="32"/>
              </w:rPr>
              <w:br/>
              <w:t>(Helsinki, 16-17 May 2019)</w:t>
            </w:r>
          </w:p>
          <w:p w14:paraId="72458F5B" w14:textId="0DC0A92E" w:rsidR="0006736D" w:rsidRPr="003329D3" w:rsidRDefault="00A25E3F" w:rsidP="009A6A05">
            <w:pPr>
              <w:rPr>
                <w:rFonts w:ascii="Arial Narrow" w:hAnsi="Arial Narrow" w:cs="Calibri"/>
                <w:i/>
                <w:szCs w:val="20"/>
              </w:rPr>
            </w:pPr>
            <w:r>
              <w:rPr>
                <w:rFonts w:ascii="Arial Narrow" w:hAnsi="Arial Narrow" w:cs="Calibri"/>
                <w:sz w:val="22"/>
                <w:szCs w:val="28"/>
              </w:rPr>
              <w:t xml:space="preserve">Report on securing the long-term effectiveness of the </w:t>
            </w:r>
            <w:r w:rsidR="001E20E9">
              <w:rPr>
                <w:rFonts w:ascii="Arial Narrow" w:hAnsi="Arial Narrow" w:cs="Calibri"/>
                <w:sz w:val="22"/>
                <w:szCs w:val="28"/>
              </w:rPr>
              <w:t xml:space="preserve">system </w:t>
            </w:r>
            <w:r>
              <w:rPr>
                <w:rFonts w:ascii="Arial Narrow" w:hAnsi="Arial Narrow" w:cs="Calibri"/>
                <w:sz w:val="22"/>
                <w:szCs w:val="28"/>
              </w:rPr>
              <w:t>of the European Convention on Human Rights</w:t>
            </w:r>
          </w:p>
        </w:tc>
      </w:tr>
    </w:tbl>
    <w:p w14:paraId="2D376DE1" w14:textId="3DA89EA8" w:rsidR="0006736D" w:rsidRDefault="0006736D" w:rsidP="0037200F">
      <w:pPr>
        <w:rPr>
          <w:rFonts w:eastAsia="Times New Roman"/>
          <w:sz w:val="20"/>
          <w:szCs w:val="24"/>
        </w:rPr>
      </w:pPr>
    </w:p>
    <w:p w14:paraId="1D98126E" w14:textId="77777777" w:rsidR="00F54128" w:rsidRDefault="00F54128" w:rsidP="004E144F">
      <w:pPr>
        <w:rPr>
          <w:b/>
          <w:sz w:val="20"/>
        </w:rPr>
      </w:pPr>
    </w:p>
    <w:p w14:paraId="469BE6BF" w14:textId="76D7A348" w:rsidR="004E144F" w:rsidRPr="0094488B" w:rsidRDefault="00A25E3F" w:rsidP="004E144F">
      <w:pPr>
        <w:rPr>
          <w:sz w:val="20"/>
        </w:rPr>
      </w:pPr>
      <w:r w:rsidRPr="0094488B">
        <w:rPr>
          <w:sz w:val="20"/>
        </w:rPr>
        <w:t xml:space="preserve">1. The Council of Europe’s action to secure the long-term effectiveness of the supervisory mechanism of the European Convention on Human Rights was given important political impetus </w:t>
      </w:r>
      <w:r w:rsidR="00114569">
        <w:rPr>
          <w:sz w:val="20"/>
        </w:rPr>
        <w:t xml:space="preserve">through </w:t>
      </w:r>
      <w:r w:rsidRPr="0094488B">
        <w:rPr>
          <w:sz w:val="20"/>
        </w:rPr>
        <w:t>the adoption of the Interlaken (2010), Izmir (2011), Brighton (2012), Brussels (2015) and Copenhagen (2018)</w:t>
      </w:r>
      <w:r w:rsidR="00873B55">
        <w:rPr>
          <w:sz w:val="20"/>
        </w:rPr>
        <w:t xml:space="preserve"> </w:t>
      </w:r>
      <w:r w:rsidR="00873B55" w:rsidRPr="0094488B">
        <w:rPr>
          <w:sz w:val="20"/>
        </w:rPr>
        <w:t>Declarations</w:t>
      </w:r>
      <w:r w:rsidRPr="0094488B">
        <w:rPr>
          <w:sz w:val="20"/>
        </w:rPr>
        <w:t>.</w:t>
      </w:r>
    </w:p>
    <w:p w14:paraId="65F01815" w14:textId="77777777" w:rsidR="004E144F" w:rsidRPr="0094488B" w:rsidRDefault="004E144F" w:rsidP="004E144F">
      <w:pPr>
        <w:rPr>
          <w:sz w:val="20"/>
        </w:rPr>
      </w:pPr>
    </w:p>
    <w:p w14:paraId="6C632D5A" w14:textId="26D350C2" w:rsidR="004E144F" w:rsidRPr="0094488B" w:rsidRDefault="00A25E3F" w:rsidP="004E144F">
      <w:pPr>
        <w:rPr>
          <w:sz w:val="20"/>
        </w:rPr>
      </w:pPr>
      <w:r w:rsidRPr="0094488B">
        <w:rPr>
          <w:sz w:val="20"/>
        </w:rPr>
        <w:t xml:space="preserve">2. Pursuant to the Committee of Ministers’ request, this report presents the measures taken by the parties concerned since the </w:t>
      </w:r>
      <w:r w:rsidRPr="000C4D76">
        <w:rPr>
          <w:sz w:val="20"/>
        </w:rPr>
        <w:t>128</w:t>
      </w:r>
      <w:r w:rsidR="00BA7C7E" w:rsidRPr="00B00015">
        <w:rPr>
          <w:sz w:val="20"/>
          <w:szCs w:val="20"/>
          <w:vertAlign w:val="superscript"/>
        </w:rPr>
        <w:t>th</w:t>
      </w:r>
      <w:r w:rsidRPr="0094488B">
        <w:rPr>
          <w:sz w:val="20"/>
        </w:rPr>
        <w:t xml:space="preserve"> Ministerial Session held in Elsinore on 17-18 May 201</w:t>
      </w:r>
      <w:r w:rsidR="0007638D">
        <w:rPr>
          <w:sz w:val="20"/>
        </w:rPr>
        <w:t>8</w:t>
      </w:r>
      <w:r w:rsidRPr="0094488B">
        <w:rPr>
          <w:sz w:val="20"/>
        </w:rPr>
        <w:t>, where the Ministers adopted a number of decisions on the follow-up of the work in this field (see Appendix 1).</w:t>
      </w:r>
    </w:p>
    <w:p w14:paraId="33CFD513" w14:textId="3B331FAF" w:rsidR="004E144F" w:rsidRDefault="004E144F" w:rsidP="004E144F">
      <w:pPr>
        <w:rPr>
          <w:sz w:val="20"/>
        </w:rPr>
      </w:pPr>
    </w:p>
    <w:p w14:paraId="33535FEE" w14:textId="77777777" w:rsidR="005751AE" w:rsidRPr="0094488B" w:rsidRDefault="005751AE" w:rsidP="004E144F">
      <w:pPr>
        <w:rPr>
          <w:sz w:val="20"/>
        </w:rPr>
      </w:pPr>
    </w:p>
    <w:p w14:paraId="472E0BA6" w14:textId="77777777" w:rsidR="004E144F" w:rsidRPr="0094488B" w:rsidRDefault="00A25E3F" w:rsidP="004E144F">
      <w:pPr>
        <w:shd w:val="clear" w:color="auto" w:fill="92CDDC"/>
        <w:rPr>
          <w:sz w:val="20"/>
        </w:rPr>
      </w:pPr>
      <w:r w:rsidRPr="0094488B">
        <w:rPr>
          <w:sz w:val="20"/>
          <w:szCs w:val="20"/>
        </w:rPr>
        <w:t>A.</w:t>
      </w:r>
      <w:r w:rsidRPr="0094488B">
        <w:rPr>
          <w:sz w:val="20"/>
          <w:szCs w:val="20"/>
        </w:rPr>
        <w:tab/>
        <w:t>Measures taken by the Committee of Ministers</w:t>
      </w:r>
    </w:p>
    <w:p w14:paraId="4C81BFA9" w14:textId="77777777" w:rsidR="004E144F" w:rsidRPr="0094488B" w:rsidRDefault="004E144F" w:rsidP="004E144F">
      <w:pPr>
        <w:rPr>
          <w:sz w:val="20"/>
        </w:rPr>
      </w:pPr>
    </w:p>
    <w:p w14:paraId="28A2A6DD" w14:textId="77777777" w:rsidR="004E144F" w:rsidRPr="0094488B" w:rsidRDefault="00A25E3F" w:rsidP="004E144F">
      <w:pPr>
        <w:rPr>
          <w:sz w:val="20"/>
        </w:rPr>
      </w:pPr>
      <w:r w:rsidRPr="0094488B">
        <w:rPr>
          <w:i/>
          <w:sz w:val="20"/>
        </w:rPr>
        <w:t xml:space="preserve">Protocol No. 15 amending the European </w:t>
      </w:r>
      <w:r w:rsidRPr="0094488B">
        <w:rPr>
          <w:i/>
          <w:sz w:val="20"/>
          <w:szCs w:val="20"/>
        </w:rPr>
        <w:t>Convention</w:t>
      </w:r>
      <w:r w:rsidRPr="0094488B">
        <w:rPr>
          <w:i/>
          <w:sz w:val="20"/>
        </w:rPr>
        <w:t xml:space="preserve"> on Human Rights</w:t>
      </w:r>
    </w:p>
    <w:p w14:paraId="02E8386B" w14:textId="77777777" w:rsidR="004E144F" w:rsidRPr="0094488B" w:rsidRDefault="004E144F" w:rsidP="004E144F">
      <w:pPr>
        <w:rPr>
          <w:sz w:val="20"/>
        </w:rPr>
      </w:pPr>
    </w:p>
    <w:p w14:paraId="21C902F7" w14:textId="30A997F7" w:rsidR="004E144F" w:rsidRPr="0094488B" w:rsidRDefault="00A25E3F" w:rsidP="004E144F">
      <w:pPr>
        <w:rPr>
          <w:sz w:val="20"/>
        </w:rPr>
      </w:pPr>
      <w:r w:rsidRPr="0094488B">
        <w:rPr>
          <w:sz w:val="20"/>
        </w:rPr>
        <w:t>3</w:t>
      </w:r>
      <w:r w:rsidR="00C1694B">
        <w:rPr>
          <w:sz w:val="20"/>
        </w:rPr>
        <w:t>. Protocol No.</w:t>
      </w:r>
      <w:r w:rsidRPr="0094488B">
        <w:rPr>
          <w:sz w:val="20"/>
        </w:rPr>
        <w:t>15 amending the Convention was adopted by the Committee of Ministers at its 123</w:t>
      </w:r>
      <w:r w:rsidRPr="0094488B">
        <w:rPr>
          <w:sz w:val="20"/>
          <w:vertAlign w:val="superscript"/>
        </w:rPr>
        <w:t>rd</w:t>
      </w:r>
      <w:r w:rsidRPr="0094488B">
        <w:rPr>
          <w:sz w:val="20"/>
        </w:rPr>
        <w:t xml:space="preserve"> Session (16 May 2013) and opened for signature in Strasbourg on 24 June 2013. To date, it has been ratified by 45 States Parties to the Convention and signed by two other</w:t>
      </w:r>
      <w:r w:rsidR="0007638D">
        <w:rPr>
          <w:sz w:val="20"/>
        </w:rPr>
        <w:t>s</w:t>
      </w:r>
      <w:r w:rsidRPr="0094488B">
        <w:rPr>
          <w:sz w:val="20"/>
        </w:rPr>
        <w:t>. The Protocol will enter into force after ratification by all the Parties to the Convention.</w:t>
      </w:r>
    </w:p>
    <w:p w14:paraId="37838A03" w14:textId="77777777" w:rsidR="004E144F" w:rsidRPr="0094488B" w:rsidRDefault="004E144F" w:rsidP="004E144F">
      <w:pPr>
        <w:rPr>
          <w:i/>
          <w:sz w:val="20"/>
        </w:rPr>
      </w:pPr>
    </w:p>
    <w:p w14:paraId="4C525C1F" w14:textId="77777777" w:rsidR="004E144F" w:rsidRPr="0094488B" w:rsidRDefault="00A25E3F" w:rsidP="004E144F">
      <w:pPr>
        <w:rPr>
          <w:i/>
          <w:sz w:val="20"/>
        </w:rPr>
      </w:pPr>
      <w:r w:rsidRPr="0094488B">
        <w:rPr>
          <w:i/>
          <w:sz w:val="20"/>
        </w:rPr>
        <w:t>Protocol No. 16 to the European Convention on Human Rights</w:t>
      </w:r>
    </w:p>
    <w:p w14:paraId="0EA4F299" w14:textId="77777777" w:rsidR="004E144F" w:rsidRPr="0094488B" w:rsidRDefault="004E144F" w:rsidP="004E144F">
      <w:pPr>
        <w:rPr>
          <w:i/>
          <w:sz w:val="20"/>
        </w:rPr>
      </w:pPr>
    </w:p>
    <w:p w14:paraId="5BAFC26A" w14:textId="2117CB53" w:rsidR="000B3F24" w:rsidRPr="00A15495" w:rsidRDefault="00A25E3F" w:rsidP="004E144F">
      <w:pPr>
        <w:rPr>
          <w:b/>
          <w:sz w:val="20"/>
          <w:highlight w:val="lightGray"/>
        </w:rPr>
      </w:pPr>
      <w:r w:rsidRPr="0094488B">
        <w:rPr>
          <w:sz w:val="20"/>
        </w:rPr>
        <w:t xml:space="preserve">4. On 10 July 2013, the Ministers’ Deputies adopted Protocol No. 16 to the Convention, which allows highest domestic courts to request the </w:t>
      </w:r>
      <w:r w:rsidR="00C372DC" w:rsidRPr="0094488B">
        <w:rPr>
          <w:sz w:val="20"/>
        </w:rPr>
        <w:t xml:space="preserve">European Court of Human Rights </w:t>
      </w:r>
      <w:r w:rsidR="00C372DC">
        <w:rPr>
          <w:sz w:val="20"/>
        </w:rPr>
        <w:t xml:space="preserve">(the </w:t>
      </w:r>
      <w:r w:rsidRPr="0094488B">
        <w:rPr>
          <w:sz w:val="20"/>
        </w:rPr>
        <w:t>Court</w:t>
      </w:r>
      <w:r w:rsidR="00C372DC">
        <w:rPr>
          <w:sz w:val="20"/>
        </w:rPr>
        <w:t>)</w:t>
      </w:r>
      <w:r w:rsidRPr="0094488B">
        <w:rPr>
          <w:sz w:val="20"/>
        </w:rPr>
        <w:t xml:space="preserve"> to give advisory opinions. The Protocol was opened for signature in Strasbourg on 2 October 2013 and entered into force on 1 August 2018. To date, it has been ratified by 1</w:t>
      </w:r>
      <w:r w:rsidR="000B3F24">
        <w:rPr>
          <w:sz w:val="20"/>
        </w:rPr>
        <w:t>2</w:t>
      </w:r>
      <w:r w:rsidRPr="0094488B">
        <w:rPr>
          <w:sz w:val="20"/>
        </w:rPr>
        <w:t xml:space="preserve"> States Parties to the Convention and signed by 1</w:t>
      </w:r>
      <w:r w:rsidR="000B3F24">
        <w:rPr>
          <w:sz w:val="20"/>
        </w:rPr>
        <w:t>0</w:t>
      </w:r>
      <w:r w:rsidRPr="0094488B">
        <w:rPr>
          <w:sz w:val="20"/>
        </w:rPr>
        <w:t xml:space="preserve"> other</w:t>
      </w:r>
      <w:r w:rsidR="0007638D">
        <w:rPr>
          <w:sz w:val="20"/>
        </w:rPr>
        <w:t>s</w:t>
      </w:r>
      <w:r w:rsidRPr="0094488B">
        <w:rPr>
          <w:sz w:val="20"/>
        </w:rPr>
        <w:t xml:space="preserve">. </w:t>
      </w:r>
      <w:r w:rsidR="00B85BEE" w:rsidRPr="00A15495">
        <w:rPr>
          <w:sz w:val="20"/>
        </w:rPr>
        <w:t xml:space="preserve">As of 10 April 2019, the Court delivered its first advisory opinion, following a request from the French </w:t>
      </w:r>
      <w:proofErr w:type="spellStart"/>
      <w:r w:rsidR="00B85BEE" w:rsidRPr="00A15495">
        <w:rPr>
          <w:i/>
          <w:sz w:val="20"/>
        </w:rPr>
        <w:t>Cour</w:t>
      </w:r>
      <w:proofErr w:type="spellEnd"/>
      <w:r w:rsidR="00B85BEE" w:rsidRPr="00A15495">
        <w:rPr>
          <w:i/>
          <w:sz w:val="20"/>
        </w:rPr>
        <w:t xml:space="preserve"> de cassation </w:t>
      </w:r>
      <w:r w:rsidR="00B85BEE" w:rsidRPr="00A15495">
        <w:rPr>
          <w:sz w:val="20"/>
        </w:rPr>
        <w:t>made on 1</w:t>
      </w:r>
      <w:r w:rsidR="00F20C63" w:rsidRPr="00A15495">
        <w:rPr>
          <w:sz w:val="20"/>
        </w:rPr>
        <w:t>2</w:t>
      </w:r>
      <w:r w:rsidR="00B85BEE" w:rsidRPr="00A15495">
        <w:rPr>
          <w:sz w:val="20"/>
        </w:rPr>
        <w:t xml:space="preserve"> October 201</w:t>
      </w:r>
      <w:r w:rsidR="00300E6B" w:rsidRPr="00A15495">
        <w:rPr>
          <w:sz w:val="20"/>
        </w:rPr>
        <w:t>8</w:t>
      </w:r>
      <w:r w:rsidR="00B85BEE" w:rsidRPr="00A15495">
        <w:rPr>
          <w:sz w:val="20"/>
        </w:rPr>
        <w:t>.</w:t>
      </w:r>
    </w:p>
    <w:p w14:paraId="14CAB35B" w14:textId="77777777" w:rsidR="004E144F" w:rsidRPr="0094488B" w:rsidRDefault="004E144F" w:rsidP="004E144F">
      <w:pPr>
        <w:rPr>
          <w:i/>
          <w:sz w:val="20"/>
        </w:rPr>
      </w:pPr>
    </w:p>
    <w:p w14:paraId="3F4F7763" w14:textId="77777777" w:rsidR="004E144F" w:rsidRPr="0094488B" w:rsidRDefault="00A25E3F" w:rsidP="004E144F">
      <w:pPr>
        <w:rPr>
          <w:i/>
          <w:sz w:val="20"/>
        </w:rPr>
      </w:pPr>
      <w:r w:rsidRPr="0094488B">
        <w:rPr>
          <w:i/>
          <w:sz w:val="20"/>
        </w:rPr>
        <w:t xml:space="preserve">Improving the </w:t>
      </w:r>
      <w:r w:rsidR="007A1338">
        <w:rPr>
          <w:i/>
          <w:sz w:val="20"/>
        </w:rPr>
        <w:t xml:space="preserve">supervision of the </w:t>
      </w:r>
      <w:r w:rsidRPr="0094488B">
        <w:rPr>
          <w:i/>
          <w:sz w:val="20"/>
        </w:rPr>
        <w:t>execution of the Court’s judgments</w:t>
      </w:r>
    </w:p>
    <w:p w14:paraId="66A3D5D2" w14:textId="77777777" w:rsidR="004E144F" w:rsidRPr="0094488B" w:rsidRDefault="004E144F" w:rsidP="004E144F">
      <w:pPr>
        <w:rPr>
          <w:sz w:val="20"/>
        </w:rPr>
      </w:pPr>
    </w:p>
    <w:p w14:paraId="364ED6B8" w14:textId="0E375B0F" w:rsidR="004E144F" w:rsidRPr="009F4398" w:rsidRDefault="00A25E3F" w:rsidP="004E144F">
      <w:pPr>
        <w:rPr>
          <w:color w:val="000000" w:themeColor="text1"/>
          <w:sz w:val="20"/>
        </w:rPr>
      </w:pPr>
      <w:r w:rsidRPr="009F4398">
        <w:rPr>
          <w:color w:val="000000" w:themeColor="text1"/>
          <w:sz w:val="20"/>
        </w:rPr>
        <w:t xml:space="preserve">5. The </w:t>
      </w:r>
      <w:r w:rsidR="00202524" w:rsidRPr="009F4398">
        <w:rPr>
          <w:color w:val="000000" w:themeColor="text1"/>
          <w:sz w:val="20"/>
        </w:rPr>
        <w:t>Interlaken process has</w:t>
      </w:r>
      <w:r w:rsidRPr="009F4398">
        <w:rPr>
          <w:color w:val="000000" w:themeColor="text1"/>
          <w:sz w:val="20"/>
        </w:rPr>
        <w:t xml:space="preserve"> put a strong focus on the importance of improving the execution of the judgments and decisions of the Court and the Committee of Ministers’ supervision thereof. In response, </w:t>
      </w:r>
      <w:r w:rsidR="00202524" w:rsidRPr="009F4398">
        <w:rPr>
          <w:color w:val="000000" w:themeColor="text1"/>
          <w:sz w:val="20"/>
        </w:rPr>
        <w:t>a series of measures have been adopted in a number of areas. A</w:t>
      </w:r>
      <w:r w:rsidRPr="009F4398">
        <w:rPr>
          <w:color w:val="000000" w:themeColor="text1"/>
          <w:sz w:val="20"/>
        </w:rPr>
        <w:t>t national level</w:t>
      </w:r>
      <w:r w:rsidR="009A31D2" w:rsidRPr="009F4398">
        <w:rPr>
          <w:color w:val="000000" w:themeColor="text1"/>
          <w:sz w:val="20"/>
        </w:rPr>
        <w:t>,</w:t>
      </w:r>
      <w:r w:rsidRPr="009F4398">
        <w:rPr>
          <w:color w:val="000000" w:themeColor="text1"/>
          <w:sz w:val="20"/>
        </w:rPr>
        <w:t xml:space="preserve"> the structures and procedures in place to ensure rapid execution of the Court’s judgments, including the effectiveness of </w:t>
      </w:r>
      <w:r w:rsidR="009B1392" w:rsidRPr="009F4398">
        <w:rPr>
          <w:color w:val="000000" w:themeColor="text1"/>
          <w:sz w:val="20"/>
        </w:rPr>
        <w:t xml:space="preserve">domestic </w:t>
      </w:r>
      <w:r w:rsidRPr="009F4398">
        <w:rPr>
          <w:color w:val="000000" w:themeColor="text1"/>
          <w:sz w:val="20"/>
        </w:rPr>
        <w:t>remedies</w:t>
      </w:r>
      <w:r w:rsidR="00202524" w:rsidRPr="009F4398">
        <w:rPr>
          <w:color w:val="000000" w:themeColor="text1"/>
          <w:sz w:val="20"/>
        </w:rPr>
        <w:t>, have been improved</w:t>
      </w:r>
      <w:r w:rsidR="00A844BE" w:rsidRPr="009F4398">
        <w:rPr>
          <w:color w:val="000000" w:themeColor="text1"/>
          <w:sz w:val="20"/>
        </w:rPr>
        <w:t>. At</w:t>
      </w:r>
      <w:r w:rsidRPr="009F4398">
        <w:rPr>
          <w:color w:val="000000" w:themeColor="text1"/>
          <w:sz w:val="20"/>
        </w:rPr>
        <w:t xml:space="preserve"> the level of the Committee of Ministers, the working methods introduced </w:t>
      </w:r>
      <w:r w:rsidR="009D3CC9" w:rsidRPr="009F4398">
        <w:rPr>
          <w:color w:val="000000" w:themeColor="text1"/>
          <w:sz w:val="20"/>
        </w:rPr>
        <w:t>in 2011</w:t>
      </w:r>
      <w:r w:rsidRPr="009F4398">
        <w:rPr>
          <w:color w:val="000000" w:themeColor="text1"/>
          <w:sz w:val="20"/>
        </w:rPr>
        <w:t xml:space="preserve"> have increased the</w:t>
      </w:r>
      <w:r w:rsidR="00202524" w:rsidRPr="009F4398">
        <w:rPr>
          <w:color w:val="000000" w:themeColor="text1"/>
          <w:sz w:val="20"/>
        </w:rPr>
        <w:t xml:space="preserve"> </w:t>
      </w:r>
      <w:r w:rsidRPr="009F4398">
        <w:rPr>
          <w:color w:val="000000" w:themeColor="text1"/>
          <w:sz w:val="20"/>
        </w:rPr>
        <w:t xml:space="preserve">efficiency </w:t>
      </w:r>
      <w:r w:rsidR="00202524" w:rsidRPr="009F4398">
        <w:rPr>
          <w:color w:val="000000" w:themeColor="text1"/>
          <w:sz w:val="20"/>
        </w:rPr>
        <w:t xml:space="preserve">and transparency </w:t>
      </w:r>
      <w:r w:rsidRPr="009F4398">
        <w:rPr>
          <w:color w:val="000000" w:themeColor="text1"/>
          <w:sz w:val="20"/>
        </w:rPr>
        <w:t>of the supervision p</w:t>
      </w:r>
      <w:r w:rsidR="003655BF" w:rsidRPr="009F4398">
        <w:rPr>
          <w:color w:val="000000" w:themeColor="text1"/>
          <w:sz w:val="20"/>
        </w:rPr>
        <w:t>rocess.</w:t>
      </w:r>
      <w:r w:rsidR="00202524" w:rsidRPr="009F4398">
        <w:rPr>
          <w:color w:val="000000" w:themeColor="text1"/>
          <w:sz w:val="20"/>
        </w:rPr>
        <w:t xml:space="preserve"> The regular presence of relevant domestic authorities, including, where necessary, at ministerial level, at human rights (DH) meetings has become a very welcome practice. In addition, the Council of Europe support to execution has been improved, </w:t>
      </w:r>
      <w:r w:rsidR="00713CC7">
        <w:rPr>
          <w:color w:val="000000" w:themeColor="text1"/>
          <w:sz w:val="20"/>
        </w:rPr>
        <w:t>notably through</w:t>
      </w:r>
      <w:r w:rsidR="00202524" w:rsidRPr="009F4398">
        <w:rPr>
          <w:color w:val="000000" w:themeColor="text1"/>
          <w:sz w:val="20"/>
        </w:rPr>
        <w:t xml:space="preserve"> reinforced possibilities of obtaining expert advice and better access to co-operation program</w:t>
      </w:r>
      <w:r w:rsidR="009A31D2" w:rsidRPr="009F4398">
        <w:rPr>
          <w:color w:val="000000" w:themeColor="text1"/>
          <w:sz w:val="20"/>
        </w:rPr>
        <w:t>me</w:t>
      </w:r>
      <w:r w:rsidR="00202524" w:rsidRPr="009F4398">
        <w:rPr>
          <w:color w:val="000000" w:themeColor="text1"/>
          <w:sz w:val="20"/>
        </w:rPr>
        <w:t>s and activities.</w:t>
      </w:r>
    </w:p>
    <w:p w14:paraId="09902D3C" w14:textId="77777777" w:rsidR="004E144F" w:rsidRPr="009F4398" w:rsidRDefault="004E144F" w:rsidP="004E144F">
      <w:pPr>
        <w:rPr>
          <w:color w:val="000000" w:themeColor="text1"/>
          <w:sz w:val="20"/>
        </w:rPr>
      </w:pPr>
    </w:p>
    <w:p w14:paraId="28E288CC" w14:textId="77777777" w:rsidR="00B365D9" w:rsidRDefault="00B365D9">
      <w:pPr>
        <w:rPr>
          <w:color w:val="000000" w:themeColor="text1"/>
          <w:sz w:val="20"/>
        </w:rPr>
      </w:pPr>
      <w:r>
        <w:rPr>
          <w:color w:val="000000" w:themeColor="text1"/>
          <w:sz w:val="20"/>
        </w:rPr>
        <w:br w:type="page"/>
      </w:r>
    </w:p>
    <w:p w14:paraId="7B2408D8" w14:textId="036C4349" w:rsidR="001E36E3" w:rsidRPr="009F4398" w:rsidRDefault="00A25E3F" w:rsidP="001E36E3">
      <w:pPr>
        <w:rPr>
          <w:color w:val="000000" w:themeColor="text1"/>
          <w:sz w:val="20"/>
        </w:rPr>
      </w:pPr>
      <w:r w:rsidRPr="009F4398">
        <w:rPr>
          <w:color w:val="000000" w:themeColor="text1"/>
          <w:sz w:val="20"/>
        </w:rPr>
        <w:lastRenderedPageBreak/>
        <w:t xml:space="preserve">6. </w:t>
      </w:r>
      <w:r w:rsidR="00202524" w:rsidRPr="009F4398">
        <w:rPr>
          <w:color w:val="000000" w:themeColor="text1"/>
          <w:sz w:val="20"/>
        </w:rPr>
        <w:t>The possibilities for civil society, national human rights institutions and other international organisations to</w:t>
      </w:r>
      <w:r w:rsidR="00A41F59" w:rsidRPr="009F4398">
        <w:rPr>
          <w:color w:val="000000" w:themeColor="text1"/>
          <w:sz w:val="20"/>
        </w:rPr>
        <w:t xml:space="preserve"> </w:t>
      </w:r>
      <w:r w:rsidR="00202524" w:rsidRPr="009F4398">
        <w:rPr>
          <w:color w:val="000000" w:themeColor="text1"/>
          <w:sz w:val="20"/>
        </w:rPr>
        <w:t xml:space="preserve">participate into the supervision process have also been improved. </w:t>
      </w:r>
      <w:r w:rsidRPr="009F4398">
        <w:rPr>
          <w:color w:val="000000" w:themeColor="text1"/>
          <w:sz w:val="20"/>
        </w:rPr>
        <w:t xml:space="preserve">Since June 2016, </w:t>
      </w:r>
      <w:r w:rsidR="00A41F59" w:rsidRPr="009F4398">
        <w:rPr>
          <w:color w:val="000000" w:themeColor="text1"/>
          <w:sz w:val="20"/>
        </w:rPr>
        <w:t>an indicative</w:t>
      </w:r>
      <w:r w:rsidRPr="009F4398">
        <w:rPr>
          <w:color w:val="000000" w:themeColor="text1"/>
          <w:sz w:val="20"/>
        </w:rPr>
        <w:t xml:space="preserve"> list of cases which it is proposed to examine at </w:t>
      </w:r>
      <w:r w:rsidR="009A31D2" w:rsidRPr="009F4398">
        <w:rPr>
          <w:color w:val="000000" w:themeColor="text1"/>
          <w:sz w:val="20"/>
        </w:rPr>
        <w:t>a</w:t>
      </w:r>
      <w:r w:rsidR="00A41F59" w:rsidRPr="009F4398">
        <w:rPr>
          <w:color w:val="000000" w:themeColor="text1"/>
          <w:sz w:val="20"/>
        </w:rPr>
        <w:t xml:space="preserve"> forthcoming</w:t>
      </w:r>
      <w:r w:rsidRPr="009F4398">
        <w:rPr>
          <w:color w:val="000000" w:themeColor="text1"/>
          <w:sz w:val="20"/>
        </w:rPr>
        <w:t xml:space="preserve"> </w:t>
      </w:r>
      <w:r w:rsidR="003655BF" w:rsidRPr="009F4398">
        <w:rPr>
          <w:color w:val="000000" w:themeColor="text1"/>
          <w:sz w:val="20"/>
        </w:rPr>
        <w:t xml:space="preserve">DH </w:t>
      </w:r>
      <w:r w:rsidRPr="009F4398">
        <w:rPr>
          <w:color w:val="000000" w:themeColor="text1"/>
          <w:sz w:val="20"/>
        </w:rPr>
        <w:t xml:space="preserve">meeting is published at the end of </w:t>
      </w:r>
      <w:r w:rsidR="00A844BE" w:rsidRPr="009F4398">
        <w:rPr>
          <w:color w:val="000000" w:themeColor="text1"/>
          <w:sz w:val="20"/>
        </w:rPr>
        <w:t>each</w:t>
      </w:r>
      <w:r w:rsidR="00F6312E" w:rsidRPr="009F4398">
        <w:rPr>
          <w:color w:val="000000" w:themeColor="text1"/>
          <w:sz w:val="20"/>
        </w:rPr>
        <w:t xml:space="preserve"> </w:t>
      </w:r>
      <w:r w:rsidRPr="009F4398">
        <w:rPr>
          <w:color w:val="000000" w:themeColor="text1"/>
          <w:sz w:val="20"/>
        </w:rPr>
        <w:t xml:space="preserve">meeting, giving </w:t>
      </w:r>
      <w:r w:rsidR="00A41F59" w:rsidRPr="009F4398">
        <w:rPr>
          <w:color w:val="000000" w:themeColor="text1"/>
          <w:sz w:val="20"/>
        </w:rPr>
        <w:t>all</w:t>
      </w:r>
      <w:r w:rsidRPr="009F4398">
        <w:rPr>
          <w:color w:val="000000" w:themeColor="text1"/>
          <w:sz w:val="20"/>
        </w:rPr>
        <w:t xml:space="preserve"> interested ample time to react. </w:t>
      </w:r>
      <w:r w:rsidR="00A15495">
        <w:rPr>
          <w:color w:val="000000" w:themeColor="text1"/>
          <w:sz w:val="20"/>
        </w:rPr>
        <w:t>T</w:t>
      </w:r>
      <w:r w:rsidR="00A41F59" w:rsidRPr="009F4398">
        <w:rPr>
          <w:color w:val="000000" w:themeColor="text1"/>
          <w:sz w:val="20"/>
        </w:rPr>
        <w:t>he HUDOC Exec database</w:t>
      </w:r>
      <w:r w:rsidR="00A15495">
        <w:rPr>
          <w:color w:val="000000" w:themeColor="text1"/>
          <w:sz w:val="20"/>
        </w:rPr>
        <w:t xml:space="preserve"> gives access to information about the progress of the implementation of judgments</w:t>
      </w:r>
      <w:r w:rsidR="00A41F59" w:rsidRPr="009F4398">
        <w:rPr>
          <w:color w:val="000000" w:themeColor="text1"/>
          <w:sz w:val="20"/>
        </w:rPr>
        <w:t xml:space="preserve">. </w:t>
      </w:r>
      <w:r w:rsidRPr="009F4398">
        <w:rPr>
          <w:color w:val="000000" w:themeColor="text1"/>
          <w:sz w:val="20"/>
        </w:rPr>
        <w:t xml:space="preserve">A series of factsheets with basic information about the situation in respect of the execution of the Court’s judgments in each member State has </w:t>
      </w:r>
      <w:r w:rsidR="00A41F59" w:rsidRPr="009F4398">
        <w:rPr>
          <w:color w:val="000000" w:themeColor="text1"/>
          <w:sz w:val="20"/>
        </w:rPr>
        <w:t xml:space="preserve">also </w:t>
      </w:r>
      <w:r w:rsidRPr="009F4398">
        <w:rPr>
          <w:color w:val="000000" w:themeColor="text1"/>
          <w:sz w:val="20"/>
        </w:rPr>
        <w:t>been developed.</w:t>
      </w:r>
    </w:p>
    <w:p w14:paraId="369F2D1A" w14:textId="28D54CB6" w:rsidR="003A5ACD" w:rsidRDefault="003A5ACD">
      <w:pPr>
        <w:rPr>
          <w:sz w:val="20"/>
        </w:rPr>
      </w:pPr>
    </w:p>
    <w:p w14:paraId="26923E9B" w14:textId="6B4B48A1" w:rsidR="00A41F59" w:rsidRPr="009F4398" w:rsidRDefault="00A25E3F" w:rsidP="00D53E61">
      <w:pPr>
        <w:autoSpaceDE w:val="0"/>
        <w:autoSpaceDN w:val="0"/>
        <w:adjustRightInd w:val="0"/>
        <w:rPr>
          <w:color w:val="000000" w:themeColor="text1"/>
          <w:sz w:val="20"/>
        </w:rPr>
      </w:pPr>
      <w:r w:rsidRPr="009F4398">
        <w:rPr>
          <w:color w:val="000000" w:themeColor="text1"/>
          <w:sz w:val="20"/>
        </w:rPr>
        <w:t xml:space="preserve">7. </w:t>
      </w:r>
      <w:r w:rsidR="00A41F59" w:rsidRPr="009F4398">
        <w:rPr>
          <w:color w:val="000000" w:themeColor="text1"/>
          <w:sz w:val="20"/>
        </w:rPr>
        <w:t>As underlined by the Chairs of the DH meetings in the 2018 Annual Report of the Committee of Ministers</w:t>
      </w:r>
      <w:r w:rsidR="00A41F59" w:rsidRPr="009F4398">
        <w:rPr>
          <w:color w:val="000000" w:themeColor="text1"/>
          <w:sz w:val="20"/>
          <w:vertAlign w:val="superscript"/>
        </w:rPr>
        <w:footnoteReference w:id="1"/>
      </w:r>
      <w:r w:rsidR="00A41F59" w:rsidRPr="009F4398">
        <w:rPr>
          <w:color w:val="000000" w:themeColor="text1"/>
          <w:sz w:val="20"/>
        </w:rPr>
        <w:t xml:space="preserve"> (Croatia, Finland and France), the supervision process demonstrates in a very clear manner the system’s capacity to help member States in overcoming </w:t>
      </w:r>
      <w:r w:rsidR="006E0189" w:rsidRPr="009F4398">
        <w:rPr>
          <w:color w:val="000000" w:themeColor="text1"/>
          <w:sz w:val="20"/>
        </w:rPr>
        <w:t xml:space="preserve">obstacles to execution </w:t>
      </w:r>
      <w:r w:rsidR="00A41F59" w:rsidRPr="009F4398">
        <w:rPr>
          <w:color w:val="000000" w:themeColor="text1"/>
          <w:sz w:val="20"/>
        </w:rPr>
        <w:t>in a Convention-compliant manner and to maintain the mutual trust necessary for good interstate co-operation</w:t>
      </w:r>
      <w:r w:rsidR="006E0189" w:rsidRPr="009F4398">
        <w:rPr>
          <w:color w:val="000000" w:themeColor="text1"/>
          <w:sz w:val="20"/>
        </w:rPr>
        <w:t xml:space="preserve">. This </w:t>
      </w:r>
      <w:r w:rsidR="00A41F59" w:rsidRPr="009F4398">
        <w:rPr>
          <w:color w:val="000000" w:themeColor="text1"/>
          <w:sz w:val="20"/>
        </w:rPr>
        <w:t>capacity</w:t>
      </w:r>
      <w:r w:rsidR="006E0189" w:rsidRPr="009F4398">
        <w:rPr>
          <w:color w:val="000000" w:themeColor="text1"/>
          <w:sz w:val="20"/>
        </w:rPr>
        <w:t xml:space="preserve"> is also</w:t>
      </w:r>
      <w:r w:rsidR="00A41F59" w:rsidRPr="009F4398">
        <w:rPr>
          <w:color w:val="000000" w:themeColor="text1"/>
          <w:sz w:val="20"/>
        </w:rPr>
        <w:t xml:space="preserve"> well in evidence at the thematic debates held in 2018 on conditions of detention and in 2019 on the obligation to investigate violations of Articles 2 and 3 of the Convention.</w:t>
      </w:r>
    </w:p>
    <w:p w14:paraId="3A93F888" w14:textId="77777777" w:rsidR="004E144F" w:rsidRPr="009F4398" w:rsidRDefault="004E144F" w:rsidP="004E144F">
      <w:pPr>
        <w:rPr>
          <w:color w:val="000000" w:themeColor="text1"/>
          <w:sz w:val="20"/>
        </w:rPr>
      </w:pPr>
    </w:p>
    <w:p w14:paraId="0E27AB2F" w14:textId="4EAE10B7" w:rsidR="004E144F" w:rsidRPr="009F4398" w:rsidRDefault="00A25E3F" w:rsidP="004E144F">
      <w:pPr>
        <w:rPr>
          <w:color w:val="000000" w:themeColor="text1"/>
          <w:sz w:val="20"/>
        </w:rPr>
      </w:pPr>
      <w:r w:rsidRPr="009F4398">
        <w:rPr>
          <w:color w:val="000000" w:themeColor="text1"/>
          <w:sz w:val="20"/>
        </w:rPr>
        <w:t xml:space="preserve">8. The statistics in the </w:t>
      </w:r>
      <w:r w:rsidR="00AB5213">
        <w:rPr>
          <w:color w:val="000000" w:themeColor="text1"/>
          <w:sz w:val="20"/>
        </w:rPr>
        <w:t xml:space="preserve">above-mentioned </w:t>
      </w:r>
      <w:r w:rsidR="00393AD9" w:rsidRPr="009F4398">
        <w:rPr>
          <w:color w:val="000000" w:themeColor="text1"/>
          <w:sz w:val="20"/>
        </w:rPr>
        <w:t xml:space="preserve">2018 </w:t>
      </w:r>
      <w:r w:rsidRPr="009F4398">
        <w:rPr>
          <w:color w:val="000000" w:themeColor="text1"/>
          <w:sz w:val="20"/>
        </w:rPr>
        <w:t>Annual Report confirm the trend</w:t>
      </w:r>
      <w:r w:rsidR="006B1E23" w:rsidRPr="009F4398">
        <w:rPr>
          <w:color w:val="000000" w:themeColor="text1"/>
          <w:sz w:val="20"/>
        </w:rPr>
        <w:t>s</w:t>
      </w:r>
      <w:r w:rsidRPr="009F4398">
        <w:rPr>
          <w:color w:val="000000" w:themeColor="text1"/>
          <w:sz w:val="20"/>
        </w:rPr>
        <w:t xml:space="preserve"> in recent years</w:t>
      </w:r>
      <w:r w:rsidR="00393AD9" w:rsidRPr="009F4398">
        <w:rPr>
          <w:color w:val="000000" w:themeColor="text1"/>
          <w:sz w:val="20"/>
        </w:rPr>
        <w:t xml:space="preserve">. </w:t>
      </w:r>
      <w:r w:rsidR="00485AD0">
        <w:rPr>
          <w:color w:val="000000" w:themeColor="text1"/>
          <w:sz w:val="20"/>
        </w:rPr>
        <w:t>T</w:t>
      </w:r>
      <w:r w:rsidR="00393AD9" w:rsidRPr="009F4398">
        <w:rPr>
          <w:color w:val="000000" w:themeColor="text1"/>
          <w:sz w:val="20"/>
        </w:rPr>
        <w:t xml:space="preserve">he total number of pending cases </w:t>
      </w:r>
      <w:r w:rsidR="006E0189" w:rsidRPr="009F4398">
        <w:rPr>
          <w:color w:val="000000" w:themeColor="text1"/>
          <w:sz w:val="20"/>
        </w:rPr>
        <w:t xml:space="preserve">again </w:t>
      </w:r>
      <w:r w:rsidR="00393AD9" w:rsidRPr="009F4398">
        <w:rPr>
          <w:color w:val="000000" w:themeColor="text1"/>
          <w:sz w:val="20"/>
        </w:rPr>
        <w:t>decreased considerably (by 21%), to 6</w:t>
      </w:r>
      <w:r w:rsidR="00DC5FA6" w:rsidRPr="009F4398">
        <w:rPr>
          <w:color w:val="000000" w:themeColor="text1"/>
          <w:sz w:val="20"/>
        </w:rPr>
        <w:t>,</w:t>
      </w:r>
      <w:r w:rsidR="00393AD9" w:rsidRPr="009F4398">
        <w:rPr>
          <w:color w:val="000000" w:themeColor="text1"/>
          <w:sz w:val="20"/>
        </w:rPr>
        <w:t xml:space="preserve">151 </w:t>
      </w:r>
      <w:r w:rsidR="009D7A8B">
        <w:rPr>
          <w:color w:val="000000" w:themeColor="text1"/>
          <w:sz w:val="20"/>
        </w:rPr>
        <w:t>at the end of</w:t>
      </w:r>
      <w:r w:rsidR="00393AD9" w:rsidRPr="009F4398">
        <w:rPr>
          <w:color w:val="000000" w:themeColor="text1"/>
          <w:sz w:val="20"/>
        </w:rPr>
        <w:t xml:space="preserve"> 2018, the lowest figure since 2006.</w:t>
      </w:r>
      <w:r w:rsidR="00BA7C7E" w:rsidRPr="009F4398">
        <w:rPr>
          <w:color w:val="000000" w:themeColor="text1"/>
          <w:sz w:val="20"/>
        </w:rPr>
        <w:t>The number of pending cases that reveal structural or systemic problems (so-called leading cases) has also decreased from 1</w:t>
      </w:r>
      <w:r w:rsidR="00DC5FA6" w:rsidRPr="009F4398">
        <w:rPr>
          <w:color w:val="000000" w:themeColor="text1"/>
          <w:sz w:val="20"/>
        </w:rPr>
        <w:t>,</w:t>
      </w:r>
      <w:r w:rsidR="00BA7C7E" w:rsidRPr="009F4398">
        <w:rPr>
          <w:color w:val="000000" w:themeColor="text1"/>
          <w:sz w:val="20"/>
        </w:rPr>
        <w:t>379 in 2017 to 1</w:t>
      </w:r>
      <w:r w:rsidR="00DC5FA6" w:rsidRPr="009F4398">
        <w:rPr>
          <w:color w:val="000000" w:themeColor="text1"/>
          <w:sz w:val="20"/>
        </w:rPr>
        <w:t>,</w:t>
      </w:r>
      <w:r w:rsidR="00BA7C7E" w:rsidRPr="009F4398">
        <w:rPr>
          <w:color w:val="000000" w:themeColor="text1"/>
          <w:sz w:val="20"/>
        </w:rPr>
        <w:t>24</w:t>
      </w:r>
      <w:r w:rsidR="00393AD9" w:rsidRPr="009F4398">
        <w:rPr>
          <w:color w:val="000000" w:themeColor="text1"/>
          <w:sz w:val="20"/>
        </w:rPr>
        <w:t>8</w:t>
      </w:r>
      <w:r w:rsidR="00BA7C7E" w:rsidRPr="009F4398">
        <w:rPr>
          <w:color w:val="000000" w:themeColor="text1"/>
          <w:sz w:val="20"/>
        </w:rPr>
        <w:t xml:space="preserve"> in 2018. The same applies to the number of cases placed under enhanced supervision due to the importance of the problem: 317 in 2017 and 30</w:t>
      </w:r>
      <w:r w:rsidR="00B46C3F" w:rsidRPr="009F4398">
        <w:rPr>
          <w:color w:val="000000" w:themeColor="text1"/>
          <w:sz w:val="20"/>
        </w:rPr>
        <w:t>9</w:t>
      </w:r>
      <w:r w:rsidR="00BA7C7E" w:rsidRPr="009F4398">
        <w:rPr>
          <w:color w:val="000000" w:themeColor="text1"/>
          <w:sz w:val="20"/>
        </w:rPr>
        <w:t xml:space="preserve"> in 2018. However, the number of cases </w:t>
      </w:r>
      <w:r w:rsidR="009D7A8B">
        <w:rPr>
          <w:color w:val="000000" w:themeColor="text1"/>
          <w:sz w:val="20"/>
        </w:rPr>
        <w:t xml:space="preserve">or groups of cases </w:t>
      </w:r>
      <w:r w:rsidR="00BA7C7E" w:rsidRPr="009F4398">
        <w:rPr>
          <w:color w:val="000000" w:themeColor="text1"/>
          <w:sz w:val="20"/>
        </w:rPr>
        <w:t xml:space="preserve">closed </w:t>
      </w:r>
      <w:r w:rsidR="00B46C3F" w:rsidRPr="009F4398">
        <w:rPr>
          <w:color w:val="000000" w:themeColor="text1"/>
          <w:sz w:val="20"/>
        </w:rPr>
        <w:t xml:space="preserve">remained the same </w:t>
      </w:r>
      <w:r w:rsidR="00BA7C7E" w:rsidRPr="009F4398">
        <w:rPr>
          <w:color w:val="000000" w:themeColor="text1"/>
          <w:sz w:val="20"/>
        </w:rPr>
        <w:t>as far as leading cases under enhanced supervision are concerned: 3</w:t>
      </w:r>
      <w:r w:rsidR="00B46C3F" w:rsidRPr="009F4398">
        <w:rPr>
          <w:color w:val="000000" w:themeColor="text1"/>
          <w:sz w:val="20"/>
        </w:rPr>
        <w:t>5</w:t>
      </w:r>
      <w:r w:rsidR="00BA7C7E" w:rsidRPr="009F4398">
        <w:rPr>
          <w:color w:val="000000" w:themeColor="text1"/>
          <w:sz w:val="20"/>
        </w:rPr>
        <w:t xml:space="preserve"> were closed in 2018. </w:t>
      </w:r>
      <w:r w:rsidR="00B212F7" w:rsidRPr="009F4398">
        <w:rPr>
          <w:color w:val="000000" w:themeColor="text1"/>
          <w:sz w:val="20"/>
        </w:rPr>
        <w:t>Moreover</w:t>
      </w:r>
      <w:r w:rsidR="00504157" w:rsidRPr="009F4398">
        <w:rPr>
          <w:color w:val="000000" w:themeColor="text1"/>
          <w:sz w:val="20"/>
        </w:rPr>
        <w:t>, t</w:t>
      </w:r>
      <w:r w:rsidR="00BA7C7E" w:rsidRPr="009F4398">
        <w:rPr>
          <w:color w:val="000000" w:themeColor="text1"/>
          <w:sz w:val="20"/>
        </w:rPr>
        <w:t xml:space="preserve">he number of leading cases under standard supervision which were closed in 2018 </w:t>
      </w:r>
      <w:r w:rsidR="00504157" w:rsidRPr="009F4398">
        <w:rPr>
          <w:color w:val="000000" w:themeColor="text1"/>
          <w:sz w:val="20"/>
        </w:rPr>
        <w:t>decreased: 254</w:t>
      </w:r>
      <w:r w:rsidR="00BA7C7E" w:rsidRPr="009F4398">
        <w:rPr>
          <w:color w:val="000000" w:themeColor="text1"/>
          <w:sz w:val="20"/>
        </w:rPr>
        <w:t xml:space="preserve"> cases closed compared to 276 in 2017.</w:t>
      </w:r>
    </w:p>
    <w:p w14:paraId="16047EC4" w14:textId="77777777" w:rsidR="009835EF" w:rsidRPr="009F4398" w:rsidRDefault="009835EF" w:rsidP="009F27B7">
      <w:pPr>
        <w:rPr>
          <w:color w:val="000000" w:themeColor="text1"/>
          <w:sz w:val="20"/>
        </w:rPr>
      </w:pPr>
    </w:p>
    <w:p w14:paraId="457FD562" w14:textId="611D621D" w:rsidR="009F27B7" w:rsidRPr="009F4398" w:rsidRDefault="00485AD0" w:rsidP="009F27B7">
      <w:pPr>
        <w:rPr>
          <w:color w:val="000000" w:themeColor="text1"/>
          <w:sz w:val="20"/>
        </w:rPr>
      </w:pPr>
      <w:r>
        <w:rPr>
          <w:color w:val="000000" w:themeColor="text1"/>
          <w:sz w:val="20"/>
        </w:rPr>
        <w:t>9</w:t>
      </w:r>
      <w:r w:rsidR="00BA7C7E" w:rsidRPr="009F4398">
        <w:rPr>
          <w:color w:val="000000" w:themeColor="text1"/>
          <w:sz w:val="20"/>
        </w:rPr>
        <w:t xml:space="preserve">. The percentage of payments of just satisfaction made on time </w:t>
      </w:r>
      <w:r w:rsidR="00504157" w:rsidRPr="009F4398">
        <w:rPr>
          <w:color w:val="000000" w:themeColor="text1"/>
          <w:sz w:val="20"/>
        </w:rPr>
        <w:t xml:space="preserve">suffered a decrease, albeit small, and was at 69% in 2018 </w:t>
      </w:r>
      <w:r w:rsidR="005A5BA7" w:rsidRPr="009F4398">
        <w:rPr>
          <w:color w:val="000000" w:themeColor="text1"/>
          <w:sz w:val="20"/>
        </w:rPr>
        <w:t>(</w:t>
      </w:r>
      <w:r w:rsidR="00BA7C7E" w:rsidRPr="009F4398">
        <w:rPr>
          <w:color w:val="000000" w:themeColor="text1"/>
          <w:sz w:val="20"/>
        </w:rPr>
        <w:t>70% in 201</w:t>
      </w:r>
      <w:r w:rsidR="00354198" w:rsidRPr="009F4398">
        <w:rPr>
          <w:color w:val="000000" w:themeColor="text1"/>
          <w:sz w:val="20"/>
        </w:rPr>
        <w:t>7</w:t>
      </w:r>
      <w:r w:rsidR="005A5BA7" w:rsidRPr="009F4398">
        <w:rPr>
          <w:color w:val="000000" w:themeColor="text1"/>
          <w:sz w:val="20"/>
        </w:rPr>
        <w:t>)</w:t>
      </w:r>
      <w:r w:rsidR="00BA7C7E" w:rsidRPr="009F4398">
        <w:rPr>
          <w:color w:val="000000" w:themeColor="text1"/>
          <w:sz w:val="20"/>
        </w:rPr>
        <w:t>.</w:t>
      </w:r>
    </w:p>
    <w:p w14:paraId="5429E292" w14:textId="77777777" w:rsidR="009F27B7" w:rsidRPr="009F4398" w:rsidRDefault="009F27B7" w:rsidP="004E144F">
      <w:pPr>
        <w:rPr>
          <w:color w:val="000000" w:themeColor="text1"/>
          <w:sz w:val="20"/>
        </w:rPr>
      </w:pPr>
    </w:p>
    <w:p w14:paraId="04DF8243" w14:textId="5A9D3879" w:rsidR="006E0189" w:rsidRPr="009F4398" w:rsidRDefault="00BA7C7E" w:rsidP="002112D5">
      <w:pPr>
        <w:rPr>
          <w:color w:val="000000" w:themeColor="text1"/>
          <w:sz w:val="20"/>
        </w:rPr>
      </w:pPr>
      <w:r w:rsidRPr="009F4398">
        <w:rPr>
          <w:color w:val="000000" w:themeColor="text1"/>
          <w:sz w:val="20"/>
        </w:rPr>
        <w:t>1</w:t>
      </w:r>
      <w:r w:rsidR="00485AD0">
        <w:rPr>
          <w:color w:val="000000" w:themeColor="text1"/>
          <w:sz w:val="20"/>
        </w:rPr>
        <w:t>0</w:t>
      </w:r>
      <w:r w:rsidRPr="009F4398">
        <w:rPr>
          <w:color w:val="000000" w:themeColor="text1"/>
          <w:sz w:val="20"/>
        </w:rPr>
        <w:t xml:space="preserve">. </w:t>
      </w:r>
      <w:r w:rsidR="00485AD0">
        <w:rPr>
          <w:color w:val="000000" w:themeColor="text1"/>
          <w:sz w:val="20"/>
        </w:rPr>
        <w:t xml:space="preserve">Even with the statistical trend above, </w:t>
      </w:r>
      <w:r w:rsidRPr="009F4398">
        <w:rPr>
          <w:color w:val="000000" w:themeColor="text1"/>
          <w:sz w:val="20"/>
        </w:rPr>
        <w:t xml:space="preserve">the Committee of Ministers </w:t>
      </w:r>
      <w:r w:rsidR="00504157" w:rsidRPr="009F4398">
        <w:rPr>
          <w:color w:val="000000" w:themeColor="text1"/>
          <w:sz w:val="20"/>
        </w:rPr>
        <w:t xml:space="preserve">noted </w:t>
      </w:r>
      <w:r w:rsidRPr="009F4398">
        <w:rPr>
          <w:color w:val="000000" w:themeColor="text1"/>
          <w:sz w:val="20"/>
        </w:rPr>
        <w:t>in Elsinore</w:t>
      </w:r>
      <w:r w:rsidR="00504157" w:rsidRPr="009F4398">
        <w:rPr>
          <w:color w:val="000000" w:themeColor="text1"/>
          <w:sz w:val="20"/>
        </w:rPr>
        <w:t xml:space="preserve"> that</w:t>
      </w:r>
      <w:r w:rsidRPr="009F4398">
        <w:rPr>
          <w:color w:val="000000" w:themeColor="text1"/>
          <w:sz w:val="20"/>
        </w:rPr>
        <w:t xml:space="preserve"> “the Convention system continues to face significant challenges, notably linked to serious or widespread violations, to systemic and structural problems of human rights in States Parties, and to the situation in unresolved conflict zones”. </w:t>
      </w:r>
      <w:r w:rsidR="00504157" w:rsidRPr="009F4398">
        <w:rPr>
          <w:color w:val="000000" w:themeColor="text1"/>
          <w:sz w:val="20"/>
        </w:rPr>
        <w:t xml:space="preserve">The maintenance and development of Council of Europe support to execution, </w:t>
      </w:r>
      <w:r w:rsidR="009A31D2" w:rsidRPr="009F4398">
        <w:rPr>
          <w:color w:val="000000" w:themeColor="text1"/>
          <w:sz w:val="20"/>
        </w:rPr>
        <w:t>in particular</w:t>
      </w:r>
      <w:r w:rsidR="00504157" w:rsidRPr="009F4398">
        <w:rPr>
          <w:color w:val="000000" w:themeColor="text1"/>
          <w:sz w:val="20"/>
        </w:rPr>
        <w:t xml:space="preserve"> through the availability of expert advice and co</w:t>
      </w:r>
      <w:r w:rsidR="00504157" w:rsidRPr="009F4398">
        <w:rPr>
          <w:color w:val="000000" w:themeColor="text1"/>
          <w:sz w:val="20"/>
        </w:rPr>
        <w:noBreakHyphen/>
        <w:t>operation activities and programmes</w:t>
      </w:r>
      <w:r w:rsidR="009A31D2" w:rsidRPr="009F4398">
        <w:rPr>
          <w:color w:val="000000" w:themeColor="text1"/>
          <w:sz w:val="20"/>
        </w:rPr>
        <w:t>,</w:t>
      </w:r>
      <w:r w:rsidR="00504157" w:rsidRPr="009F4398">
        <w:rPr>
          <w:color w:val="000000" w:themeColor="text1"/>
          <w:sz w:val="20"/>
        </w:rPr>
        <w:t xml:space="preserve"> thus </w:t>
      </w:r>
      <w:r w:rsidR="006E0189" w:rsidRPr="009F4398">
        <w:rPr>
          <w:color w:val="000000" w:themeColor="text1"/>
          <w:sz w:val="20"/>
        </w:rPr>
        <w:t>remain i</w:t>
      </w:r>
      <w:r w:rsidR="00504157" w:rsidRPr="009F4398">
        <w:rPr>
          <w:color w:val="000000" w:themeColor="text1"/>
          <w:sz w:val="20"/>
        </w:rPr>
        <w:t>mportan</w:t>
      </w:r>
      <w:r w:rsidR="006E0189" w:rsidRPr="009F4398">
        <w:rPr>
          <w:color w:val="000000" w:themeColor="text1"/>
          <w:sz w:val="20"/>
        </w:rPr>
        <w:t>t</w:t>
      </w:r>
      <w:r w:rsidR="00A15495">
        <w:rPr>
          <w:color w:val="000000" w:themeColor="text1"/>
          <w:sz w:val="20"/>
        </w:rPr>
        <w:t xml:space="preserve">. A number of </w:t>
      </w:r>
      <w:r w:rsidR="00504157" w:rsidRPr="009F4398">
        <w:rPr>
          <w:color w:val="000000" w:themeColor="text1"/>
          <w:sz w:val="20"/>
        </w:rPr>
        <w:t>execution processes have, in addition, encountered substantial problems or obstacles, or even a lack of political will</w:t>
      </w:r>
      <w:r w:rsidR="00000E8C">
        <w:rPr>
          <w:color w:val="000000" w:themeColor="text1"/>
          <w:sz w:val="20"/>
        </w:rPr>
        <w:t>,</w:t>
      </w:r>
      <w:r w:rsidR="00675691">
        <w:rPr>
          <w:color w:val="000000" w:themeColor="text1"/>
          <w:sz w:val="20"/>
        </w:rPr>
        <w:t xml:space="preserve"> and it </w:t>
      </w:r>
      <w:r w:rsidR="006E0189" w:rsidRPr="00675691">
        <w:rPr>
          <w:color w:val="000000" w:themeColor="text1"/>
          <w:sz w:val="20"/>
        </w:rPr>
        <w:t xml:space="preserve">can be expected that they will </w:t>
      </w:r>
      <w:r w:rsidR="00675691">
        <w:rPr>
          <w:color w:val="000000" w:themeColor="text1"/>
          <w:sz w:val="20"/>
        </w:rPr>
        <w:t xml:space="preserve">also </w:t>
      </w:r>
      <w:r w:rsidR="006E0189" w:rsidRPr="00675691">
        <w:rPr>
          <w:color w:val="000000" w:themeColor="text1"/>
          <w:sz w:val="20"/>
        </w:rPr>
        <w:t xml:space="preserve">continue to </w:t>
      </w:r>
      <w:r w:rsidR="00504157" w:rsidRPr="00675691">
        <w:rPr>
          <w:color w:val="000000" w:themeColor="text1"/>
          <w:sz w:val="20"/>
        </w:rPr>
        <w:t>require</w:t>
      </w:r>
      <w:r w:rsidR="000D3563">
        <w:rPr>
          <w:color w:val="000000" w:themeColor="text1"/>
          <w:sz w:val="20"/>
        </w:rPr>
        <w:t xml:space="preserve"> </w:t>
      </w:r>
      <w:r w:rsidR="00675691" w:rsidRPr="00675691">
        <w:rPr>
          <w:sz w:val="20"/>
        </w:rPr>
        <w:t>detailed work,</w:t>
      </w:r>
      <w:r w:rsidR="000D3563" w:rsidRPr="00675691">
        <w:rPr>
          <w:b/>
          <w:sz w:val="20"/>
        </w:rPr>
        <w:t xml:space="preserve"> </w:t>
      </w:r>
      <w:r w:rsidR="00504157" w:rsidRPr="00675691">
        <w:rPr>
          <w:sz w:val="20"/>
        </w:rPr>
        <w:t xml:space="preserve">intensive </w:t>
      </w:r>
      <w:r w:rsidR="00504157" w:rsidRPr="009F4398">
        <w:rPr>
          <w:color w:val="000000" w:themeColor="text1"/>
          <w:sz w:val="20"/>
        </w:rPr>
        <w:t xml:space="preserve">discussions and consultations, including at </w:t>
      </w:r>
      <w:r w:rsidR="00675691">
        <w:rPr>
          <w:color w:val="000000" w:themeColor="text1"/>
          <w:sz w:val="20"/>
        </w:rPr>
        <w:t>a</w:t>
      </w:r>
      <w:r w:rsidR="00504157" w:rsidRPr="009F4398">
        <w:rPr>
          <w:color w:val="000000" w:themeColor="text1"/>
          <w:sz w:val="20"/>
        </w:rPr>
        <w:t xml:space="preserve"> high level</w:t>
      </w:r>
      <w:r w:rsidR="006E0189" w:rsidRPr="009F4398">
        <w:rPr>
          <w:color w:val="000000" w:themeColor="text1"/>
          <w:sz w:val="20"/>
        </w:rPr>
        <w:t>.</w:t>
      </w:r>
    </w:p>
    <w:p w14:paraId="465B8F45" w14:textId="77777777" w:rsidR="00504157" w:rsidRPr="009F4398" w:rsidRDefault="00504157" w:rsidP="002112D5">
      <w:pPr>
        <w:rPr>
          <w:color w:val="000000" w:themeColor="text1"/>
          <w:sz w:val="20"/>
        </w:rPr>
      </w:pPr>
    </w:p>
    <w:p w14:paraId="3E386A7F" w14:textId="71B5247F" w:rsidR="00504157" w:rsidRPr="009F4398" w:rsidRDefault="00504157" w:rsidP="00504157">
      <w:pPr>
        <w:rPr>
          <w:color w:val="000000" w:themeColor="text1"/>
          <w:sz w:val="20"/>
        </w:rPr>
      </w:pPr>
      <w:r w:rsidRPr="009F4398">
        <w:rPr>
          <w:color w:val="000000" w:themeColor="text1"/>
          <w:sz w:val="20"/>
        </w:rPr>
        <w:t>1</w:t>
      </w:r>
      <w:r w:rsidR="00485AD0">
        <w:rPr>
          <w:color w:val="000000" w:themeColor="text1"/>
          <w:sz w:val="20"/>
        </w:rPr>
        <w:t>1</w:t>
      </w:r>
      <w:r w:rsidRPr="009F4398">
        <w:rPr>
          <w:color w:val="000000" w:themeColor="text1"/>
          <w:sz w:val="20"/>
        </w:rPr>
        <w:t xml:space="preserve">. In 2017, the Committee of Ministers made use for the first time of Article 46 §4 of the European Convention on Human Rights by referring the question to the Court whether Azerbaijan has failed to fulfil its obligation under Article 46 §1 to implement the Court’s judgment in the case </w:t>
      </w:r>
      <w:proofErr w:type="spellStart"/>
      <w:r w:rsidRPr="009F4398">
        <w:rPr>
          <w:color w:val="000000" w:themeColor="text1"/>
          <w:sz w:val="20"/>
        </w:rPr>
        <w:t>Ilgar</w:t>
      </w:r>
      <w:proofErr w:type="spellEnd"/>
      <w:r w:rsidRPr="009F4398">
        <w:rPr>
          <w:color w:val="000000" w:themeColor="text1"/>
          <w:sz w:val="20"/>
        </w:rPr>
        <w:t xml:space="preserve"> Mammadov v. Azerbaijan (Application n° 15172/13). The Court’s judgment is expected in 2019.</w:t>
      </w:r>
    </w:p>
    <w:p w14:paraId="4F98ED10" w14:textId="77777777" w:rsidR="004E144F" w:rsidRPr="009F4398" w:rsidRDefault="004E144F" w:rsidP="0024662F">
      <w:pPr>
        <w:rPr>
          <w:color w:val="000000" w:themeColor="text1"/>
          <w:sz w:val="20"/>
          <w:szCs w:val="20"/>
        </w:rPr>
      </w:pPr>
    </w:p>
    <w:p w14:paraId="38CB5AC0" w14:textId="77777777" w:rsidR="004E144F" w:rsidRPr="0094488B" w:rsidRDefault="004E144F" w:rsidP="004E144F">
      <w:pPr>
        <w:rPr>
          <w:i/>
          <w:sz w:val="20"/>
          <w:szCs w:val="20"/>
        </w:rPr>
      </w:pPr>
      <w:r w:rsidRPr="0094488B">
        <w:rPr>
          <w:i/>
          <w:sz w:val="20"/>
          <w:szCs w:val="20"/>
        </w:rPr>
        <w:t>Measures concerning the selection and election of judges to the European Court of Human Rights</w:t>
      </w:r>
    </w:p>
    <w:p w14:paraId="6C654CB7" w14:textId="77777777" w:rsidR="004E144F" w:rsidRPr="0094488B" w:rsidRDefault="004E144F" w:rsidP="004E144F">
      <w:pPr>
        <w:pStyle w:val="ListParagraph"/>
        <w:ind w:left="0"/>
        <w:rPr>
          <w:i/>
          <w:sz w:val="20"/>
          <w:szCs w:val="20"/>
          <w:lang w:val="en-GB" w:eastAsia="en-US"/>
        </w:rPr>
      </w:pPr>
    </w:p>
    <w:p w14:paraId="053D07F0" w14:textId="4A9C63BF" w:rsidR="004E144F" w:rsidRPr="0094488B" w:rsidRDefault="00BA7C7E" w:rsidP="004E144F">
      <w:pPr>
        <w:rPr>
          <w:sz w:val="20"/>
          <w:szCs w:val="20"/>
        </w:rPr>
      </w:pPr>
      <w:r w:rsidRPr="00B00015">
        <w:rPr>
          <w:sz w:val="20"/>
          <w:szCs w:val="20"/>
        </w:rPr>
        <w:t>1</w:t>
      </w:r>
      <w:r w:rsidR="00D45592">
        <w:rPr>
          <w:sz w:val="20"/>
          <w:szCs w:val="20"/>
        </w:rPr>
        <w:t>2</w:t>
      </w:r>
      <w:r w:rsidRPr="00B00015">
        <w:rPr>
          <w:sz w:val="20"/>
          <w:szCs w:val="20"/>
        </w:rPr>
        <w:t>. The importance of the quality and qualifications of judges has been emphasised on many occasions and various measures have been taken in recent years, such as the establishment by the Committee of Ministers of the Advisory Panel of Experts on Candidates for Election as Judge to the European Court of Human Rights, and the adoption of the Committee of Ministers’ Guidelines on the selection of candidates for the post of judge at the European Court of Human Rights.</w:t>
      </w:r>
    </w:p>
    <w:p w14:paraId="1166349E" w14:textId="77777777" w:rsidR="004E144F" w:rsidRPr="0094488B" w:rsidRDefault="004E144F" w:rsidP="004E144F">
      <w:pPr>
        <w:rPr>
          <w:sz w:val="20"/>
          <w:szCs w:val="20"/>
        </w:rPr>
      </w:pPr>
    </w:p>
    <w:p w14:paraId="48AF66E2" w14:textId="06DDBFAE" w:rsidR="004E144F" w:rsidRPr="0094488B" w:rsidRDefault="00BA7C7E" w:rsidP="004E144F">
      <w:pPr>
        <w:rPr>
          <w:sz w:val="20"/>
          <w:szCs w:val="20"/>
        </w:rPr>
      </w:pPr>
      <w:r w:rsidRPr="00B00015">
        <w:rPr>
          <w:sz w:val="20"/>
          <w:szCs w:val="20"/>
        </w:rPr>
        <w:t>1</w:t>
      </w:r>
      <w:r w:rsidR="00D45592">
        <w:rPr>
          <w:sz w:val="20"/>
          <w:szCs w:val="20"/>
        </w:rPr>
        <w:t>3</w:t>
      </w:r>
      <w:r w:rsidRPr="00B00015">
        <w:rPr>
          <w:sz w:val="20"/>
          <w:szCs w:val="20"/>
        </w:rPr>
        <w:t>. The Advisory Panel, which gives advice to States Parties on the suitability of the candidates they intend to put forward for office as judges of the Court, has continued its work. The Ministers’ Deputies held an exchange of views with the Chair</w:t>
      </w:r>
      <w:r w:rsidR="002008C8">
        <w:rPr>
          <w:sz w:val="20"/>
          <w:szCs w:val="20"/>
        </w:rPr>
        <w:t>person</w:t>
      </w:r>
      <w:r w:rsidRPr="00B00015">
        <w:rPr>
          <w:sz w:val="20"/>
          <w:szCs w:val="20"/>
        </w:rPr>
        <w:t xml:space="preserve"> of the Panel, former Judge of the European Court of Human Rights in respect of Croatia, Ms Nina </w:t>
      </w:r>
      <w:proofErr w:type="spellStart"/>
      <w:r w:rsidRPr="00B00015">
        <w:rPr>
          <w:sz w:val="20"/>
          <w:szCs w:val="20"/>
        </w:rPr>
        <w:t>Vaji</w:t>
      </w:r>
      <w:r w:rsidRPr="00B00015">
        <w:rPr>
          <w:rFonts w:cs="Arial"/>
          <w:sz w:val="20"/>
          <w:szCs w:val="20"/>
        </w:rPr>
        <w:t>ć</w:t>
      </w:r>
      <w:proofErr w:type="spellEnd"/>
      <w:r w:rsidRPr="00B00015">
        <w:rPr>
          <w:sz w:val="20"/>
          <w:szCs w:val="20"/>
        </w:rPr>
        <w:t>, in March 2019.</w:t>
      </w:r>
    </w:p>
    <w:p w14:paraId="0C0AB516" w14:textId="77777777" w:rsidR="004E144F" w:rsidRPr="0094488B" w:rsidRDefault="004E144F" w:rsidP="004E144F">
      <w:pPr>
        <w:rPr>
          <w:sz w:val="20"/>
          <w:szCs w:val="20"/>
        </w:rPr>
      </w:pPr>
    </w:p>
    <w:p w14:paraId="6B86FD66" w14:textId="77777777" w:rsidR="005751AE" w:rsidRDefault="005751AE">
      <w:pPr>
        <w:rPr>
          <w:sz w:val="20"/>
          <w:szCs w:val="20"/>
        </w:rPr>
      </w:pPr>
      <w:r>
        <w:rPr>
          <w:sz w:val="20"/>
          <w:szCs w:val="20"/>
        </w:rPr>
        <w:br w:type="page"/>
      </w:r>
    </w:p>
    <w:p w14:paraId="11D1BD53" w14:textId="53326875" w:rsidR="00281035" w:rsidRPr="00B00015" w:rsidRDefault="00BA7C7E" w:rsidP="00281035">
      <w:pPr>
        <w:rPr>
          <w:sz w:val="20"/>
          <w:szCs w:val="20"/>
        </w:rPr>
      </w:pPr>
      <w:r w:rsidRPr="00B00015">
        <w:rPr>
          <w:sz w:val="20"/>
          <w:szCs w:val="20"/>
        </w:rPr>
        <w:lastRenderedPageBreak/>
        <w:t>1</w:t>
      </w:r>
      <w:r w:rsidR="00D45592">
        <w:rPr>
          <w:sz w:val="20"/>
          <w:szCs w:val="20"/>
        </w:rPr>
        <w:t>4</w:t>
      </w:r>
      <w:r w:rsidRPr="00B00015">
        <w:rPr>
          <w:sz w:val="20"/>
          <w:szCs w:val="20"/>
        </w:rPr>
        <w:t>. The importance of this matter was underlined again in the Copenhagen Declaration, which was endorsed by the Committee of Ministers at its 128</w:t>
      </w:r>
      <w:r w:rsidRPr="00B00015">
        <w:rPr>
          <w:sz w:val="20"/>
          <w:szCs w:val="20"/>
          <w:vertAlign w:val="superscript"/>
        </w:rPr>
        <w:t>th</w:t>
      </w:r>
      <w:r w:rsidR="00FC7CBA" w:rsidRPr="0094488B">
        <w:rPr>
          <w:sz w:val="20"/>
          <w:szCs w:val="20"/>
        </w:rPr>
        <w:t xml:space="preserve"> session in Elsinore. On 30 May 2018, the Ministers’ Deputies </w:t>
      </w:r>
      <w:r w:rsidR="00281035" w:rsidRPr="0094488B">
        <w:rPr>
          <w:sz w:val="20"/>
          <w:szCs w:val="20"/>
        </w:rPr>
        <w:t xml:space="preserve">agreed </w:t>
      </w:r>
      <w:r w:rsidRPr="00B00015">
        <w:rPr>
          <w:sz w:val="20"/>
          <w:szCs w:val="20"/>
        </w:rPr>
        <w:t xml:space="preserve">to consider, in co-operation with the Parliamentary Assembly, and on the basis of the 2017 report </w:t>
      </w:r>
      <w:r w:rsidR="00C372DC">
        <w:rPr>
          <w:sz w:val="20"/>
          <w:szCs w:val="20"/>
        </w:rPr>
        <w:t>of the Steering Committee for Human Rights (</w:t>
      </w:r>
      <w:r w:rsidR="00C372DC" w:rsidRPr="000C1243">
        <w:rPr>
          <w:sz w:val="20"/>
          <w:szCs w:val="20"/>
        </w:rPr>
        <w:t>CDDH</w:t>
      </w:r>
      <w:r w:rsidR="00C372DC">
        <w:rPr>
          <w:sz w:val="20"/>
          <w:szCs w:val="20"/>
        </w:rPr>
        <w:t>)</w:t>
      </w:r>
      <w:r w:rsidR="00C372DC" w:rsidRPr="00C372DC">
        <w:rPr>
          <w:sz w:val="20"/>
          <w:szCs w:val="20"/>
        </w:rPr>
        <w:t xml:space="preserve"> </w:t>
      </w:r>
      <w:r w:rsidRPr="00B00015">
        <w:rPr>
          <w:sz w:val="20"/>
          <w:szCs w:val="20"/>
        </w:rPr>
        <w:t>on the selection and election of judges of the European Court of Human Rights</w:t>
      </w:r>
      <w:r w:rsidR="00C372DC">
        <w:rPr>
          <w:sz w:val="20"/>
          <w:szCs w:val="20"/>
        </w:rPr>
        <w:t xml:space="preserve"> (</w:t>
      </w:r>
      <w:r w:rsidR="00C372DC" w:rsidRPr="00C81BC0">
        <w:rPr>
          <w:rFonts w:eastAsia="Times New Roman" w:cs="Arial"/>
          <w:sz w:val="20"/>
          <w:szCs w:val="21"/>
          <w:lang w:eastAsia="zh-CN"/>
        </w:rPr>
        <w:t>document</w:t>
      </w:r>
      <w:r w:rsidR="00C372DC" w:rsidRPr="00C81BC0">
        <w:rPr>
          <w:rStyle w:val="apple-converted-space"/>
          <w:rFonts w:eastAsia="Times New Roman" w:cs="Arial"/>
          <w:sz w:val="20"/>
          <w:szCs w:val="21"/>
          <w:lang w:eastAsia="zh-CN"/>
        </w:rPr>
        <w:t> </w:t>
      </w:r>
      <w:bookmarkStart w:id="1" w:name="_ML_000000000001_VALID"/>
      <w:r w:rsidR="001F583A" w:rsidRPr="001F583A">
        <w:rPr>
          <w:rStyle w:val="Hyperlink"/>
          <w:rFonts w:eastAsia="Times New Roman" w:cs="Arial"/>
          <w:sz w:val="20"/>
          <w:szCs w:val="21"/>
          <w:lang w:eastAsia="zh-CN"/>
        </w:rPr>
        <w:fldChar w:fldCharType="begin"/>
      </w:r>
      <w:r w:rsidR="001F583A" w:rsidRPr="001F583A">
        <w:rPr>
          <w:rStyle w:val="Hyperlink"/>
          <w:rFonts w:eastAsia="Times New Roman" w:cs="Arial"/>
          <w:sz w:val="20"/>
          <w:szCs w:val="21"/>
          <w:lang w:eastAsia="zh-CN"/>
        </w:rPr>
        <w:instrText xml:space="preserve"> HYPERLINK "https://search.coe.int/cm/Pages/result_details.aspx?Reference=CM(2018)18-add1" \o "Steering Committee for Human Rights (CDDH) - b. Report on the process of selection and election of judges of the European Court of Human Rights [1309 meeting]" </w:instrText>
      </w:r>
      <w:r w:rsidR="001F583A" w:rsidRPr="001F583A">
        <w:rPr>
          <w:rStyle w:val="Hyperlink"/>
          <w:rFonts w:eastAsia="Times New Roman" w:cs="Arial"/>
          <w:sz w:val="20"/>
          <w:szCs w:val="21"/>
          <w:lang w:eastAsia="zh-CN"/>
        </w:rPr>
        <w:fldChar w:fldCharType="separate"/>
      </w:r>
      <w:bookmarkEnd w:id="1"/>
      <w:r w:rsidR="001F583A" w:rsidRPr="001F583A">
        <w:rPr>
          <w:rStyle w:val="Hyperlink"/>
          <w:rFonts w:eastAsia="Times New Roman" w:cs="Arial"/>
          <w:sz w:val="20"/>
          <w:szCs w:val="21"/>
          <w:lang w:eastAsia="zh-CN"/>
        </w:rPr>
        <w:t>CM(2018)18-add1</w:t>
      </w:r>
      <w:r w:rsidR="001F583A" w:rsidRPr="001F583A">
        <w:rPr>
          <w:rStyle w:val="Hyperlink"/>
          <w:rFonts w:eastAsia="Times New Roman" w:cs="Arial"/>
          <w:sz w:val="20"/>
          <w:szCs w:val="21"/>
          <w:lang w:eastAsia="zh-CN"/>
        </w:rPr>
        <w:fldChar w:fldCharType="end"/>
      </w:r>
      <w:r w:rsidR="00C372DC" w:rsidRPr="00C81BC0">
        <w:rPr>
          <w:rFonts w:eastAsia="Times New Roman" w:cs="Arial"/>
          <w:sz w:val="20"/>
          <w:szCs w:val="21"/>
          <w:lang w:eastAsia="zh-CN"/>
        </w:rPr>
        <w:t>)</w:t>
      </w:r>
      <w:r w:rsidRPr="00B00015">
        <w:rPr>
          <w:sz w:val="20"/>
          <w:szCs w:val="20"/>
        </w:rPr>
        <w:t>, the whole process by which judges are selected and elected to the Court with a view to ensuring that the process is fair, transparent and efficient, and that the most qualified and competent candidates are elected.</w:t>
      </w:r>
    </w:p>
    <w:p w14:paraId="079AD43A" w14:textId="77777777" w:rsidR="00B00015" w:rsidRDefault="00B00015" w:rsidP="00B00015">
      <w:pPr>
        <w:rPr>
          <w:sz w:val="20"/>
          <w:szCs w:val="21"/>
          <w:shd w:val="clear" w:color="auto" w:fill="FFFFFF"/>
          <w:lang w:eastAsia="fr-FR"/>
        </w:rPr>
      </w:pPr>
    </w:p>
    <w:p w14:paraId="0897E3B0" w14:textId="17F7500F" w:rsidR="003A0EC0" w:rsidRPr="00B00015" w:rsidRDefault="0024662F" w:rsidP="00B00015">
      <w:pPr>
        <w:rPr>
          <w:sz w:val="20"/>
        </w:rPr>
      </w:pPr>
      <w:r w:rsidRPr="0094488B">
        <w:rPr>
          <w:sz w:val="20"/>
          <w:szCs w:val="21"/>
          <w:shd w:val="clear" w:color="auto" w:fill="FFFFFF"/>
          <w:lang w:eastAsia="fr-FR"/>
        </w:rPr>
        <w:t>1</w:t>
      </w:r>
      <w:r w:rsidR="00D45592">
        <w:rPr>
          <w:sz w:val="20"/>
          <w:szCs w:val="21"/>
          <w:shd w:val="clear" w:color="auto" w:fill="FFFFFF"/>
          <w:lang w:eastAsia="fr-FR"/>
        </w:rPr>
        <w:t>5</w:t>
      </w:r>
      <w:r w:rsidRPr="0094488B">
        <w:rPr>
          <w:sz w:val="20"/>
          <w:szCs w:val="21"/>
          <w:shd w:val="clear" w:color="auto" w:fill="FFFFFF"/>
          <w:lang w:eastAsia="fr-FR"/>
        </w:rPr>
        <w:t xml:space="preserve">. </w:t>
      </w:r>
      <w:r w:rsidR="00BA7C7E" w:rsidRPr="00B00015">
        <w:rPr>
          <w:sz w:val="20"/>
          <w:szCs w:val="21"/>
          <w:shd w:val="clear" w:color="auto" w:fill="FFFFFF"/>
          <w:lang w:eastAsia="fr-FR"/>
        </w:rPr>
        <w:t xml:space="preserve">On the basis of a thorough analysis, </w:t>
      </w:r>
      <w:r w:rsidR="00CF0F76" w:rsidRPr="0094488B">
        <w:rPr>
          <w:sz w:val="20"/>
          <w:szCs w:val="21"/>
          <w:shd w:val="clear" w:color="auto" w:fill="FFFFFF"/>
          <w:lang w:eastAsia="fr-FR"/>
        </w:rPr>
        <w:t xml:space="preserve">carried out </w:t>
      </w:r>
      <w:r w:rsidR="00BA7C7E" w:rsidRPr="00B00015">
        <w:rPr>
          <w:sz w:val="20"/>
          <w:szCs w:val="21"/>
          <w:shd w:val="clear" w:color="auto" w:fill="FFFFFF"/>
          <w:lang w:eastAsia="fr-FR"/>
        </w:rPr>
        <w:t>in con</w:t>
      </w:r>
      <w:r w:rsidR="00CF0F76" w:rsidRPr="0094488B">
        <w:rPr>
          <w:sz w:val="20"/>
          <w:szCs w:val="21"/>
          <w:shd w:val="clear" w:color="auto" w:fill="FFFFFF"/>
          <w:lang w:eastAsia="fr-FR"/>
        </w:rPr>
        <w:t>sult</w:t>
      </w:r>
      <w:r w:rsidR="00BA7C7E" w:rsidRPr="00B00015">
        <w:rPr>
          <w:sz w:val="20"/>
          <w:szCs w:val="21"/>
          <w:shd w:val="clear" w:color="auto" w:fill="FFFFFF"/>
          <w:lang w:eastAsia="fr-FR"/>
        </w:rPr>
        <w:t>ation with the relevant stakeholders between June and December 2018, the Ministers’ Deputies adopted in January 2019 a series of d</w:t>
      </w:r>
      <w:r w:rsidR="003F0856" w:rsidRPr="0094488B">
        <w:rPr>
          <w:sz w:val="20"/>
          <w:szCs w:val="21"/>
          <w:shd w:val="clear" w:color="auto" w:fill="FFFFFF"/>
          <w:lang w:eastAsia="fr-FR"/>
        </w:rPr>
        <w:t>e</w:t>
      </w:r>
      <w:r w:rsidR="00BA7C7E" w:rsidRPr="00B00015">
        <w:rPr>
          <w:sz w:val="20"/>
          <w:szCs w:val="21"/>
          <w:shd w:val="clear" w:color="auto" w:fill="FFFFFF"/>
          <w:lang w:eastAsia="fr-FR"/>
        </w:rPr>
        <w:t xml:space="preserve">cisions by which they recalled the </w:t>
      </w:r>
      <w:r w:rsidR="00BA7C7E" w:rsidRPr="00B00015">
        <w:rPr>
          <w:sz w:val="20"/>
        </w:rPr>
        <w:t>primary role of the States in submitting candidates of the highest quality for election as judge to the Court and took note of the recent measures taken by the Parliamentary Assembly to further improve its election procedure. The Deputies also called on States to fully implement the Guidelines of the Committee of Ministers on the selection of candidates for the post of judge at the Court, having regard to the orientations provided by the</w:t>
      </w:r>
      <w:r w:rsidR="00BA7C7E" w:rsidRPr="00B00015">
        <w:rPr>
          <w:rStyle w:val="apple-converted-space"/>
          <w:sz w:val="20"/>
          <w:szCs w:val="21"/>
          <w:shd w:val="clear" w:color="auto" w:fill="FFFFFF"/>
        </w:rPr>
        <w:t> </w:t>
      </w:r>
      <w:r w:rsidR="00BA7C7E" w:rsidRPr="00B00015">
        <w:rPr>
          <w:sz w:val="20"/>
        </w:rPr>
        <w:t>Advisory Panel and the Parliamentary Assembly. They welcomed the dialogue developed between the Parliamentary Assembly and the Advisory Panel and encouraged the Assembly to consider further changes in the election procedure. Finally, they agreed to keep the operation of the whole system for the election of judges under review, and to decide by the end of 2020, in light of the elections and other events in the meantime, whether further action is required.</w:t>
      </w:r>
    </w:p>
    <w:p w14:paraId="6F23355E" w14:textId="77777777" w:rsidR="004E144F" w:rsidRPr="0094488B" w:rsidRDefault="004E144F" w:rsidP="004E144F">
      <w:pPr>
        <w:rPr>
          <w:sz w:val="20"/>
          <w:szCs w:val="20"/>
        </w:rPr>
      </w:pPr>
    </w:p>
    <w:p w14:paraId="34C34452" w14:textId="77777777" w:rsidR="004E144F" w:rsidRPr="0094488B" w:rsidRDefault="00BA7C7E" w:rsidP="004E144F">
      <w:pPr>
        <w:pStyle w:val="ListParagraph"/>
        <w:ind w:left="0"/>
        <w:rPr>
          <w:sz w:val="20"/>
          <w:lang w:val="en-GB"/>
        </w:rPr>
      </w:pPr>
      <w:r w:rsidRPr="00B00015">
        <w:rPr>
          <w:i/>
          <w:sz w:val="20"/>
          <w:szCs w:val="20"/>
          <w:lang w:val="en-GB" w:eastAsia="en-US"/>
        </w:rPr>
        <w:t>Accession of the European Union to the European Convention on Human Rights</w:t>
      </w:r>
    </w:p>
    <w:p w14:paraId="4220CA4B" w14:textId="77777777" w:rsidR="004E144F" w:rsidRPr="0094488B" w:rsidRDefault="004E144F" w:rsidP="004E144F">
      <w:pPr>
        <w:rPr>
          <w:sz w:val="20"/>
        </w:rPr>
      </w:pPr>
    </w:p>
    <w:p w14:paraId="7EFD642D" w14:textId="4082BBDB" w:rsidR="004E144F" w:rsidRPr="0094488B" w:rsidRDefault="0024662F" w:rsidP="004E144F">
      <w:pPr>
        <w:rPr>
          <w:sz w:val="20"/>
        </w:rPr>
      </w:pPr>
      <w:r w:rsidRPr="0094488B">
        <w:rPr>
          <w:sz w:val="20"/>
        </w:rPr>
        <w:t>1</w:t>
      </w:r>
      <w:r w:rsidR="00D45592">
        <w:rPr>
          <w:sz w:val="20"/>
        </w:rPr>
        <w:t>6</w:t>
      </w:r>
      <w:r w:rsidR="00BA7C7E" w:rsidRPr="00B00015">
        <w:rPr>
          <w:sz w:val="20"/>
        </w:rPr>
        <w:t xml:space="preserve">. The Opinion of the Court of Justice, which stated </w:t>
      </w:r>
      <w:r w:rsidR="00BA7C7E" w:rsidRPr="00B00015">
        <w:rPr>
          <w:i/>
          <w:sz w:val="20"/>
        </w:rPr>
        <w:t>inter alia</w:t>
      </w:r>
      <w:r w:rsidR="00BA7C7E" w:rsidRPr="00B00015">
        <w:rPr>
          <w:sz w:val="20"/>
        </w:rPr>
        <w:t xml:space="preserve"> that the draft agreement on the accession of the European Union to the European Convention on Human Rights did not take sufficiently into account the autonomy of EU law, was delivered in December 2014. In 2018, the Copenhagen Declaration called on the EU institutions to take the necessary steps to complete this process as soon as possible. An exchange of letters in June and September 2018 between the Secretary General of the Council of Europe and the President of the European Commission indicated that negotiations on the EU accession to the Convention could be envisaged once the ongoing consultations within the EU Council </w:t>
      </w:r>
      <w:r w:rsidR="00611CCE">
        <w:rPr>
          <w:sz w:val="20"/>
        </w:rPr>
        <w:t xml:space="preserve">have been </w:t>
      </w:r>
      <w:r w:rsidR="00BA7C7E" w:rsidRPr="00B00015">
        <w:rPr>
          <w:sz w:val="20"/>
        </w:rPr>
        <w:t>completed.</w:t>
      </w:r>
    </w:p>
    <w:p w14:paraId="59F916BF" w14:textId="77777777" w:rsidR="004E144F" w:rsidRPr="0094488B" w:rsidRDefault="004E144F" w:rsidP="004E144F">
      <w:pPr>
        <w:rPr>
          <w:sz w:val="20"/>
        </w:rPr>
      </w:pPr>
    </w:p>
    <w:p w14:paraId="43EA75BA" w14:textId="6E98B174" w:rsidR="004E144F" w:rsidRPr="0094488B" w:rsidRDefault="0024662F" w:rsidP="004E144F">
      <w:pPr>
        <w:rPr>
          <w:sz w:val="20"/>
        </w:rPr>
      </w:pPr>
      <w:r w:rsidRPr="0094488B">
        <w:rPr>
          <w:sz w:val="20"/>
        </w:rPr>
        <w:t>1</w:t>
      </w:r>
      <w:r w:rsidR="00D45592">
        <w:rPr>
          <w:sz w:val="20"/>
        </w:rPr>
        <w:t>7</w:t>
      </w:r>
      <w:r w:rsidR="00BA7C7E" w:rsidRPr="00B00015">
        <w:rPr>
          <w:sz w:val="20"/>
        </w:rPr>
        <w:t>. As part of the follow-up to the 2015 CDDH report on the longer-term future of the system of the European Convention on Human Rights, the</w:t>
      </w:r>
      <w:r w:rsidR="004E144F" w:rsidRPr="0094488B">
        <w:rPr>
          <w:sz w:val="20"/>
        </w:rPr>
        <w:t xml:space="preserve"> Ministers’ Deputies have instructed the CDDH to carry out a detailed analysis of all questions relating to the place of the Convention in the European and international legal order and on the medium</w:t>
      </w:r>
      <w:r w:rsidR="00611CCE">
        <w:rPr>
          <w:sz w:val="20"/>
        </w:rPr>
        <w:t>-</w:t>
      </w:r>
      <w:r w:rsidR="004E144F" w:rsidRPr="0094488B">
        <w:rPr>
          <w:sz w:val="20"/>
        </w:rPr>
        <w:t xml:space="preserve"> and longer</w:t>
      </w:r>
      <w:r w:rsidR="00611CCE">
        <w:rPr>
          <w:sz w:val="20"/>
        </w:rPr>
        <w:t>-</w:t>
      </w:r>
      <w:r w:rsidR="004E144F" w:rsidRPr="0094488B">
        <w:rPr>
          <w:sz w:val="20"/>
        </w:rPr>
        <w:t>term</w:t>
      </w:r>
      <w:r w:rsidR="00611CCE">
        <w:rPr>
          <w:sz w:val="20"/>
        </w:rPr>
        <w:t xml:space="preserve"> </w:t>
      </w:r>
      <w:r w:rsidR="004E144F" w:rsidRPr="0094488B">
        <w:rPr>
          <w:sz w:val="20"/>
        </w:rPr>
        <w:t>prospects. The CDDH should finalise its report by the end of 2019.</w:t>
      </w:r>
    </w:p>
    <w:p w14:paraId="14B34055" w14:textId="77777777" w:rsidR="004E144F" w:rsidRPr="0094488B" w:rsidRDefault="004E144F" w:rsidP="004E144F">
      <w:pPr>
        <w:rPr>
          <w:sz w:val="20"/>
        </w:rPr>
      </w:pPr>
    </w:p>
    <w:p w14:paraId="0C3529C8" w14:textId="77777777" w:rsidR="004E144F" w:rsidRPr="0094488B" w:rsidRDefault="004E144F" w:rsidP="004E144F">
      <w:pPr>
        <w:rPr>
          <w:sz w:val="20"/>
          <w:szCs w:val="20"/>
        </w:rPr>
      </w:pPr>
    </w:p>
    <w:p w14:paraId="6E90A5BC" w14:textId="77777777" w:rsidR="004E144F" w:rsidRPr="0094488B" w:rsidRDefault="004E144F" w:rsidP="004E144F">
      <w:pPr>
        <w:pStyle w:val="ListParagraph"/>
        <w:shd w:val="clear" w:color="auto" w:fill="92CDDC"/>
        <w:ind w:left="0"/>
        <w:rPr>
          <w:sz w:val="20"/>
          <w:szCs w:val="20"/>
          <w:lang w:val="en-GB" w:eastAsia="en-US"/>
        </w:rPr>
      </w:pPr>
      <w:r w:rsidRPr="0094488B">
        <w:rPr>
          <w:sz w:val="20"/>
          <w:szCs w:val="20"/>
          <w:lang w:val="en-GB" w:eastAsia="en-US"/>
        </w:rPr>
        <w:t>B.</w:t>
      </w:r>
      <w:r w:rsidRPr="0094488B">
        <w:rPr>
          <w:sz w:val="20"/>
          <w:szCs w:val="20"/>
          <w:lang w:val="en-GB" w:eastAsia="en-US"/>
        </w:rPr>
        <w:tab/>
        <w:t>Measures taken by the European Court of Human Rights</w:t>
      </w:r>
    </w:p>
    <w:p w14:paraId="3E331376" w14:textId="77777777" w:rsidR="004E144F" w:rsidRPr="0094488B" w:rsidRDefault="004E144F" w:rsidP="004E144F">
      <w:pPr>
        <w:pStyle w:val="ListParagraph"/>
        <w:ind w:left="0"/>
        <w:rPr>
          <w:sz w:val="20"/>
          <w:szCs w:val="20"/>
          <w:lang w:val="en-GB" w:eastAsia="en-US"/>
        </w:rPr>
      </w:pPr>
    </w:p>
    <w:p w14:paraId="373A5C31" w14:textId="5A42591F" w:rsidR="00C14769" w:rsidRPr="00C14769" w:rsidRDefault="00D45592" w:rsidP="00C14769">
      <w:pPr>
        <w:rPr>
          <w:rFonts w:eastAsia="Times New Roman" w:cs="Arial"/>
          <w:b/>
          <w:color w:val="FF0000"/>
          <w:sz w:val="20"/>
          <w:szCs w:val="20"/>
        </w:rPr>
      </w:pPr>
      <w:r>
        <w:rPr>
          <w:sz w:val="20"/>
          <w:szCs w:val="20"/>
        </w:rPr>
        <w:t>18</w:t>
      </w:r>
      <w:r w:rsidR="004E144F" w:rsidRPr="0094488B">
        <w:rPr>
          <w:sz w:val="20"/>
          <w:szCs w:val="20"/>
        </w:rPr>
        <w:t xml:space="preserve">. </w:t>
      </w:r>
      <w:r w:rsidR="00C14769" w:rsidRPr="00976AC4">
        <w:rPr>
          <w:rFonts w:eastAsia="Times New Roman" w:cs="Arial"/>
          <w:sz w:val="20"/>
          <w:szCs w:val="20"/>
        </w:rPr>
        <w:t>The Ministers’ Deputies have a well-established practice of holding regular exchanges of views with the President of the European Court of Human Rights. Since the 128</w:t>
      </w:r>
      <w:r w:rsidR="00C14769" w:rsidRPr="00976AC4">
        <w:rPr>
          <w:rFonts w:eastAsia="Times New Roman" w:cs="Arial"/>
          <w:sz w:val="20"/>
          <w:szCs w:val="20"/>
          <w:vertAlign w:val="superscript"/>
        </w:rPr>
        <w:t>th</w:t>
      </w:r>
      <w:r w:rsidR="00E4220D" w:rsidRPr="00976AC4">
        <w:rPr>
          <w:rFonts w:eastAsia="Times New Roman" w:cs="Arial"/>
          <w:sz w:val="20"/>
          <w:szCs w:val="20"/>
        </w:rPr>
        <w:t xml:space="preserve"> </w:t>
      </w:r>
      <w:r w:rsidR="00C14769" w:rsidRPr="00976AC4">
        <w:rPr>
          <w:rFonts w:eastAsia="Times New Roman" w:cs="Arial"/>
          <w:sz w:val="20"/>
          <w:szCs w:val="20"/>
        </w:rPr>
        <w:t xml:space="preserve">Ministerial Session, there have been two such meetings with Mr Guido Raimondi. In these exchanges the President explained that a significant number of applications before the Court stem from structural situations in certain States, and stressed that it is at domestic level, in compliance with the principle of subsidiarity, that these cases should be resolved. He highlighted measures taken by the Court during the Interlaken process that show its capacity to play a leading role, and that demonstrate its ingenuity and creativity. The further application of the pilot-judgment procedure is an example of this. It allows the Court to identify a systemic problem and </w:t>
      </w:r>
      <w:r w:rsidR="00EF27E4" w:rsidRPr="00976AC4">
        <w:rPr>
          <w:rFonts w:eastAsia="Times New Roman" w:cs="Arial"/>
          <w:sz w:val="20"/>
          <w:szCs w:val="20"/>
        </w:rPr>
        <w:t>the respon</w:t>
      </w:r>
      <w:r w:rsidR="00C14769" w:rsidRPr="00976AC4">
        <w:rPr>
          <w:rFonts w:eastAsia="Times New Roman" w:cs="Arial"/>
          <w:sz w:val="20"/>
          <w:szCs w:val="20"/>
        </w:rPr>
        <w:t xml:space="preserve">dent State </w:t>
      </w:r>
      <w:r w:rsidR="00EF27E4" w:rsidRPr="00976AC4">
        <w:rPr>
          <w:rFonts w:eastAsia="Times New Roman" w:cs="Arial"/>
          <w:sz w:val="20"/>
          <w:szCs w:val="20"/>
        </w:rPr>
        <w:t xml:space="preserve">to taken measures </w:t>
      </w:r>
      <w:r w:rsidR="00C14769" w:rsidRPr="00976AC4">
        <w:rPr>
          <w:rFonts w:eastAsia="Times New Roman" w:cs="Arial"/>
          <w:sz w:val="20"/>
          <w:szCs w:val="20"/>
        </w:rPr>
        <w:t xml:space="preserve">remedy it – a good example of shared responsibility for implementing the Convention. Another example, very recent, is the non-contentious phase introduced in January 2019, aimed at promoting the friendly settlement of cases. The President also </w:t>
      </w:r>
      <w:r w:rsidR="00A45407" w:rsidRPr="00976AC4">
        <w:rPr>
          <w:rFonts w:eastAsia="Times New Roman" w:cs="Arial"/>
          <w:sz w:val="20"/>
          <w:szCs w:val="20"/>
        </w:rPr>
        <w:t>commended</w:t>
      </w:r>
      <w:r w:rsidR="00C14769" w:rsidRPr="00976AC4">
        <w:rPr>
          <w:rFonts w:eastAsia="Times New Roman" w:cs="Arial"/>
          <w:sz w:val="20"/>
          <w:szCs w:val="20"/>
        </w:rPr>
        <w:t xml:space="preserve"> the success of the Superior Courts Network. </w:t>
      </w:r>
      <w:r w:rsidR="00A45407" w:rsidRPr="00976AC4">
        <w:rPr>
          <w:rFonts w:eastAsia="Times New Roman" w:cs="Arial"/>
          <w:sz w:val="20"/>
          <w:szCs w:val="20"/>
        </w:rPr>
        <w:t>In addition, h</w:t>
      </w:r>
      <w:r w:rsidR="00C14769" w:rsidRPr="00976AC4">
        <w:rPr>
          <w:rFonts w:eastAsia="Times New Roman" w:cs="Arial"/>
          <w:sz w:val="20"/>
          <w:szCs w:val="20"/>
        </w:rPr>
        <w:t>e presented the Court’s plan to launch internally a knowledge-sharing platform to aid in the drafting judgments and decisions. It is planned to make the platform available to external users at a later date, to facilitate their access to the Court’s case-law. In this respect, the President emphasised the importance of the Court’s IT system for maintaining efficient working methods. Referring to the Council of Europe’s difficult budgetary situation, the President stated that the Court was ready to contribute to the Organisation’s efforts to reduce expenditure, provided that this did not undermine the progress made.</w:t>
      </w:r>
    </w:p>
    <w:p w14:paraId="010D3DD3" w14:textId="56A45E62" w:rsidR="00976AC4" w:rsidRDefault="00976AC4">
      <w:pPr>
        <w:rPr>
          <w:rFonts w:eastAsia="Times New Roman" w:cs="Arial"/>
          <w:sz w:val="20"/>
          <w:szCs w:val="20"/>
        </w:rPr>
      </w:pPr>
      <w:r>
        <w:rPr>
          <w:sz w:val="20"/>
          <w:szCs w:val="20"/>
        </w:rPr>
        <w:br w:type="page"/>
      </w:r>
    </w:p>
    <w:p w14:paraId="740978F4" w14:textId="5BBC01F8" w:rsidR="004E144F" w:rsidRPr="0094488B" w:rsidRDefault="004E144F" w:rsidP="00C14769">
      <w:pPr>
        <w:rPr>
          <w:i/>
          <w:sz w:val="20"/>
          <w:szCs w:val="20"/>
        </w:rPr>
      </w:pPr>
      <w:r w:rsidRPr="0094488B">
        <w:rPr>
          <w:i/>
          <w:sz w:val="20"/>
          <w:szCs w:val="20"/>
        </w:rPr>
        <w:lastRenderedPageBreak/>
        <w:t>Dealing with applications</w:t>
      </w:r>
    </w:p>
    <w:p w14:paraId="2A72166A" w14:textId="77777777" w:rsidR="004E144F" w:rsidRPr="0094488B" w:rsidRDefault="004E144F" w:rsidP="004E144F">
      <w:pPr>
        <w:autoSpaceDE w:val="0"/>
        <w:autoSpaceDN w:val="0"/>
        <w:adjustRightInd w:val="0"/>
        <w:rPr>
          <w:i/>
          <w:sz w:val="20"/>
          <w:szCs w:val="20"/>
        </w:rPr>
      </w:pPr>
    </w:p>
    <w:p w14:paraId="75D2A391" w14:textId="5D1CA32F" w:rsidR="004E144F" w:rsidRPr="0094488B" w:rsidRDefault="00D45592" w:rsidP="004E144F">
      <w:pPr>
        <w:autoSpaceDE w:val="0"/>
        <w:autoSpaceDN w:val="0"/>
        <w:adjustRightInd w:val="0"/>
        <w:rPr>
          <w:sz w:val="20"/>
          <w:szCs w:val="20"/>
        </w:rPr>
      </w:pPr>
      <w:r>
        <w:rPr>
          <w:rFonts w:eastAsia="Times New Roman" w:cs="Arial"/>
          <w:sz w:val="20"/>
          <w:szCs w:val="20"/>
        </w:rPr>
        <w:t>19</w:t>
      </w:r>
      <w:r w:rsidR="00BA7C7E" w:rsidRPr="00B00015">
        <w:rPr>
          <w:rFonts w:eastAsia="Times New Roman" w:cs="Arial"/>
          <w:sz w:val="20"/>
          <w:szCs w:val="20"/>
        </w:rPr>
        <w:t>. In 201</w:t>
      </w:r>
      <w:r w:rsidR="008D2FC1" w:rsidRPr="0094488B">
        <w:rPr>
          <w:rFonts w:eastAsia="Times New Roman" w:cs="Arial"/>
          <w:sz w:val="20"/>
          <w:szCs w:val="20"/>
        </w:rPr>
        <w:t>8</w:t>
      </w:r>
      <w:r w:rsidR="004E144F" w:rsidRPr="0094488B">
        <w:rPr>
          <w:rStyle w:val="FootnoteReference"/>
          <w:rFonts w:eastAsia="Times New Roman" w:cs="Arial"/>
          <w:sz w:val="20"/>
          <w:szCs w:val="20"/>
        </w:rPr>
        <w:footnoteReference w:id="2"/>
      </w:r>
      <w:r w:rsidR="004E144F" w:rsidRPr="0094488B">
        <w:rPr>
          <w:rFonts w:eastAsia="Times New Roman" w:cs="Arial"/>
          <w:sz w:val="20"/>
          <w:szCs w:val="20"/>
        </w:rPr>
        <w:t xml:space="preserve">, the Court delivered a total of </w:t>
      </w:r>
      <w:r w:rsidR="008D2FC1" w:rsidRPr="0094488B">
        <w:rPr>
          <w:rFonts w:eastAsia="Times New Roman" w:cs="Arial"/>
          <w:sz w:val="20"/>
          <w:szCs w:val="20"/>
        </w:rPr>
        <w:t>1</w:t>
      </w:r>
      <w:r w:rsidR="00634192">
        <w:rPr>
          <w:rFonts w:eastAsia="Times New Roman" w:cs="Arial"/>
          <w:sz w:val="20"/>
          <w:szCs w:val="20"/>
        </w:rPr>
        <w:t>,</w:t>
      </w:r>
      <w:r w:rsidR="00854347">
        <w:rPr>
          <w:rFonts w:eastAsia="Times New Roman" w:cs="Arial"/>
          <w:sz w:val="20"/>
          <w:szCs w:val="20"/>
        </w:rPr>
        <w:t>014</w:t>
      </w:r>
      <w:r w:rsidR="008D2FC1" w:rsidRPr="0094488B">
        <w:rPr>
          <w:rFonts w:eastAsia="Times New Roman" w:cs="Arial"/>
          <w:sz w:val="20"/>
          <w:szCs w:val="20"/>
        </w:rPr>
        <w:t xml:space="preserve"> </w:t>
      </w:r>
      <w:r w:rsidR="004E144F" w:rsidRPr="0094488B">
        <w:rPr>
          <w:rFonts w:eastAsia="Times New Roman" w:cs="Arial"/>
          <w:sz w:val="20"/>
          <w:szCs w:val="20"/>
        </w:rPr>
        <w:t xml:space="preserve">judgments (compared with </w:t>
      </w:r>
      <w:r w:rsidR="008D2FC1" w:rsidRPr="0094488B">
        <w:rPr>
          <w:rFonts w:eastAsia="Times New Roman" w:cs="Arial"/>
          <w:sz w:val="20"/>
          <w:szCs w:val="20"/>
        </w:rPr>
        <w:t>1</w:t>
      </w:r>
      <w:r w:rsidR="008F2E9A">
        <w:rPr>
          <w:rFonts w:eastAsia="Times New Roman" w:cs="Arial"/>
          <w:sz w:val="20"/>
          <w:szCs w:val="20"/>
        </w:rPr>
        <w:t>,</w:t>
      </w:r>
      <w:r w:rsidR="008D2FC1" w:rsidRPr="0094488B">
        <w:rPr>
          <w:rFonts w:eastAsia="Times New Roman" w:cs="Arial"/>
          <w:sz w:val="20"/>
          <w:szCs w:val="20"/>
        </w:rPr>
        <w:t xml:space="preserve">068 </w:t>
      </w:r>
      <w:r w:rsidR="004E144F" w:rsidRPr="0094488B">
        <w:rPr>
          <w:rFonts w:eastAsia="Times New Roman" w:cs="Arial"/>
          <w:sz w:val="20"/>
          <w:szCs w:val="20"/>
        </w:rPr>
        <w:t>in 201</w:t>
      </w:r>
      <w:r w:rsidR="008D2FC1" w:rsidRPr="0094488B">
        <w:rPr>
          <w:rFonts w:eastAsia="Times New Roman" w:cs="Arial"/>
          <w:sz w:val="20"/>
          <w:szCs w:val="20"/>
        </w:rPr>
        <w:t>7</w:t>
      </w:r>
      <w:r w:rsidR="004E144F" w:rsidRPr="0094488B">
        <w:rPr>
          <w:rFonts w:eastAsia="Times New Roman" w:cs="Arial"/>
          <w:sz w:val="20"/>
          <w:szCs w:val="20"/>
        </w:rPr>
        <w:t>). 1</w:t>
      </w:r>
      <w:r w:rsidR="008D2FC1" w:rsidRPr="0094488B">
        <w:rPr>
          <w:rFonts w:eastAsia="Times New Roman" w:cs="Arial"/>
          <w:sz w:val="20"/>
          <w:szCs w:val="20"/>
        </w:rPr>
        <w:t>4</w:t>
      </w:r>
      <w:r w:rsidR="004E144F" w:rsidRPr="0094488B">
        <w:rPr>
          <w:rFonts w:eastAsia="Times New Roman" w:cs="Arial"/>
          <w:sz w:val="20"/>
          <w:szCs w:val="20"/>
        </w:rPr>
        <w:t xml:space="preserve"> judgments were delivered by the Grand Chamber, </w:t>
      </w:r>
      <w:r w:rsidR="008D2FC1" w:rsidRPr="0094488B">
        <w:rPr>
          <w:rFonts w:eastAsia="Times New Roman" w:cs="Arial"/>
          <w:sz w:val="20"/>
          <w:szCs w:val="20"/>
        </w:rPr>
        <w:t xml:space="preserve">463 </w:t>
      </w:r>
      <w:r w:rsidR="004E144F" w:rsidRPr="0094488B">
        <w:rPr>
          <w:rFonts w:eastAsia="Times New Roman" w:cs="Arial"/>
          <w:sz w:val="20"/>
          <w:szCs w:val="20"/>
        </w:rPr>
        <w:t xml:space="preserve">by Chambers and </w:t>
      </w:r>
      <w:r w:rsidR="008D2FC1" w:rsidRPr="0094488B">
        <w:rPr>
          <w:rFonts w:eastAsia="Times New Roman" w:cs="Arial"/>
          <w:sz w:val="20"/>
          <w:szCs w:val="20"/>
        </w:rPr>
        <w:t xml:space="preserve">537 </w:t>
      </w:r>
      <w:r w:rsidR="004E144F" w:rsidRPr="0094488B">
        <w:rPr>
          <w:rFonts w:eastAsia="Times New Roman" w:cs="Arial"/>
          <w:sz w:val="20"/>
          <w:szCs w:val="20"/>
        </w:rPr>
        <w:t xml:space="preserve">by Committees of three judges. Approximately </w:t>
      </w:r>
      <w:r w:rsidR="008D2FC1" w:rsidRPr="0094488B">
        <w:rPr>
          <w:rFonts w:eastAsia="Times New Roman" w:cs="Arial"/>
          <w:sz w:val="20"/>
          <w:szCs w:val="20"/>
        </w:rPr>
        <w:t xml:space="preserve">200 </w:t>
      </w:r>
      <w:r w:rsidR="004E144F" w:rsidRPr="0094488B">
        <w:rPr>
          <w:rFonts w:eastAsia="Times New Roman" w:cs="Arial"/>
          <w:sz w:val="20"/>
          <w:szCs w:val="20"/>
        </w:rPr>
        <w:t xml:space="preserve">applications were declared inadmissible or struck out of the list by Chambers, and some </w:t>
      </w:r>
      <w:r w:rsidR="008D2FC1" w:rsidRPr="0094488B">
        <w:rPr>
          <w:rFonts w:eastAsia="Times New Roman" w:cs="Arial"/>
          <w:sz w:val="20"/>
          <w:szCs w:val="20"/>
        </w:rPr>
        <w:t>6</w:t>
      </w:r>
      <w:r w:rsidR="008F2E9A">
        <w:rPr>
          <w:rFonts w:eastAsia="Times New Roman" w:cs="Arial"/>
          <w:sz w:val="20"/>
          <w:szCs w:val="20"/>
        </w:rPr>
        <w:t>,</w:t>
      </w:r>
      <w:r w:rsidR="008D2FC1" w:rsidRPr="0094488B">
        <w:rPr>
          <w:rFonts w:eastAsia="Times New Roman" w:cs="Arial"/>
          <w:sz w:val="20"/>
          <w:szCs w:val="20"/>
        </w:rPr>
        <w:t>650</w:t>
      </w:r>
      <w:r w:rsidR="004E144F" w:rsidRPr="0094488B">
        <w:rPr>
          <w:rFonts w:eastAsia="Times New Roman" w:cs="Arial"/>
          <w:sz w:val="20"/>
          <w:szCs w:val="20"/>
        </w:rPr>
        <w:t xml:space="preserve"> by Committees. In addition, single judges declared inadmissible or struck out some </w:t>
      </w:r>
      <w:r w:rsidR="008D2FC1" w:rsidRPr="0094488B">
        <w:rPr>
          <w:rFonts w:eastAsia="Times New Roman" w:cs="Arial"/>
          <w:sz w:val="20"/>
          <w:szCs w:val="20"/>
        </w:rPr>
        <w:t>33</w:t>
      </w:r>
      <w:r w:rsidR="008F2E9A">
        <w:rPr>
          <w:rFonts w:eastAsia="Times New Roman" w:cs="Arial"/>
          <w:sz w:val="20"/>
          <w:szCs w:val="20"/>
        </w:rPr>
        <w:t>,</w:t>
      </w:r>
      <w:r w:rsidR="008D2FC1" w:rsidRPr="0094488B">
        <w:rPr>
          <w:rFonts w:eastAsia="Times New Roman" w:cs="Arial"/>
          <w:sz w:val="20"/>
          <w:szCs w:val="20"/>
        </w:rPr>
        <w:t xml:space="preserve">200 </w:t>
      </w:r>
      <w:r w:rsidR="004E144F" w:rsidRPr="0094488B">
        <w:rPr>
          <w:rFonts w:eastAsia="Times New Roman" w:cs="Arial"/>
          <w:sz w:val="20"/>
          <w:szCs w:val="20"/>
        </w:rPr>
        <w:t>applications (</w:t>
      </w:r>
      <w:r w:rsidR="008D2FC1" w:rsidRPr="0094488B">
        <w:rPr>
          <w:rFonts w:eastAsia="Times New Roman" w:cs="Arial"/>
          <w:sz w:val="20"/>
          <w:szCs w:val="20"/>
        </w:rPr>
        <w:t>66</w:t>
      </w:r>
      <w:r w:rsidR="008F2E9A">
        <w:rPr>
          <w:rFonts w:eastAsia="Times New Roman" w:cs="Arial"/>
          <w:sz w:val="20"/>
          <w:szCs w:val="20"/>
        </w:rPr>
        <w:t>,</w:t>
      </w:r>
      <w:r w:rsidR="008D2FC1" w:rsidRPr="0094488B">
        <w:rPr>
          <w:rFonts w:eastAsia="Times New Roman" w:cs="Arial"/>
          <w:sz w:val="20"/>
          <w:szCs w:val="20"/>
        </w:rPr>
        <w:t xml:space="preserve">150 </w:t>
      </w:r>
      <w:r w:rsidR="004E144F" w:rsidRPr="0094488B">
        <w:rPr>
          <w:rFonts w:eastAsia="Times New Roman" w:cs="Arial"/>
          <w:sz w:val="20"/>
          <w:szCs w:val="20"/>
        </w:rPr>
        <w:t>in 201</w:t>
      </w:r>
      <w:r w:rsidR="008D2FC1" w:rsidRPr="0094488B">
        <w:rPr>
          <w:rFonts w:eastAsia="Times New Roman" w:cs="Arial"/>
          <w:sz w:val="20"/>
          <w:szCs w:val="20"/>
        </w:rPr>
        <w:t>7</w:t>
      </w:r>
      <w:r w:rsidR="004E144F" w:rsidRPr="0094488B">
        <w:rPr>
          <w:rFonts w:eastAsia="Times New Roman" w:cs="Arial"/>
          <w:sz w:val="20"/>
          <w:szCs w:val="20"/>
        </w:rPr>
        <w:t>).</w:t>
      </w:r>
      <w:r w:rsidR="008D2FC1" w:rsidRPr="0094488B">
        <w:rPr>
          <w:rFonts w:eastAsia="Times New Roman" w:cs="Arial"/>
          <w:sz w:val="20"/>
          <w:szCs w:val="20"/>
        </w:rPr>
        <w:t xml:space="preserve"> At the end of 2018, </w:t>
      </w:r>
      <w:r w:rsidR="00E713E7" w:rsidRPr="0094488B">
        <w:rPr>
          <w:rFonts w:eastAsia="Times New Roman" w:cs="Arial"/>
          <w:sz w:val="20"/>
          <w:szCs w:val="20"/>
        </w:rPr>
        <w:t>the number of pending cases was 56</w:t>
      </w:r>
      <w:r w:rsidR="008F2E9A">
        <w:rPr>
          <w:rFonts w:eastAsia="Times New Roman" w:cs="Arial"/>
          <w:sz w:val="20"/>
          <w:szCs w:val="20"/>
        </w:rPr>
        <w:t>,</w:t>
      </w:r>
      <w:r w:rsidR="00E713E7" w:rsidRPr="0094488B">
        <w:rPr>
          <w:rFonts w:eastAsia="Times New Roman" w:cs="Arial"/>
          <w:sz w:val="20"/>
          <w:szCs w:val="20"/>
        </w:rPr>
        <w:t xml:space="preserve">350, which is stable compared to 2017. More than </w:t>
      </w:r>
      <w:r w:rsidR="00B50219">
        <w:rPr>
          <w:rFonts w:eastAsia="Times New Roman" w:cs="Arial"/>
          <w:sz w:val="20"/>
          <w:szCs w:val="20"/>
        </w:rPr>
        <w:t>84</w:t>
      </w:r>
      <w:r w:rsidR="00E713E7" w:rsidRPr="0094488B">
        <w:rPr>
          <w:rFonts w:eastAsia="Times New Roman" w:cs="Arial"/>
          <w:sz w:val="20"/>
          <w:szCs w:val="20"/>
        </w:rPr>
        <w:t xml:space="preserve">% of the pending cases concern </w:t>
      </w:r>
      <w:r w:rsidR="00B50219">
        <w:rPr>
          <w:rFonts w:eastAsia="Times New Roman" w:cs="Arial"/>
          <w:sz w:val="20"/>
          <w:szCs w:val="20"/>
        </w:rPr>
        <w:t>10</w:t>
      </w:r>
      <w:r w:rsidR="00E713E7" w:rsidRPr="0094488B">
        <w:rPr>
          <w:rFonts w:eastAsia="Times New Roman" w:cs="Arial"/>
          <w:sz w:val="20"/>
          <w:szCs w:val="20"/>
        </w:rPr>
        <w:t xml:space="preserve"> States.</w:t>
      </w:r>
    </w:p>
    <w:p w14:paraId="2CD9E152" w14:textId="77777777" w:rsidR="004E144F" w:rsidRPr="0094488B" w:rsidRDefault="004E144F" w:rsidP="004E144F">
      <w:pPr>
        <w:pStyle w:val="ListParagraph"/>
        <w:ind w:left="0"/>
        <w:rPr>
          <w:sz w:val="20"/>
          <w:szCs w:val="20"/>
          <w:lang w:val="en-GB" w:eastAsia="en-US"/>
        </w:rPr>
      </w:pPr>
    </w:p>
    <w:p w14:paraId="3DA5D324" w14:textId="5E60E4B2" w:rsidR="004E144F" w:rsidRPr="0094488B" w:rsidRDefault="00D45592" w:rsidP="004E144F">
      <w:pPr>
        <w:pStyle w:val="ListParagraph"/>
        <w:ind w:left="0"/>
        <w:rPr>
          <w:sz w:val="20"/>
          <w:szCs w:val="20"/>
          <w:lang w:val="en-GB" w:eastAsia="en-US"/>
        </w:rPr>
      </w:pPr>
      <w:r>
        <w:rPr>
          <w:sz w:val="20"/>
          <w:szCs w:val="20"/>
          <w:lang w:val="en-GB" w:eastAsia="en-US"/>
        </w:rPr>
        <w:t>20</w:t>
      </w:r>
      <w:r w:rsidR="00A25E3F" w:rsidRPr="0094488B">
        <w:rPr>
          <w:sz w:val="20"/>
          <w:szCs w:val="20"/>
          <w:lang w:val="en-GB" w:eastAsia="en-US"/>
        </w:rPr>
        <w:t xml:space="preserve">. Following the entry into force of Protocol No. 14, the Court has been able to pursue its strategy for managing its backlog for some years, an important part of which is </w:t>
      </w:r>
      <w:r w:rsidR="00C372DC">
        <w:rPr>
          <w:sz w:val="20"/>
          <w:szCs w:val="20"/>
          <w:lang w:val="en-GB" w:eastAsia="en-US"/>
        </w:rPr>
        <w:t>based on a</w:t>
      </w:r>
      <w:r w:rsidR="00A25E3F" w:rsidRPr="0094488B">
        <w:rPr>
          <w:sz w:val="20"/>
          <w:szCs w:val="20"/>
          <w:lang w:val="en-GB" w:eastAsia="en-US"/>
        </w:rPr>
        <w:t xml:space="preserve"> system for the classification of cases.</w:t>
      </w:r>
      <w:r w:rsidR="0024662F" w:rsidRPr="0094488B">
        <w:rPr>
          <w:sz w:val="20"/>
          <w:szCs w:val="20"/>
          <w:lang w:val="en-GB" w:eastAsia="en-US"/>
        </w:rPr>
        <w:t xml:space="preserve"> </w:t>
      </w:r>
      <w:r w:rsidR="00A25E3F" w:rsidRPr="0094488B">
        <w:rPr>
          <w:sz w:val="20"/>
          <w:szCs w:val="20"/>
          <w:lang w:val="en-GB" w:eastAsia="en-US"/>
        </w:rPr>
        <w:t>In 201</w:t>
      </w:r>
      <w:r w:rsidR="00EA64C8" w:rsidRPr="0094488B">
        <w:rPr>
          <w:sz w:val="20"/>
          <w:szCs w:val="20"/>
          <w:lang w:val="en-GB" w:eastAsia="en-US"/>
        </w:rPr>
        <w:t>8</w:t>
      </w:r>
      <w:r w:rsidR="004E144F" w:rsidRPr="0094488B">
        <w:rPr>
          <w:sz w:val="20"/>
          <w:szCs w:val="20"/>
          <w:lang w:val="en-GB" w:eastAsia="en-US"/>
        </w:rPr>
        <w:t xml:space="preserve">, the number of cases designated as high priority </w:t>
      </w:r>
      <w:r w:rsidR="00EA64C8" w:rsidRPr="0094488B">
        <w:rPr>
          <w:sz w:val="20"/>
          <w:szCs w:val="20"/>
          <w:lang w:val="en-GB" w:eastAsia="en-US"/>
        </w:rPr>
        <w:t xml:space="preserve">increased </w:t>
      </w:r>
      <w:r w:rsidR="004E144F" w:rsidRPr="0094488B">
        <w:rPr>
          <w:sz w:val="20"/>
          <w:szCs w:val="20"/>
          <w:lang w:val="en-GB" w:eastAsia="en-US"/>
        </w:rPr>
        <w:t>by 1</w:t>
      </w:r>
      <w:r w:rsidR="00EA64C8" w:rsidRPr="0094488B">
        <w:rPr>
          <w:sz w:val="20"/>
          <w:szCs w:val="20"/>
          <w:lang w:val="en-GB" w:eastAsia="en-US"/>
        </w:rPr>
        <w:t>5</w:t>
      </w:r>
      <w:r w:rsidR="004E144F" w:rsidRPr="0094488B">
        <w:rPr>
          <w:sz w:val="20"/>
          <w:szCs w:val="20"/>
          <w:lang w:val="en-GB" w:eastAsia="en-US"/>
        </w:rPr>
        <w:t>%</w:t>
      </w:r>
      <w:r w:rsidR="00EA64C8" w:rsidRPr="0094488B">
        <w:rPr>
          <w:sz w:val="20"/>
          <w:szCs w:val="20"/>
          <w:lang w:val="en-GB" w:eastAsia="en-US"/>
        </w:rPr>
        <w:t>, after a decrease in 2017,</w:t>
      </w:r>
      <w:r w:rsidR="004E144F" w:rsidRPr="0094488B">
        <w:rPr>
          <w:sz w:val="20"/>
          <w:szCs w:val="20"/>
          <w:lang w:val="en-GB" w:eastAsia="en-US"/>
        </w:rPr>
        <w:t xml:space="preserve"> to reach almost </w:t>
      </w:r>
      <w:r w:rsidR="00EA64C8" w:rsidRPr="0094488B">
        <w:rPr>
          <w:sz w:val="20"/>
          <w:szCs w:val="20"/>
          <w:lang w:val="en-GB" w:eastAsia="en-US"/>
        </w:rPr>
        <w:t>20</w:t>
      </w:r>
      <w:r w:rsidR="008F2E9A">
        <w:rPr>
          <w:sz w:val="20"/>
          <w:szCs w:val="20"/>
          <w:lang w:val="en-GB" w:eastAsia="en-US"/>
        </w:rPr>
        <w:t>,</w:t>
      </w:r>
      <w:r w:rsidR="004E144F" w:rsidRPr="0094488B">
        <w:rPr>
          <w:sz w:val="20"/>
          <w:szCs w:val="20"/>
          <w:lang w:val="en-GB" w:eastAsia="en-US"/>
        </w:rPr>
        <w:t xml:space="preserve">000 cases. It should be noted that 88% of these cases emanate from </w:t>
      </w:r>
      <w:r w:rsidR="00EA64C8" w:rsidRPr="0094488B">
        <w:rPr>
          <w:sz w:val="20"/>
          <w:szCs w:val="20"/>
          <w:lang w:val="en-GB" w:eastAsia="en-US"/>
        </w:rPr>
        <w:t>four</w:t>
      </w:r>
      <w:r w:rsidR="004E144F" w:rsidRPr="0094488B">
        <w:rPr>
          <w:sz w:val="20"/>
          <w:szCs w:val="20"/>
          <w:lang w:val="en-GB" w:eastAsia="en-US"/>
        </w:rPr>
        <w:t xml:space="preserve"> States Parties. Many of the new applications raised complaints under Article 3 </w:t>
      </w:r>
      <w:r w:rsidR="00EA64C8" w:rsidRPr="0094488B">
        <w:rPr>
          <w:sz w:val="20"/>
          <w:szCs w:val="20"/>
          <w:lang w:val="en-GB" w:eastAsia="en-US"/>
        </w:rPr>
        <w:t xml:space="preserve">of the Convention </w:t>
      </w:r>
      <w:r w:rsidR="004E144F" w:rsidRPr="0094488B">
        <w:rPr>
          <w:sz w:val="20"/>
          <w:szCs w:val="20"/>
          <w:lang w:val="en-GB" w:eastAsia="en-US"/>
        </w:rPr>
        <w:t>regarding conditions of detention.</w:t>
      </w:r>
    </w:p>
    <w:p w14:paraId="1DA1E971" w14:textId="77777777" w:rsidR="004E144F" w:rsidRPr="0094488B" w:rsidRDefault="004E144F" w:rsidP="004E144F">
      <w:pPr>
        <w:pStyle w:val="ListParagraph"/>
        <w:ind w:left="0"/>
        <w:rPr>
          <w:sz w:val="20"/>
          <w:szCs w:val="20"/>
          <w:lang w:val="en-GB" w:eastAsia="en-US"/>
        </w:rPr>
      </w:pPr>
    </w:p>
    <w:p w14:paraId="6C96B7A9" w14:textId="4AD50309" w:rsidR="004E144F" w:rsidRPr="0094488B" w:rsidRDefault="00D45592" w:rsidP="004E144F">
      <w:pPr>
        <w:pStyle w:val="ListParagraph"/>
        <w:ind w:left="0"/>
        <w:rPr>
          <w:sz w:val="20"/>
          <w:szCs w:val="20"/>
          <w:lang w:val="en-GB" w:eastAsia="en-US"/>
        </w:rPr>
      </w:pPr>
      <w:r>
        <w:rPr>
          <w:sz w:val="20"/>
          <w:szCs w:val="20"/>
          <w:lang w:val="en-GB" w:eastAsia="en-US"/>
        </w:rPr>
        <w:t>21</w:t>
      </w:r>
      <w:r w:rsidR="00A25E3F" w:rsidRPr="0094488B">
        <w:rPr>
          <w:sz w:val="20"/>
          <w:szCs w:val="20"/>
          <w:lang w:val="en-GB" w:eastAsia="en-US"/>
        </w:rPr>
        <w:t xml:space="preserve">. There were approximately </w:t>
      </w:r>
      <w:r w:rsidR="0087664E" w:rsidRPr="0094488B">
        <w:rPr>
          <w:sz w:val="20"/>
          <w:szCs w:val="20"/>
          <w:lang w:val="en-GB" w:eastAsia="en-US"/>
        </w:rPr>
        <w:t>17</w:t>
      </w:r>
      <w:r w:rsidR="0045475A">
        <w:rPr>
          <w:sz w:val="20"/>
          <w:szCs w:val="20"/>
          <w:lang w:val="en-GB" w:eastAsia="en-US"/>
        </w:rPr>
        <w:t>,</w:t>
      </w:r>
      <w:r w:rsidR="00EA74B1">
        <w:rPr>
          <w:sz w:val="20"/>
          <w:szCs w:val="20"/>
          <w:lang w:val="en-GB" w:eastAsia="en-US"/>
        </w:rPr>
        <w:t>4</w:t>
      </w:r>
      <w:r w:rsidR="0087664E" w:rsidRPr="0094488B">
        <w:rPr>
          <w:sz w:val="20"/>
          <w:szCs w:val="20"/>
          <w:lang w:val="en-GB" w:eastAsia="en-US"/>
        </w:rPr>
        <w:t>00</w:t>
      </w:r>
      <w:r w:rsidR="004E144F" w:rsidRPr="0094488B">
        <w:rPr>
          <w:sz w:val="20"/>
          <w:szCs w:val="20"/>
          <w:lang w:val="en-GB" w:eastAsia="en-US"/>
        </w:rPr>
        <w:t xml:space="preserve"> non-priority, non-repetitive potentially admissible applications pending before the Court </w:t>
      </w:r>
      <w:r w:rsidR="005C4C5D">
        <w:rPr>
          <w:sz w:val="20"/>
          <w:szCs w:val="20"/>
          <w:lang w:val="en-GB" w:eastAsia="en-US"/>
        </w:rPr>
        <w:t>as of</w:t>
      </w:r>
      <w:r w:rsidR="004E144F" w:rsidRPr="0094488B">
        <w:rPr>
          <w:sz w:val="20"/>
          <w:szCs w:val="20"/>
          <w:lang w:val="en-GB" w:eastAsia="en-US"/>
        </w:rPr>
        <w:t xml:space="preserve"> </w:t>
      </w:r>
      <w:r w:rsidR="0087664E" w:rsidRPr="0094488B">
        <w:rPr>
          <w:sz w:val="20"/>
          <w:szCs w:val="20"/>
          <w:lang w:val="en-GB" w:eastAsia="en-US"/>
        </w:rPr>
        <w:t xml:space="preserve">1 </w:t>
      </w:r>
      <w:r w:rsidR="00EA74B1">
        <w:rPr>
          <w:sz w:val="20"/>
          <w:szCs w:val="20"/>
          <w:lang w:val="en-GB" w:eastAsia="en-US"/>
        </w:rPr>
        <w:t>April</w:t>
      </w:r>
      <w:r w:rsidR="0087664E" w:rsidRPr="0094488B">
        <w:rPr>
          <w:sz w:val="20"/>
          <w:szCs w:val="20"/>
          <w:lang w:val="en-GB" w:eastAsia="en-US"/>
        </w:rPr>
        <w:t xml:space="preserve"> 2019</w:t>
      </w:r>
      <w:r w:rsidR="004E144F" w:rsidRPr="0094488B">
        <w:rPr>
          <w:sz w:val="20"/>
          <w:szCs w:val="20"/>
          <w:lang w:val="en-GB" w:eastAsia="en-US"/>
        </w:rPr>
        <w:t xml:space="preserve">, which represents a decrease of </w:t>
      </w:r>
      <w:r w:rsidR="0087664E" w:rsidRPr="0094488B">
        <w:rPr>
          <w:sz w:val="20"/>
          <w:szCs w:val="20"/>
          <w:lang w:val="en-GB" w:eastAsia="en-US"/>
        </w:rPr>
        <w:t>1</w:t>
      </w:r>
      <w:r w:rsidR="00EA74B1">
        <w:rPr>
          <w:sz w:val="20"/>
          <w:szCs w:val="20"/>
          <w:lang w:val="en-GB" w:eastAsia="en-US"/>
        </w:rPr>
        <w:t>0</w:t>
      </w:r>
      <w:r w:rsidR="00604A1D">
        <w:rPr>
          <w:sz w:val="20"/>
          <w:szCs w:val="20"/>
          <w:lang w:val="en-GB" w:eastAsia="en-US"/>
        </w:rPr>
        <w:t xml:space="preserve">% compared to the beginning of </w:t>
      </w:r>
      <w:r w:rsidR="0087664E" w:rsidRPr="0094488B">
        <w:rPr>
          <w:sz w:val="20"/>
          <w:szCs w:val="20"/>
          <w:lang w:val="en-GB" w:eastAsia="en-US"/>
        </w:rPr>
        <w:t>2018</w:t>
      </w:r>
      <w:r w:rsidR="004E144F" w:rsidRPr="0094488B">
        <w:rPr>
          <w:sz w:val="20"/>
          <w:szCs w:val="20"/>
          <w:lang w:val="en-GB" w:eastAsia="en-US"/>
        </w:rPr>
        <w:t xml:space="preserve">. </w:t>
      </w:r>
      <w:r w:rsidR="0087664E" w:rsidRPr="0094488B">
        <w:rPr>
          <w:sz w:val="20"/>
          <w:szCs w:val="20"/>
          <w:lang w:val="en-GB" w:eastAsia="en-US"/>
        </w:rPr>
        <w:t>F</w:t>
      </w:r>
      <w:r w:rsidR="004E144F" w:rsidRPr="0094488B">
        <w:rPr>
          <w:sz w:val="20"/>
          <w:szCs w:val="20"/>
          <w:lang w:val="en-GB" w:eastAsia="en-US"/>
        </w:rPr>
        <w:t xml:space="preserve">our States Parties accounted for over half of these applications. Since these cases require in-depth judicial examination, it can be said that the greatest weight of the Court’s docket rests here. As a response to this, the Court introduced a new approach to such cases, involving immediate, simplified communication </w:t>
      </w:r>
      <w:r w:rsidR="004E144F" w:rsidRPr="00B50219">
        <w:rPr>
          <w:sz w:val="20"/>
          <w:szCs w:val="20"/>
          <w:lang w:val="en-GB" w:eastAsia="en-US"/>
        </w:rPr>
        <w:t>to the respondent State. This new procedure (IMSI) applies since 2017 to 27 States. The Court has a</w:t>
      </w:r>
      <w:r w:rsidR="004E144F" w:rsidRPr="0094488B">
        <w:rPr>
          <w:sz w:val="20"/>
          <w:szCs w:val="20"/>
          <w:lang w:val="en-GB" w:eastAsia="en-US"/>
        </w:rPr>
        <w:t xml:space="preserve"> positive assessment of its implementation in so far as it appears to foster the friendly settlement </w:t>
      </w:r>
      <w:r w:rsidR="0046582D" w:rsidRPr="0094488B">
        <w:rPr>
          <w:sz w:val="20"/>
          <w:szCs w:val="20"/>
          <w:lang w:val="en-GB" w:eastAsia="en-US"/>
        </w:rPr>
        <w:t xml:space="preserve">of cases. </w:t>
      </w:r>
      <w:r w:rsidR="00903EFD" w:rsidRPr="0094488B">
        <w:rPr>
          <w:sz w:val="20"/>
          <w:szCs w:val="20"/>
          <w:lang w:val="en-GB" w:eastAsia="en-US"/>
        </w:rPr>
        <w:t xml:space="preserve">The Court has pursued its reflection </w:t>
      </w:r>
      <w:r w:rsidR="00C372DC">
        <w:rPr>
          <w:sz w:val="20"/>
          <w:szCs w:val="20"/>
          <w:lang w:val="en-GB" w:eastAsia="en-US"/>
        </w:rPr>
        <w:t xml:space="preserve">on </w:t>
      </w:r>
      <w:r w:rsidR="00903EFD" w:rsidRPr="0094488B">
        <w:rPr>
          <w:sz w:val="20"/>
          <w:szCs w:val="20"/>
          <w:lang w:val="en-GB" w:eastAsia="en-US"/>
        </w:rPr>
        <w:t>and is testing for one year, as from 1 January 2019, a new procedure</w:t>
      </w:r>
      <w:r w:rsidR="00D45E8F" w:rsidRPr="0094488B">
        <w:rPr>
          <w:sz w:val="20"/>
          <w:szCs w:val="20"/>
          <w:lang w:val="en-GB" w:eastAsia="en-US"/>
        </w:rPr>
        <w:t>,</w:t>
      </w:r>
      <w:r w:rsidR="00903EFD" w:rsidRPr="0094488B">
        <w:rPr>
          <w:sz w:val="20"/>
          <w:szCs w:val="20"/>
          <w:lang w:val="en-GB" w:eastAsia="en-US"/>
        </w:rPr>
        <w:t xml:space="preserve"> </w:t>
      </w:r>
      <w:r w:rsidR="00203AB1" w:rsidRPr="0094488B">
        <w:rPr>
          <w:sz w:val="20"/>
          <w:szCs w:val="20"/>
          <w:lang w:val="en-GB" w:eastAsia="en-US"/>
        </w:rPr>
        <w:t xml:space="preserve">which </w:t>
      </w:r>
      <w:r w:rsidR="00903EFD" w:rsidRPr="0094488B">
        <w:rPr>
          <w:sz w:val="20"/>
          <w:szCs w:val="20"/>
          <w:lang w:val="en-GB" w:eastAsia="en-US"/>
        </w:rPr>
        <w:t>introduc</w:t>
      </w:r>
      <w:r w:rsidR="00203AB1" w:rsidRPr="0094488B">
        <w:rPr>
          <w:sz w:val="20"/>
          <w:szCs w:val="20"/>
          <w:lang w:val="en-GB" w:eastAsia="en-US"/>
        </w:rPr>
        <w:t>es</w:t>
      </w:r>
      <w:r w:rsidR="00903EFD" w:rsidRPr="0094488B">
        <w:rPr>
          <w:sz w:val="20"/>
          <w:szCs w:val="20"/>
          <w:lang w:val="en-GB" w:eastAsia="en-US"/>
        </w:rPr>
        <w:t xml:space="preserve"> a dedicated non-contentious phase, prior to the contentious phase, aiming at facilitating the conclusion of friendly settlements an</w:t>
      </w:r>
      <w:r w:rsidR="00E02EB6" w:rsidRPr="0094488B">
        <w:rPr>
          <w:sz w:val="20"/>
          <w:szCs w:val="20"/>
          <w:lang w:val="en-GB" w:eastAsia="en-US"/>
        </w:rPr>
        <w:t>d</w:t>
      </w:r>
      <w:r w:rsidR="00903EFD" w:rsidRPr="0094488B">
        <w:rPr>
          <w:sz w:val="20"/>
          <w:szCs w:val="20"/>
          <w:lang w:val="en-GB" w:eastAsia="en-US"/>
        </w:rPr>
        <w:t xml:space="preserve"> easing the workload of both the Registry</w:t>
      </w:r>
      <w:r w:rsidR="00E02EB6" w:rsidRPr="0094488B">
        <w:rPr>
          <w:sz w:val="20"/>
          <w:szCs w:val="20"/>
          <w:lang w:val="en-GB" w:eastAsia="en-US"/>
        </w:rPr>
        <w:t xml:space="preserve"> and Government Agents.</w:t>
      </w:r>
      <w:r w:rsidR="00903EFD" w:rsidRPr="0094488B">
        <w:rPr>
          <w:sz w:val="20"/>
          <w:szCs w:val="20"/>
          <w:lang w:val="en-GB" w:eastAsia="en-US"/>
        </w:rPr>
        <w:t xml:space="preserve"> </w:t>
      </w:r>
      <w:r w:rsidR="0046582D" w:rsidRPr="0094488B">
        <w:rPr>
          <w:sz w:val="20"/>
          <w:szCs w:val="20"/>
          <w:lang w:val="en-GB" w:eastAsia="en-US"/>
        </w:rPr>
        <w:t xml:space="preserve">In addition, </w:t>
      </w:r>
      <w:r w:rsidR="00903EFD" w:rsidRPr="0094488B">
        <w:rPr>
          <w:sz w:val="20"/>
          <w:szCs w:val="20"/>
          <w:lang w:val="en-GB" w:eastAsia="en-US"/>
        </w:rPr>
        <w:t xml:space="preserve">it </w:t>
      </w:r>
      <w:r w:rsidR="00C372DC">
        <w:rPr>
          <w:sz w:val="20"/>
          <w:szCs w:val="20"/>
          <w:lang w:val="en-GB" w:eastAsia="en-US"/>
        </w:rPr>
        <w:t>is</w:t>
      </w:r>
      <w:r w:rsidR="00D45E8F" w:rsidRPr="0094488B">
        <w:rPr>
          <w:sz w:val="20"/>
          <w:szCs w:val="20"/>
          <w:lang w:val="en-GB" w:eastAsia="en-US"/>
        </w:rPr>
        <w:t xml:space="preserve"> </w:t>
      </w:r>
      <w:r w:rsidR="00903EFD" w:rsidRPr="0094488B">
        <w:rPr>
          <w:sz w:val="20"/>
          <w:szCs w:val="20"/>
          <w:lang w:val="en-GB" w:eastAsia="en-US"/>
        </w:rPr>
        <w:t xml:space="preserve">recalled that </w:t>
      </w:r>
      <w:r w:rsidR="0046582D" w:rsidRPr="0094488B">
        <w:rPr>
          <w:sz w:val="20"/>
          <w:szCs w:val="20"/>
          <w:lang w:val="en-GB" w:eastAsia="en-US"/>
        </w:rPr>
        <w:t xml:space="preserve">in 2017 </w:t>
      </w:r>
      <w:r w:rsidR="004E144F" w:rsidRPr="0094488B">
        <w:rPr>
          <w:sz w:val="20"/>
          <w:szCs w:val="20"/>
          <w:lang w:val="en-GB" w:eastAsia="en-US"/>
        </w:rPr>
        <w:t xml:space="preserve">the Plenary Court took a policy decision by raising the ratio of non-repetitive cases decided at Committee level through a broader interpretation </w:t>
      </w:r>
      <w:r w:rsidR="00C372DC">
        <w:rPr>
          <w:sz w:val="20"/>
          <w:szCs w:val="20"/>
          <w:lang w:val="en-GB" w:eastAsia="en-US"/>
        </w:rPr>
        <w:t>o</w:t>
      </w:r>
      <w:r w:rsidR="004E144F" w:rsidRPr="0094488B">
        <w:rPr>
          <w:sz w:val="20"/>
          <w:szCs w:val="20"/>
          <w:lang w:val="en-GB" w:eastAsia="en-US"/>
        </w:rPr>
        <w:t>f the notion of “well-established case-law” (</w:t>
      </w:r>
      <w:r w:rsidR="0046582D" w:rsidRPr="0094488B">
        <w:rPr>
          <w:sz w:val="20"/>
          <w:szCs w:val="20"/>
          <w:lang w:val="en-GB" w:eastAsia="en-US"/>
        </w:rPr>
        <w:t xml:space="preserve">WECL </w:t>
      </w:r>
      <w:r w:rsidR="004E144F" w:rsidRPr="0094488B">
        <w:rPr>
          <w:sz w:val="20"/>
          <w:szCs w:val="20"/>
          <w:lang w:val="en-GB" w:eastAsia="en-US"/>
        </w:rPr>
        <w:t>procedure).</w:t>
      </w:r>
    </w:p>
    <w:p w14:paraId="6D10C1A2" w14:textId="77777777" w:rsidR="004E144F" w:rsidRPr="0094488B" w:rsidRDefault="004E144F" w:rsidP="004E144F">
      <w:pPr>
        <w:pStyle w:val="ListParagraph"/>
        <w:ind w:left="0"/>
        <w:rPr>
          <w:sz w:val="20"/>
          <w:szCs w:val="20"/>
          <w:lang w:val="en-GB" w:eastAsia="en-US"/>
        </w:rPr>
      </w:pPr>
    </w:p>
    <w:p w14:paraId="36E14BC7" w14:textId="6F7D1D30" w:rsidR="004E144F" w:rsidRPr="0094488B" w:rsidRDefault="00D45592" w:rsidP="004E144F">
      <w:pPr>
        <w:pStyle w:val="ListParagraph"/>
        <w:ind w:left="0"/>
        <w:rPr>
          <w:sz w:val="20"/>
          <w:szCs w:val="20"/>
          <w:lang w:val="en-GB" w:eastAsia="en-US"/>
        </w:rPr>
      </w:pPr>
      <w:r>
        <w:rPr>
          <w:sz w:val="20"/>
          <w:szCs w:val="20"/>
          <w:lang w:val="en-GB" w:eastAsia="en-US"/>
        </w:rPr>
        <w:t>22</w:t>
      </w:r>
      <w:r w:rsidR="00A25E3F" w:rsidRPr="0094488B">
        <w:rPr>
          <w:sz w:val="20"/>
          <w:szCs w:val="20"/>
          <w:lang w:val="en-GB" w:eastAsia="en-US"/>
        </w:rPr>
        <w:t xml:space="preserve">. Repetitive cases continue to form the largest category of pending applications before the Court. In 2014, the Court developed a streamlined procedure for dealing with these cases, backed by an advanced IT workflow system. It has indicated that this new approach will enable it to bring the backlog of repetitive cases under control within a few years. The procedure became operational in 2015 and that same year there was a reduction in the Brighton backlog </w:t>
      </w:r>
      <w:r w:rsidR="00A844BE">
        <w:rPr>
          <w:sz w:val="20"/>
          <w:szCs w:val="20"/>
          <w:lang w:val="en-GB" w:eastAsia="en-US"/>
        </w:rPr>
        <w:t xml:space="preserve">(see below) </w:t>
      </w:r>
      <w:r w:rsidR="00A25E3F" w:rsidRPr="0094488B">
        <w:rPr>
          <w:sz w:val="20"/>
          <w:szCs w:val="20"/>
          <w:lang w:val="en-GB" w:eastAsia="en-US"/>
        </w:rPr>
        <w:t>for this category by 28%. In 201</w:t>
      </w:r>
      <w:r w:rsidR="0000339F" w:rsidRPr="0094488B">
        <w:rPr>
          <w:sz w:val="20"/>
          <w:szCs w:val="20"/>
          <w:lang w:val="en-GB" w:eastAsia="en-US"/>
        </w:rPr>
        <w:t>8</w:t>
      </w:r>
      <w:r w:rsidR="004E144F" w:rsidRPr="0094488B">
        <w:rPr>
          <w:sz w:val="20"/>
          <w:szCs w:val="20"/>
          <w:lang w:val="en-GB" w:eastAsia="en-US"/>
        </w:rPr>
        <w:t>, the Brighton backlog for this category continued to decrease (</w:t>
      </w:r>
      <w:r w:rsidR="00604A1D">
        <w:rPr>
          <w:sz w:val="20"/>
          <w:szCs w:val="20"/>
          <w:lang w:val="en-GB" w:eastAsia="en-US"/>
        </w:rPr>
        <w:t xml:space="preserve">by </w:t>
      </w:r>
      <w:r w:rsidR="0000339F" w:rsidRPr="0094488B">
        <w:rPr>
          <w:sz w:val="20"/>
          <w:szCs w:val="20"/>
          <w:lang w:val="en-GB" w:eastAsia="en-US"/>
        </w:rPr>
        <w:t>19</w:t>
      </w:r>
      <w:r w:rsidR="004E144F" w:rsidRPr="0094488B">
        <w:rPr>
          <w:sz w:val="20"/>
          <w:szCs w:val="20"/>
          <w:lang w:val="en-GB" w:eastAsia="en-US"/>
        </w:rPr>
        <w:t>%).</w:t>
      </w:r>
    </w:p>
    <w:p w14:paraId="7C24E8BB" w14:textId="77777777" w:rsidR="004E144F" w:rsidRPr="0094488B" w:rsidRDefault="004E144F" w:rsidP="004E144F">
      <w:pPr>
        <w:pStyle w:val="ListParagraph"/>
        <w:ind w:left="0"/>
        <w:rPr>
          <w:sz w:val="20"/>
          <w:szCs w:val="20"/>
          <w:lang w:val="en-GB" w:eastAsia="en-US"/>
        </w:rPr>
      </w:pPr>
    </w:p>
    <w:p w14:paraId="2F014D2A" w14:textId="7A40AC19" w:rsidR="004E144F" w:rsidRPr="0094488B" w:rsidRDefault="00D45592" w:rsidP="004E144F">
      <w:pPr>
        <w:pStyle w:val="ListParagraph"/>
        <w:ind w:left="0"/>
        <w:rPr>
          <w:sz w:val="20"/>
          <w:szCs w:val="20"/>
          <w:lang w:val="en-GB" w:eastAsia="en-US"/>
        </w:rPr>
      </w:pPr>
      <w:r>
        <w:rPr>
          <w:sz w:val="20"/>
          <w:szCs w:val="20"/>
          <w:lang w:val="en-GB" w:eastAsia="en-US"/>
        </w:rPr>
        <w:t>23</w:t>
      </w:r>
      <w:r w:rsidR="00A25E3F" w:rsidRPr="0094488B">
        <w:rPr>
          <w:sz w:val="20"/>
          <w:szCs w:val="20"/>
          <w:lang w:val="en-GB" w:eastAsia="en-US"/>
        </w:rPr>
        <w:t xml:space="preserve">. As regards single judge or committee applications, by </w:t>
      </w:r>
      <w:r w:rsidR="0000339F" w:rsidRPr="0094488B">
        <w:rPr>
          <w:sz w:val="20"/>
          <w:szCs w:val="20"/>
          <w:lang w:val="en-GB" w:eastAsia="en-US"/>
        </w:rPr>
        <w:t xml:space="preserve">1 </w:t>
      </w:r>
      <w:r w:rsidR="00EA74B1">
        <w:rPr>
          <w:sz w:val="20"/>
          <w:szCs w:val="20"/>
          <w:lang w:val="en-GB" w:eastAsia="en-US"/>
        </w:rPr>
        <w:t>April</w:t>
      </w:r>
      <w:r w:rsidR="0000339F" w:rsidRPr="0094488B">
        <w:rPr>
          <w:sz w:val="20"/>
          <w:szCs w:val="20"/>
          <w:lang w:val="en-GB" w:eastAsia="en-US"/>
        </w:rPr>
        <w:t xml:space="preserve"> 2019,</w:t>
      </w:r>
      <w:r w:rsidR="004E144F" w:rsidRPr="0094488B">
        <w:rPr>
          <w:sz w:val="20"/>
          <w:szCs w:val="20"/>
          <w:lang w:val="en-GB" w:eastAsia="en-US"/>
        </w:rPr>
        <w:t xml:space="preserve"> the number of applications pending was 4</w:t>
      </w:r>
      <w:r w:rsidR="0045475A">
        <w:rPr>
          <w:sz w:val="20"/>
          <w:szCs w:val="20"/>
          <w:lang w:val="en-GB" w:eastAsia="en-US"/>
        </w:rPr>
        <w:t>,</w:t>
      </w:r>
      <w:r w:rsidR="00EA74B1">
        <w:rPr>
          <w:sz w:val="20"/>
          <w:szCs w:val="20"/>
          <w:lang w:val="en-GB" w:eastAsia="en-US"/>
        </w:rPr>
        <w:t>085</w:t>
      </w:r>
      <w:r w:rsidR="004E144F" w:rsidRPr="0094488B">
        <w:rPr>
          <w:sz w:val="20"/>
          <w:szCs w:val="20"/>
          <w:lang w:val="en-GB" w:eastAsia="en-US"/>
        </w:rPr>
        <w:t>, a</w:t>
      </w:r>
      <w:r w:rsidR="00EA74B1">
        <w:rPr>
          <w:sz w:val="20"/>
          <w:szCs w:val="20"/>
          <w:lang w:val="en-GB" w:eastAsia="en-US"/>
        </w:rPr>
        <w:t xml:space="preserve"> decrease of</w:t>
      </w:r>
      <w:r w:rsidR="004E144F" w:rsidRPr="0094488B">
        <w:rPr>
          <w:sz w:val="20"/>
          <w:szCs w:val="20"/>
          <w:lang w:val="en-GB" w:eastAsia="en-US"/>
        </w:rPr>
        <w:t xml:space="preserve"> </w:t>
      </w:r>
      <w:r w:rsidR="00EA74B1">
        <w:rPr>
          <w:sz w:val="20"/>
          <w:szCs w:val="20"/>
          <w:lang w:val="en-GB" w:eastAsia="en-US"/>
        </w:rPr>
        <w:t>7</w:t>
      </w:r>
      <w:r w:rsidR="004E144F" w:rsidRPr="0094488B">
        <w:rPr>
          <w:sz w:val="20"/>
          <w:szCs w:val="20"/>
          <w:lang w:val="en-GB" w:eastAsia="en-US"/>
        </w:rPr>
        <w:t xml:space="preserve">% since </w:t>
      </w:r>
      <w:r w:rsidR="0000339F" w:rsidRPr="0094488B">
        <w:rPr>
          <w:sz w:val="20"/>
          <w:szCs w:val="20"/>
          <w:lang w:val="en-GB" w:eastAsia="en-US"/>
        </w:rPr>
        <w:t>January 2018</w:t>
      </w:r>
      <w:r w:rsidR="004E144F" w:rsidRPr="0094488B">
        <w:rPr>
          <w:sz w:val="20"/>
          <w:szCs w:val="20"/>
          <w:lang w:val="en-GB" w:eastAsia="en-US"/>
        </w:rPr>
        <w:t xml:space="preserve">. </w:t>
      </w:r>
      <w:r w:rsidR="00EA74B1">
        <w:rPr>
          <w:sz w:val="20"/>
          <w:szCs w:val="20"/>
          <w:lang w:val="en-GB" w:eastAsia="en-US"/>
        </w:rPr>
        <w:t>318</w:t>
      </w:r>
      <w:r w:rsidR="0000339F" w:rsidRPr="0094488B">
        <w:rPr>
          <w:sz w:val="20"/>
          <w:szCs w:val="20"/>
          <w:lang w:val="en-GB" w:eastAsia="en-US"/>
        </w:rPr>
        <w:t xml:space="preserve"> </w:t>
      </w:r>
      <w:r w:rsidR="004E144F" w:rsidRPr="0094488B">
        <w:rPr>
          <w:sz w:val="20"/>
          <w:szCs w:val="20"/>
          <w:lang w:val="en-GB" w:eastAsia="en-US"/>
        </w:rPr>
        <w:t>of these cases were part of the Brighton backlog.</w:t>
      </w:r>
    </w:p>
    <w:p w14:paraId="6D9844A2" w14:textId="59CC7B80" w:rsidR="006B1B4E" w:rsidRDefault="006B1B4E">
      <w:pPr>
        <w:rPr>
          <w:rFonts w:eastAsia="Times New Roman" w:cs="Arial"/>
          <w:sz w:val="20"/>
          <w:szCs w:val="20"/>
        </w:rPr>
      </w:pPr>
    </w:p>
    <w:p w14:paraId="161A1C85" w14:textId="669EEC00" w:rsidR="00EA64C8" w:rsidRPr="0094488B" w:rsidRDefault="00D45592" w:rsidP="00EA64C8">
      <w:pPr>
        <w:pStyle w:val="ListParagraph"/>
        <w:ind w:left="0"/>
        <w:rPr>
          <w:sz w:val="20"/>
          <w:szCs w:val="20"/>
          <w:lang w:val="en-GB" w:eastAsia="en-US"/>
        </w:rPr>
      </w:pPr>
      <w:r>
        <w:rPr>
          <w:sz w:val="20"/>
          <w:szCs w:val="20"/>
          <w:lang w:val="en-GB" w:eastAsia="en-US"/>
        </w:rPr>
        <w:t>24</w:t>
      </w:r>
      <w:r w:rsidR="00EA64C8" w:rsidRPr="0094488B">
        <w:rPr>
          <w:sz w:val="20"/>
          <w:szCs w:val="20"/>
          <w:lang w:val="en-GB" w:eastAsia="en-US"/>
        </w:rPr>
        <w:t>. The Court has pursued its efforts to reduce the length of proceedings before it, with the objective of achieving the goal set by the Brighton Declaration (paragraph 20 h), i.e. to decide whether to communicate a case within one year, and thereafter to make all communicated cases the subject of a decision or judgment within two years of communication. There was a decrease in the Brighton backlog for all categories of cases in 201</w:t>
      </w:r>
      <w:r w:rsidR="0000339F" w:rsidRPr="0094488B">
        <w:rPr>
          <w:sz w:val="20"/>
          <w:szCs w:val="20"/>
          <w:lang w:val="en-GB" w:eastAsia="en-US"/>
        </w:rPr>
        <w:t>8</w:t>
      </w:r>
      <w:r w:rsidR="00EA64C8" w:rsidRPr="0094488B">
        <w:rPr>
          <w:sz w:val="20"/>
          <w:szCs w:val="20"/>
          <w:lang w:val="en-GB" w:eastAsia="en-US"/>
        </w:rPr>
        <w:t xml:space="preserve"> (1</w:t>
      </w:r>
      <w:r w:rsidR="00EA74B1">
        <w:rPr>
          <w:sz w:val="20"/>
          <w:szCs w:val="20"/>
          <w:lang w:val="en-GB" w:eastAsia="en-US"/>
        </w:rPr>
        <w:t>3</w:t>
      </w:r>
      <w:r w:rsidR="0000339F" w:rsidRPr="0094488B">
        <w:rPr>
          <w:sz w:val="20"/>
          <w:szCs w:val="20"/>
          <w:lang w:val="en-GB" w:eastAsia="en-US"/>
        </w:rPr>
        <w:t>%)</w:t>
      </w:r>
      <w:r w:rsidR="00EA64C8" w:rsidRPr="0094488B">
        <w:rPr>
          <w:sz w:val="20"/>
          <w:szCs w:val="20"/>
          <w:lang w:val="en-GB" w:eastAsia="en-US"/>
        </w:rPr>
        <w:t xml:space="preserve">. The total number of cases in the Brighton backlog amounted to </w:t>
      </w:r>
      <w:r w:rsidR="00EA74B1">
        <w:rPr>
          <w:sz w:val="20"/>
          <w:szCs w:val="20"/>
          <w:lang w:val="en-GB" w:eastAsia="en-US"/>
        </w:rPr>
        <w:t>24</w:t>
      </w:r>
      <w:r w:rsidR="0045475A">
        <w:rPr>
          <w:sz w:val="20"/>
          <w:szCs w:val="20"/>
          <w:lang w:val="en-GB" w:eastAsia="en-US"/>
        </w:rPr>
        <w:t>,</w:t>
      </w:r>
      <w:r w:rsidR="00EA74B1">
        <w:rPr>
          <w:sz w:val="20"/>
          <w:szCs w:val="20"/>
          <w:lang w:val="en-GB" w:eastAsia="en-US"/>
        </w:rPr>
        <w:t>950</w:t>
      </w:r>
      <w:r w:rsidR="00EA64C8" w:rsidRPr="0094488B">
        <w:rPr>
          <w:sz w:val="20"/>
          <w:szCs w:val="20"/>
          <w:lang w:val="en-GB" w:eastAsia="en-US"/>
        </w:rPr>
        <w:t xml:space="preserve"> cases </w:t>
      </w:r>
      <w:r w:rsidR="0000339F" w:rsidRPr="0094488B">
        <w:rPr>
          <w:sz w:val="20"/>
          <w:szCs w:val="20"/>
          <w:lang w:val="en-GB" w:eastAsia="en-US"/>
        </w:rPr>
        <w:t xml:space="preserve">as of 1 </w:t>
      </w:r>
      <w:r w:rsidR="00EA74B1">
        <w:rPr>
          <w:sz w:val="20"/>
          <w:szCs w:val="20"/>
          <w:lang w:val="en-GB" w:eastAsia="en-US"/>
        </w:rPr>
        <w:t>April</w:t>
      </w:r>
      <w:r w:rsidR="0000339F" w:rsidRPr="0094488B">
        <w:rPr>
          <w:sz w:val="20"/>
          <w:szCs w:val="20"/>
          <w:lang w:val="en-GB" w:eastAsia="en-US"/>
        </w:rPr>
        <w:t xml:space="preserve"> 2019.</w:t>
      </w:r>
    </w:p>
    <w:p w14:paraId="02C4DB6F" w14:textId="77777777" w:rsidR="00EA64C8" w:rsidRPr="0094488B" w:rsidRDefault="00EA64C8" w:rsidP="004E144F">
      <w:pPr>
        <w:pStyle w:val="ListParagraph"/>
        <w:ind w:left="0"/>
        <w:rPr>
          <w:sz w:val="20"/>
          <w:szCs w:val="20"/>
          <w:lang w:val="en-GB" w:eastAsia="en-US"/>
        </w:rPr>
      </w:pPr>
    </w:p>
    <w:p w14:paraId="5522DEE1" w14:textId="77777777" w:rsidR="004E144F" w:rsidRPr="0094488B" w:rsidRDefault="004E144F" w:rsidP="004E144F">
      <w:pPr>
        <w:rPr>
          <w:i/>
          <w:sz w:val="20"/>
          <w:szCs w:val="20"/>
        </w:rPr>
      </w:pPr>
      <w:r w:rsidRPr="0094488B">
        <w:rPr>
          <w:i/>
          <w:sz w:val="20"/>
          <w:szCs w:val="20"/>
        </w:rPr>
        <w:t>Interim measures under Rule 39 of the Rules of the Court</w:t>
      </w:r>
    </w:p>
    <w:p w14:paraId="727893E1" w14:textId="77777777" w:rsidR="004E144F" w:rsidRPr="0094488B" w:rsidRDefault="004E144F" w:rsidP="004E144F">
      <w:pPr>
        <w:rPr>
          <w:sz w:val="20"/>
          <w:szCs w:val="20"/>
        </w:rPr>
      </w:pPr>
    </w:p>
    <w:p w14:paraId="16CE1B59" w14:textId="2866565A" w:rsidR="004E144F" w:rsidRPr="0094488B" w:rsidRDefault="00D45592" w:rsidP="004E144F">
      <w:pPr>
        <w:rPr>
          <w:sz w:val="20"/>
          <w:szCs w:val="20"/>
        </w:rPr>
      </w:pPr>
      <w:r>
        <w:rPr>
          <w:sz w:val="20"/>
          <w:szCs w:val="20"/>
        </w:rPr>
        <w:t>25</w:t>
      </w:r>
      <w:r w:rsidR="00BA7C7E" w:rsidRPr="00B00015">
        <w:rPr>
          <w:sz w:val="20"/>
          <w:szCs w:val="20"/>
        </w:rPr>
        <w:t>. In 201</w:t>
      </w:r>
      <w:r w:rsidR="00285D59" w:rsidRPr="0094488B">
        <w:rPr>
          <w:sz w:val="20"/>
          <w:szCs w:val="20"/>
        </w:rPr>
        <w:t>8</w:t>
      </w:r>
      <w:r w:rsidR="004E144F" w:rsidRPr="0094488B">
        <w:rPr>
          <w:sz w:val="20"/>
          <w:szCs w:val="20"/>
        </w:rPr>
        <w:t xml:space="preserve">, the number of requests for interim measures decreased by 8% </w:t>
      </w:r>
      <w:r w:rsidR="00285D59" w:rsidRPr="0094488B">
        <w:rPr>
          <w:sz w:val="20"/>
          <w:szCs w:val="20"/>
        </w:rPr>
        <w:t>compared to 2017.</w:t>
      </w:r>
      <w:r w:rsidR="004E144F" w:rsidRPr="0094488B">
        <w:rPr>
          <w:sz w:val="20"/>
          <w:szCs w:val="20"/>
        </w:rPr>
        <w:t xml:space="preserve">The Court granted </w:t>
      </w:r>
      <w:r w:rsidR="00285D59" w:rsidRPr="0094488B">
        <w:rPr>
          <w:sz w:val="20"/>
          <w:szCs w:val="20"/>
        </w:rPr>
        <w:t xml:space="preserve">143 </w:t>
      </w:r>
      <w:r w:rsidR="004E144F" w:rsidRPr="0094488B">
        <w:rPr>
          <w:sz w:val="20"/>
          <w:szCs w:val="20"/>
        </w:rPr>
        <w:t>requests for interim measures in 201</w:t>
      </w:r>
      <w:r w:rsidR="00285D59" w:rsidRPr="0094488B">
        <w:rPr>
          <w:sz w:val="20"/>
          <w:szCs w:val="20"/>
        </w:rPr>
        <w:t>8</w:t>
      </w:r>
      <w:r w:rsidR="004E144F" w:rsidRPr="0094488B">
        <w:rPr>
          <w:sz w:val="20"/>
          <w:szCs w:val="20"/>
        </w:rPr>
        <w:t>, which represents a</w:t>
      </w:r>
      <w:r w:rsidR="00285D59" w:rsidRPr="0094488B">
        <w:rPr>
          <w:sz w:val="20"/>
          <w:szCs w:val="20"/>
        </w:rPr>
        <w:t>n increase</w:t>
      </w:r>
      <w:r w:rsidR="004E144F" w:rsidRPr="0094488B">
        <w:rPr>
          <w:sz w:val="20"/>
          <w:szCs w:val="20"/>
        </w:rPr>
        <w:t xml:space="preserve"> </w:t>
      </w:r>
      <w:r w:rsidR="00164F41" w:rsidRPr="0094488B">
        <w:rPr>
          <w:sz w:val="20"/>
          <w:szCs w:val="20"/>
        </w:rPr>
        <w:t>of</w:t>
      </w:r>
      <w:r w:rsidR="004E144F" w:rsidRPr="0094488B">
        <w:rPr>
          <w:sz w:val="20"/>
          <w:szCs w:val="20"/>
        </w:rPr>
        <w:t xml:space="preserve"> </w:t>
      </w:r>
      <w:r w:rsidR="00285D59" w:rsidRPr="0094488B">
        <w:rPr>
          <w:sz w:val="20"/>
          <w:szCs w:val="20"/>
        </w:rPr>
        <w:t>22</w:t>
      </w:r>
      <w:r w:rsidR="004E144F" w:rsidRPr="0094488B">
        <w:rPr>
          <w:sz w:val="20"/>
          <w:szCs w:val="20"/>
        </w:rPr>
        <w:t>% compared to 201</w:t>
      </w:r>
      <w:r w:rsidR="00285D59" w:rsidRPr="0094488B">
        <w:rPr>
          <w:sz w:val="20"/>
          <w:szCs w:val="20"/>
        </w:rPr>
        <w:t>7</w:t>
      </w:r>
      <w:r w:rsidR="004E144F" w:rsidRPr="0094488B">
        <w:rPr>
          <w:sz w:val="20"/>
          <w:szCs w:val="20"/>
        </w:rPr>
        <w:t>.</w:t>
      </w:r>
      <w:r w:rsidR="00285D59" w:rsidRPr="0094488B">
        <w:rPr>
          <w:sz w:val="20"/>
          <w:szCs w:val="20"/>
        </w:rPr>
        <w:t xml:space="preserve"> 59% of the requests granted concerned expulsion or immigration cases.</w:t>
      </w:r>
    </w:p>
    <w:p w14:paraId="7BFBDB80" w14:textId="77777777" w:rsidR="005330D0" w:rsidRPr="0094488B" w:rsidRDefault="005330D0" w:rsidP="004E144F">
      <w:pPr>
        <w:rPr>
          <w:iCs/>
          <w:sz w:val="20"/>
          <w:szCs w:val="20"/>
        </w:rPr>
      </w:pPr>
    </w:p>
    <w:p w14:paraId="22EA3D61" w14:textId="77777777" w:rsidR="004317D0" w:rsidRDefault="004317D0">
      <w:pPr>
        <w:rPr>
          <w:rFonts w:eastAsia="Times New Roman" w:cs="Arial"/>
          <w:i/>
          <w:sz w:val="20"/>
          <w:szCs w:val="20"/>
        </w:rPr>
      </w:pPr>
      <w:r>
        <w:rPr>
          <w:i/>
          <w:sz w:val="20"/>
          <w:szCs w:val="20"/>
        </w:rPr>
        <w:br w:type="page"/>
      </w:r>
    </w:p>
    <w:p w14:paraId="0820CA38" w14:textId="470EEEC1" w:rsidR="004E144F" w:rsidRPr="0094488B" w:rsidRDefault="004E144F" w:rsidP="004E144F">
      <w:pPr>
        <w:pStyle w:val="ListParagraph"/>
        <w:ind w:left="0"/>
        <w:rPr>
          <w:i/>
          <w:sz w:val="20"/>
          <w:szCs w:val="20"/>
          <w:lang w:val="en-GB" w:eastAsia="en-US"/>
        </w:rPr>
      </w:pPr>
      <w:r w:rsidRPr="0094488B">
        <w:rPr>
          <w:i/>
          <w:sz w:val="20"/>
          <w:szCs w:val="20"/>
          <w:lang w:val="en-GB" w:eastAsia="en-US"/>
        </w:rPr>
        <w:lastRenderedPageBreak/>
        <w:t>Information policy and dialogue with governments and other stakeholders</w:t>
      </w:r>
    </w:p>
    <w:p w14:paraId="6CFA7E9D" w14:textId="77777777" w:rsidR="004E144F" w:rsidRPr="0094488B" w:rsidRDefault="004E144F" w:rsidP="004E144F">
      <w:pPr>
        <w:pStyle w:val="ListParagraph"/>
        <w:ind w:left="0"/>
        <w:rPr>
          <w:i/>
          <w:sz w:val="20"/>
          <w:szCs w:val="20"/>
          <w:lang w:val="en-GB" w:eastAsia="en-US"/>
        </w:rPr>
      </w:pPr>
    </w:p>
    <w:p w14:paraId="60D836AF" w14:textId="747FE7BB" w:rsidR="004E144F" w:rsidRPr="0094488B" w:rsidRDefault="00D45592" w:rsidP="004E144F">
      <w:pPr>
        <w:pStyle w:val="ListParagraph"/>
        <w:ind w:left="0"/>
        <w:rPr>
          <w:sz w:val="20"/>
          <w:szCs w:val="20"/>
          <w:lang w:val="en-GB" w:eastAsia="en-US"/>
        </w:rPr>
      </w:pPr>
      <w:r>
        <w:rPr>
          <w:sz w:val="20"/>
          <w:szCs w:val="20"/>
          <w:lang w:val="en-GB" w:eastAsia="en-US"/>
        </w:rPr>
        <w:t>26</w:t>
      </w:r>
      <w:r w:rsidR="00A25E3F" w:rsidRPr="0094488B">
        <w:rPr>
          <w:sz w:val="20"/>
          <w:szCs w:val="20"/>
          <w:lang w:val="en-GB" w:eastAsia="en-US"/>
        </w:rPr>
        <w:t xml:space="preserve">. The Court has maintained its efforts to strengthen dialogue with the States Parties to the Convention, through regular visits to States, working meetings with high-level delegations of national judges, periodic meetings with government agents and training sessions for groups of judges and lawyers from States Parties. It also launched in 2015 a network for exchanges on case law with the member States’ supreme courts, the Superior Courts Network, which now counts </w:t>
      </w:r>
      <w:r w:rsidR="005330D0" w:rsidRPr="0094488B">
        <w:rPr>
          <w:sz w:val="20"/>
          <w:szCs w:val="20"/>
          <w:lang w:val="en-GB" w:eastAsia="en-US"/>
        </w:rPr>
        <w:t>7</w:t>
      </w:r>
      <w:r w:rsidR="00EA74B1">
        <w:rPr>
          <w:sz w:val="20"/>
          <w:szCs w:val="20"/>
          <w:lang w:val="en-GB" w:eastAsia="en-US"/>
        </w:rPr>
        <w:t>4</w:t>
      </w:r>
      <w:r w:rsidR="005330D0" w:rsidRPr="0094488B">
        <w:rPr>
          <w:sz w:val="20"/>
          <w:szCs w:val="20"/>
          <w:lang w:val="en-GB" w:eastAsia="en-US"/>
        </w:rPr>
        <w:t xml:space="preserve"> </w:t>
      </w:r>
      <w:r w:rsidR="004E144F" w:rsidRPr="0094488B">
        <w:rPr>
          <w:sz w:val="20"/>
          <w:szCs w:val="20"/>
          <w:lang w:val="en-GB" w:eastAsia="en-US"/>
        </w:rPr>
        <w:t>courts from 3</w:t>
      </w:r>
      <w:r w:rsidR="00B50219">
        <w:rPr>
          <w:sz w:val="20"/>
          <w:szCs w:val="20"/>
          <w:lang w:val="en-GB" w:eastAsia="en-US"/>
        </w:rPr>
        <w:t>6</w:t>
      </w:r>
      <w:r w:rsidR="004E144F" w:rsidRPr="0094488B">
        <w:rPr>
          <w:sz w:val="20"/>
          <w:szCs w:val="20"/>
          <w:lang w:val="en-GB" w:eastAsia="en-US"/>
        </w:rPr>
        <w:t xml:space="preserve"> European States. In a few years, the Network has become an important tool for dialogue between the Court and the numerous superior courts members of the Network.</w:t>
      </w:r>
    </w:p>
    <w:p w14:paraId="61B6B5E8" w14:textId="77777777" w:rsidR="004E144F" w:rsidRPr="0094488B" w:rsidRDefault="004E144F" w:rsidP="004E144F">
      <w:pPr>
        <w:pStyle w:val="ListParagraph"/>
        <w:ind w:left="0"/>
        <w:rPr>
          <w:sz w:val="20"/>
          <w:szCs w:val="20"/>
          <w:lang w:val="en-GB" w:eastAsia="en-US"/>
        </w:rPr>
      </w:pPr>
    </w:p>
    <w:p w14:paraId="37D7EC8A" w14:textId="776A224C" w:rsidR="004E144F" w:rsidRPr="00E67CD5" w:rsidRDefault="00D45592" w:rsidP="004E144F">
      <w:pPr>
        <w:pStyle w:val="ListParagraph"/>
        <w:ind w:left="0"/>
        <w:rPr>
          <w:sz w:val="20"/>
          <w:szCs w:val="20"/>
          <w:lang w:val="en-GB" w:eastAsia="en-US"/>
        </w:rPr>
      </w:pPr>
      <w:r>
        <w:rPr>
          <w:sz w:val="20"/>
          <w:szCs w:val="20"/>
          <w:lang w:val="en-GB" w:eastAsia="en-US"/>
        </w:rPr>
        <w:t>27</w:t>
      </w:r>
      <w:r w:rsidR="004E144F" w:rsidRPr="00E67CD5">
        <w:rPr>
          <w:sz w:val="20"/>
          <w:szCs w:val="20"/>
          <w:lang w:val="en-GB" w:eastAsia="en-US"/>
        </w:rPr>
        <w:t xml:space="preserve">. Along with its dialogue with national courts, the Court continued to hold annual meetings with the Court of Justice of the European Union. </w:t>
      </w:r>
      <w:r w:rsidR="00E67CD5" w:rsidRPr="00E67CD5">
        <w:rPr>
          <w:sz w:val="20"/>
          <w:szCs w:val="20"/>
          <w:lang w:val="en-GB" w:eastAsia="en-US"/>
        </w:rPr>
        <w:t xml:space="preserve">On 15 October 2018, a delegation of 15 judges from the Court visited the Court in Luxembourg for exchanges and discussions on themes of general interest. </w:t>
      </w:r>
      <w:r w:rsidR="004E144F" w:rsidRPr="00E67CD5">
        <w:rPr>
          <w:sz w:val="20"/>
          <w:szCs w:val="20"/>
          <w:lang w:val="en-GB" w:eastAsia="en-US"/>
        </w:rPr>
        <w:t xml:space="preserve">In addition, the </w:t>
      </w:r>
      <w:r w:rsidR="00E67CD5" w:rsidRPr="00E67CD5">
        <w:rPr>
          <w:sz w:val="20"/>
          <w:szCs w:val="20"/>
          <w:lang w:val="en-GB" w:eastAsia="en-US"/>
        </w:rPr>
        <w:t xml:space="preserve">Registry of the </w:t>
      </w:r>
      <w:r w:rsidR="004E144F" w:rsidRPr="00E67CD5">
        <w:rPr>
          <w:sz w:val="20"/>
          <w:szCs w:val="20"/>
          <w:lang w:val="en-GB" w:eastAsia="en-US"/>
        </w:rPr>
        <w:t xml:space="preserve">Court pursued its contacts with the Human Rights </w:t>
      </w:r>
      <w:r w:rsidR="00976AC4">
        <w:rPr>
          <w:sz w:val="20"/>
          <w:szCs w:val="20"/>
          <w:lang w:val="en-GB" w:eastAsia="en-US"/>
        </w:rPr>
        <w:t>Committee</w:t>
      </w:r>
      <w:r w:rsidR="00C372DC" w:rsidRPr="00E67CD5">
        <w:rPr>
          <w:sz w:val="20"/>
          <w:szCs w:val="20"/>
          <w:lang w:val="en-GB" w:eastAsia="en-US"/>
        </w:rPr>
        <w:t xml:space="preserve"> </w:t>
      </w:r>
      <w:r w:rsidR="004E144F" w:rsidRPr="00E67CD5">
        <w:rPr>
          <w:sz w:val="20"/>
          <w:szCs w:val="20"/>
          <w:lang w:val="en-GB" w:eastAsia="en-US"/>
        </w:rPr>
        <w:t>of the United Nations.</w:t>
      </w:r>
    </w:p>
    <w:p w14:paraId="4D8E2A64" w14:textId="495EF51E" w:rsidR="00B365D9" w:rsidRDefault="00B365D9">
      <w:pPr>
        <w:rPr>
          <w:rFonts w:eastAsia="Times New Roman" w:cs="Arial"/>
          <w:sz w:val="20"/>
          <w:szCs w:val="20"/>
        </w:rPr>
      </w:pPr>
    </w:p>
    <w:p w14:paraId="47CF4660" w14:textId="115789C5" w:rsidR="004E144F" w:rsidRPr="0094488B" w:rsidRDefault="00D45592" w:rsidP="004E144F">
      <w:pPr>
        <w:autoSpaceDE w:val="0"/>
        <w:autoSpaceDN w:val="0"/>
        <w:adjustRightInd w:val="0"/>
        <w:rPr>
          <w:rFonts w:eastAsia="Times New Roman" w:cs="Arial"/>
          <w:sz w:val="20"/>
          <w:szCs w:val="20"/>
        </w:rPr>
      </w:pPr>
      <w:r>
        <w:rPr>
          <w:rFonts w:eastAsia="Times New Roman" w:cs="Arial"/>
          <w:sz w:val="20"/>
          <w:szCs w:val="20"/>
        </w:rPr>
        <w:t>28</w:t>
      </w:r>
      <w:r w:rsidR="00BA7C7E" w:rsidRPr="004E39C8">
        <w:rPr>
          <w:rFonts w:eastAsia="Times New Roman" w:cs="Arial"/>
          <w:sz w:val="20"/>
          <w:szCs w:val="20"/>
        </w:rPr>
        <w:t>. In 2016, the Court incorporated a new rule into the Rules of Court (Rule 111), providing that the States Parties, organisations with experience in representing applicants and relevant bar associations will be consulted on any proposal to amend rules that directly concern the conduct of proceedings. With this amendment, the Court has reacted positively to the wish of the States, expressed in the Brighton Declaration and again in the report by the CDDH on the longer-term future of the system of the European Convention on Human Rights, to have a role in the rule-making procedure.</w:t>
      </w:r>
      <w:r w:rsidR="004115D5" w:rsidRPr="004E39C8">
        <w:rPr>
          <w:rFonts w:eastAsia="Times New Roman" w:cs="Arial"/>
          <w:sz w:val="20"/>
          <w:szCs w:val="20"/>
        </w:rPr>
        <w:t xml:space="preserve"> In 2018, in application of Rule 111, the Court </w:t>
      </w:r>
      <w:r w:rsidR="004E39C8" w:rsidRPr="004E39C8">
        <w:rPr>
          <w:rFonts w:eastAsia="Times New Roman" w:cs="Arial"/>
          <w:sz w:val="20"/>
          <w:szCs w:val="20"/>
        </w:rPr>
        <w:t>consulted</w:t>
      </w:r>
      <w:r w:rsidR="00821C0B" w:rsidRPr="004E39C8">
        <w:rPr>
          <w:rFonts w:eastAsia="Times New Roman" w:cs="Arial"/>
          <w:sz w:val="20"/>
          <w:szCs w:val="20"/>
        </w:rPr>
        <w:t xml:space="preserve"> </w:t>
      </w:r>
      <w:r w:rsidR="004E39C8" w:rsidRPr="004E39C8">
        <w:rPr>
          <w:rFonts w:eastAsia="Times New Roman" w:cs="Arial"/>
          <w:sz w:val="20"/>
          <w:szCs w:val="20"/>
        </w:rPr>
        <w:t xml:space="preserve">representatives of the States Parties, organisations with experience in representing applicants and relevant Bar associations on the new Rule 44F of the Court’s Rules on treatment of classified documents. </w:t>
      </w:r>
    </w:p>
    <w:p w14:paraId="4413A1D2" w14:textId="77777777" w:rsidR="008F706B" w:rsidRPr="0094488B" w:rsidRDefault="008F706B" w:rsidP="004E144F">
      <w:pPr>
        <w:pStyle w:val="ListParagraph"/>
        <w:ind w:left="0"/>
        <w:rPr>
          <w:sz w:val="20"/>
          <w:szCs w:val="20"/>
          <w:lang w:val="en-GB" w:eastAsia="en-US"/>
        </w:rPr>
      </w:pPr>
    </w:p>
    <w:p w14:paraId="5068DD73" w14:textId="2EF43515" w:rsidR="008C3A78" w:rsidRDefault="00D45592" w:rsidP="004E144F">
      <w:pPr>
        <w:pStyle w:val="ListParagraph"/>
        <w:ind w:left="0"/>
        <w:rPr>
          <w:sz w:val="20"/>
          <w:szCs w:val="20"/>
          <w:lang w:val="en-GB" w:eastAsia="en-US"/>
        </w:rPr>
      </w:pPr>
      <w:r>
        <w:rPr>
          <w:sz w:val="20"/>
          <w:szCs w:val="20"/>
          <w:lang w:val="en-GB" w:eastAsia="en-US"/>
        </w:rPr>
        <w:t>29</w:t>
      </w:r>
      <w:r w:rsidR="00A25E3F" w:rsidRPr="0094488B">
        <w:rPr>
          <w:sz w:val="20"/>
          <w:szCs w:val="20"/>
          <w:lang w:val="en-GB" w:eastAsia="en-US"/>
        </w:rPr>
        <w:t xml:space="preserve">. The Court has continued to develop its information policy. As regards communication with applicants, a new downloadable application form has been made available which can be printed, signed and sent to the Court, where its contents can be extracted electronically. In addition, </w:t>
      </w:r>
      <w:r w:rsidR="00A844BE">
        <w:rPr>
          <w:sz w:val="20"/>
          <w:szCs w:val="20"/>
          <w:lang w:val="en-GB" w:eastAsia="en-US"/>
        </w:rPr>
        <w:t xml:space="preserve">the </w:t>
      </w:r>
      <w:proofErr w:type="spellStart"/>
      <w:r w:rsidR="00A844BE">
        <w:rPr>
          <w:sz w:val="20"/>
          <w:szCs w:val="20"/>
          <w:lang w:val="en-GB" w:eastAsia="en-US"/>
        </w:rPr>
        <w:t>eComms</w:t>
      </w:r>
      <w:proofErr w:type="spellEnd"/>
      <w:r w:rsidR="00A844BE">
        <w:rPr>
          <w:sz w:val="20"/>
          <w:szCs w:val="20"/>
          <w:lang w:val="en-GB" w:eastAsia="en-US"/>
        </w:rPr>
        <w:t xml:space="preserve"> </w:t>
      </w:r>
      <w:r w:rsidR="00A25E3F" w:rsidRPr="0094488B">
        <w:rPr>
          <w:sz w:val="20"/>
          <w:szCs w:val="20"/>
          <w:lang w:val="en-GB" w:eastAsia="en-US"/>
        </w:rPr>
        <w:t>platform</w:t>
      </w:r>
      <w:r w:rsidR="008C3A78" w:rsidRPr="008C3A78">
        <w:rPr>
          <w:sz w:val="20"/>
          <w:szCs w:val="20"/>
          <w:lang w:val="en-GB" w:eastAsia="en-US"/>
        </w:rPr>
        <w:t xml:space="preserve"> </w:t>
      </w:r>
      <w:r w:rsidR="008C3A78">
        <w:rPr>
          <w:sz w:val="20"/>
          <w:szCs w:val="20"/>
          <w:lang w:val="en-GB" w:eastAsia="en-US"/>
        </w:rPr>
        <w:t>was launched in 2018. It</w:t>
      </w:r>
      <w:r w:rsidR="00A844BE">
        <w:rPr>
          <w:sz w:val="20"/>
          <w:szCs w:val="20"/>
          <w:lang w:val="en-GB" w:eastAsia="en-US"/>
        </w:rPr>
        <w:t xml:space="preserve"> allows the Court and applicant representatives to exchange documents on communicated case</w:t>
      </w:r>
      <w:r w:rsidR="008C3A78">
        <w:rPr>
          <w:sz w:val="20"/>
          <w:szCs w:val="20"/>
          <w:lang w:val="en-GB" w:eastAsia="en-US"/>
        </w:rPr>
        <w:t>s.</w:t>
      </w:r>
    </w:p>
    <w:p w14:paraId="739F6286" w14:textId="77777777" w:rsidR="005330D0" w:rsidRPr="0094488B" w:rsidRDefault="005330D0" w:rsidP="004E144F">
      <w:pPr>
        <w:pStyle w:val="ListParagraph"/>
        <w:ind w:left="0"/>
        <w:rPr>
          <w:sz w:val="20"/>
          <w:szCs w:val="20"/>
          <w:lang w:val="en-GB" w:eastAsia="en-US"/>
        </w:rPr>
      </w:pPr>
    </w:p>
    <w:p w14:paraId="71697D41" w14:textId="01F872DB" w:rsidR="004E144F" w:rsidRPr="0094488B" w:rsidRDefault="00D45592" w:rsidP="004E144F">
      <w:pPr>
        <w:pStyle w:val="ListParagraph"/>
        <w:ind w:left="0"/>
        <w:rPr>
          <w:sz w:val="20"/>
          <w:szCs w:val="20"/>
          <w:lang w:val="en-GB" w:eastAsia="en-US"/>
        </w:rPr>
      </w:pPr>
      <w:r>
        <w:rPr>
          <w:sz w:val="20"/>
          <w:szCs w:val="20"/>
          <w:lang w:val="en-GB" w:eastAsia="en-US"/>
        </w:rPr>
        <w:t>30</w:t>
      </w:r>
      <w:r w:rsidR="0024662F" w:rsidRPr="0094488B">
        <w:rPr>
          <w:sz w:val="20"/>
          <w:szCs w:val="20"/>
          <w:lang w:val="en-GB" w:eastAsia="en-US"/>
        </w:rPr>
        <w:t xml:space="preserve">. </w:t>
      </w:r>
      <w:r w:rsidR="004E144F" w:rsidRPr="0094488B">
        <w:rPr>
          <w:sz w:val="20"/>
          <w:szCs w:val="20"/>
          <w:lang w:val="en-GB" w:eastAsia="en-US"/>
        </w:rPr>
        <w:t>In addition, further improvements are made to the Courts’ search engine (HUDOC). In 201</w:t>
      </w:r>
      <w:r w:rsidR="005330D0" w:rsidRPr="0094488B">
        <w:rPr>
          <w:sz w:val="20"/>
          <w:szCs w:val="20"/>
          <w:lang w:val="en-GB" w:eastAsia="en-US"/>
        </w:rPr>
        <w:t>8</w:t>
      </w:r>
      <w:r w:rsidR="004E144F" w:rsidRPr="0094488B">
        <w:rPr>
          <w:sz w:val="20"/>
          <w:szCs w:val="20"/>
          <w:lang w:val="en-GB" w:eastAsia="en-US"/>
        </w:rPr>
        <w:t xml:space="preserve">, the HUDOC interface in </w:t>
      </w:r>
      <w:r w:rsidR="005330D0" w:rsidRPr="0094488B">
        <w:rPr>
          <w:sz w:val="20"/>
          <w:szCs w:val="20"/>
          <w:lang w:val="en-GB" w:eastAsia="en-US"/>
        </w:rPr>
        <w:t xml:space="preserve">Georgian </w:t>
      </w:r>
      <w:r w:rsidR="004E144F" w:rsidRPr="0094488B">
        <w:rPr>
          <w:sz w:val="20"/>
          <w:szCs w:val="20"/>
          <w:lang w:val="en-GB" w:eastAsia="en-US"/>
        </w:rPr>
        <w:t>was launched.</w:t>
      </w:r>
      <w:r w:rsidR="005330D0" w:rsidRPr="0094488B">
        <w:rPr>
          <w:sz w:val="20"/>
          <w:szCs w:val="20"/>
          <w:lang w:val="en-GB" w:eastAsia="en-US"/>
        </w:rPr>
        <w:t xml:space="preserve"> This interface is today available in six languages (English, French, Georgian, Russian, Spanish and Turkish) and it is envisaged to </w:t>
      </w:r>
      <w:r w:rsidR="00AA7533" w:rsidRPr="0094488B">
        <w:rPr>
          <w:sz w:val="20"/>
          <w:szCs w:val="20"/>
          <w:lang w:val="en-GB" w:eastAsia="en-US"/>
        </w:rPr>
        <w:t>develop the Bulgarian and Ukrainian versions</w:t>
      </w:r>
      <w:r w:rsidR="004E144F" w:rsidRPr="0094488B">
        <w:rPr>
          <w:sz w:val="20"/>
          <w:szCs w:val="20"/>
          <w:lang w:val="en-GB" w:eastAsia="en-US"/>
        </w:rPr>
        <w:t>. Moreover, as a result of the Court’s case law translation programme, partly financed by some member States and partly by the Human Rights Trust Fund (HRTF), over 2</w:t>
      </w:r>
      <w:r w:rsidR="00AA7533" w:rsidRPr="0094488B">
        <w:rPr>
          <w:sz w:val="20"/>
          <w:szCs w:val="20"/>
          <w:lang w:val="en-GB" w:eastAsia="en-US"/>
        </w:rPr>
        <w:t>6</w:t>
      </w:r>
      <w:r w:rsidR="0045475A">
        <w:rPr>
          <w:sz w:val="20"/>
          <w:szCs w:val="20"/>
          <w:lang w:val="en-GB" w:eastAsia="en-US"/>
        </w:rPr>
        <w:t>,</w:t>
      </w:r>
      <w:r w:rsidR="004E144F" w:rsidRPr="0094488B">
        <w:rPr>
          <w:sz w:val="20"/>
          <w:szCs w:val="20"/>
          <w:lang w:val="en-GB" w:eastAsia="en-US"/>
        </w:rPr>
        <w:t>000 texts in</w:t>
      </w:r>
      <w:r w:rsidR="00AA0307">
        <w:rPr>
          <w:sz w:val="20"/>
          <w:szCs w:val="20"/>
          <w:lang w:val="en-GB" w:eastAsia="en-US"/>
        </w:rPr>
        <w:t xml:space="preserve"> </w:t>
      </w:r>
      <w:r w:rsidR="004E144F" w:rsidRPr="0094488B">
        <w:rPr>
          <w:sz w:val="20"/>
          <w:szCs w:val="20"/>
          <w:lang w:val="en-GB" w:eastAsia="en-US"/>
        </w:rPr>
        <w:t>31</w:t>
      </w:r>
      <w:r w:rsidR="00204883">
        <w:rPr>
          <w:sz w:val="20"/>
          <w:szCs w:val="20"/>
          <w:lang w:val="en-GB" w:eastAsia="en-US"/>
        </w:rPr>
        <w:t xml:space="preserve"> </w:t>
      </w:r>
      <w:r w:rsidR="004E144F" w:rsidRPr="0094488B">
        <w:rPr>
          <w:sz w:val="20"/>
          <w:szCs w:val="20"/>
          <w:lang w:val="en-GB" w:eastAsia="en-US"/>
        </w:rPr>
        <w:t>languages other than English and French have now been made available in HUDOC.</w:t>
      </w:r>
    </w:p>
    <w:p w14:paraId="40B29D42" w14:textId="14AAD3D1" w:rsidR="00486552" w:rsidRDefault="00486552">
      <w:pPr>
        <w:rPr>
          <w:rFonts w:eastAsia="Times New Roman" w:cs="Arial"/>
          <w:sz w:val="20"/>
          <w:szCs w:val="20"/>
        </w:rPr>
      </w:pPr>
    </w:p>
    <w:p w14:paraId="037C0789" w14:textId="0A7BE6DE" w:rsidR="004E144F" w:rsidRPr="0094488B" w:rsidRDefault="00D45592" w:rsidP="004E144F">
      <w:pPr>
        <w:pStyle w:val="ListParagraph"/>
        <w:ind w:left="0"/>
        <w:rPr>
          <w:sz w:val="20"/>
          <w:szCs w:val="20"/>
          <w:lang w:val="en-GB" w:eastAsia="en-US"/>
        </w:rPr>
      </w:pPr>
      <w:r>
        <w:rPr>
          <w:sz w:val="20"/>
          <w:szCs w:val="20"/>
          <w:lang w:val="en-GB" w:eastAsia="en-US"/>
        </w:rPr>
        <w:t>31</w:t>
      </w:r>
      <w:r w:rsidR="004E144F" w:rsidRPr="0094488B">
        <w:rPr>
          <w:sz w:val="20"/>
          <w:szCs w:val="20"/>
          <w:lang w:val="en-GB" w:eastAsia="en-US"/>
        </w:rPr>
        <w:t>. The Court has also continued to produce and update its case law guides and has prepared more than 60 fact sheets on various Convention-related topics, many of which have been translated into several languages. Furthermore, updates of two handbooks (Handbook on European non-discrimination law and Handbook on European data protection law)</w:t>
      </w:r>
      <w:r w:rsidR="009B272D" w:rsidRPr="0094488B">
        <w:rPr>
          <w:sz w:val="20"/>
          <w:szCs w:val="20"/>
          <w:lang w:val="en-GB" w:eastAsia="en-US"/>
        </w:rPr>
        <w:t xml:space="preserve"> were </w:t>
      </w:r>
      <w:r w:rsidR="004E144F" w:rsidRPr="0094488B">
        <w:rPr>
          <w:sz w:val="20"/>
          <w:szCs w:val="20"/>
          <w:lang w:val="en-GB" w:eastAsia="en-US"/>
        </w:rPr>
        <w:t xml:space="preserve">published </w:t>
      </w:r>
      <w:r w:rsidR="009B272D" w:rsidRPr="0094488B">
        <w:rPr>
          <w:sz w:val="20"/>
          <w:szCs w:val="20"/>
          <w:lang w:val="en-GB" w:eastAsia="en-US"/>
        </w:rPr>
        <w:t>in</w:t>
      </w:r>
      <w:r w:rsidR="004E144F" w:rsidRPr="0094488B">
        <w:rPr>
          <w:sz w:val="20"/>
          <w:szCs w:val="20"/>
          <w:lang w:val="en-GB" w:eastAsia="en-US"/>
        </w:rPr>
        <w:t xml:space="preserve"> 2018.</w:t>
      </w:r>
    </w:p>
    <w:p w14:paraId="2BC289E5" w14:textId="404535AF" w:rsidR="0024662F" w:rsidRDefault="0024662F">
      <w:pPr>
        <w:rPr>
          <w:rFonts w:eastAsia="Times New Roman" w:cs="Myriad Pro"/>
          <w:color w:val="000000"/>
          <w:sz w:val="20"/>
          <w:szCs w:val="20"/>
        </w:rPr>
      </w:pPr>
    </w:p>
    <w:p w14:paraId="3A2959CF" w14:textId="77777777" w:rsidR="005751AE" w:rsidRPr="0094488B" w:rsidRDefault="005751AE">
      <w:pPr>
        <w:rPr>
          <w:rFonts w:eastAsia="Times New Roman" w:cs="Myriad Pro"/>
          <w:color w:val="000000"/>
          <w:sz w:val="20"/>
          <w:szCs w:val="20"/>
        </w:rPr>
      </w:pPr>
    </w:p>
    <w:p w14:paraId="6130F2CD" w14:textId="050F170F" w:rsidR="004E144F" w:rsidRPr="0094488B" w:rsidRDefault="004E144F" w:rsidP="004E144F">
      <w:pPr>
        <w:pStyle w:val="ListParagraph"/>
        <w:shd w:val="clear" w:color="auto" w:fill="92CDDC"/>
        <w:ind w:left="0"/>
        <w:rPr>
          <w:sz w:val="20"/>
          <w:szCs w:val="20"/>
          <w:lang w:val="en-GB" w:eastAsia="en-US"/>
        </w:rPr>
      </w:pPr>
      <w:r w:rsidRPr="0094488B">
        <w:rPr>
          <w:sz w:val="20"/>
          <w:szCs w:val="20"/>
          <w:lang w:val="en-GB" w:eastAsia="en-US"/>
        </w:rPr>
        <w:t>C.</w:t>
      </w:r>
      <w:r w:rsidRPr="0094488B">
        <w:rPr>
          <w:sz w:val="20"/>
          <w:szCs w:val="20"/>
          <w:lang w:val="en-GB" w:eastAsia="en-US"/>
        </w:rPr>
        <w:tab/>
        <w:t>Measures taken by member States</w:t>
      </w:r>
    </w:p>
    <w:p w14:paraId="2DDF8FCB" w14:textId="77777777" w:rsidR="004E144F" w:rsidRPr="0094488B" w:rsidRDefault="004E144F" w:rsidP="004E144F">
      <w:pPr>
        <w:pStyle w:val="ListParagraph"/>
        <w:ind w:left="0"/>
        <w:rPr>
          <w:sz w:val="20"/>
          <w:szCs w:val="20"/>
          <w:lang w:val="en-GB" w:eastAsia="en-US"/>
        </w:rPr>
      </w:pPr>
    </w:p>
    <w:p w14:paraId="749C391B" w14:textId="77777777" w:rsidR="004E144F" w:rsidRPr="0094488B" w:rsidRDefault="004E144F" w:rsidP="004E144F">
      <w:pPr>
        <w:pStyle w:val="ListParagraph"/>
        <w:ind w:left="0"/>
        <w:rPr>
          <w:i/>
          <w:sz w:val="20"/>
          <w:szCs w:val="20"/>
          <w:lang w:val="en-GB" w:eastAsia="en-US"/>
        </w:rPr>
      </w:pPr>
      <w:r w:rsidRPr="0094488B">
        <w:rPr>
          <w:i/>
          <w:sz w:val="20"/>
          <w:szCs w:val="20"/>
          <w:lang w:val="en-GB" w:eastAsia="en-US"/>
        </w:rPr>
        <w:t>Implementation of the European Convention on Human Rights at national level</w:t>
      </w:r>
    </w:p>
    <w:p w14:paraId="355182F8" w14:textId="77777777" w:rsidR="004E144F" w:rsidRPr="0094488B" w:rsidRDefault="004E144F" w:rsidP="004E144F">
      <w:pPr>
        <w:pStyle w:val="ListParagraph"/>
        <w:ind w:left="0"/>
        <w:rPr>
          <w:sz w:val="20"/>
          <w:szCs w:val="20"/>
          <w:lang w:val="en-GB" w:eastAsia="en-US"/>
        </w:rPr>
      </w:pPr>
    </w:p>
    <w:p w14:paraId="71A42189" w14:textId="2191DAF4" w:rsidR="004E144F" w:rsidRPr="0094488B" w:rsidRDefault="00D45592" w:rsidP="004E144F">
      <w:pPr>
        <w:pStyle w:val="ListParagraph"/>
        <w:ind w:left="0"/>
        <w:rPr>
          <w:sz w:val="20"/>
          <w:szCs w:val="20"/>
          <w:lang w:val="en-GB" w:eastAsia="en-US"/>
        </w:rPr>
      </w:pPr>
      <w:r>
        <w:rPr>
          <w:sz w:val="20"/>
          <w:szCs w:val="20"/>
          <w:lang w:val="en-GB" w:eastAsia="en-US"/>
        </w:rPr>
        <w:t>32</w:t>
      </w:r>
      <w:r w:rsidR="00A25E3F" w:rsidRPr="0094488B">
        <w:rPr>
          <w:sz w:val="20"/>
          <w:szCs w:val="20"/>
          <w:lang w:val="en-GB" w:eastAsia="en-US"/>
        </w:rPr>
        <w:t xml:space="preserve">. </w:t>
      </w:r>
      <w:r w:rsidR="00532A03" w:rsidRPr="0094488B">
        <w:rPr>
          <w:sz w:val="20"/>
          <w:szCs w:val="20"/>
          <w:lang w:val="en-GB" w:eastAsia="en-US"/>
        </w:rPr>
        <w:t>It appears clearly</w:t>
      </w:r>
      <w:r w:rsidR="004E144F" w:rsidRPr="0094488B">
        <w:rPr>
          <w:sz w:val="20"/>
          <w:szCs w:val="20"/>
          <w:lang w:val="en-GB" w:eastAsia="en-US"/>
        </w:rPr>
        <w:t xml:space="preserve">, notably in the context of the supervision of execution, that </w:t>
      </w:r>
      <w:r w:rsidR="00857C8F">
        <w:rPr>
          <w:sz w:val="20"/>
          <w:szCs w:val="20"/>
          <w:lang w:val="en-GB" w:eastAsia="en-US"/>
        </w:rPr>
        <w:t>significant</w:t>
      </w:r>
      <w:r w:rsidR="004E144F" w:rsidRPr="0094488B">
        <w:rPr>
          <w:sz w:val="20"/>
          <w:szCs w:val="20"/>
          <w:lang w:val="en-GB" w:eastAsia="en-US"/>
        </w:rPr>
        <w:t xml:space="preserve"> progress has been achieved in putting in place effective remedies or in ensuring the effectiveness of existing ones, in particular in a number of areas frequently involving </w:t>
      </w:r>
      <w:r w:rsidR="00857C8F">
        <w:rPr>
          <w:sz w:val="20"/>
          <w:szCs w:val="20"/>
          <w:lang w:val="en-GB" w:eastAsia="en-US"/>
        </w:rPr>
        <w:t xml:space="preserve">major </w:t>
      </w:r>
      <w:r w:rsidR="004E144F" w:rsidRPr="0094488B">
        <w:rPr>
          <w:sz w:val="20"/>
          <w:szCs w:val="20"/>
          <w:lang w:val="en-GB" w:eastAsia="en-US"/>
        </w:rPr>
        <w:t>struc</w:t>
      </w:r>
      <w:r w:rsidR="00A93F4F" w:rsidRPr="0094488B">
        <w:rPr>
          <w:sz w:val="20"/>
          <w:szCs w:val="20"/>
          <w:lang w:val="en-GB" w:eastAsia="en-US"/>
        </w:rPr>
        <w:t xml:space="preserve">tural problems, for example, </w:t>
      </w:r>
      <w:r w:rsidR="004E144F" w:rsidRPr="0094488B">
        <w:rPr>
          <w:sz w:val="20"/>
          <w:szCs w:val="20"/>
          <w:lang w:val="en-GB" w:eastAsia="en-US"/>
        </w:rPr>
        <w:t xml:space="preserve">the length of judicial proceedings, </w:t>
      </w:r>
      <w:r w:rsidR="00AD40E3">
        <w:rPr>
          <w:sz w:val="20"/>
          <w:szCs w:val="20"/>
          <w:lang w:val="en-GB" w:eastAsia="en-US"/>
        </w:rPr>
        <w:t>or</w:t>
      </w:r>
      <w:r w:rsidR="00611CCE">
        <w:rPr>
          <w:sz w:val="20"/>
          <w:szCs w:val="20"/>
          <w:lang w:val="en-GB" w:eastAsia="en-US"/>
        </w:rPr>
        <w:t xml:space="preserve"> </w:t>
      </w:r>
      <w:r w:rsidR="004E144F" w:rsidRPr="0094488B">
        <w:rPr>
          <w:sz w:val="20"/>
          <w:szCs w:val="20"/>
          <w:lang w:val="en-GB" w:eastAsia="en-US"/>
        </w:rPr>
        <w:t xml:space="preserve">the non-enforcement or delayed enforcement of domestic judgments against </w:t>
      </w:r>
      <w:r w:rsidR="00C372DC">
        <w:rPr>
          <w:sz w:val="20"/>
          <w:szCs w:val="20"/>
          <w:lang w:val="en-GB" w:eastAsia="en-US"/>
        </w:rPr>
        <w:t>S</w:t>
      </w:r>
      <w:r w:rsidR="004E144F" w:rsidRPr="0094488B">
        <w:rPr>
          <w:sz w:val="20"/>
          <w:szCs w:val="20"/>
          <w:lang w:val="en-GB" w:eastAsia="en-US"/>
        </w:rPr>
        <w:t>tate authorities.</w:t>
      </w:r>
      <w:r w:rsidR="00532A03" w:rsidRPr="0094488B">
        <w:rPr>
          <w:sz w:val="20"/>
          <w:szCs w:val="20"/>
          <w:lang w:val="en-GB" w:eastAsia="en-US"/>
        </w:rPr>
        <w:t xml:space="preserve"> </w:t>
      </w:r>
      <w:r w:rsidR="007921DA">
        <w:rPr>
          <w:sz w:val="20"/>
          <w:szCs w:val="20"/>
          <w:lang w:val="en-GB" w:eastAsia="en-US"/>
        </w:rPr>
        <w:t>This trend is reflected also before the Court where it can be noted that, f</w:t>
      </w:r>
      <w:r w:rsidR="00532A03" w:rsidRPr="0094488B">
        <w:rPr>
          <w:sz w:val="20"/>
          <w:szCs w:val="20"/>
          <w:lang w:val="en-GB" w:eastAsia="en-US"/>
        </w:rPr>
        <w:t xml:space="preserve">rom January 2010 to January 2019, the percentage of pending applications concerning the length of proceedings </w:t>
      </w:r>
      <w:r w:rsidR="007921DA">
        <w:rPr>
          <w:sz w:val="20"/>
          <w:szCs w:val="20"/>
          <w:lang w:val="en-GB" w:eastAsia="en-US"/>
        </w:rPr>
        <w:t xml:space="preserve">dropped </w:t>
      </w:r>
      <w:r w:rsidR="00532A03" w:rsidRPr="0094488B">
        <w:rPr>
          <w:sz w:val="20"/>
          <w:szCs w:val="20"/>
          <w:lang w:val="en-GB" w:eastAsia="en-US"/>
        </w:rPr>
        <w:t>from 14% to 3%.</w:t>
      </w:r>
    </w:p>
    <w:p w14:paraId="40A77A1C" w14:textId="77777777" w:rsidR="004E144F" w:rsidRPr="0094488B" w:rsidRDefault="004E144F" w:rsidP="004E144F">
      <w:pPr>
        <w:pStyle w:val="ListParagraph"/>
        <w:ind w:left="0"/>
        <w:rPr>
          <w:sz w:val="20"/>
          <w:szCs w:val="20"/>
          <w:lang w:val="en-GB" w:eastAsia="en-US"/>
        </w:rPr>
      </w:pPr>
    </w:p>
    <w:p w14:paraId="74044907" w14:textId="3D526F55" w:rsidR="004E144F" w:rsidRPr="0094488B" w:rsidRDefault="00D45592" w:rsidP="004E144F">
      <w:pPr>
        <w:pStyle w:val="ListParagraph"/>
        <w:ind w:left="0"/>
        <w:rPr>
          <w:sz w:val="20"/>
          <w:szCs w:val="20"/>
          <w:lang w:val="en-GB" w:eastAsia="en-US"/>
        </w:rPr>
      </w:pPr>
      <w:r>
        <w:rPr>
          <w:sz w:val="20"/>
          <w:szCs w:val="20"/>
          <w:lang w:val="en-GB" w:eastAsia="en-US"/>
        </w:rPr>
        <w:t>33</w:t>
      </w:r>
      <w:r w:rsidR="00A25E3F" w:rsidRPr="0094488B">
        <w:rPr>
          <w:sz w:val="20"/>
          <w:szCs w:val="20"/>
          <w:lang w:val="en-GB" w:eastAsia="en-US"/>
        </w:rPr>
        <w:t xml:space="preserve">. The effectiveness of remedies has also been improved in other ways, including </w:t>
      </w:r>
      <w:r w:rsidR="00200E01">
        <w:rPr>
          <w:sz w:val="20"/>
          <w:szCs w:val="20"/>
          <w:lang w:val="en-GB" w:eastAsia="en-US"/>
        </w:rPr>
        <w:t xml:space="preserve">by </w:t>
      </w:r>
      <w:r w:rsidR="00A25E3F" w:rsidRPr="0094488B">
        <w:rPr>
          <w:sz w:val="20"/>
          <w:szCs w:val="20"/>
          <w:lang w:val="en-GB" w:eastAsia="en-US"/>
        </w:rPr>
        <w:t xml:space="preserve">the setting-up of more general remedies, more efficient dissemination of the Court’s case law in national languages, </w:t>
      </w:r>
      <w:r w:rsidR="00AD40E3">
        <w:rPr>
          <w:sz w:val="20"/>
          <w:szCs w:val="20"/>
          <w:lang w:val="en-GB" w:eastAsia="en-US"/>
        </w:rPr>
        <w:t xml:space="preserve">more </w:t>
      </w:r>
      <w:r w:rsidR="00A25E3F" w:rsidRPr="0094488B">
        <w:rPr>
          <w:sz w:val="20"/>
          <w:szCs w:val="20"/>
          <w:lang w:val="en-GB" w:eastAsia="en-US"/>
        </w:rPr>
        <w:t xml:space="preserve">guidance as to the requirements of the Convention from Supreme Courts and better and more regular training of law officials, </w:t>
      </w:r>
      <w:r w:rsidR="00AD40E3">
        <w:rPr>
          <w:sz w:val="20"/>
          <w:szCs w:val="20"/>
          <w:lang w:val="en-GB" w:eastAsia="en-US"/>
        </w:rPr>
        <w:t>especially</w:t>
      </w:r>
      <w:r w:rsidR="00A25E3F" w:rsidRPr="0094488B">
        <w:rPr>
          <w:sz w:val="20"/>
          <w:szCs w:val="20"/>
          <w:lang w:val="en-GB" w:eastAsia="en-US"/>
        </w:rPr>
        <w:t xml:space="preserve"> judges and prosecutors</w:t>
      </w:r>
      <w:r w:rsidR="000A1A4F" w:rsidRPr="0094488B">
        <w:rPr>
          <w:sz w:val="20"/>
          <w:szCs w:val="20"/>
          <w:lang w:val="en-GB" w:eastAsia="en-US"/>
        </w:rPr>
        <w:t xml:space="preserve">, thanks to </w:t>
      </w:r>
      <w:r w:rsidR="00200E01">
        <w:rPr>
          <w:sz w:val="20"/>
          <w:szCs w:val="20"/>
          <w:lang w:val="en-GB" w:eastAsia="en-US"/>
        </w:rPr>
        <w:t xml:space="preserve">the </w:t>
      </w:r>
      <w:r w:rsidR="004E144F" w:rsidRPr="0094488B">
        <w:rPr>
          <w:sz w:val="20"/>
          <w:szCs w:val="20"/>
          <w:lang w:val="en-GB" w:eastAsia="en-US"/>
        </w:rPr>
        <w:t>HELP Programme</w:t>
      </w:r>
      <w:r w:rsidR="00AD40E3">
        <w:rPr>
          <w:sz w:val="20"/>
          <w:szCs w:val="20"/>
          <w:lang w:val="en-GB" w:eastAsia="en-US"/>
        </w:rPr>
        <w:t xml:space="preserve"> in particular</w:t>
      </w:r>
      <w:r w:rsidR="004E144F" w:rsidRPr="0094488B">
        <w:rPr>
          <w:sz w:val="20"/>
          <w:szCs w:val="20"/>
          <w:lang w:val="en-GB" w:eastAsia="en-US"/>
        </w:rPr>
        <w:t>.</w:t>
      </w:r>
    </w:p>
    <w:p w14:paraId="63728EF9" w14:textId="77777777" w:rsidR="004E144F" w:rsidRPr="0094488B" w:rsidRDefault="004E144F" w:rsidP="004E144F">
      <w:pPr>
        <w:pStyle w:val="ListParagraph"/>
        <w:ind w:left="0"/>
        <w:rPr>
          <w:sz w:val="20"/>
          <w:szCs w:val="20"/>
          <w:lang w:val="en-GB" w:eastAsia="en-US"/>
        </w:rPr>
      </w:pPr>
    </w:p>
    <w:p w14:paraId="361E68EA" w14:textId="77777777" w:rsidR="004317D0" w:rsidRDefault="004317D0">
      <w:pPr>
        <w:rPr>
          <w:rFonts w:eastAsia="Times New Roman" w:cs="Arial"/>
          <w:sz w:val="20"/>
          <w:szCs w:val="20"/>
        </w:rPr>
      </w:pPr>
      <w:r>
        <w:rPr>
          <w:sz w:val="20"/>
          <w:szCs w:val="20"/>
        </w:rPr>
        <w:br w:type="page"/>
      </w:r>
    </w:p>
    <w:p w14:paraId="3CE3C2FE" w14:textId="51E8A528" w:rsidR="004E144F" w:rsidRPr="0094488B" w:rsidRDefault="00D45592" w:rsidP="004E144F">
      <w:pPr>
        <w:pStyle w:val="ListParagraph"/>
        <w:ind w:left="0"/>
        <w:rPr>
          <w:sz w:val="20"/>
          <w:szCs w:val="20"/>
          <w:lang w:val="en-GB" w:eastAsia="en-US"/>
        </w:rPr>
      </w:pPr>
      <w:r>
        <w:rPr>
          <w:sz w:val="20"/>
          <w:szCs w:val="20"/>
          <w:lang w:val="en-GB" w:eastAsia="en-US"/>
        </w:rPr>
        <w:lastRenderedPageBreak/>
        <w:t>34</w:t>
      </w:r>
      <w:r w:rsidR="00A25E3F" w:rsidRPr="0094488B">
        <w:rPr>
          <w:sz w:val="20"/>
          <w:szCs w:val="20"/>
          <w:lang w:val="en-GB" w:eastAsia="en-US"/>
        </w:rPr>
        <w:t xml:space="preserve">. In addition, </w:t>
      </w:r>
      <w:r w:rsidR="00200E01">
        <w:rPr>
          <w:sz w:val="20"/>
          <w:szCs w:val="20"/>
          <w:lang w:val="en-GB" w:eastAsia="en-US"/>
        </w:rPr>
        <w:t>the</w:t>
      </w:r>
      <w:r w:rsidR="00A25E3F" w:rsidRPr="0094488B">
        <w:rPr>
          <w:sz w:val="20"/>
          <w:szCs w:val="20"/>
          <w:lang w:val="en-GB" w:eastAsia="en-US"/>
        </w:rPr>
        <w:t xml:space="preserve"> follow-up at national level of the execution of the Court’s judgments has been developed, in particular through new structures within national parliaments and annual reports by Governments.</w:t>
      </w:r>
    </w:p>
    <w:p w14:paraId="08BC70A1" w14:textId="77777777" w:rsidR="004E144F" w:rsidRPr="0094488B" w:rsidRDefault="004E144F" w:rsidP="004E144F">
      <w:pPr>
        <w:pStyle w:val="ListParagraph"/>
        <w:ind w:left="0"/>
        <w:rPr>
          <w:sz w:val="20"/>
          <w:szCs w:val="20"/>
          <w:lang w:val="en-GB" w:eastAsia="en-US"/>
        </w:rPr>
      </w:pPr>
    </w:p>
    <w:p w14:paraId="4039889C" w14:textId="4B96687D" w:rsidR="004E144F" w:rsidRPr="0094488B" w:rsidRDefault="00D45592" w:rsidP="004E144F">
      <w:pPr>
        <w:rPr>
          <w:sz w:val="20"/>
        </w:rPr>
      </w:pPr>
      <w:r>
        <w:rPr>
          <w:sz w:val="20"/>
          <w:szCs w:val="20"/>
        </w:rPr>
        <w:t>35</w:t>
      </w:r>
      <w:r w:rsidR="00BA7C7E" w:rsidRPr="00B00015">
        <w:rPr>
          <w:sz w:val="20"/>
          <w:szCs w:val="20"/>
        </w:rPr>
        <w:t xml:space="preserve">. As part of the follow-up to the </w:t>
      </w:r>
      <w:r w:rsidR="00BA7C7E" w:rsidRPr="00B00015">
        <w:rPr>
          <w:sz w:val="20"/>
        </w:rPr>
        <w:t>CDDH report on the longer-term future of the system of the European Convention on Human Rights, the Ministers’ Deputies</w:t>
      </w:r>
      <w:r w:rsidR="004E144F" w:rsidRPr="0094488B">
        <w:rPr>
          <w:sz w:val="20"/>
          <w:szCs w:val="20"/>
        </w:rPr>
        <w:t xml:space="preserve"> invited States Parties </w:t>
      </w:r>
      <w:r w:rsidR="004E144F" w:rsidRPr="0094488B">
        <w:rPr>
          <w:sz w:val="20"/>
        </w:rPr>
        <w:t xml:space="preserve">to take a number of measures to improve the implementation of the Convention at national level, such as to better take account of the general principles found in the Court’s judgments in cases against other </w:t>
      </w:r>
      <w:r w:rsidR="00A93F4F" w:rsidRPr="0094488B">
        <w:rPr>
          <w:sz w:val="20"/>
        </w:rPr>
        <w:t>States</w:t>
      </w:r>
      <w:r w:rsidR="004E144F" w:rsidRPr="0094488B">
        <w:rPr>
          <w:sz w:val="20"/>
        </w:rPr>
        <w:t xml:space="preserve"> Parties, even if not legally binding, improving or creating effective domestic remedies, and verifying the compatibility of draft legislation and administrative practice with the Convention.</w:t>
      </w:r>
    </w:p>
    <w:p w14:paraId="7A3AA462" w14:textId="77777777" w:rsidR="004E144F" w:rsidRPr="0094488B" w:rsidRDefault="004E144F" w:rsidP="004E144F">
      <w:pPr>
        <w:pStyle w:val="ListParagraph"/>
        <w:ind w:left="0"/>
        <w:rPr>
          <w:i/>
          <w:sz w:val="20"/>
          <w:szCs w:val="20"/>
          <w:lang w:val="en-GB" w:eastAsia="en-US"/>
        </w:rPr>
      </w:pPr>
    </w:p>
    <w:p w14:paraId="36C12A08" w14:textId="057405F9" w:rsidR="004E144F" w:rsidRPr="0094488B" w:rsidRDefault="00A25E3F" w:rsidP="004E144F">
      <w:pPr>
        <w:pStyle w:val="ListParagraph"/>
        <w:ind w:left="0"/>
        <w:rPr>
          <w:sz w:val="20"/>
          <w:szCs w:val="20"/>
          <w:lang w:val="en-GB" w:eastAsia="en-US"/>
        </w:rPr>
      </w:pPr>
      <w:r w:rsidRPr="0094488B">
        <w:rPr>
          <w:i/>
          <w:sz w:val="20"/>
          <w:szCs w:val="20"/>
          <w:lang w:val="en-GB" w:eastAsia="en-US"/>
        </w:rPr>
        <w:t>Secondment of national judges and high-level lawyers to the European Court of Human Rights</w:t>
      </w:r>
    </w:p>
    <w:p w14:paraId="2B763413" w14:textId="77777777" w:rsidR="004E144F" w:rsidRPr="0094488B" w:rsidRDefault="004E144F" w:rsidP="004E144F">
      <w:pPr>
        <w:pStyle w:val="ListParagraph"/>
        <w:ind w:left="0"/>
        <w:rPr>
          <w:sz w:val="20"/>
          <w:szCs w:val="20"/>
          <w:lang w:val="en-GB" w:eastAsia="en-US"/>
        </w:rPr>
      </w:pPr>
    </w:p>
    <w:p w14:paraId="70B87519" w14:textId="24E9682A" w:rsidR="004E144F" w:rsidRPr="0094488B" w:rsidRDefault="00D45592" w:rsidP="004E144F">
      <w:pPr>
        <w:pStyle w:val="ListParagraph"/>
        <w:ind w:left="0"/>
        <w:rPr>
          <w:sz w:val="20"/>
          <w:szCs w:val="20"/>
          <w:lang w:val="en-GB" w:eastAsia="en-US"/>
        </w:rPr>
      </w:pPr>
      <w:r>
        <w:rPr>
          <w:sz w:val="20"/>
          <w:szCs w:val="20"/>
          <w:lang w:val="en-GB" w:eastAsia="en-US"/>
        </w:rPr>
        <w:t>36</w:t>
      </w:r>
      <w:r w:rsidR="00A25E3F" w:rsidRPr="0094488B">
        <w:rPr>
          <w:sz w:val="20"/>
          <w:szCs w:val="20"/>
          <w:lang w:val="en-GB" w:eastAsia="en-US"/>
        </w:rPr>
        <w:t xml:space="preserve">. With the aim of reducing the large number of pending applications, several States Parties have seconded judges or high-level lawyers to the Court. Presently, there are </w:t>
      </w:r>
      <w:r w:rsidR="00C17716">
        <w:rPr>
          <w:sz w:val="20"/>
          <w:szCs w:val="20"/>
          <w:lang w:val="en-GB" w:eastAsia="en-US"/>
        </w:rPr>
        <w:t>24</w:t>
      </w:r>
      <w:r w:rsidR="00A25E3F" w:rsidRPr="0094488B">
        <w:rPr>
          <w:sz w:val="20"/>
          <w:szCs w:val="20"/>
          <w:lang w:val="en-GB" w:eastAsia="en-US"/>
        </w:rPr>
        <w:t xml:space="preserve"> seconded officials from 1</w:t>
      </w:r>
      <w:r w:rsidR="00C17716">
        <w:rPr>
          <w:sz w:val="20"/>
          <w:szCs w:val="20"/>
          <w:lang w:val="en-GB" w:eastAsia="en-US"/>
        </w:rPr>
        <w:t>3</w:t>
      </w:r>
      <w:r w:rsidR="00A25E3F" w:rsidRPr="0094488B">
        <w:rPr>
          <w:sz w:val="20"/>
          <w:szCs w:val="20"/>
          <w:lang w:val="en-GB" w:eastAsia="en-US"/>
        </w:rPr>
        <w:t xml:space="preserve"> States Parties</w:t>
      </w:r>
      <w:r w:rsidR="00604A1D">
        <w:rPr>
          <w:sz w:val="20"/>
          <w:szCs w:val="20"/>
          <w:lang w:val="en-GB" w:eastAsia="en-US"/>
        </w:rPr>
        <w:t>. F</w:t>
      </w:r>
      <w:r w:rsidR="00A25E3F" w:rsidRPr="0094488B">
        <w:rPr>
          <w:sz w:val="20"/>
          <w:szCs w:val="20"/>
          <w:lang w:val="en-GB" w:eastAsia="en-US"/>
        </w:rPr>
        <w:t>urther secondments are expected in the course of the year.</w:t>
      </w:r>
    </w:p>
    <w:p w14:paraId="19C32BCB" w14:textId="7DA363EC" w:rsidR="005751AE" w:rsidRDefault="005751AE">
      <w:pPr>
        <w:rPr>
          <w:rFonts w:eastAsia="Times New Roman" w:cs="Arial"/>
          <w:i/>
          <w:iCs/>
          <w:sz w:val="20"/>
          <w:szCs w:val="20"/>
        </w:rPr>
      </w:pPr>
    </w:p>
    <w:p w14:paraId="624F7538" w14:textId="43576305" w:rsidR="004E144F" w:rsidRPr="0094488B" w:rsidRDefault="00A25E3F" w:rsidP="004E144F">
      <w:pPr>
        <w:pStyle w:val="ListParagraph"/>
        <w:ind w:left="0"/>
        <w:rPr>
          <w:sz w:val="20"/>
          <w:szCs w:val="20"/>
          <w:lang w:val="en-GB" w:eastAsia="en-US"/>
        </w:rPr>
      </w:pPr>
      <w:r w:rsidRPr="0094488B">
        <w:rPr>
          <w:i/>
          <w:iCs/>
          <w:sz w:val="20"/>
          <w:szCs w:val="20"/>
          <w:lang w:val="en-GB" w:eastAsia="en-US"/>
        </w:rPr>
        <w:t>Contributions to the Court's sp</w:t>
      </w:r>
      <w:r w:rsidRPr="0094488B">
        <w:rPr>
          <w:i/>
          <w:sz w:val="20"/>
          <w:szCs w:val="20"/>
          <w:lang w:val="en-GB" w:eastAsia="en-US"/>
        </w:rPr>
        <w:t>ecial account</w:t>
      </w:r>
    </w:p>
    <w:p w14:paraId="1D50D238" w14:textId="77777777" w:rsidR="004E144F" w:rsidRPr="0094488B" w:rsidRDefault="004E144F" w:rsidP="004E144F">
      <w:pPr>
        <w:pStyle w:val="ListParagraph"/>
        <w:ind w:left="0"/>
        <w:rPr>
          <w:sz w:val="20"/>
          <w:szCs w:val="20"/>
          <w:lang w:val="en-GB" w:eastAsia="en-US"/>
        </w:rPr>
      </w:pPr>
    </w:p>
    <w:p w14:paraId="409D5EE6" w14:textId="45367198" w:rsidR="004E144F" w:rsidRPr="0094488B" w:rsidRDefault="00D45592" w:rsidP="004E144F">
      <w:pPr>
        <w:pStyle w:val="ListParagraph"/>
        <w:ind w:left="0"/>
        <w:rPr>
          <w:sz w:val="20"/>
          <w:szCs w:val="20"/>
          <w:lang w:val="en-GB" w:eastAsia="en-US"/>
        </w:rPr>
      </w:pPr>
      <w:r>
        <w:rPr>
          <w:sz w:val="20"/>
          <w:szCs w:val="20"/>
          <w:lang w:val="en-GB" w:eastAsia="en-US"/>
        </w:rPr>
        <w:t>37</w:t>
      </w:r>
      <w:r w:rsidR="00A25E3F" w:rsidRPr="0094488B">
        <w:rPr>
          <w:sz w:val="20"/>
          <w:szCs w:val="20"/>
          <w:lang w:val="en-GB" w:eastAsia="en-US"/>
        </w:rPr>
        <w:t>. Since its creation in mid-2012, the Court's special account has received contributions from 26 member States. By the end of 201</w:t>
      </w:r>
      <w:r w:rsidR="00EC463D" w:rsidRPr="0094488B">
        <w:rPr>
          <w:sz w:val="20"/>
          <w:szCs w:val="20"/>
          <w:lang w:val="en-GB" w:eastAsia="en-US"/>
        </w:rPr>
        <w:t>8</w:t>
      </w:r>
      <w:r w:rsidR="00A25E3F" w:rsidRPr="0094488B">
        <w:rPr>
          <w:sz w:val="20"/>
          <w:szCs w:val="20"/>
          <w:lang w:val="en-GB" w:eastAsia="en-US"/>
        </w:rPr>
        <w:t xml:space="preserve">, a total of </w:t>
      </w:r>
      <w:r w:rsidR="00EA1816">
        <w:rPr>
          <w:sz w:val="20"/>
          <w:lang w:val="en-GB" w:eastAsia="fr-FR"/>
        </w:rPr>
        <w:t>€</w:t>
      </w:r>
      <w:r w:rsidR="00EC463D" w:rsidRPr="0094488B">
        <w:rPr>
          <w:sz w:val="20"/>
          <w:lang w:val="en-GB" w:eastAsia="fr-FR"/>
        </w:rPr>
        <w:t>6 654 595</w:t>
      </w:r>
      <w:r w:rsidR="00A25E3F" w:rsidRPr="0094488B">
        <w:rPr>
          <w:sz w:val="20"/>
          <w:szCs w:val="20"/>
          <w:lang w:val="en-GB" w:eastAsia="en-US"/>
        </w:rPr>
        <w:t xml:space="preserve"> had been received, of which </w:t>
      </w:r>
      <w:r w:rsidR="00EC463D" w:rsidRPr="0094488B">
        <w:rPr>
          <w:sz w:val="20"/>
          <w:szCs w:val="20"/>
          <w:lang w:val="en-GB" w:eastAsia="en-US"/>
        </w:rPr>
        <w:t>75</w:t>
      </w:r>
      <w:r w:rsidR="00A25E3F" w:rsidRPr="0094488B">
        <w:rPr>
          <w:sz w:val="20"/>
          <w:szCs w:val="20"/>
          <w:lang w:val="en-GB" w:eastAsia="en-US"/>
        </w:rPr>
        <w:t xml:space="preserve">% has been spent. </w:t>
      </w:r>
      <w:r w:rsidR="00071169" w:rsidRPr="0094488B">
        <w:rPr>
          <w:sz w:val="20"/>
          <w:szCs w:val="20"/>
          <w:lang w:val="en-GB" w:eastAsia="en-US"/>
        </w:rPr>
        <w:t>In 2018</w:t>
      </w:r>
      <w:r w:rsidR="00A25E3F" w:rsidRPr="0094488B">
        <w:rPr>
          <w:sz w:val="20"/>
          <w:szCs w:val="20"/>
          <w:lang w:val="en-GB" w:eastAsia="en-US"/>
        </w:rPr>
        <w:t xml:space="preserve">, </w:t>
      </w:r>
      <w:r w:rsidR="00071169" w:rsidRPr="0094488B">
        <w:rPr>
          <w:sz w:val="20"/>
          <w:szCs w:val="20"/>
          <w:lang w:val="en-GB" w:eastAsia="en-US"/>
        </w:rPr>
        <w:t>11</w:t>
      </w:r>
      <w:r w:rsidR="00A25E3F" w:rsidRPr="0094488B">
        <w:rPr>
          <w:sz w:val="20"/>
          <w:szCs w:val="20"/>
          <w:lang w:val="en-GB" w:eastAsia="en-US"/>
        </w:rPr>
        <w:t xml:space="preserve"> lawyers</w:t>
      </w:r>
      <w:r w:rsidR="00A25E3F" w:rsidRPr="0094488B">
        <w:rPr>
          <w:sz w:val="20"/>
          <w:lang w:val="en-GB"/>
        </w:rPr>
        <w:t xml:space="preserve"> </w:t>
      </w:r>
      <w:r w:rsidR="00857C8F">
        <w:rPr>
          <w:sz w:val="20"/>
          <w:szCs w:val="20"/>
          <w:lang w:val="en-GB" w:eastAsia="en-US"/>
        </w:rPr>
        <w:t>were</w:t>
      </w:r>
      <w:r w:rsidR="00A25E3F" w:rsidRPr="0094488B">
        <w:rPr>
          <w:sz w:val="20"/>
          <w:szCs w:val="20"/>
          <w:lang w:val="en-GB" w:eastAsia="en-US"/>
        </w:rPr>
        <w:t xml:space="preserve"> paid from this account to reduce the Court’s backlog. Most of them have already worked at the Court</w:t>
      </w:r>
      <w:r w:rsidR="00354198">
        <w:rPr>
          <w:sz w:val="20"/>
          <w:szCs w:val="20"/>
          <w:lang w:val="en-GB" w:eastAsia="en-US"/>
        </w:rPr>
        <w:t xml:space="preserve"> </w:t>
      </w:r>
      <w:r w:rsidR="00A25E3F" w:rsidRPr="0094488B">
        <w:rPr>
          <w:sz w:val="20"/>
          <w:szCs w:val="20"/>
          <w:lang w:val="en-GB" w:eastAsia="en-US"/>
        </w:rPr>
        <w:t>and were therefore operational immediately. Staff members recruited on this basis increase the Court’s capacity to deal with high-priority cases. However, further contributions are required to maintain the current staffing level.</w:t>
      </w:r>
    </w:p>
    <w:p w14:paraId="48C32F40" w14:textId="4C539BB4" w:rsidR="008F706B" w:rsidRDefault="008F706B">
      <w:pPr>
        <w:rPr>
          <w:rFonts w:eastAsia="Times New Roman" w:cs="Arial"/>
          <w:sz w:val="20"/>
          <w:szCs w:val="24"/>
          <w:lang w:eastAsia="zh-CN"/>
        </w:rPr>
      </w:pPr>
    </w:p>
    <w:p w14:paraId="3E892D52" w14:textId="77777777" w:rsidR="00B365D9" w:rsidRDefault="00B365D9">
      <w:pPr>
        <w:rPr>
          <w:rFonts w:eastAsia="Times New Roman" w:cs="Arial"/>
          <w:sz w:val="20"/>
          <w:szCs w:val="24"/>
          <w:lang w:eastAsia="zh-CN"/>
        </w:rPr>
      </w:pPr>
    </w:p>
    <w:p w14:paraId="0B924306" w14:textId="77777777" w:rsidR="004E144F" w:rsidRPr="0094488B" w:rsidRDefault="00A25E3F" w:rsidP="004E144F">
      <w:pPr>
        <w:pStyle w:val="ListParagraph"/>
        <w:shd w:val="clear" w:color="auto" w:fill="92CDDC"/>
        <w:ind w:left="0"/>
        <w:rPr>
          <w:sz w:val="20"/>
          <w:szCs w:val="20"/>
          <w:lang w:val="en-GB" w:eastAsia="en-US"/>
        </w:rPr>
      </w:pPr>
      <w:r w:rsidRPr="0094488B">
        <w:rPr>
          <w:sz w:val="20"/>
          <w:szCs w:val="20"/>
          <w:lang w:val="en-GB" w:eastAsia="en-US"/>
        </w:rPr>
        <w:t>D.</w:t>
      </w:r>
      <w:r w:rsidRPr="0094488B">
        <w:rPr>
          <w:sz w:val="20"/>
          <w:szCs w:val="20"/>
          <w:lang w:val="en-GB" w:eastAsia="en-US"/>
        </w:rPr>
        <w:tab/>
        <w:t>Measures taken by the Secretary General</w:t>
      </w:r>
    </w:p>
    <w:p w14:paraId="0521FCF3" w14:textId="77777777" w:rsidR="004E144F" w:rsidRPr="0094488B" w:rsidRDefault="004E144F" w:rsidP="004E144F">
      <w:pPr>
        <w:pStyle w:val="ListParagraph"/>
        <w:ind w:left="0"/>
        <w:rPr>
          <w:sz w:val="20"/>
          <w:szCs w:val="20"/>
          <w:lang w:val="en-GB" w:eastAsia="en-US"/>
        </w:rPr>
      </w:pPr>
    </w:p>
    <w:p w14:paraId="277E3979" w14:textId="524B8382" w:rsidR="005751AE" w:rsidRDefault="00D45592">
      <w:pPr>
        <w:rPr>
          <w:sz w:val="20"/>
        </w:rPr>
      </w:pPr>
      <w:r>
        <w:rPr>
          <w:sz w:val="20"/>
        </w:rPr>
        <w:t>38</w:t>
      </w:r>
      <w:r w:rsidR="00BA7C7E" w:rsidRPr="00B00015">
        <w:rPr>
          <w:sz w:val="20"/>
        </w:rPr>
        <w:t>. Ensuring the long-term effectiveness of the system of the European Convention on Human Rights has been the Secretary General's first priority since taking office.</w:t>
      </w:r>
      <w:r w:rsidR="00BA7C7E" w:rsidRPr="00B00015">
        <w:rPr>
          <w:sz w:val="20"/>
        </w:rPr>
        <w:br/>
      </w:r>
      <w:r w:rsidR="00BA7C7E" w:rsidRPr="00B00015">
        <w:rPr>
          <w:sz w:val="20"/>
        </w:rPr>
        <w:br/>
      </w:r>
      <w:r>
        <w:rPr>
          <w:sz w:val="20"/>
        </w:rPr>
        <w:t>39</w:t>
      </w:r>
      <w:r w:rsidR="00BA7C7E" w:rsidRPr="00B00015">
        <w:rPr>
          <w:sz w:val="20"/>
        </w:rPr>
        <w:t>. In his high-level political contacts with the member States, he very regularly raises questions concerning respect for the Convention, the effectiveness of the system and the execution of the Court's judgments. He promotes the swift ratification of the protocols to the Convention, in particular Protocol No. 15 – whose ratification by all States Parties is necessary for its entry into force.</w:t>
      </w:r>
      <w:r w:rsidR="00BA7C7E" w:rsidRPr="00B00015">
        <w:rPr>
          <w:sz w:val="20"/>
        </w:rPr>
        <w:br/>
      </w:r>
      <w:r w:rsidR="00BA7C7E" w:rsidRPr="00B00015">
        <w:rPr>
          <w:sz w:val="20"/>
        </w:rPr>
        <w:br/>
      </w:r>
      <w:r>
        <w:rPr>
          <w:sz w:val="20"/>
        </w:rPr>
        <w:t>40</w:t>
      </w:r>
      <w:r w:rsidR="00BA7C7E" w:rsidRPr="00B00015">
        <w:rPr>
          <w:sz w:val="20"/>
        </w:rPr>
        <w:t>. In the spirit of the Brussels Declaration, he has continued, on a case-by-case basis, to use his authority to facilitate the execution of judgments raising complex and/or sensitive issues at the national level.</w:t>
      </w:r>
      <w:r w:rsidR="00BA7C7E" w:rsidRPr="00B00015">
        <w:rPr>
          <w:sz w:val="20"/>
        </w:rPr>
        <w:br/>
      </w:r>
    </w:p>
    <w:p w14:paraId="4B359022" w14:textId="59F6FB48" w:rsidR="004E144F" w:rsidRPr="0094488B" w:rsidRDefault="00D45592">
      <w:pPr>
        <w:rPr>
          <w:sz w:val="20"/>
        </w:rPr>
      </w:pPr>
      <w:r>
        <w:rPr>
          <w:sz w:val="20"/>
        </w:rPr>
        <w:t>41</w:t>
      </w:r>
      <w:r w:rsidR="00BA7C7E" w:rsidRPr="00B00015">
        <w:rPr>
          <w:sz w:val="20"/>
        </w:rPr>
        <w:t xml:space="preserve">. With regard to the most recent developments, in view of the budgetary constraints facing the Council of Europe, he has </w:t>
      </w:r>
      <w:r w:rsidR="00AD40E3">
        <w:rPr>
          <w:sz w:val="20"/>
        </w:rPr>
        <w:t>taken care</w:t>
      </w:r>
      <w:r w:rsidR="00AD40E3" w:rsidRPr="00B00015">
        <w:rPr>
          <w:sz w:val="20"/>
        </w:rPr>
        <w:t xml:space="preserve"> </w:t>
      </w:r>
      <w:r w:rsidR="00BA7C7E" w:rsidRPr="00B00015">
        <w:rPr>
          <w:sz w:val="20"/>
        </w:rPr>
        <w:t>only to propose</w:t>
      </w:r>
      <w:r w:rsidR="00B50219">
        <w:rPr>
          <w:sz w:val="20"/>
        </w:rPr>
        <w:t xml:space="preserve">, as far as possible, reductions </w:t>
      </w:r>
      <w:r w:rsidR="00BA7C7E" w:rsidRPr="00B00015">
        <w:rPr>
          <w:sz w:val="20"/>
        </w:rPr>
        <w:t xml:space="preserve">to the Committee of Ministers which would not </w:t>
      </w:r>
      <w:r w:rsidR="00B50219">
        <w:rPr>
          <w:sz w:val="20"/>
        </w:rPr>
        <w:t>impair</w:t>
      </w:r>
      <w:r w:rsidR="00BA7C7E" w:rsidRPr="00B00015">
        <w:rPr>
          <w:sz w:val="20"/>
        </w:rPr>
        <w:t xml:space="preserve"> the Court's capacity to pursue its reforms, nor </w:t>
      </w:r>
      <w:r w:rsidR="00B50219">
        <w:rPr>
          <w:sz w:val="20"/>
        </w:rPr>
        <w:t>negatively impact case processing a</w:t>
      </w:r>
      <w:r w:rsidR="00BA7C7E" w:rsidRPr="00B00015">
        <w:rPr>
          <w:sz w:val="20"/>
        </w:rPr>
        <w:t>nd the supervision of the execution of the Court's judgments. It is further recalled that it was the Secretary General who, as early as 2012, set up the Court’s special account (see above).</w:t>
      </w:r>
    </w:p>
    <w:p w14:paraId="60E7585E" w14:textId="77777777" w:rsidR="004E144F" w:rsidRPr="0094488B" w:rsidRDefault="004E144F" w:rsidP="004E144F">
      <w:pPr>
        <w:rPr>
          <w:sz w:val="20"/>
          <w:szCs w:val="20"/>
        </w:rPr>
      </w:pPr>
    </w:p>
    <w:p w14:paraId="0C9BA30C" w14:textId="671DA3EC" w:rsidR="004E144F" w:rsidRPr="0094488B" w:rsidRDefault="004E144F" w:rsidP="004E144F">
      <w:pPr>
        <w:suppressAutoHyphens/>
        <w:rPr>
          <w:rFonts w:eastAsia="Times New Roman" w:cs="Arial"/>
          <w:sz w:val="20"/>
          <w:szCs w:val="20"/>
        </w:rPr>
      </w:pPr>
    </w:p>
    <w:p w14:paraId="78D16227" w14:textId="2F74F397" w:rsidR="00F54128" w:rsidRPr="00FA0F01" w:rsidRDefault="00F54128" w:rsidP="00F54128">
      <w:pPr>
        <w:pStyle w:val="ListParagraph"/>
        <w:shd w:val="clear" w:color="auto" w:fill="92CDDC"/>
        <w:ind w:left="0"/>
        <w:rPr>
          <w:sz w:val="20"/>
          <w:szCs w:val="20"/>
          <w:lang w:val="en-GB" w:eastAsia="en-US"/>
        </w:rPr>
      </w:pPr>
      <w:r w:rsidRPr="00B00015">
        <w:rPr>
          <w:sz w:val="20"/>
          <w:szCs w:val="20"/>
          <w:lang w:val="en-GB" w:eastAsia="en-US"/>
        </w:rPr>
        <w:t>Conclusions</w:t>
      </w:r>
    </w:p>
    <w:p w14:paraId="49CAABF8" w14:textId="77777777" w:rsidR="004E144F" w:rsidRPr="0094488B" w:rsidRDefault="004E144F" w:rsidP="004E144F">
      <w:pPr>
        <w:suppressAutoHyphens/>
        <w:rPr>
          <w:rFonts w:eastAsia="Times New Roman" w:cs="Arial"/>
          <w:sz w:val="20"/>
          <w:szCs w:val="20"/>
        </w:rPr>
      </w:pPr>
    </w:p>
    <w:p w14:paraId="7F34342A" w14:textId="70BDAD46" w:rsidR="004E144F" w:rsidRPr="0094488B" w:rsidRDefault="00D45592" w:rsidP="004E144F">
      <w:pPr>
        <w:suppressAutoHyphens/>
        <w:rPr>
          <w:sz w:val="20"/>
        </w:rPr>
      </w:pPr>
      <w:r>
        <w:rPr>
          <w:sz w:val="20"/>
        </w:rPr>
        <w:t>42</w:t>
      </w:r>
      <w:r w:rsidR="00BA7C7E" w:rsidRPr="00B00015">
        <w:rPr>
          <w:sz w:val="20"/>
        </w:rPr>
        <w:t>. The reform process initiated in Interlaken in 2010 and continued in Izmir, Brighton, Brussels and Copenhagen demonstrates the commitment of the States Parties to the European Convention on Human Rights and their attachment to the right of individual application to the European Court of Human Rights. This process has led to very encouraging results in the implementation of the Convention at national level, the handling of cases by the Court and the supervision of the execution of judgments, through the joint efforts of the Court, the Committee of Ministers and the States Parties.</w:t>
      </w:r>
    </w:p>
    <w:p w14:paraId="10C21EC1" w14:textId="58399DF3" w:rsidR="00000E8C" w:rsidRDefault="00000E8C">
      <w:pPr>
        <w:rPr>
          <w:sz w:val="20"/>
        </w:rPr>
      </w:pPr>
      <w:r>
        <w:rPr>
          <w:sz w:val="20"/>
        </w:rPr>
        <w:br w:type="page"/>
      </w:r>
    </w:p>
    <w:p w14:paraId="356D53A3" w14:textId="77777777" w:rsidR="004E144F" w:rsidRPr="0094488B" w:rsidRDefault="004E144F" w:rsidP="004E144F">
      <w:pPr>
        <w:suppressAutoHyphens/>
        <w:rPr>
          <w:sz w:val="20"/>
        </w:rPr>
      </w:pPr>
    </w:p>
    <w:p w14:paraId="02229062" w14:textId="0DDC51C5" w:rsidR="004E144F" w:rsidRPr="009F4398" w:rsidRDefault="00D45592" w:rsidP="004E144F">
      <w:pPr>
        <w:suppressAutoHyphens/>
        <w:rPr>
          <w:color w:val="000000" w:themeColor="text1"/>
          <w:sz w:val="20"/>
        </w:rPr>
      </w:pPr>
      <w:r>
        <w:rPr>
          <w:color w:val="000000" w:themeColor="text1"/>
          <w:sz w:val="20"/>
        </w:rPr>
        <w:t>43</w:t>
      </w:r>
      <w:r w:rsidR="00BA7C7E" w:rsidRPr="009F4398">
        <w:rPr>
          <w:color w:val="000000" w:themeColor="text1"/>
          <w:sz w:val="20"/>
        </w:rPr>
        <w:t xml:space="preserve">. However, despite steady progress, the Convention system continues to face important challenges. </w:t>
      </w:r>
      <w:r w:rsidR="0084517C" w:rsidRPr="009F4398">
        <w:rPr>
          <w:color w:val="000000" w:themeColor="text1"/>
          <w:sz w:val="20"/>
        </w:rPr>
        <w:t xml:space="preserve">In 2018, the backlog of cases before the Court continued to decrease, </w:t>
      </w:r>
      <w:r w:rsidR="00583BE1" w:rsidRPr="009F4398">
        <w:rPr>
          <w:color w:val="000000" w:themeColor="text1"/>
          <w:sz w:val="20"/>
        </w:rPr>
        <w:t xml:space="preserve">but </w:t>
      </w:r>
      <w:r w:rsidR="0084517C" w:rsidRPr="009F4398">
        <w:rPr>
          <w:color w:val="000000" w:themeColor="text1"/>
          <w:sz w:val="20"/>
        </w:rPr>
        <w:t xml:space="preserve">the number of pending applications remained stable </w:t>
      </w:r>
      <w:r w:rsidR="00583BE1" w:rsidRPr="009F4398">
        <w:rPr>
          <w:color w:val="000000" w:themeColor="text1"/>
          <w:sz w:val="20"/>
        </w:rPr>
        <w:t>at a high level</w:t>
      </w:r>
      <w:r w:rsidR="0084517C" w:rsidRPr="009F4398">
        <w:rPr>
          <w:color w:val="000000" w:themeColor="text1"/>
          <w:sz w:val="20"/>
        </w:rPr>
        <w:t xml:space="preserve">. Moreover, </w:t>
      </w:r>
      <w:r w:rsidR="00583BE1" w:rsidRPr="009F4398">
        <w:rPr>
          <w:color w:val="000000" w:themeColor="text1"/>
          <w:sz w:val="20"/>
        </w:rPr>
        <w:t xml:space="preserve">even if the number of pending cases revealing important structural problems has slightly decreased in 2018, the continued existence of such problems, especially where </w:t>
      </w:r>
      <w:r w:rsidR="00B4294E" w:rsidRPr="009F4398">
        <w:rPr>
          <w:color w:val="000000" w:themeColor="text1"/>
          <w:sz w:val="20"/>
        </w:rPr>
        <w:t>effective domestic remedies have not been developed</w:t>
      </w:r>
      <w:r w:rsidR="00583BE1" w:rsidRPr="009F4398">
        <w:rPr>
          <w:color w:val="000000" w:themeColor="text1"/>
          <w:sz w:val="20"/>
        </w:rPr>
        <w:t>, continue to give rise to an important volume of incoming repetitive applications. It has been noted that 88% of the applications before the Court emanate from four States Parties to the Convention. Urgent action is needed</w:t>
      </w:r>
      <w:r w:rsidR="001D12C9" w:rsidRPr="001D12C9">
        <w:rPr>
          <w:color w:val="000000" w:themeColor="text1"/>
          <w:sz w:val="20"/>
        </w:rPr>
        <w:t xml:space="preserve"> </w:t>
      </w:r>
      <w:r w:rsidR="001D12C9" w:rsidRPr="009F4398">
        <w:rPr>
          <w:color w:val="000000" w:themeColor="text1"/>
          <w:sz w:val="20"/>
        </w:rPr>
        <w:t>here</w:t>
      </w:r>
      <w:r w:rsidR="00583BE1" w:rsidRPr="009F4398">
        <w:rPr>
          <w:color w:val="000000" w:themeColor="text1"/>
          <w:sz w:val="20"/>
        </w:rPr>
        <w:t xml:space="preserve">. </w:t>
      </w:r>
      <w:r w:rsidR="00BA7C7E" w:rsidRPr="00485AD0">
        <w:rPr>
          <w:color w:val="000000" w:themeColor="text1"/>
          <w:sz w:val="20"/>
        </w:rPr>
        <w:t xml:space="preserve">Moreover, the Court is </w:t>
      </w:r>
      <w:r w:rsidR="00583BE1" w:rsidRPr="00485AD0">
        <w:rPr>
          <w:color w:val="000000" w:themeColor="text1"/>
          <w:sz w:val="20"/>
        </w:rPr>
        <w:t>sometimes</w:t>
      </w:r>
      <w:r w:rsidR="00BA7C7E" w:rsidRPr="00485AD0">
        <w:rPr>
          <w:color w:val="000000" w:themeColor="text1"/>
          <w:sz w:val="20"/>
        </w:rPr>
        <w:t xml:space="preserve"> confronted with criticisms of its case-law</w:t>
      </w:r>
      <w:r w:rsidR="00485AD0">
        <w:rPr>
          <w:color w:val="000000" w:themeColor="text1"/>
          <w:sz w:val="20"/>
        </w:rPr>
        <w:t xml:space="preserve"> and</w:t>
      </w:r>
      <w:r w:rsidR="00583BE1" w:rsidRPr="00485AD0">
        <w:rPr>
          <w:color w:val="000000" w:themeColor="text1"/>
          <w:sz w:val="20"/>
        </w:rPr>
        <w:t xml:space="preserve"> serious execution problems</w:t>
      </w:r>
      <w:r w:rsidR="00485AD0">
        <w:rPr>
          <w:color w:val="000000" w:themeColor="text1"/>
          <w:sz w:val="20"/>
        </w:rPr>
        <w:t xml:space="preserve"> may arise</w:t>
      </w:r>
      <w:r w:rsidR="00583BE1" w:rsidRPr="00485AD0">
        <w:rPr>
          <w:color w:val="000000" w:themeColor="text1"/>
          <w:sz w:val="20"/>
        </w:rPr>
        <w:t xml:space="preserve"> as a result of domestic judicial decisions challenging the Court’s conclusions</w:t>
      </w:r>
      <w:r w:rsidR="007343FB" w:rsidRPr="00485AD0">
        <w:rPr>
          <w:color w:val="000000" w:themeColor="text1"/>
          <w:sz w:val="20"/>
        </w:rPr>
        <w:t xml:space="preserve">. </w:t>
      </w:r>
      <w:r w:rsidR="00583BE1" w:rsidRPr="009F4398">
        <w:rPr>
          <w:color w:val="000000" w:themeColor="text1"/>
          <w:sz w:val="20"/>
        </w:rPr>
        <w:t>Measures have to be taken to overcome the problem</w:t>
      </w:r>
      <w:r w:rsidR="00485AD0">
        <w:rPr>
          <w:color w:val="000000" w:themeColor="text1"/>
          <w:sz w:val="20"/>
        </w:rPr>
        <w:t xml:space="preserve"> of</w:t>
      </w:r>
      <w:r w:rsidR="00583BE1" w:rsidRPr="009F4398">
        <w:rPr>
          <w:color w:val="000000" w:themeColor="text1"/>
          <w:sz w:val="20"/>
        </w:rPr>
        <w:t xml:space="preserve"> </w:t>
      </w:r>
      <w:r w:rsidR="00BA7C7E" w:rsidRPr="009F4398">
        <w:rPr>
          <w:color w:val="000000" w:themeColor="text1"/>
          <w:sz w:val="20"/>
        </w:rPr>
        <w:t xml:space="preserve">non-execution </w:t>
      </w:r>
      <w:r w:rsidR="00485AD0">
        <w:rPr>
          <w:color w:val="000000" w:themeColor="text1"/>
          <w:sz w:val="20"/>
        </w:rPr>
        <w:t xml:space="preserve">which </w:t>
      </w:r>
      <w:r w:rsidR="00BA7C7E" w:rsidRPr="009F4398">
        <w:rPr>
          <w:color w:val="000000" w:themeColor="text1"/>
          <w:sz w:val="20"/>
        </w:rPr>
        <w:t xml:space="preserve">undermines </w:t>
      </w:r>
      <w:r w:rsidR="00485AD0">
        <w:rPr>
          <w:color w:val="000000" w:themeColor="text1"/>
          <w:sz w:val="20"/>
        </w:rPr>
        <w:t>the Court’s</w:t>
      </w:r>
      <w:r w:rsidR="00BA7C7E" w:rsidRPr="009F4398">
        <w:rPr>
          <w:color w:val="000000" w:themeColor="text1"/>
          <w:sz w:val="20"/>
        </w:rPr>
        <w:t xml:space="preserve"> authority and </w:t>
      </w:r>
      <w:r w:rsidR="00583BE1" w:rsidRPr="009F4398">
        <w:rPr>
          <w:color w:val="000000" w:themeColor="text1"/>
          <w:sz w:val="20"/>
        </w:rPr>
        <w:t>the credibility of the whole Convention system. I</w:t>
      </w:r>
      <w:r w:rsidR="00BA7C7E" w:rsidRPr="009F4398">
        <w:rPr>
          <w:color w:val="000000" w:themeColor="text1"/>
          <w:sz w:val="20"/>
        </w:rPr>
        <w:t xml:space="preserve">t is therefore </w:t>
      </w:r>
      <w:r w:rsidR="00583BE1" w:rsidRPr="009F4398">
        <w:rPr>
          <w:color w:val="000000" w:themeColor="text1"/>
          <w:sz w:val="20"/>
        </w:rPr>
        <w:t>of the utmost importance</w:t>
      </w:r>
      <w:r w:rsidR="00BA7C7E" w:rsidRPr="009F4398">
        <w:rPr>
          <w:color w:val="000000" w:themeColor="text1"/>
          <w:sz w:val="20"/>
        </w:rPr>
        <w:t xml:space="preserve"> to ensure that the independence of the Court and the binding nature of its judgments are preserved and respected by all the actors of the Convention system.</w:t>
      </w:r>
    </w:p>
    <w:p w14:paraId="61A9BEEE" w14:textId="4833C087" w:rsidR="00200E01" w:rsidRPr="0094488B" w:rsidRDefault="00200E01" w:rsidP="00B00015">
      <w:pPr>
        <w:suppressAutoHyphens/>
        <w:rPr>
          <w:i/>
          <w:sz w:val="20"/>
          <w:szCs w:val="20"/>
        </w:rPr>
      </w:pPr>
    </w:p>
    <w:p w14:paraId="480EAE44" w14:textId="1A871DE7" w:rsidR="00200E01" w:rsidRPr="00C81BC0" w:rsidRDefault="00D45592" w:rsidP="00200E01">
      <w:pPr>
        <w:pStyle w:val="NormalWeb"/>
        <w:spacing w:before="2" w:after="2"/>
        <w:rPr>
          <w:rFonts w:ascii="Arial" w:hAnsi="Arial"/>
          <w:lang w:val="en-GB"/>
        </w:rPr>
      </w:pPr>
      <w:r>
        <w:rPr>
          <w:rFonts w:ascii="Arial" w:hAnsi="Arial"/>
          <w:lang w:val="en-GB" w:eastAsia="en-US"/>
        </w:rPr>
        <w:t>44</w:t>
      </w:r>
      <w:r w:rsidR="00200E01" w:rsidRPr="00686A00">
        <w:rPr>
          <w:rFonts w:ascii="Arial" w:hAnsi="Arial"/>
          <w:lang w:val="en-GB" w:eastAsia="en-US"/>
        </w:rPr>
        <w:t xml:space="preserve">. </w:t>
      </w:r>
      <w:r w:rsidR="00200E01" w:rsidRPr="00C81BC0">
        <w:rPr>
          <w:rFonts w:ascii="Arial" w:hAnsi="Arial"/>
          <w:lang w:val="en-GB" w:eastAsia="en-US"/>
        </w:rPr>
        <w:t xml:space="preserve">In 2010, the Interlaken </w:t>
      </w:r>
      <w:r w:rsidR="00200E01" w:rsidRPr="00686A00">
        <w:rPr>
          <w:rFonts w:ascii="Arial" w:hAnsi="Arial"/>
          <w:lang w:val="en-GB" w:eastAsia="en-US"/>
        </w:rPr>
        <w:t>Declaration</w:t>
      </w:r>
      <w:r w:rsidR="00200E01" w:rsidRPr="00C81BC0">
        <w:rPr>
          <w:rFonts w:ascii="Arial" w:hAnsi="Arial"/>
          <w:lang w:val="en-GB" w:eastAsia="en-US"/>
        </w:rPr>
        <w:t xml:space="preserve"> invited the Committee of Ministers </w:t>
      </w:r>
      <w:r w:rsidR="00200E01" w:rsidRPr="00686A00">
        <w:rPr>
          <w:rFonts w:ascii="Arial" w:hAnsi="Arial"/>
          <w:lang w:val="en-GB" w:eastAsia="en-US"/>
        </w:rPr>
        <w:t xml:space="preserve">“to </w:t>
      </w:r>
      <w:r w:rsidR="00200E01" w:rsidRPr="00C81BC0">
        <w:rPr>
          <w:rFonts w:ascii="Arial" w:hAnsi="Arial"/>
          <w:bCs/>
          <w:szCs w:val="22"/>
          <w:lang w:val="en-GB"/>
        </w:rPr>
        <w:t xml:space="preserve">decide </w:t>
      </w:r>
      <w:r w:rsidR="00200E01" w:rsidRPr="00686A00">
        <w:rPr>
          <w:rFonts w:ascii="Arial" w:hAnsi="Arial" w:cs="Arial"/>
          <w:bCs/>
          <w:szCs w:val="22"/>
          <w:lang w:val="en-GB"/>
        </w:rPr>
        <w:t>[</w:t>
      </w:r>
      <w:r w:rsidR="00200E01" w:rsidRPr="00C81BC0">
        <w:rPr>
          <w:rFonts w:ascii="Arial" w:hAnsi="Arial"/>
          <w:bCs/>
          <w:szCs w:val="22"/>
          <w:lang w:val="en-GB"/>
        </w:rPr>
        <w:t>before the end of</w:t>
      </w:r>
      <w:r w:rsidR="00200E01">
        <w:rPr>
          <w:rFonts w:ascii="Arial" w:hAnsi="Arial"/>
          <w:bCs/>
          <w:szCs w:val="22"/>
          <w:lang w:val="en-GB"/>
        </w:rPr>
        <w:t> </w:t>
      </w:r>
      <w:r w:rsidR="00200E01" w:rsidRPr="00C81BC0">
        <w:rPr>
          <w:rFonts w:ascii="Arial" w:hAnsi="Arial"/>
          <w:bCs/>
          <w:szCs w:val="22"/>
          <w:lang w:val="en-GB"/>
        </w:rPr>
        <w:t>2019</w:t>
      </w:r>
      <w:r w:rsidR="00200E01" w:rsidRPr="00686A00">
        <w:rPr>
          <w:rFonts w:ascii="Arial" w:hAnsi="Arial" w:cs="Arial"/>
          <w:bCs/>
          <w:szCs w:val="22"/>
          <w:lang w:val="en-GB"/>
        </w:rPr>
        <w:t>]</w:t>
      </w:r>
      <w:r w:rsidR="00200E01" w:rsidRPr="00C81BC0">
        <w:rPr>
          <w:rFonts w:ascii="Arial" w:hAnsi="Arial"/>
          <w:bCs/>
          <w:szCs w:val="22"/>
          <w:lang w:val="en-GB"/>
        </w:rPr>
        <w:t xml:space="preserve"> on whether the measures adopted have proven to be sufficient to assure sustainable functioning of the control mechanism of the Convention or whether more profound changes are necessary</w:t>
      </w:r>
      <w:r w:rsidR="00200E01" w:rsidRPr="0094488B">
        <w:rPr>
          <w:rFonts w:ascii="Arial" w:hAnsi="Arial"/>
          <w:bCs/>
          <w:szCs w:val="22"/>
          <w:lang w:val="en-GB"/>
        </w:rPr>
        <w:t>”</w:t>
      </w:r>
      <w:r w:rsidR="00200E01" w:rsidRPr="00C81BC0">
        <w:rPr>
          <w:rFonts w:ascii="Arial" w:hAnsi="Arial"/>
          <w:bCs/>
          <w:szCs w:val="22"/>
          <w:lang w:val="en-GB"/>
        </w:rPr>
        <w:t xml:space="preserve">. As agreed </w:t>
      </w:r>
      <w:r w:rsidR="00200E01" w:rsidRPr="0094488B">
        <w:rPr>
          <w:rFonts w:ascii="Arial" w:hAnsi="Arial"/>
          <w:bCs/>
          <w:szCs w:val="22"/>
          <w:lang w:val="en-GB"/>
        </w:rPr>
        <w:t>during the Brighton Conference, a first assessment was made in 2015-2016. The Ministers’ Deputies examined the above</w:t>
      </w:r>
      <w:r w:rsidR="00200E01">
        <w:rPr>
          <w:rFonts w:ascii="Arial" w:hAnsi="Arial"/>
          <w:bCs/>
          <w:szCs w:val="22"/>
          <w:lang w:val="en-GB"/>
        </w:rPr>
        <w:t>-</w:t>
      </w:r>
      <w:r w:rsidR="00200E01" w:rsidRPr="0094488B">
        <w:rPr>
          <w:rFonts w:ascii="Arial" w:hAnsi="Arial"/>
          <w:bCs/>
          <w:szCs w:val="22"/>
          <w:lang w:val="en-GB"/>
        </w:rPr>
        <w:t xml:space="preserve">mentioned </w:t>
      </w:r>
      <w:r w:rsidR="00200E01">
        <w:rPr>
          <w:rFonts w:ascii="Arial" w:hAnsi="Arial"/>
          <w:bCs/>
          <w:szCs w:val="22"/>
          <w:lang w:val="en-GB"/>
        </w:rPr>
        <w:t xml:space="preserve">CDDH </w:t>
      </w:r>
      <w:r w:rsidR="00200E01" w:rsidRPr="0094488B">
        <w:rPr>
          <w:rFonts w:ascii="Arial" w:hAnsi="Arial"/>
          <w:bCs/>
          <w:szCs w:val="22"/>
          <w:lang w:val="en-GB"/>
        </w:rPr>
        <w:t>report on the longer-term future of the system of the Convention, together with comments made by the Court on this report. Both found that the challenges facing the system could in all likelihood be dealt with within the framework of the existing system. The Deputies endorsed the solutions proposed in response to the present and future challenges identified in the CDDH report concerning (i) the authority of the Convention: its implementation at national level; (ii) the authority of the Court; (iii) the authority of the Court’s judgments (execution of judgments and its supervision); and (iv) the place of the Convention mechanism in the European and international legal order.</w:t>
      </w:r>
    </w:p>
    <w:p w14:paraId="76403F91" w14:textId="77777777" w:rsidR="00200E01" w:rsidRPr="00C81BC0" w:rsidRDefault="00200E01" w:rsidP="00200E01">
      <w:pPr>
        <w:pStyle w:val="ListParagraph"/>
        <w:ind w:left="0"/>
        <w:rPr>
          <w:sz w:val="20"/>
          <w:szCs w:val="20"/>
          <w:lang w:val="en-GB" w:eastAsia="en-US"/>
        </w:rPr>
      </w:pPr>
    </w:p>
    <w:p w14:paraId="19D387DA" w14:textId="1F0F492B" w:rsidR="00200E01" w:rsidRPr="0094488B" w:rsidRDefault="00D45592" w:rsidP="00200E01">
      <w:pPr>
        <w:pStyle w:val="ListParagraph"/>
        <w:ind w:left="0"/>
        <w:rPr>
          <w:sz w:val="20"/>
          <w:szCs w:val="20"/>
          <w:lang w:val="en-GB"/>
        </w:rPr>
      </w:pPr>
      <w:r>
        <w:rPr>
          <w:sz w:val="20"/>
          <w:szCs w:val="20"/>
          <w:lang w:val="en-GB"/>
        </w:rPr>
        <w:t>45</w:t>
      </w:r>
      <w:r w:rsidR="00200E01" w:rsidRPr="0094488B">
        <w:rPr>
          <w:sz w:val="20"/>
          <w:szCs w:val="20"/>
          <w:lang w:val="en-GB"/>
        </w:rPr>
        <w:t xml:space="preserve">. The evaluation report of the measures taken since Interlaken is being prepared by the CDDH and will finalised </w:t>
      </w:r>
      <w:r w:rsidR="00200E01">
        <w:rPr>
          <w:sz w:val="20"/>
          <w:szCs w:val="20"/>
          <w:lang w:val="en-GB"/>
        </w:rPr>
        <w:t xml:space="preserve">by </w:t>
      </w:r>
      <w:r w:rsidR="00200E01" w:rsidRPr="0094488B">
        <w:rPr>
          <w:sz w:val="20"/>
          <w:szCs w:val="20"/>
          <w:lang w:val="en-GB"/>
        </w:rPr>
        <w:t>the end of 2019. At the request of the Ministers’ Deputies, this report will, in particular, cover the following aspects:</w:t>
      </w:r>
    </w:p>
    <w:p w14:paraId="630F7881" w14:textId="77777777" w:rsidR="00200E01" w:rsidRPr="0094488B" w:rsidRDefault="00200E01" w:rsidP="00200E01">
      <w:pPr>
        <w:pStyle w:val="ListParagraph"/>
        <w:ind w:left="0"/>
        <w:rPr>
          <w:sz w:val="20"/>
          <w:szCs w:val="20"/>
          <w:lang w:val="en-GB"/>
        </w:rPr>
      </w:pPr>
    </w:p>
    <w:p w14:paraId="638EE38C" w14:textId="77777777" w:rsidR="00200E01" w:rsidRPr="00C81BC0" w:rsidRDefault="00200E01" w:rsidP="00200E01">
      <w:pPr>
        <w:pStyle w:val="ListParagraph"/>
        <w:numPr>
          <w:ilvl w:val="0"/>
          <w:numId w:val="1"/>
        </w:numPr>
        <w:ind w:left="357" w:hanging="357"/>
        <w:rPr>
          <w:sz w:val="20"/>
          <w:szCs w:val="21"/>
          <w:lang w:val="en-GB"/>
        </w:rPr>
      </w:pPr>
      <w:r w:rsidRPr="00C81BC0">
        <w:rPr>
          <w:sz w:val="20"/>
          <w:szCs w:val="21"/>
          <w:lang w:val="en-GB"/>
        </w:rPr>
        <w:t>a comprehensive analysis of the Court’s backlog, identifying and examining the causes of the influx of cases from the States Parties with a view to identifying the most appropriate solutions at the level of the Court and the States Parties,</w:t>
      </w:r>
    </w:p>
    <w:p w14:paraId="7BBC6745" w14:textId="11569447" w:rsidR="00200E01" w:rsidRDefault="00200E01" w:rsidP="00200E01">
      <w:pPr>
        <w:pStyle w:val="ListParagraph"/>
        <w:numPr>
          <w:ilvl w:val="0"/>
          <w:numId w:val="1"/>
        </w:numPr>
        <w:ind w:left="357" w:hanging="357"/>
        <w:rPr>
          <w:sz w:val="20"/>
          <w:szCs w:val="21"/>
          <w:lang w:val="en-GB"/>
        </w:rPr>
      </w:pPr>
      <w:r w:rsidRPr="00C81BC0">
        <w:rPr>
          <w:sz w:val="20"/>
          <w:szCs w:val="21"/>
          <w:lang w:val="en-GB"/>
        </w:rPr>
        <w:t xml:space="preserve">proposals on how to facilitate the prompt and effective handling of cases, particularly repetitive cases, that the </w:t>
      </w:r>
      <w:r w:rsidR="00857C8F">
        <w:rPr>
          <w:sz w:val="20"/>
          <w:szCs w:val="21"/>
          <w:lang w:val="en-GB"/>
        </w:rPr>
        <w:t>p</w:t>
      </w:r>
      <w:r w:rsidRPr="00C81BC0">
        <w:rPr>
          <w:sz w:val="20"/>
          <w:szCs w:val="21"/>
          <w:lang w:val="en-GB"/>
        </w:rPr>
        <w:t>arties are open to settle through a friendly settlement or a unilateral declaration,</w:t>
      </w:r>
    </w:p>
    <w:p w14:paraId="05D2B41C" w14:textId="77777777" w:rsidR="00200E01" w:rsidRPr="00C81BC0" w:rsidRDefault="00200E01" w:rsidP="00200E01">
      <w:pPr>
        <w:pStyle w:val="ListParagraph"/>
        <w:numPr>
          <w:ilvl w:val="0"/>
          <w:numId w:val="1"/>
        </w:numPr>
        <w:ind w:left="357" w:hanging="357"/>
        <w:rPr>
          <w:sz w:val="20"/>
          <w:szCs w:val="21"/>
          <w:lang w:val="en-GB"/>
        </w:rPr>
      </w:pPr>
      <w:r w:rsidRPr="00C81BC0">
        <w:rPr>
          <w:sz w:val="20"/>
          <w:szCs w:val="21"/>
          <w:lang w:val="en-GB"/>
        </w:rPr>
        <w:t>proposals on ways to handle more effectively cases related to inter-State disputes, as well as individual applications arising out of situations of inter-State conflict, without thereby limiting the jurisdiction of the Court, taking into consideration the specific features of these categories of cases,</w:t>
      </w:r>
      <w:r w:rsidRPr="00C81BC0">
        <w:rPr>
          <w:rStyle w:val="apple-converted-space"/>
          <w:sz w:val="20"/>
          <w:szCs w:val="21"/>
          <w:lang w:val="en-GB"/>
        </w:rPr>
        <w:t> </w:t>
      </w:r>
      <w:r w:rsidRPr="00C81BC0">
        <w:rPr>
          <w:rStyle w:val="Emphasis"/>
          <w:sz w:val="20"/>
          <w:szCs w:val="21"/>
          <w:lang w:val="en-GB"/>
        </w:rPr>
        <w:t>inter alia</w:t>
      </w:r>
      <w:r w:rsidRPr="00C81BC0">
        <w:rPr>
          <w:rStyle w:val="apple-converted-space"/>
          <w:sz w:val="20"/>
          <w:szCs w:val="21"/>
          <w:lang w:val="en-GB"/>
        </w:rPr>
        <w:t> </w:t>
      </w:r>
      <w:r w:rsidRPr="00C81BC0">
        <w:rPr>
          <w:sz w:val="20"/>
          <w:szCs w:val="21"/>
          <w:lang w:val="en-GB"/>
        </w:rPr>
        <w:t>regarding the establishment of facts, and</w:t>
      </w:r>
    </w:p>
    <w:p w14:paraId="7F545B54" w14:textId="347CEE9F" w:rsidR="00200E01" w:rsidRPr="00C81BC0" w:rsidRDefault="00200E01" w:rsidP="00200E01">
      <w:pPr>
        <w:pStyle w:val="ListParagraph"/>
        <w:numPr>
          <w:ilvl w:val="0"/>
          <w:numId w:val="1"/>
        </w:numPr>
        <w:ind w:left="357" w:hanging="357"/>
        <w:rPr>
          <w:sz w:val="20"/>
          <w:szCs w:val="21"/>
          <w:lang w:val="en-GB"/>
        </w:rPr>
      </w:pPr>
      <w:r w:rsidRPr="00C81BC0">
        <w:rPr>
          <w:sz w:val="20"/>
          <w:szCs w:val="21"/>
          <w:lang w:val="en-GB"/>
        </w:rPr>
        <w:t xml:space="preserve">questions relating to the situation of the judges of the European Court of Human Rights after the end of their mandate, mentioned in paragraphs 154 and 159 of the 2017 CDDH report on the selection and election of judges of the European Court of Human Rights, and </w:t>
      </w:r>
      <w:r w:rsidR="00B4294E">
        <w:rPr>
          <w:sz w:val="20"/>
          <w:szCs w:val="21"/>
          <w:lang w:val="en-GB"/>
        </w:rPr>
        <w:t>proposals for</w:t>
      </w:r>
      <w:r w:rsidRPr="00C81BC0">
        <w:rPr>
          <w:sz w:val="20"/>
          <w:szCs w:val="21"/>
          <w:lang w:val="en-GB"/>
        </w:rPr>
        <w:t xml:space="preserve"> possible responses.</w:t>
      </w:r>
    </w:p>
    <w:p w14:paraId="62409874" w14:textId="77777777" w:rsidR="00200E01" w:rsidRPr="00C81BC0" w:rsidRDefault="00200E01" w:rsidP="00200E01">
      <w:pPr>
        <w:pStyle w:val="ListParagraph"/>
        <w:ind w:left="0"/>
        <w:rPr>
          <w:sz w:val="20"/>
          <w:szCs w:val="21"/>
          <w:lang w:val="en-GB"/>
        </w:rPr>
      </w:pPr>
    </w:p>
    <w:p w14:paraId="63258C8E" w14:textId="70722462" w:rsidR="00200E01" w:rsidRPr="00C81BC0" w:rsidRDefault="00D45592" w:rsidP="00200E01">
      <w:pPr>
        <w:pStyle w:val="ListParagraph"/>
        <w:ind w:left="0"/>
        <w:rPr>
          <w:sz w:val="20"/>
          <w:szCs w:val="20"/>
          <w:lang w:val="en-US"/>
        </w:rPr>
      </w:pPr>
      <w:r>
        <w:rPr>
          <w:sz w:val="20"/>
          <w:szCs w:val="21"/>
          <w:lang w:val="en-GB"/>
        </w:rPr>
        <w:t>46</w:t>
      </w:r>
      <w:r w:rsidR="00200E01" w:rsidRPr="0094488B">
        <w:rPr>
          <w:sz w:val="20"/>
          <w:szCs w:val="21"/>
          <w:lang w:val="en-GB"/>
        </w:rPr>
        <w:t xml:space="preserve">. </w:t>
      </w:r>
      <w:r w:rsidR="00200E01" w:rsidRPr="00C81BC0">
        <w:rPr>
          <w:sz w:val="20"/>
          <w:szCs w:val="21"/>
          <w:lang w:val="en-GB"/>
        </w:rPr>
        <w:t>Th</w:t>
      </w:r>
      <w:r w:rsidR="00200E01">
        <w:rPr>
          <w:sz w:val="20"/>
          <w:szCs w:val="21"/>
          <w:lang w:val="en-GB"/>
        </w:rPr>
        <w:t>e</w:t>
      </w:r>
      <w:r w:rsidR="00200E01" w:rsidRPr="00C81BC0">
        <w:rPr>
          <w:sz w:val="20"/>
          <w:szCs w:val="21"/>
          <w:lang w:val="en-GB"/>
        </w:rPr>
        <w:t xml:space="preserve"> report will </w:t>
      </w:r>
      <w:r w:rsidR="00200E01" w:rsidRPr="0094488B">
        <w:rPr>
          <w:sz w:val="20"/>
          <w:szCs w:val="21"/>
          <w:lang w:val="en-GB"/>
        </w:rPr>
        <w:t>also include an analysis of the r</w:t>
      </w:r>
      <w:r w:rsidR="00200E01" w:rsidRPr="0094488B">
        <w:rPr>
          <w:sz w:val="20"/>
          <w:szCs w:val="20"/>
          <w:lang w:val="en-GB"/>
        </w:rPr>
        <w:t>eports submitted by member States on the implementation at national level of the Brussels Declaration.</w:t>
      </w:r>
    </w:p>
    <w:p w14:paraId="328E0B70" w14:textId="77777777" w:rsidR="00200E01" w:rsidRPr="0094488B" w:rsidRDefault="00200E01" w:rsidP="00200E01">
      <w:pPr>
        <w:rPr>
          <w:sz w:val="20"/>
        </w:rPr>
      </w:pPr>
    </w:p>
    <w:p w14:paraId="0E599817" w14:textId="7F79E4B4" w:rsidR="00200E01" w:rsidRPr="0094488B" w:rsidRDefault="00D45592" w:rsidP="00200E01">
      <w:pPr>
        <w:rPr>
          <w:rFonts w:eastAsia="Times New Roman"/>
          <w:sz w:val="20"/>
          <w:szCs w:val="24"/>
        </w:rPr>
      </w:pPr>
      <w:r>
        <w:rPr>
          <w:sz w:val="20"/>
        </w:rPr>
        <w:t>47</w:t>
      </w:r>
      <w:r w:rsidR="00200E01" w:rsidRPr="0094488B">
        <w:rPr>
          <w:sz w:val="20"/>
        </w:rPr>
        <w:t xml:space="preserve">. At its ministerial session in Elsinore in May 2018, the Committee of Ministers asked for </w:t>
      </w:r>
      <w:r w:rsidR="00200E01" w:rsidRPr="0094488B">
        <w:rPr>
          <w:rFonts w:eastAsia="Times New Roman"/>
          <w:sz w:val="20"/>
          <w:szCs w:val="24"/>
        </w:rPr>
        <w:t>a timetable for the preparation and implementation of any further changes required, including an examination of the effect of Protocols Nos.15 and 16 to the Convention. The following timetable could be envisaged:</w:t>
      </w:r>
    </w:p>
    <w:p w14:paraId="1E2C5A03" w14:textId="77777777" w:rsidR="00200E01" w:rsidRPr="0094488B" w:rsidRDefault="00200E01" w:rsidP="00200E01">
      <w:pPr>
        <w:rPr>
          <w:rFonts w:eastAsia="Times New Roman"/>
          <w:sz w:val="20"/>
          <w:szCs w:val="24"/>
        </w:rPr>
      </w:pPr>
    </w:p>
    <w:p w14:paraId="2685ECA6" w14:textId="77777777" w:rsidR="00200E01" w:rsidRPr="00425ECC" w:rsidRDefault="00200E01" w:rsidP="00200E01">
      <w:pPr>
        <w:pStyle w:val="ListParagraph"/>
        <w:numPr>
          <w:ilvl w:val="0"/>
          <w:numId w:val="3"/>
        </w:numPr>
        <w:ind w:left="357" w:hanging="357"/>
        <w:rPr>
          <w:sz w:val="20"/>
          <w:lang w:val="en-US"/>
        </w:rPr>
      </w:pPr>
      <w:r w:rsidRPr="00425ECC">
        <w:rPr>
          <w:sz w:val="20"/>
          <w:lang w:val="en-US"/>
        </w:rPr>
        <w:t>26-29 November 2019, approval by the CDDH of its report “Contribution to the evaluation foreseen by the Interlaken Declaration” and transmission to the Ministers’ Deputies;</w:t>
      </w:r>
    </w:p>
    <w:p w14:paraId="7AD461AF" w14:textId="6BBB2A95" w:rsidR="00200E01" w:rsidRPr="00425ECC" w:rsidRDefault="00200E01" w:rsidP="00200E01">
      <w:pPr>
        <w:pStyle w:val="ListParagraph"/>
        <w:numPr>
          <w:ilvl w:val="0"/>
          <w:numId w:val="3"/>
        </w:numPr>
        <w:ind w:left="357" w:hanging="357"/>
        <w:rPr>
          <w:sz w:val="20"/>
          <w:lang w:val="en-US"/>
        </w:rPr>
      </w:pPr>
      <w:r w:rsidRPr="00425ECC">
        <w:rPr>
          <w:sz w:val="20"/>
          <w:lang w:val="en-US"/>
        </w:rPr>
        <w:t xml:space="preserve">January-April 2020, consideration by the Ministers’ Deputies of the CDDH report and of any other relevant element that </w:t>
      </w:r>
      <w:r w:rsidR="00B4294E">
        <w:rPr>
          <w:sz w:val="20"/>
          <w:lang w:val="en-US"/>
        </w:rPr>
        <w:t>w</w:t>
      </w:r>
      <w:r w:rsidRPr="00425ECC">
        <w:rPr>
          <w:sz w:val="20"/>
          <w:lang w:val="en-US"/>
        </w:rPr>
        <w:t>ould be transmitted to them, in particular by the Court, regarding the effects of Protocols Nos. 15 and 16;</w:t>
      </w:r>
    </w:p>
    <w:p w14:paraId="40B47E6B" w14:textId="77777777" w:rsidR="00200E01" w:rsidRPr="00425ECC" w:rsidRDefault="00200E01" w:rsidP="00200E01">
      <w:pPr>
        <w:pStyle w:val="ListParagraph"/>
        <w:numPr>
          <w:ilvl w:val="0"/>
          <w:numId w:val="3"/>
        </w:numPr>
        <w:ind w:left="357" w:hanging="357"/>
        <w:rPr>
          <w:sz w:val="20"/>
          <w:lang w:val="en-US"/>
        </w:rPr>
      </w:pPr>
      <w:r w:rsidRPr="00425ECC">
        <w:rPr>
          <w:sz w:val="20"/>
          <w:lang w:val="en-US"/>
        </w:rPr>
        <w:t>May 2020, possible decisions by the Committee of Ministers at its 130</w:t>
      </w:r>
      <w:r w:rsidRPr="00C81BC0">
        <w:rPr>
          <w:sz w:val="20"/>
          <w:vertAlign w:val="superscript"/>
          <w:lang w:val="en-US"/>
        </w:rPr>
        <w:t>th</w:t>
      </w:r>
      <w:r w:rsidRPr="00425ECC">
        <w:rPr>
          <w:sz w:val="20"/>
          <w:lang w:val="en-US"/>
        </w:rPr>
        <w:t xml:space="preserve"> session.</w:t>
      </w:r>
    </w:p>
    <w:p w14:paraId="364E60CF" w14:textId="77777777" w:rsidR="00200E01" w:rsidRPr="00B00015" w:rsidRDefault="00200E01" w:rsidP="004E144F">
      <w:pPr>
        <w:suppressAutoHyphens/>
        <w:rPr>
          <w:sz w:val="20"/>
          <w:lang w:val="en-US"/>
        </w:rPr>
      </w:pPr>
    </w:p>
    <w:p w14:paraId="35CA8810" w14:textId="77777777" w:rsidR="00486552" w:rsidRDefault="00486552">
      <w:pPr>
        <w:rPr>
          <w:sz w:val="20"/>
        </w:rPr>
      </w:pPr>
      <w:r>
        <w:rPr>
          <w:sz w:val="20"/>
        </w:rPr>
        <w:br w:type="page"/>
      </w:r>
    </w:p>
    <w:p w14:paraId="664932BA" w14:textId="77777777" w:rsidR="004E144F" w:rsidRPr="00AD55FB" w:rsidRDefault="00AD55FB" w:rsidP="004E144F">
      <w:pPr>
        <w:pStyle w:val="ListParagraph"/>
        <w:pageBreakBefore/>
        <w:ind w:left="0"/>
        <w:rPr>
          <w:b/>
          <w:sz w:val="20"/>
          <w:szCs w:val="20"/>
          <w:u w:val="single"/>
          <w:lang w:val="en-GB"/>
        </w:rPr>
      </w:pPr>
      <w:r w:rsidRPr="00AD55FB">
        <w:rPr>
          <w:b/>
          <w:sz w:val="20"/>
          <w:szCs w:val="20"/>
          <w:u w:val="single"/>
          <w:lang w:val="en-GB"/>
        </w:rPr>
        <w:lastRenderedPageBreak/>
        <w:t>Appendix</w:t>
      </w:r>
    </w:p>
    <w:p w14:paraId="212BFC36" w14:textId="77777777" w:rsidR="004E144F" w:rsidRPr="0094488B" w:rsidRDefault="004E144F" w:rsidP="004E144F">
      <w:pPr>
        <w:rPr>
          <w:b/>
          <w:sz w:val="20"/>
          <w:szCs w:val="20"/>
        </w:rPr>
      </w:pPr>
    </w:p>
    <w:p w14:paraId="2F777A03" w14:textId="778A3953" w:rsidR="004E144F" w:rsidRPr="0094488B" w:rsidRDefault="00BA7C7E" w:rsidP="004E144F">
      <w:pPr>
        <w:rPr>
          <w:sz w:val="20"/>
          <w:szCs w:val="20"/>
        </w:rPr>
      </w:pPr>
      <w:r w:rsidRPr="00B00015">
        <w:rPr>
          <w:b/>
          <w:sz w:val="20"/>
          <w:szCs w:val="20"/>
        </w:rPr>
        <w:t>Decisions taken by the Committee of Ministers at its 128</w:t>
      </w:r>
      <w:r w:rsidRPr="00B00015">
        <w:rPr>
          <w:b/>
          <w:sz w:val="20"/>
          <w:szCs w:val="20"/>
          <w:vertAlign w:val="superscript"/>
        </w:rPr>
        <w:t>th</w:t>
      </w:r>
      <w:r w:rsidRPr="00B00015">
        <w:rPr>
          <w:b/>
          <w:sz w:val="20"/>
          <w:szCs w:val="20"/>
        </w:rPr>
        <w:t> Session (Elsinore, 17-18 May 2018)</w:t>
      </w:r>
    </w:p>
    <w:p w14:paraId="15908921" w14:textId="77777777" w:rsidR="004E144F" w:rsidRPr="0094488B" w:rsidRDefault="004E144F" w:rsidP="004E144F">
      <w:pPr>
        <w:rPr>
          <w:sz w:val="20"/>
          <w:szCs w:val="20"/>
        </w:rPr>
      </w:pPr>
    </w:p>
    <w:p w14:paraId="64E967C4" w14:textId="77777777" w:rsidR="004E144F" w:rsidRPr="0094488B" w:rsidRDefault="00BA7C7E" w:rsidP="004E144F">
      <w:pPr>
        <w:rPr>
          <w:b/>
          <w:sz w:val="20"/>
        </w:rPr>
      </w:pPr>
      <w:r w:rsidRPr="00B00015">
        <w:rPr>
          <w:b/>
          <w:sz w:val="20"/>
        </w:rPr>
        <w:t>Securing the long-term effectiveness of the system of the European Convention on Human Rights</w:t>
      </w:r>
    </w:p>
    <w:p w14:paraId="693EAD8E" w14:textId="77777777" w:rsidR="004E144F" w:rsidRPr="0094488B" w:rsidRDefault="004E144F" w:rsidP="004E144F">
      <w:pPr>
        <w:rPr>
          <w:sz w:val="20"/>
        </w:rPr>
      </w:pPr>
    </w:p>
    <w:p w14:paraId="24951B3F" w14:textId="77777777" w:rsidR="004E144F" w:rsidRPr="0094488B" w:rsidRDefault="004E144F" w:rsidP="004E144F">
      <w:pPr>
        <w:rPr>
          <w:sz w:val="20"/>
        </w:rPr>
      </w:pPr>
    </w:p>
    <w:p w14:paraId="074300A1" w14:textId="77777777" w:rsidR="004E144F" w:rsidRPr="0094488B" w:rsidRDefault="00BA7C7E" w:rsidP="004E144F">
      <w:pPr>
        <w:rPr>
          <w:rFonts w:eastAsia="Times New Roman"/>
          <w:sz w:val="20"/>
          <w:szCs w:val="24"/>
        </w:rPr>
      </w:pPr>
      <w:r w:rsidRPr="00B00015">
        <w:rPr>
          <w:rFonts w:eastAsia="Times New Roman"/>
          <w:i/>
          <w:sz w:val="20"/>
          <w:szCs w:val="24"/>
        </w:rPr>
        <w:t>Decisions</w:t>
      </w:r>
    </w:p>
    <w:p w14:paraId="307BD191" w14:textId="77777777" w:rsidR="004E144F" w:rsidRPr="0094488B" w:rsidRDefault="004E144F" w:rsidP="004E144F">
      <w:pPr>
        <w:rPr>
          <w:rFonts w:eastAsia="Times New Roman"/>
          <w:sz w:val="20"/>
          <w:szCs w:val="24"/>
        </w:rPr>
      </w:pPr>
    </w:p>
    <w:p w14:paraId="1923808B" w14:textId="77777777" w:rsidR="004E144F" w:rsidRPr="0094488B" w:rsidRDefault="00BA7C7E" w:rsidP="004E144F">
      <w:pPr>
        <w:rPr>
          <w:rFonts w:eastAsia="Times New Roman"/>
          <w:sz w:val="20"/>
          <w:szCs w:val="24"/>
        </w:rPr>
      </w:pPr>
      <w:r w:rsidRPr="00B00015">
        <w:rPr>
          <w:rFonts w:eastAsia="Times New Roman"/>
          <w:sz w:val="20"/>
          <w:szCs w:val="24"/>
        </w:rPr>
        <w:t>The Committee of Ministers</w:t>
      </w:r>
    </w:p>
    <w:p w14:paraId="0207184F" w14:textId="77777777" w:rsidR="004E144F" w:rsidRPr="0094488B" w:rsidRDefault="004E144F" w:rsidP="004E144F">
      <w:pPr>
        <w:rPr>
          <w:rFonts w:eastAsia="Times New Roman"/>
          <w:sz w:val="20"/>
          <w:szCs w:val="24"/>
        </w:rPr>
      </w:pPr>
    </w:p>
    <w:p w14:paraId="653C50EF" w14:textId="77777777" w:rsidR="00830BD0" w:rsidRPr="00B00015" w:rsidRDefault="00BA7C7E" w:rsidP="00830BD0">
      <w:pPr>
        <w:rPr>
          <w:rFonts w:eastAsia="Times New Roman"/>
          <w:sz w:val="20"/>
          <w:szCs w:val="24"/>
        </w:rPr>
      </w:pPr>
      <w:r w:rsidRPr="00B00015">
        <w:rPr>
          <w:rFonts w:eastAsia="Times New Roman"/>
          <w:sz w:val="20"/>
          <w:szCs w:val="24"/>
        </w:rPr>
        <w:t>1.         reiterated its commitment to the European Convention on Human Rights and its unique system for the protection of human rights in Europe and reaffirmed the principles set out in the Interlaken, Izmir, Brighton and Brussels Declarations;</w:t>
      </w:r>
    </w:p>
    <w:p w14:paraId="55F9D08B" w14:textId="77777777" w:rsidR="00830BD0" w:rsidRPr="00B00015" w:rsidRDefault="00830BD0" w:rsidP="00830BD0">
      <w:pPr>
        <w:rPr>
          <w:rFonts w:eastAsia="Times New Roman"/>
          <w:sz w:val="20"/>
          <w:szCs w:val="24"/>
        </w:rPr>
      </w:pPr>
    </w:p>
    <w:p w14:paraId="6BC24EAB" w14:textId="77777777" w:rsidR="00830BD0" w:rsidRPr="00B00015" w:rsidRDefault="00BA7C7E" w:rsidP="00830BD0">
      <w:pPr>
        <w:rPr>
          <w:rFonts w:eastAsia="Times New Roman"/>
          <w:sz w:val="20"/>
          <w:szCs w:val="24"/>
        </w:rPr>
      </w:pPr>
      <w:r w:rsidRPr="00B00015">
        <w:rPr>
          <w:rFonts w:eastAsia="Times New Roman"/>
          <w:sz w:val="20"/>
          <w:szCs w:val="24"/>
        </w:rPr>
        <w:t>2.         endorsed the Declaration adopted on the occasion of the High-level Conference held in Copenhagen on 12 and 13 April 2018, commended the Danish authorities for their initiative and invited all stakeholders to give full effect to the parts of the Copenhagen Declaration which concern them directly;</w:t>
      </w:r>
    </w:p>
    <w:p w14:paraId="1850DEB9" w14:textId="77777777" w:rsidR="00830BD0" w:rsidRPr="00B00015" w:rsidRDefault="00830BD0" w:rsidP="00830BD0">
      <w:pPr>
        <w:rPr>
          <w:rFonts w:eastAsia="Times New Roman"/>
          <w:sz w:val="20"/>
          <w:szCs w:val="24"/>
        </w:rPr>
      </w:pPr>
    </w:p>
    <w:p w14:paraId="717D288F" w14:textId="77777777" w:rsidR="00830BD0" w:rsidRPr="00B00015" w:rsidRDefault="00BA7C7E" w:rsidP="00830BD0">
      <w:pPr>
        <w:rPr>
          <w:rFonts w:eastAsia="Times New Roman"/>
          <w:sz w:val="20"/>
          <w:szCs w:val="24"/>
        </w:rPr>
      </w:pPr>
      <w:r w:rsidRPr="00B00015">
        <w:rPr>
          <w:rFonts w:eastAsia="Times New Roman"/>
          <w:sz w:val="20"/>
          <w:szCs w:val="24"/>
        </w:rPr>
        <w:t>3.         welcomed the action taken by all relevant stakeholders since 2010 and the positive results that have been achieved including through the efforts made to strengthen the implementation of the Convention at the national level, in particular the solution of many important and long-standing systemic and structural problems in member States, and which can be seen in the significant decrease in the number of cases pending before the Court and the increase in the number of cases closed in the supervision of the execution of judgments;</w:t>
      </w:r>
    </w:p>
    <w:p w14:paraId="6989EF7B" w14:textId="77777777" w:rsidR="00830BD0" w:rsidRPr="00B00015" w:rsidRDefault="00830BD0" w:rsidP="00830BD0">
      <w:pPr>
        <w:rPr>
          <w:rFonts w:eastAsia="Times New Roman"/>
          <w:sz w:val="20"/>
          <w:szCs w:val="24"/>
        </w:rPr>
      </w:pPr>
    </w:p>
    <w:p w14:paraId="6BB5337F" w14:textId="77777777" w:rsidR="00830BD0" w:rsidRPr="00B00015" w:rsidRDefault="00BA7C7E" w:rsidP="00830BD0">
      <w:pPr>
        <w:rPr>
          <w:rFonts w:eastAsia="Times New Roman"/>
          <w:sz w:val="20"/>
          <w:szCs w:val="24"/>
        </w:rPr>
      </w:pPr>
      <w:r w:rsidRPr="00B00015">
        <w:rPr>
          <w:rFonts w:eastAsia="Times New Roman"/>
          <w:sz w:val="20"/>
          <w:szCs w:val="24"/>
        </w:rPr>
        <w:t>4.         noted with concern, however, that the Convention system continues to face significant challenges, notably linked to serious or widespread violations, to systemic and structural problems of human rights in States Parties, and to the situation in unresolved conflict zones;</w:t>
      </w:r>
    </w:p>
    <w:p w14:paraId="21858BF8" w14:textId="77777777" w:rsidR="00830BD0" w:rsidRPr="00B00015" w:rsidRDefault="00830BD0" w:rsidP="00830BD0">
      <w:pPr>
        <w:rPr>
          <w:rFonts w:eastAsia="Times New Roman"/>
          <w:sz w:val="20"/>
          <w:szCs w:val="24"/>
        </w:rPr>
      </w:pPr>
    </w:p>
    <w:p w14:paraId="1B577440" w14:textId="77777777" w:rsidR="00830BD0" w:rsidRPr="00B00015" w:rsidRDefault="00BA7C7E" w:rsidP="00830BD0">
      <w:pPr>
        <w:rPr>
          <w:rFonts w:eastAsia="Times New Roman"/>
          <w:sz w:val="20"/>
          <w:szCs w:val="24"/>
        </w:rPr>
      </w:pPr>
      <w:r w:rsidRPr="00B00015">
        <w:rPr>
          <w:rFonts w:eastAsia="Times New Roman"/>
          <w:sz w:val="20"/>
          <w:szCs w:val="24"/>
        </w:rPr>
        <w:t xml:space="preserve">5.         urged those States Parties that have not yet signed and ratified Protocol No. 15 to the Convention to do so without further delay </w:t>
      </w:r>
      <w:proofErr w:type="gramStart"/>
      <w:r w:rsidRPr="00B00015">
        <w:rPr>
          <w:rFonts w:eastAsia="Times New Roman"/>
          <w:sz w:val="20"/>
          <w:szCs w:val="24"/>
        </w:rPr>
        <w:t>in order to</w:t>
      </w:r>
      <w:proofErr w:type="gramEnd"/>
      <w:r w:rsidRPr="00B00015">
        <w:rPr>
          <w:rFonts w:eastAsia="Times New Roman"/>
          <w:sz w:val="20"/>
          <w:szCs w:val="24"/>
        </w:rPr>
        <w:t xml:space="preserve"> allow its entry into force;</w:t>
      </w:r>
    </w:p>
    <w:p w14:paraId="051375D9" w14:textId="77777777" w:rsidR="00830BD0" w:rsidRPr="00B00015" w:rsidRDefault="00830BD0" w:rsidP="00830BD0">
      <w:pPr>
        <w:rPr>
          <w:rFonts w:eastAsia="Times New Roman"/>
          <w:sz w:val="20"/>
          <w:szCs w:val="24"/>
        </w:rPr>
      </w:pPr>
    </w:p>
    <w:p w14:paraId="569CBAF5" w14:textId="77777777" w:rsidR="00830BD0" w:rsidRPr="00B00015" w:rsidRDefault="00BA7C7E" w:rsidP="00830BD0">
      <w:pPr>
        <w:rPr>
          <w:rFonts w:eastAsia="Times New Roman"/>
          <w:sz w:val="20"/>
          <w:szCs w:val="24"/>
        </w:rPr>
      </w:pPr>
      <w:r w:rsidRPr="00B00015">
        <w:rPr>
          <w:rFonts w:eastAsia="Times New Roman"/>
          <w:sz w:val="20"/>
          <w:szCs w:val="24"/>
        </w:rPr>
        <w:t>6.         welcomed the imminent entry into force of Protocol No. 16 to the Convention and invited those States Parties which have not yet done so to consider signing and ratifying it;</w:t>
      </w:r>
    </w:p>
    <w:p w14:paraId="55BD1A86" w14:textId="77777777" w:rsidR="00830BD0" w:rsidRPr="00B00015" w:rsidRDefault="00830BD0" w:rsidP="00830BD0">
      <w:pPr>
        <w:rPr>
          <w:rFonts w:eastAsia="Times New Roman"/>
          <w:sz w:val="20"/>
          <w:szCs w:val="24"/>
        </w:rPr>
      </w:pPr>
    </w:p>
    <w:p w14:paraId="52AF787F" w14:textId="77777777" w:rsidR="00830BD0" w:rsidRPr="00B00015" w:rsidRDefault="00BA7C7E" w:rsidP="00830BD0">
      <w:pPr>
        <w:rPr>
          <w:rFonts w:eastAsia="Times New Roman"/>
          <w:sz w:val="20"/>
          <w:szCs w:val="24"/>
        </w:rPr>
      </w:pPr>
      <w:r w:rsidRPr="00B00015">
        <w:rPr>
          <w:rFonts w:eastAsia="Times New Roman"/>
          <w:sz w:val="20"/>
          <w:szCs w:val="24"/>
        </w:rPr>
        <w:t>7.         instructed its Deputies to continue to give priority to the long-term effectiveness of the Convention system, to report to it at the next Session on the measures taken and, having in mind the Interlaken 2019 deadline and the Copenhagen Declaration, to prepare a timetable for the preparation and implementation of any further changes required, including an examination of the effect of Protocols Nos. 15 and 16.</w:t>
      </w:r>
    </w:p>
    <w:p w14:paraId="19FF21D2" w14:textId="77777777" w:rsidR="00E81566" w:rsidRPr="0094488B" w:rsidRDefault="00E81566" w:rsidP="004E144F">
      <w:pPr>
        <w:tabs>
          <w:tab w:val="center" w:pos="4819"/>
        </w:tabs>
      </w:pPr>
    </w:p>
    <w:sectPr w:rsidR="00E81566" w:rsidRPr="0094488B"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A4BEA" w14:textId="77777777" w:rsidR="00797045" w:rsidRDefault="00797045" w:rsidP="00FD6043">
      <w:r>
        <w:separator/>
      </w:r>
    </w:p>
  </w:endnote>
  <w:endnote w:type="continuationSeparator" w:id="0">
    <w:p w14:paraId="58E53740" w14:textId="77777777" w:rsidR="00797045" w:rsidRDefault="00797045"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auto"/>
    <w:pitch w:val="variable"/>
    <w:sig w:usb0="00000001" w:usb1="5000607B"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38A4" w14:textId="77777777" w:rsidR="005C4C5D" w:rsidRPr="002F3006" w:rsidRDefault="005C4C5D"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9B3B" w14:textId="77777777" w:rsidR="005C4C5D" w:rsidRPr="00113EB0" w:rsidRDefault="005C4C5D"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5782D" w14:textId="77777777" w:rsidR="00797045" w:rsidRDefault="00797045" w:rsidP="00FD6043">
      <w:r>
        <w:separator/>
      </w:r>
    </w:p>
  </w:footnote>
  <w:footnote w:type="continuationSeparator" w:id="0">
    <w:p w14:paraId="4B75DEEF" w14:textId="77777777" w:rsidR="00797045" w:rsidRDefault="00797045" w:rsidP="00FD6043">
      <w:r>
        <w:continuationSeparator/>
      </w:r>
    </w:p>
  </w:footnote>
  <w:footnote w:id="1">
    <w:p w14:paraId="35CC0D65" w14:textId="688F395C" w:rsidR="00A41F59" w:rsidRPr="006C6746" w:rsidRDefault="00A41F59" w:rsidP="00A41F59">
      <w:pPr>
        <w:pStyle w:val="FootnoteText"/>
        <w:rPr>
          <w:b/>
        </w:rPr>
      </w:pPr>
      <w:r>
        <w:rPr>
          <w:rStyle w:val="FootnoteReference"/>
        </w:rPr>
        <w:footnoteRef/>
      </w:r>
      <w:r w:rsidRPr="00F51C0E">
        <w:t xml:space="preserve"> </w:t>
      </w:r>
      <w:r w:rsidRPr="00354198">
        <w:t>Committee of Ministers’ 12</w:t>
      </w:r>
      <w:r w:rsidRPr="00354198">
        <w:rPr>
          <w:vertAlign w:val="superscript"/>
        </w:rPr>
        <w:t>th</w:t>
      </w:r>
      <w:r w:rsidRPr="00354198">
        <w:t xml:space="preserve"> annual report 2018: Supervision of the execution of judgments and decisions of the European Court of Human Rights.</w:t>
      </w:r>
    </w:p>
  </w:footnote>
  <w:footnote w:id="2">
    <w:p w14:paraId="3723EE35" w14:textId="3235F56C" w:rsidR="005C4C5D" w:rsidRPr="002B62CC" w:rsidRDefault="005C4C5D" w:rsidP="004E144F">
      <w:pPr>
        <w:pStyle w:val="FootnoteText"/>
      </w:pPr>
      <w:r>
        <w:rPr>
          <w:rStyle w:val="FootnoteReference"/>
        </w:rPr>
        <w:footnoteRef/>
      </w:r>
      <w:r>
        <w:t xml:space="preserve"> </w:t>
      </w:r>
      <w:r>
        <w:t>European Court of Human Rights, A</w:t>
      </w:r>
      <w:r w:rsidRPr="002B62CC">
        <w:t>nnual report 201</w:t>
      </w:r>
      <w:r>
        <w:t>8</w:t>
      </w:r>
      <w:r w:rsidRPr="002B62CC">
        <w:t>, p.</w:t>
      </w:r>
      <w:r w:rsidRPr="00486552">
        <w:t>16</w:t>
      </w:r>
      <w:r w:rsidR="009D7A8B">
        <w:t>1</w:t>
      </w:r>
      <w:r w:rsidRPr="004865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172A" w14:textId="675248EC" w:rsidR="005C4C5D" w:rsidRPr="00E54322" w:rsidRDefault="005C4C5D" w:rsidP="00E54322">
    <w:pPr>
      <w:pStyle w:val="Header"/>
    </w:pPr>
    <w:proofErr w:type="gramStart"/>
    <w:r w:rsidRPr="00E54322">
      <w:t>CM(</w:t>
    </w:r>
    <w:proofErr w:type="gramEnd"/>
    <w:r w:rsidRPr="00E54322">
      <w:t>201</w:t>
    </w:r>
    <w:r w:rsidR="00604A1D">
      <w:t>9)</w:t>
    </w:r>
    <w:r w:rsidR="009655F3">
      <w:t>70-</w:t>
    </w:r>
    <w:r w:rsidR="006A5E24">
      <w:t>final</w:t>
    </w:r>
    <w:r w:rsidRPr="00E54322">
      <w:tab/>
    </w:r>
    <w:r w:rsidR="00D032C1">
      <w:rPr>
        <w:noProof/>
      </w:rPr>
      <w:fldChar w:fldCharType="begin"/>
    </w:r>
    <w:r w:rsidR="00D032C1">
      <w:rPr>
        <w:noProof/>
      </w:rPr>
      <w:instrText xml:space="preserve"> PAGE  \* Arabic  \* MERGEFORMAT </w:instrText>
    </w:r>
    <w:r w:rsidR="00D032C1">
      <w:rPr>
        <w:noProof/>
      </w:rPr>
      <w:fldChar w:fldCharType="separate"/>
    </w:r>
    <w:r w:rsidR="006A5E24">
      <w:rPr>
        <w:noProof/>
      </w:rPr>
      <w:t>2</w:t>
    </w:r>
    <w:r w:rsidR="00D032C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BDBF2" w14:textId="0E9CE8B6" w:rsidR="005C4C5D" w:rsidRPr="00E54322" w:rsidRDefault="005C4C5D" w:rsidP="00E54322">
    <w:pPr>
      <w:pStyle w:val="Header"/>
    </w:pPr>
    <w:r w:rsidRPr="00E54322">
      <w:tab/>
    </w:r>
    <w:r w:rsidR="00D032C1">
      <w:rPr>
        <w:noProof/>
      </w:rPr>
      <w:fldChar w:fldCharType="begin"/>
    </w:r>
    <w:r w:rsidR="00D032C1">
      <w:rPr>
        <w:noProof/>
      </w:rPr>
      <w:instrText xml:space="preserve"> PAGE  \* Arabic  \* MERGEFORMAT </w:instrText>
    </w:r>
    <w:r w:rsidR="00D032C1">
      <w:rPr>
        <w:noProof/>
      </w:rPr>
      <w:fldChar w:fldCharType="separate"/>
    </w:r>
    <w:r w:rsidR="006A5E24">
      <w:rPr>
        <w:noProof/>
      </w:rPr>
      <w:t>3</w:t>
    </w:r>
    <w:r w:rsidR="00D032C1">
      <w:rPr>
        <w:noProof/>
      </w:rPr>
      <w:fldChar w:fldCharType="end"/>
    </w:r>
    <w:r w:rsidRPr="00E54322">
      <w:tab/>
    </w:r>
    <w:proofErr w:type="gramStart"/>
    <w:r w:rsidRPr="00E54322">
      <w:t>CM(</w:t>
    </w:r>
    <w:proofErr w:type="gramEnd"/>
    <w:r w:rsidRPr="00E54322">
      <w:t>201</w:t>
    </w:r>
    <w:r w:rsidR="00721569">
      <w:t>9)</w:t>
    </w:r>
    <w:r w:rsidR="009655F3">
      <w:t>70-</w:t>
    </w:r>
    <w:r w:rsidR="006A5E24">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20D2" w14:textId="77777777" w:rsidR="005C4C5D" w:rsidRDefault="005C4C5D" w:rsidP="00123CDD">
    <w:pPr>
      <w:pStyle w:val="Header"/>
      <w:spacing w:after="2280"/>
    </w:pPr>
    <w:r>
      <w:rPr>
        <w:noProof/>
        <w:lang w:eastAsia="en-GB"/>
      </w:rPr>
      <w:drawing>
        <wp:anchor distT="0" distB="0" distL="114300" distR="114300" simplePos="0" relativeHeight="251657728" behindDoc="1" locked="0" layoutInCell="0" allowOverlap="0" wp14:anchorId="56A45043" wp14:editId="78A7EF3B">
          <wp:simplePos x="0" y="0"/>
          <wp:positionH relativeFrom="page">
            <wp:posOffset>309880</wp:posOffset>
          </wp:positionH>
          <wp:positionV relativeFrom="page">
            <wp:posOffset>17780</wp:posOffset>
          </wp:positionV>
          <wp:extent cx="7581900" cy="10724515"/>
          <wp:effectExtent l="0" t="0" r="0" b="63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057C4"/>
    <w:multiLevelType w:val="hybridMultilevel"/>
    <w:tmpl w:val="0D28327C"/>
    <w:lvl w:ilvl="0" w:tplc="BFFA5B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BB1042"/>
    <w:multiLevelType w:val="hybridMultilevel"/>
    <w:tmpl w:val="C4E897F2"/>
    <w:lvl w:ilvl="0" w:tplc="2B8A96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76398F"/>
    <w:multiLevelType w:val="hybridMultilevel"/>
    <w:tmpl w:val="764CB86C"/>
    <w:lvl w:ilvl="0" w:tplc="8316841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6A167C"/>
    <w:multiLevelType w:val="hybridMultilevel"/>
    <w:tmpl w:val="6D5007D6"/>
    <w:lvl w:ilvl="0" w:tplc="2B8A96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81F"/>
    <w:rsid w:val="00000E8C"/>
    <w:rsid w:val="00001499"/>
    <w:rsid w:val="0000339F"/>
    <w:rsid w:val="00004933"/>
    <w:rsid w:val="000058E6"/>
    <w:rsid w:val="0000625D"/>
    <w:rsid w:val="0001238D"/>
    <w:rsid w:val="00013B25"/>
    <w:rsid w:val="00013BC0"/>
    <w:rsid w:val="000162E9"/>
    <w:rsid w:val="00017C45"/>
    <w:rsid w:val="00023461"/>
    <w:rsid w:val="00031AEF"/>
    <w:rsid w:val="00035FDF"/>
    <w:rsid w:val="00041418"/>
    <w:rsid w:val="000416E9"/>
    <w:rsid w:val="00055AD1"/>
    <w:rsid w:val="00061D6D"/>
    <w:rsid w:val="00061E86"/>
    <w:rsid w:val="000639CB"/>
    <w:rsid w:val="00065C47"/>
    <w:rsid w:val="0006736D"/>
    <w:rsid w:val="00071169"/>
    <w:rsid w:val="00071EA7"/>
    <w:rsid w:val="00072CBD"/>
    <w:rsid w:val="00074435"/>
    <w:rsid w:val="0007638D"/>
    <w:rsid w:val="000776F0"/>
    <w:rsid w:val="00082CEE"/>
    <w:rsid w:val="00087F0C"/>
    <w:rsid w:val="00094852"/>
    <w:rsid w:val="000A1A4F"/>
    <w:rsid w:val="000A2619"/>
    <w:rsid w:val="000A307B"/>
    <w:rsid w:val="000B2FC5"/>
    <w:rsid w:val="000B3F24"/>
    <w:rsid w:val="000B4A09"/>
    <w:rsid w:val="000B55C0"/>
    <w:rsid w:val="000B7EDD"/>
    <w:rsid w:val="000C4D76"/>
    <w:rsid w:val="000C52A6"/>
    <w:rsid w:val="000D3563"/>
    <w:rsid w:val="000D4F2B"/>
    <w:rsid w:val="000E50A4"/>
    <w:rsid w:val="000F4CF2"/>
    <w:rsid w:val="000F58C3"/>
    <w:rsid w:val="000F5ADA"/>
    <w:rsid w:val="00106141"/>
    <w:rsid w:val="001105EB"/>
    <w:rsid w:val="00110729"/>
    <w:rsid w:val="00112530"/>
    <w:rsid w:val="00113EB0"/>
    <w:rsid w:val="00114569"/>
    <w:rsid w:val="00115C99"/>
    <w:rsid w:val="00117C75"/>
    <w:rsid w:val="001208B5"/>
    <w:rsid w:val="00123CDD"/>
    <w:rsid w:val="00126275"/>
    <w:rsid w:val="001302DC"/>
    <w:rsid w:val="00131344"/>
    <w:rsid w:val="00134AE0"/>
    <w:rsid w:val="00134D9A"/>
    <w:rsid w:val="00135BDB"/>
    <w:rsid w:val="00140FC8"/>
    <w:rsid w:val="0014266D"/>
    <w:rsid w:val="00147EF4"/>
    <w:rsid w:val="00153BB3"/>
    <w:rsid w:val="00156DC1"/>
    <w:rsid w:val="00160B03"/>
    <w:rsid w:val="00164F41"/>
    <w:rsid w:val="001710DC"/>
    <w:rsid w:val="00171115"/>
    <w:rsid w:val="00175644"/>
    <w:rsid w:val="00180DCD"/>
    <w:rsid w:val="00181ED9"/>
    <w:rsid w:val="00183EA9"/>
    <w:rsid w:val="00184DC7"/>
    <w:rsid w:val="001852A7"/>
    <w:rsid w:val="00186E68"/>
    <w:rsid w:val="00192B2E"/>
    <w:rsid w:val="001A3004"/>
    <w:rsid w:val="001A6076"/>
    <w:rsid w:val="001A782F"/>
    <w:rsid w:val="001B3B0E"/>
    <w:rsid w:val="001B60FE"/>
    <w:rsid w:val="001B7E0B"/>
    <w:rsid w:val="001C6F92"/>
    <w:rsid w:val="001D0593"/>
    <w:rsid w:val="001D0DFB"/>
    <w:rsid w:val="001D12C9"/>
    <w:rsid w:val="001D21BF"/>
    <w:rsid w:val="001E20E9"/>
    <w:rsid w:val="001E25BA"/>
    <w:rsid w:val="001E2849"/>
    <w:rsid w:val="001E36E3"/>
    <w:rsid w:val="001E62C5"/>
    <w:rsid w:val="001E7C29"/>
    <w:rsid w:val="001F297D"/>
    <w:rsid w:val="001F4F04"/>
    <w:rsid w:val="001F583A"/>
    <w:rsid w:val="001F7478"/>
    <w:rsid w:val="002008C8"/>
    <w:rsid w:val="00200E01"/>
    <w:rsid w:val="00202524"/>
    <w:rsid w:val="00203AB1"/>
    <w:rsid w:val="00204883"/>
    <w:rsid w:val="002059D2"/>
    <w:rsid w:val="00207BD7"/>
    <w:rsid w:val="002112D5"/>
    <w:rsid w:val="00214299"/>
    <w:rsid w:val="00216736"/>
    <w:rsid w:val="002248D2"/>
    <w:rsid w:val="002250DD"/>
    <w:rsid w:val="0023241A"/>
    <w:rsid w:val="002331CA"/>
    <w:rsid w:val="0023437D"/>
    <w:rsid w:val="002357D9"/>
    <w:rsid w:val="00242ABB"/>
    <w:rsid w:val="00243D2E"/>
    <w:rsid w:val="0024624F"/>
    <w:rsid w:val="0024660B"/>
    <w:rsid w:val="0024662F"/>
    <w:rsid w:val="00251353"/>
    <w:rsid w:val="00253F78"/>
    <w:rsid w:val="00254BBC"/>
    <w:rsid w:val="00262B36"/>
    <w:rsid w:val="00263649"/>
    <w:rsid w:val="00265917"/>
    <w:rsid w:val="002660DB"/>
    <w:rsid w:val="00266598"/>
    <w:rsid w:val="002734F6"/>
    <w:rsid w:val="00273F86"/>
    <w:rsid w:val="002748D0"/>
    <w:rsid w:val="00281035"/>
    <w:rsid w:val="00285D59"/>
    <w:rsid w:val="002861FB"/>
    <w:rsid w:val="0029057A"/>
    <w:rsid w:val="0029336A"/>
    <w:rsid w:val="00293EE6"/>
    <w:rsid w:val="002A0723"/>
    <w:rsid w:val="002A5A1B"/>
    <w:rsid w:val="002B5FC5"/>
    <w:rsid w:val="002B62CC"/>
    <w:rsid w:val="002C0872"/>
    <w:rsid w:val="002C1FB7"/>
    <w:rsid w:val="002C20BA"/>
    <w:rsid w:val="002C43B5"/>
    <w:rsid w:val="002C4704"/>
    <w:rsid w:val="002D0655"/>
    <w:rsid w:val="002D11B8"/>
    <w:rsid w:val="002D651A"/>
    <w:rsid w:val="002E4089"/>
    <w:rsid w:val="002E4C12"/>
    <w:rsid w:val="002E5869"/>
    <w:rsid w:val="002F0A92"/>
    <w:rsid w:val="002F3006"/>
    <w:rsid w:val="002F405C"/>
    <w:rsid w:val="002F584D"/>
    <w:rsid w:val="002F6A59"/>
    <w:rsid w:val="002F6BB7"/>
    <w:rsid w:val="00300E6B"/>
    <w:rsid w:val="00303712"/>
    <w:rsid w:val="00306150"/>
    <w:rsid w:val="00307AB2"/>
    <w:rsid w:val="0031706C"/>
    <w:rsid w:val="00323B55"/>
    <w:rsid w:val="00326435"/>
    <w:rsid w:val="00326898"/>
    <w:rsid w:val="003271B7"/>
    <w:rsid w:val="00327FED"/>
    <w:rsid w:val="00330D3D"/>
    <w:rsid w:val="003329D3"/>
    <w:rsid w:val="0033454E"/>
    <w:rsid w:val="003350C3"/>
    <w:rsid w:val="003354C4"/>
    <w:rsid w:val="00335CAF"/>
    <w:rsid w:val="003364D1"/>
    <w:rsid w:val="00336A44"/>
    <w:rsid w:val="00347D24"/>
    <w:rsid w:val="003521AF"/>
    <w:rsid w:val="00354198"/>
    <w:rsid w:val="003655BF"/>
    <w:rsid w:val="0037035C"/>
    <w:rsid w:val="003713D7"/>
    <w:rsid w:val="0037200F"/>
    <w:rsid w:val="003738C4"/>
    <w:rsid w:val="00373957"/>
    <w:rsid w:val="00374803"/>
    <w:rsid w:val="00381C50"/>
    <w:rsid w:val="00385587"/>
    <w:rsid w:val="00390051"/>
    <w:rsid w:val="00392D1D"/>
    <w:rsid w:val="00393AD9"/>
    <w:rsid w:val="00395ADD"/>
    <w:rsid w:val="003A0EC0"/>
    <w:rsid w:val="003A1A71"/>
    <w:rsid w:val="003A5509"/>
    <w:rsid w:val="003A5ACD"/>
    <w:rsid w:val="003B140F"/>
    <w:rsid w:val="003B2C8C"/>
    <w:rsid w:val="003B345B"/>
    <w:rsid w:val="003C1507"/>
    <w:rsid w:val="003C28E0"/>
    <w:rsid w:val="003C5480"/>
    <w:rsid w:val="003D23C2"/>
    <w:rsid w:val="003D3B17"/>
    <w:rsid w:val="003D48AE"/>
    <w:rsid w:val="003D6702"/>
    <w:rsid w:val="003D6AC2"/>
    <w:rsid w:val="003F0856"/>
    <w:rsid w:val="003F3D4B"/>
    <w:rsid w:val="0040027C"/>
    <w:rsid w:val="00400868"/>
    <w:rsid w:val="004029B3"/>
    <w:rsid w:val="004068D6"/>
    <w:rsid w:val="004115D5"/>
    <w:rsid w:val="00413EFB"/>
    <w:rsid w:val="004176BF"/>
    <w:rsid w:val="00417FAC"/>
    <w:rsid w:val="00425444"/>
    <w:rsid w:val="004256CB"/>
    <w:rsid w:val="00425ECC"/>
    <w:rsid w:val="004317D0"/>
    <w:rsid w:val="004329B7"/>
    <w:rsid w:val="0043334C"/>
    <w:rsid w:val="0043397F"/>
    <w:rsid w:val="00443709"/>
    <w:rsid w:val="00447040"/>
    <w:rsid w:val="00447D22"/>
    <w:rsid w:val="0045475A"/>
    <w:rsid w:val="004552F7"/>
    <w:rsid w:val="004553F6"/>
    <w:rsid w:val="0046582D"/>
    <w:rsid w:val="00476A68"/>
    <w:rsid w:val="00480D8B"/>
    <w:rsid w:val="00485AD0"/>
    <w:rsid w:val="00486552"/>
    <w:rsid w:val="00487EF6"/>
    <w:rsid w:val="00494103"/>
    <w:rsid w:val="00496B85"/>
    <w:rsid w:val="004A1AA3"/>
    <w:rsid w:val="004A301A"/>
    <w:rsid w:val="004A37E1"/>
    <w:rsid w:val="004A504B"/>
    <w:rsid w:val="004B1ADD"/>
    <w:rsid w:val="004B7868"/>
    <w:rsid w:val="004C0C2F"/>
    <w:rsid w:val="004C11B3"/>
    <w:rsid w:val="004D1622"/>
    <w:rsid w:val="004D2225"/>
    <w:rsid w:val="004E144F"/>
    <w:rsid w:val="004E39C8"/>
    <w:rsid w:val="0050115D"/>
    <w:rsid w:val="00504157"/>
    <w:rsid w:val="0051292E"/>
    <w:rsid w:val="005129D6"/>
    <w:rsid w:val="00530B69"/>
    <w:rsid w:val="00532A03"/>
    <w:rsid w:val="005330D0"/>
    <w:rsid w:val="0054041B"/>
    <w:rsid w:val="0054569B"/>
    <w:rsid w:val="00545B68"/>
    <w:rsid w:val="005509AD"/>
    <w:rsid w:val="00550B6C"/>
    <w:rsid w:val="00562800"/>
    <w:rsid w:val="00564826"/>
    <w:rsid w:val="0056554B"/>
    <w:rsid w:val="00570F58"/>
    <w:rsid w:val="00574663"/>
    <w:rsid w:val="005751AE"/>
    <w:rsid w:val="00583BE1"/>
    <w:rsid w:val="0058570C"/>
    <w:rsid w:val="005925E1"/>
    <w:rsid w:val="00592B5C"/>
    <w:rsid w:val="00593709"/>
    <w:rsid w:val="005A1C8A"/>
    <w:rsid w:val="005A5757"/>
    <w:rsid w:val="005A5BA7"/>
    <w:rsid w:val="005B156E"/>
    <w:rsid w:val="005B1FA1"/>
    <w:rsid w:val="005B26B2"/>
    <w:rsid w:val="005B3604"/>
    <w:rsid w:val="005C316D"/>
    <w:rsid w:val="005C4C5D"/>
    <w:rsid w:val="005C73BB"/>
    <w:rsid w:val="005D19FA"/>
    <w:rsid w:val="005D7CDF"/>
    <w:rsid w:val="005F093B"/>
    <w:rsid w:val="005F3DC6"/>
    <w:rsid w:val="005F5DED"/>
    <w:rsid w:val="005F6460"/>
    <w:rsid w:val="00604A1D"/>
    <w:rsid w:val="00605491"/>
    <w:rsid w:val="006063B5"/>
    <w:rsid w:val="00611CCE"/>
    <w:rsid w:val="00614982"/>
    <w:rsid w:val="00617016"/>
    <w:rsid w:val="00624A21"/>
    <w:rsid w:val="00625A3C"/>
    <w:rsid w:val="00630CB1"/>
    <w:rsid w:val="00631491"/>
    <w:rsid w:val="006314E4"/>
    <w:rsid w:val="00634192"/>
    <w:rsid w:val="006372E6"/>
    <w:rsid w:val="00642EE8"/>
    <w:rsid w:val="00643231"/>
    <w:rsid w:val="00643C3F"/>
    <w:rsid w:val="00643C4E"/>
    <w:rsid w:val="00644AD3"/>
    <w:rsid w:val="006455FA"/>
    <w:rsid w:val="00660638"/>
    <w:rsid w:val="00661A57"/>
    <w:rsid w:val="00671684"/>
    <w:rsid w:val="00671EA2"/>
    <w:rsid w:val="00675691"/>
    <w:rsid w:val="00677F8A"/>
    <w:rsid w:val="006827E4"/>
    <w:rsid w:val="00686A00"/>
    <w:rsid w:val="006908C5"/>
    <w:rsid w:val="00693550"/>
    <w:rsid w:val="006A42C9"/>
    <w:rsid w:val="006A44E0"/>
    <w:rsid w:val="006A5E24"/>
    <w:rsid w:val="006B1B4E"/>
    <w:rsid w:val="006B1E23"/>
    <w:rsid w:val="006C65DB"/>
    <w:rsid w:val="006C6D28"/>
    <w:rsid w:val="006D4701"/>
    <w:rsid w:val="006E0189"/>
    <w:rsid w:val="006E18DA"/>
    <w:rsid w:val="006E4436"/>
    <w:rsid w:val="006F0318"/>
    <w:rsid w:val="006F6004"/>
    <w:rsid w:val="006F62A4"/>
    <w:rsid w:val="006F6B48"/>
    <w:rsid w:val="0070288D"/>
    <w:rsid w:val="007111E3"/>
    <w:rsid w:val="00712E65"/>
    <w:rsid w:val="00713CC7"/>
    <w:rsid w:val="007150DE"/>
    <w:rsid w:val="0072125D"/>
    <w:rsid w:val="00721569"/>
    <w:rsid w:val="00721866"/>
    <w:rsid w:val="00725B22"/>
    <w:rsid w:val="007343FB"/>
    <w:rsid w:val="00735569"/>
    <w:rsid w:val="007363C9"/>
    <w:rsid w:val="0074078A"/>
    <w:rsid w:val="007439DC"/>
    <w:rsid w:val="00753234"/>
    <w:rsid w:val="00753EDB"/>
    <w:rsid w:val="007541C7"/>
    <w:rsid w:val="00755E4A"/>
    <w:rsid w:val="00757241"/>
    <w:rsid w:val="00761627"/>
    <w:rsid w:val="00763980"/>
    <w:rsid w:val="0076607D"/>
    <w:rsid w:val="00766281"/>
    <w:rsid w:val="00766600"/>
    <w:rsid w:val="00773CFE"/>
    <w:rsid w:val="00782E4D"/>
    <w:rsid w:val="00785007"/>
    <w:rsid w:val="007921DA"/>
    <w:rsid w:val="007957AD"/>
    <w:rsid w:val="00796E06"/>
    <w:rsid w:val="00797045"/>
    <w:rsid w:val="007A1338"/>
    <w:rsid w:val="007A1D3D"/>
    <w:rsid w:val="007A3D3A"/>
    <w:rsid w:val="007A543D"/>
    <w:rsid w:val="007A5546"/>
    <w:rsid w:val="007B3DD0"/>
    <w:rsid w:val="007C0AD1"/>
    <w:rsid w:val="007D40E1"/>
    <w:rsid w:val="007D7B20"/>
    <w:rsid w:val="007E168C"/>
    <w:rsid w:val="007E3FE7"/>
    <w:rsid w:val="007E60E0"/>
    <w:rsid w:val="00800A19"/>
    <w:rsid w:val="008042E6"/>
    <w:rsid w:val="00805F04"/>
    <w:rsid w:val="008065A9"/>
    <w:rsid w:val="008067CB"/>
    <w:rsid w:val="00810D5A"/>
    <w:rsid w:val="00811768"/>
    <w:rsid w:val="00812CD8"/>
    <w:rsid w:val="00812D65"/>
    <w:rsid w:val="00814AA2"/>
    <w:rsid w:val="00815D88"/>
    <w:rsid w:val="00821B75"/>
    <w:rsid w:val="00821C0B"/>
    <w:rsid w:val="008229E8"/>
    <w:rsid w:val="0082394F"/>
    <w:rsid w:val="00830BD0"/>
    <w:rsid w:val="00835F86"/>
    <w:rsid w:val="00837C3C"/>
    <w:rsid w:val="0084517C"/>
    <w:rsid w:val="00845954"/>
    <w:rsid w:val="00853C90"/>
    <w:rsid w:val="00854347"/>
    <w:rsid w:val="00856E18"/>
    <w:rsid w:val="008575F2"/>
    <w:rsid w:val="00857C8F"/>
    <w:rsid w:val="00857F73"/>
    <w:rsid w:val="00862666"/>
    <w:rsid w:val="0087380A"/>
    <w:rsid w:val="00873B55"/>
    <w:rsid w:val="0087664E"/>
    <w:rsid w:val="00877E5C"/>
    <w:rsid w:val="00880B3F"/>
    <w:rsid w:val="008A3DB2"/>
    <w:rsid w:val="008A5380"/>
    <w:rsid w:val="008A6C5D"/>
    <w:rsid w:val="008A75E5"/>
    <w:rsid w:val="008B07D4"/>
    <w:rsid w:val="008B3A0C"/>
    <w:rsid w:val="008B479A"/>
    <w:rsid w:val="008C12CC"/>
    <w:rsid w:val="008C3A78"/>
    <w:rsid w:val="008C614E"/>
    <w:rsid w:val="008D1A37"/>
    <w:rsid w:val="008D2FC1"/>
    <w:rsid w:val="008E2DF8"/>
    <w:rsid w:val="008E7020"/>
    <w:rsid w:val="008F17A4"/>
    <w:rsid w:val="008F2E9A"/>
    <w:rsid w:val="008F706B"/>
    <w:rsid w:val="009011BA"/>
    <w:rsid w:val="00903EFD"/>
    <w:rsid w:val="00913250"/>
    <w:rsid w:val="009162AE"/>
    <w:rsid w:val="00916BF5"/>
    <w:rsid w:val="009215B8"/>
    <w:rsid w:val="00922D50"/>
    <w:rsid w:val="00923554"/>
    <w:rsid w:val="009270C4"/>
    <w:rsid w:val="00940F14"/>
    <w:rsid w:val="00941EE7"/>
    <w:rsid w:val="009424A5"/>
    <w:rsid w:val="00942B70"/>
    <w:rsid w:val="009432D0"/>
    <w:rsid w:val="0094488B"/>
    <w:rsid w:val="00945197"/>
    <w:rsid w:val="00945320"/>
    <w:rsid w:val="009463B5"/>
    <w:rsid w:val="00947672"/>
    <w:rsid w:val="00950D67"/>
    <w:rsid w:val="009527D7"/>
    <w:rsid w:val="009553A8"/>
    <w:rsid w:val="00955512"/>
    <w:rsid w:val="009624CB"/>
    <w:rsid w:val="00963962"/>
    <w:rsid w:val="009655F3"/>
    <w:rsid w:val="0097273E"/>
    <w:rsid w:val="00972C08"/>
    <w:rsid w:val="00974C41"/>
    <w:rsid w:val="009757DF"/>
    <w:rsid w:val="00976AC4"/>
    <w:rsid w:val="009835EF"/>
    <w:rsid w:val="00984C71"/>
    <w:rsid w:val="00986F86"/>
    <w:rsid w:val="00990967"/>
    <w:rsid w:val="009A31D2"/>
    <w:rsid w:val="009A62DA"/>
    <w:rsid w:val="009A62FB"/>
    <w:rsid w:val="009A6A05"/>
    <w:rsid w:val="009A73EB"/>
    <w:rsid w:val="009A783E"/>
    <w:rsid w:val="009A7E4B"/>
    <w:rsid w:val="009B00CB"/>
    <w:rsid w:val="009B1392"/>
    <w:rsid w:val="009B272D"/>
    <w:rsid w:val="009B3AB7"/>
    <w:rsid w:val="009B3B57"/>
    <w:rsid w:val="009B3CD1"/>
    <w:rsid w:val="009B69CE"/>
    <w:rsid w:val="009C0BB7"/>
    <w:rsid w:val="009C5258"/>
    <w:rsid w:val="009D28F3"/>
    <w:rsid w:val="009D3CC9"/>
    <w:rsid w:val="009D7A8B"/>
    <w:rsid w:val="009E1F89"/>
    <w:rsid w:val="009E3A54"/>
    <w:rsid w:val="009F0E13"/>
    <w:rsid w:val="009F27B7"/>
    <w:rsid w:val="009F2875"/>
    <w:rsid w:val="009F4398"/>
    <w:rsid w:val="009F6F71"/>
    <w:rsid w:val="00A018F9"/>
    <w:rsid w:val="00A12DEC"/>
    <w:rsid w:val="00A15495"/>
    <w:rsid w:val="00A16AC5"/>
    <w:rsid w:val="00A174C6"/>
    <w:rsid w:val="00A22D53"/>
    <w:rsid w:val="00A240AB"/>
    <w:rsid w:val="00A25E3F"/>
    <w:rsid w:val="00A2729F"/>
    <w:rsid w:val="00A37E36"/>
    <w:rsid w:val="00A37E7E"/>
    <w:rsid w:val="00A41F59"/>
    <w:rsid w:val="00A45407"/>
    <w:rsid w:val="00A45F7B"/>
    <w:rsid w:val="00A474E5"/>
    <w:rsid w:val="00A60F0F"/>
    <w:rsid w:val="00A6635F"/>
    <w:rsid w:val="00A842D4"/>
    <w:rsid w:val="00A844BE"/>
    <w:rsid w:val="00A93CA3"/>
    <w:rsid w:val="00A93F4F"/>
    <w:rsid w:val="00AA0307"/>
    <w:rsid w:val="00AA7533"/>
    <w:rsid w:val="00AB5213"/>
    <w:rsid w:val="00AB6552"/>
    <w:rsid w:val="00AB67F8"/>
    <w:rsid w:val="00AB7727"/>
    <w:rsid w:val="00AB7BCA"/>
    <w:rsid w:val="00AC10FE"/>
    <w:rsid w:val="00AC707A"/>
    <w:rsid w:val="00AC73AA"/>
    <w:rsid w:val="00AD40E3"/>
    <w:rsid w:val="00AD55FB"/>
    <w:rsid w:val="00AD7789"/>
    <w:rsid w:val="00AE76B8"/>
    <w:rsid w:val="00AF0E51"/>
    <w:rsid w:val="00B00015"/>
    <w:rsid w:val="00B06133"/>
    <w:rsid w:val="00B100B2"/>
    <w:rsid w:val="00B10667"/>
    <w:rsid w:val="00B1281F"/>
    <w:rsid w:val="00B129D8"/>
    <w:rsid w:val="00B12D0F"/>
    <w:rsid w:val="00B212F7"/>
    <w:rsid w:val="00B227AE"/>
    <w:rsid w:val="00B2575A"/>
    <w:rsid w:val="00B25A6D"/>
    <w:rsid w:val="00B33653"/>
    <w:rsid w:val="00B365D9"/>
    <w:rsid w:val="00B3666A"/>
    <w:rsid w:val="00B41B03"/>
    <w:rsid w:val="00B41EC3"/>
    <w:rsid w:val="00B4294E"/>
    <w:rsid w:val="00B45B84"/>
    <w:rsid w:val="00B46C3F"/>
    <w:rsid w:val="00B50219"/>
    <w:rsid w:val="00B51C46"/>
    <w:rsid w:val="00B60A47"/>
    <w:rsid w:val="00B60A6A"/>
    <w:rsid w:val="00B63F08"/>
    <w:rsid w:val="00B73DF8"/>
    <w:rsid w:val="00B752B9"/>
    <w:rsid w:val="00B77869"/>
    <w:rsid w:val="00B81BAC"/>
    <w:rsid w:val="00B849E0"/>
    <w:rsid w:val="00B85BEE"/>
    <w:rsid w:val="00B85D30"/>
    <w:rsid w:val="00B86581"/>
    <w:rsid w:val="00B90246"/>
    <w:rsid w:val="00B920E4"/>
    <w:rsid w:val="00BA411F"/>
    <w:rsid w:val="00BA5C87"/>
    <w:rsid w:val="00BA79A3"/>
    <w:rsid w:val="00BA7C7E"/>
    <w:rsid w:val="00BB03B4"/>
    <w:rsid w:val="00BB132A"/>
    <w:rsid w:val="00BB7DCE"/>
    <w:rsid w:val="00BC0479"/>
    <w:rsid w:val="00BC6EBA"/>
    <w:rsid w:val="00BD0AC6"/>
    <w:rsid w:val="00BD25C0"/>
    <w:rsid w:val="00BD5F60"/>
    <w:rsid w:val="00BD7FD4"/>
    <w:rsid w:val="00BE31AE"/>
    <w:rsid w:val="00BE5ED5"/>
    <w:rsid w:val="00BF3BF8"/>
    <w:rsid w:val="00BF78B3"/>
    <w:rsid w:val="00C01EE1"/>
    <w:rsid w:val="00C0231B"/>
    <w:rsid w:val="00C02D62"/>
    <w:rsid w:val="00C0322F"/>
    <w:rsid w:val="00C049EE"/>
    <w:rsid w:val="00C1004E"/>
    <w:rsid w:val="00C109FD"/>
    <w:rsid w:val="00C146B1"/>
    <w:rsid w:val="00C146EA"/>
    <w:rsid w:val="00C14769"/>
    <w:rsid w:val="00C14C2C"/>
    <w:rsid w:val="00C1694B"/>
    <w:rsid w:val="00C17716"/>
    <w:rsid w:val="00C21153"/>
    <w:rsid w:val="00C22A89"/>
    <w:rsid w:val="00C2673F"/>
    <w:rsid w:val="00C372DC"/>
    <w:rsid w:val="00C409C2"/>
    <w:rsid w:val="00C426BC"/>
    <w:rsid w:val="00C45C83"/>
    <w:rsid w:val="00C60BF1"/>
    <w:rsid w:val="00C66DC3"/>
    <w:rsid w:val="00C71EAA"/>
    <w:rsid w:val="00C7284B"/>
    <w:rsid w:val="00C73C29"/>
    <w:rsid w:val="00C74E6F"/>
    <w:rsid w:val="00C762FC"/>
    <w:rsid w:val="00C80DF0"/>
    <w:rsid w:val="00C8348A"/>
    <w:rsid w:val="00C90F8C"/>
    <w:rsid w:val="00C92F89"/>
    <w:rsid w:val="00C96539"/>
    <w:rsid w:val="00C967CE"/>
    <w:rsid w:val="00C97BCF"/>
    <w:rsid w:val="00CA1FE3"/>
    <w:rsid w:val="00CA2C87"/>
    <w:rsid w:val="00CA5958"/>
    <w:rsid w:val="00CB29D6"/>
    <w:rsid w:val="00CB662C"/>
    <w:rsid w:val="00CB7BFF"/>
    <w:rsid w:val="00CC39DC"/>
    <w:rsid w:val="00CC70CB"/>
    <w:rsid w:val="00CE1FF8"/>
    <w:rsid w:val="00CE3C22"/>
    <w:rsid w:val="00CE4890"/>
    <w:rsid w:val="00CE4937"/>
    <w:rsid w:val="00CE6FD2"/>
    <w:rsid w:val="00CF0F76"/>
    <w:rsid w:val="00CF1A42"/>
    <w:rsid w:val="00D00086"/>
    <w:rsid w:val="00D00815"/>
    <w:rsid w:val="00D0182E"/>
    <w:rsid w:val="00D0265B"/>
    <w:rsid w:val="00D032C1"/>
    <w:rsid w:val="00D15C6F"/>
    <w:rsid w:val="00D231CA"/>
    <w:rsid w:val="00D24044"/>
    <w:rsid w:val="00D24A57"/>
    <w:rsid w:val="00D31799"/>
    <w:rsid w:val="00D36D47"/>
    <w:rsid w:val="00D377FA"/>
    <w:rsid w:val="00D42001"/>
    <w:rsid w:val="00D45592"/>
    <w:rsid w:val="00D45E8F"/>
    <w:rsid w:val="00D4669D"/>
    <w:rsid w:val="00D475EB"/>
    <w:rsid w:val="00D50273"/>
    <w:rsid w:val="00D52DFB"/>
    <w:rsid w:val="00D53526"/>
    <w:rsid w:val="00D53E61"/>
    <w:rsid w:val="00D554E6"/>
    <w:rsid w:val="00D60AD9"/>
    <w:rsid w:val="00D70628"/>
    <w:rsid w:val="00D809F7"/>
    <w:rsid w:val="00D864F9"/>
    <w:rsid w:val="00D87689"/>
    <w:rsid w:val="00DA0629"/>
    <w:rsid w:val="00DA7643"/>
    <w:rsid w:val="00DB029C"/>
    <w:rsid w:val="00DB6CEB"/>
    <w:rsid w:val="00DC162E"/>
    <w:rsid w:val="00DC3DE9"/>
    <w:rsid w:val="00DC4A39"/>
    <w:rsid w:val="00DC5FA6"/>
    <w:rsid w:val="00DD1873"/>
    <w:rsid w:val="00DE0A21"/>
    <w:rsid w:val="00DE4C2C"/>
    <w:rsid w:val="00DF6796"/>
    <w:rsid w:val="00E01452"/>
    <w:rsid w:val="00E02EB6"/>
    <w:rsid w:val="00E03EE5"/>
    <w:rsid w:val="00E05793"/>
    <w:rsid w:val="00E125C6"/>
    <w:rsid w:val="00E15639"/>
    <w:rsid w:val="00E173B5"/>
    <w:rsid w:val="00E233E8"/>
    <w:rsid w:val="00E24C57"/>
    <w:rsid w:val="00E25A5F"/>
    <w:rsid w:val="00E33AFD"/>
    <w:rsid w:val="00E35B9E"/>
    <w:rsid w:val="00E4220D"/>
    <w:rsid w:val="00E42666"/>
    <w:rsid w:val="00E457C3"/>
    <w:rsid w:val="00E475F9"/>
    <w:rsid w:val="00E50974"/>
    <w:rsid w:val="00E532FB"/>
    <w:rsid w:val="00E54322"/>
    <w:rsid w:val="00E55E5C"/>
    <w:rsid w:val="00E5611A"/>
    <w:rsid w:val="00E56FD2"/>
    <w:rsid w:val="00E60AD4"/>
    <w:rsid w:val="00E6316D"/>
    <w:rsid w:val="00E64E0D"/>
    <w:rsid w:val="00E6589C"/>
    <w:rsid w:val="00E66E3C"/>
    <w:rsid w:val="00E672AC"/>
    <w:rsid w:val="00E67CD5"/>
    <w:rsid w:val="00E713E7"/>
    <w:rsid w:val="00E81566"/>
    <w:rsid w:val="00E815E7"/>
    <w:rsid w:val="00E86611"/>
    <w:rsid w:val="00E8747B"/>
    <w:rsid w:val="00E926C2"/>
    <w:rsid w:val="00E940BF"/>
    <w:rsid w:val="00EA1816"/>
    <w:rsid w:val="00EA25B1"/>
    <w:rsid w:val="00EA4690"/>
    <w:rsid w:val="00EA643A"/>
    <w:rsid w:val="00EA64C8"/>
    <w:rsid w:val="00EA74B1"/>
    <w:rsid w:val="00EB0829"/>
    <w:rsid w:val="00EB7B42"/>
    <w:rsid w:val="00EC051B"/>
    <w:rsid w:val="00EC463D"/>
    <w:rsid w:val="00ED2FB8"/>
    <w:rsid w:val="00ED47D3"/>
    <w:rsid w:val="00EE34E3"/>
    <w:rsid w:val="00EE3EC3"/>
    <w:rsid w:val="00EE5B34"/>
    <w:rsid w:val="00EF0B48"/>
    <w:rsid w:val="00EF27E4"/>
    <w:rsid w:val="00F00512"/>
    <w:rsid w:val="00F01885"/>
    <w:rsid w:val="00F03B7A"/>
    <w:rsid w:val="00F03E8B"/>
    <w:rsid w:val="00F063B9"/>
    <w:rsid w:val="00F104E3"/>
    <w:rsid w:val="00F12210"/>
    <w:rsid w:val="00F149DC"/>
    <w:rsid w:val="00F168A4"/>
    <w:rsid w:val="00F20C63"/>
    <w:rsid w:val="00F2380B"/>
    <w:rsid w:val="00F24713"/>
    <w:rsid w:val="00F33B22"/>
    <w:rsid w:val="00F40699"/>
    <w:rsid w:val="00F41EAE"/>
    <w:rsid w:val="00F433D6"/>
    <w:rsid w:val="00F52E21"/>
    <w:rsid w:val="00F54128"/>
    <w:rsid w:val="00F55836"/>
    <w:rsid w:val="00F577D8"/>
    <w:rsid w:val="00F617F3"/>
    <w:rsid w:val="00F61D34"/>
    <w:rsid w:val="00F6312E"/>
    <w:rsid w:val="00F76BBD"/>
    <w:rsid w:val="00F81B12"/>
    <w:rsid w:val="00F83DE0"/>
    <w:rsid w:val="00F87AF1"/>
    <w:rsid w:val="00F9168B"/>
    <w:rsid w:val="00F916EE"/>
    <w:rsid w:val="00F95C25"/>
    <w:rsid w:val="00F96689"/>
    <w:rsid w:val="00F96759"/>
    <w:rsid w:val="00FA0F01"/>
    <w:rsid w:val="00FA2DCD"/>
    <w:rsid w:val="00FA3AD9"/>
    <w:rsid w:val="00FB7A7E"/>
    <w:rsid w:val="00FC215A"/>
    <w:rsid w:val="00FC63EE"/>
    <w:rsid w:val="00FC7CBA"/>
    <w:rsid w:val="00FD6043"/>
    <w:rsid w:val="00FE377A"/>
    <w:rsid w:val="00FF1D60"/>
    <w:rsid w:val="00FF2641"/>
    <w:rsid w:val="00FF3BAB"/>
    <w:rsid w:val="00FF66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8BD7"/>
  <w15:docId w15:val="{84B2B788-D062-42D1-93A2-FE3801BC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GB" w:eastAsia="en-GB"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n,footnotes,SUPERS,ftx"/>
    <w:basedOn w:val="Normal"/>
    <w:link w:val="FootnoteTextChar"/>
    <w:uiPriority w:val="99"/>
    <w:unhideWhenUsed/>
    <w:rsid w:val="009C5258"/>
    <w:rPr>
      <w:sz w:val="16"/>
      <w:szCs w:val="20"/>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n Char"/>
    <w:link w:val="FootnoteText"/>
    <w:uiPriority w:val="99"/>
    <w:rsid w:val="009C5258"/>
    <w:rPr>
      <w:rFonts w:ascii="Arial" w:hAnsi="Arial"/>
      <w:sz w:val="16"/>
      <w:lang w:val="fr-FR" w:eastAsia="en-US"/>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
    <w:link w:val="calloutCharCharCharChar"/>
    <w:uiPriority w:val="99"/>
    <w:unhideWhenUsed/>
    <w:rsid w:val="00853C90"/>
    <w:rPr>
      <w:vertAlign w:val="superscript"/>
    </w:rPr>
  </w:style>
  <w:style w:type="paragraph" w:styleId="ListParagraph">
    <w:name w:val="List Paragraph"/>
    <w:basedOn w:val="Normal"/>
    <w:link w:val="ListParagraphChar"/>
    <w:uiPriority w:val="34"/>
    <w:qFormat/>
    <w:rsid w:val="00B1281F"/>
    <w:pPr>
      <w:suppressAutoHyphens/>
      <w:ind w:left="708"/>
    </w:pPr>
    <w:rPr>
      <w:rFonts w:eastAsia="Times New Roman" w:cs="Arial"/>
      <w:szCs w:val="24"/>
      <w:lang w:val="fr-FR" w:eastAsia="zh-CN"/>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rsid w:val="00B1281F"/>
    <w:pPr>
      <w:spacing w:after="160" w:line="240" w:lineRule="exact"/>
    </w:pPr>
    <w:rPr>
      <w:rFonts w:ascii="Calibri" w:hAnsi="Calibri"/>
      <w:szCs w:val="20"/>
      <w:vertAlign w:val="superscript"/>
      <w:lang w:eastAsia="en-GB"/>
    </w:rPr>
  </w:style>
  <w:style w:type="character" w:customStyle="1" w:styleId="ListParagraphChar">
    <w:name w:val="List Paragraph Char"/>
    <w:link w:val="ListParagraph"/>
    <w:uiPriority w:val="34"/>
    <w:rsid w:val="00B1281F"/>
    <w:rPr>
      <w:rFonts w:ascii="Arial" w:eastAsia="Times New Roman" w:hAnsi="Arial" w:cs="Arial"/>
      <w:szCs w:val="24"/>
      <w:lang w:val="fr-FR" w:eastAsia="zh-CN"/>
    </w:rPr>
  </w:style>
  <w:style w:type="paragraph" w:customStyle="1" w:styleId="Default">
    <w:name w:val="Default"/>
    <w:rsid w:val="00B1281F"/>
    <w:pPr>
      <w:autoSpaceDE w:val="0"/>
      <w:autoSpaceDN w:val="0"/>
      <w:adjustRightInd w:val="0"/>
    </w:pPr>
    <w:rPr>
      <w:rFonts w:ascii="Myriad Pro" w:eastAsia="Times New Roman" w:hAnsi="Myriad Pro" w:cs="Myriad Pro"/>
      <w:color w:val="000000"/>
      <w:lang w:val="en-US" w:eastAsia="en-US"/>
    </w:rPr>
  </w:style>
  <w:style w:type="paragraph" w:customStyle="1" w:styleId="Pa11">
    <w:name w:val="Pa11"/>
    <w:basedOn w:val="Default"/>
    <w:next w:val="Default"/>
    <w:uiPriority w:val="99"/>
    <w:rsid w:val="00B1281F"/>
    <w:pPr>
      <w:spacing w:line="201" w:lineRule="atLeast"/>
    </w:pPr>
    <w:rPr>
      <w:rFonts w:cs="Times New Roman"/>
      <w:color w:val="auto"/>
    </w:rPr>
  </w:style>
  <w:style w:type="character" w:styleId="Strong">
    <w:name w:val="Strong"/>
    <w:basedOn w:val="DefaultParagraphFont"/>
    <w:uiPriority w:val="22"/>
    <w:qFormat/>
    <w:rsid w:val="00A018F9"/>
    <w:rPr>
      <w:b/>
      <w:bCs/>
    </w:rPr>
  </w:style>
  <w:style w:type="character" w:customStyle="1" w:styleId="apple-converted-space">
    <w:name w:val="apple-converted-space"/>
    <w:basedOn w:val="DefaultParagraphFont"/>
    <w:rsid w:val="00763980"/>
  </w:style>
  <w:style w:type="paragraph" w:customStyle="1" w:styleId="msolistparagraphcxspmiddle">
    <w:name w:val="msolistparagraphcxspmiddle"/>
    <w:basedOn w:val="Normal"/>
    <w:rsid w:val="00763980"/>
    <w:pPr>
      <w:spacing w:beforeLines="1" w:afterLines="1"/>
    </w:pPr>
    <w:rPr>
      <w:rFonts w:ascii="Times" w:hAnsi="Times"/>
      <w:sz w:val="20"/>
      <w:szCs w:val="20"/>
      <w:lang w:val="fr-FR" w:eastAsia="fr-FR"/>
    </w:rPr>
  </w:style>
  <w:style w:type="paragraph" w:customStyle="1" w:styleId="msolistparagraphcxsplast">
    <w:name w:val="msolistparagraphcxsplast"/>
    <w:basedOn w:val="Normal"/>
    <w:rsid w:val="00763980"/>
    <w:pPr>
      <w:spacing w:beforeLines="1" w:afterLines="1"/>
    </w:pPr>
    <w:rPr>
      <w:rFonts w:ascii="Times" w:hAnsi="Times"/>
      <w:sz w:val="20"/>
      <w:szCs w:val="20"/>
      <w:lang w:val="fr-FR" w:eastAsia="fr-FR"/>
    </w:rPr>
  </w:style>
  <w:style w:type="paragraph" w:styleId="NormalWeb">
    <w:name w:val="Normal (Web)"/>
    <w:basedOn w:val="Normal"/>
    <w:uiPriority w:val="99"/>
    <w:rsid w:val="00496B85"/>
    <w:pPr>
      <w:spacing w:beforeLines="1" w:afterLines="1"/>
    </w:pPr>
    <w:rPr>
      <w:rFonts w:ascii="Times" w:hAnsi="Times"/>
      <w:sz w:val="20"/>
      <w:szCs w:val="20"/>
      <w:lang w:val="fr-FR" w:eastAsia="fr-FR"/>
    </w:rPr>
  </w:style>
  <w:style w:type="character" w:styleId="Emphasis">
    <w:name w:val="Emphasis"/>
    <w:basedOn w:val="DefaultParagraphFont"/>
    <w:uiPriority w:val="20"/>
    <w:rsid w:val="00D15C6F"/>
    <w:rPr>
      <w:i/>
    </w:rPr>
  </w:style>
  <w:style w:type="paragraph" w:styleId="Revision">
    <w:name w:val="Revision"/>
    <w:hidden/>
    <w:semiHidden/>
    <w:rsid w:val="00C146EA"/>
    <w:rPr>
      <w:rFonts w:ascii="Arial" w:hAnsi="Arial"/>
      <w:szCs w:val="22"/>
      <w:lang w:eastAsia="en-US"/>
    </w:rPr>
  </w:style>
  <w:style w:type="character" w:customStyle="1" w:styleId="UnresolvedMention1">
    <w:name w:val="Unresolved Mention1"/>
    <w:basedOn w:val="DefaultParagraphFont"/>
    <w:uiPriority w:val="99"/>
    <w:semiHidden/>
    <w:unhideWhenUsed/>
    <w:rsid w:val="001F5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7825">
      <w:bodyDiv w:val="1"/>
      <w:marLeft w:val="0"/>
      <w:marRight w:val="0"/>
      <w:marTop w:val="0"/>
      <w:marBottom w:val="0"/>
      <w:divBdr>
        <w:top w:val="none" w:sz="0" w:space="0" w:color="auto"/>
        <w:left w:val="none" w:sz="0" w:space="0" w:color="auto"/>
        <w:bottom w:val="none" w:sz="0" w:space="0" w:color="auto"/>
        <w:right w:val="none" w:sz="0" w:space="0" w:color="auto"/>
      </w:divBdr>
    </w:div>
    <w:div w:id="166986787">
      <w:bodyDiv w:val="1"/>
      <w:marLeft w:val="0"/>
      <w:marRight w:val="0"/>
      <w:marTop w:val="0"/>
      <w:marBottom w:val="0"/>
      <w:divBdr>
        <w:top w:val="none" w:sz="0" w:space="0" w:color="auto"/>
        <w:left w:val="none" w:sz="0" w:space="0" w:color="auto"/>
        <w:bottom w:val="none" w:sz="0" w:space="0" w:color="auto"/>
        <w:right w:val="none" w:sz="0" w:space="0" w:color="auto"/>
      </w:divBdr>
    </w:div>
    <w:div w:id="422072733">
      <w:bodyDiv w:val="1"/>
      <w:marLeft w:val="0"/>
      <w:marRight w:val="0"/>
      <w:marTop w:val="0"/>
      <w:marBottom w:val="0"/>
      <w:divBdr>
        <w:top w:val="none" w:sz="0" w:space="0" w:color="auto"/>
        <w:left w:val="none" w:sz="0" w:space="0" w:color="auto"/>
        <w:bottom w:val="none" w:sz="0" w:space="0" w:color="auto"/>
        <w:right w:val="none" w:sz="0" w:space="0" w:color="auto"/>
      </w:divBdr>
    </w:div>
    <w:div w:id="772242172">
      <w:bodyDiv w:val="1"/>
      <w:marLeft w:val="0"/>
      <w:marRight w:val="0"/>
      <w:marTop w:val="0"/>
      <w:marBottom w:val="0"/>
      <w:divBdr>
        <w:top w:val="none" w:sz="0" w:space="0" w:color="auto"/>
        <w:left w:val="none" w:sz="0" w:space="0" w:color="auto"/>
        <w:bottom w:val="none" w:sz="0" w:space="0" w:color="auto"/>
        <w:right w:val="none" w:sz="0" w:space="0" w:color="auto"/>
      </w:divBdr>
      <w:divsChild>
        <w:div w:id="315425023">
          <w:marLeft w:val="0"/>
          <w:marRight w:val="0"/>
          <w:marTop w:val="0"/>
          <w:marBottom w:val="0"/>
          <w:divBdr>
            <w:top w:val="none" w:sz="0" w:space="0" w:color="auto"/>
            <w:left w:val="none" w:sz="0" w:space="0" w:color="auto"/>
            <w:bottom w:val="none" w:sz="0" w:space="0" w:color="auto"/>
            <w:right w:val="none" w:sz="0" w:space="0" w:color="auto"/>
          </w:divBdr>
          <w:divsChild>
            <w:div w:id="113182714">
              <w:marLeft w:val="0"/>
              <w:marRight w:val="0"/>
              <w:marTop w:val="0"/>
              <w:marBottom w:val="0"/>
              <w:divBdr>
                <w:top w:val="none" w:sz="0" w:space="0" w:color="auto"/>
                <w:left w:val="none" w:sz="0" w:space="0" w:color="auto"/>
                <w:bottom w:val="none" w:sz="0" w:space="0" w:color="auto"/>
                <w:right w:val="none" w:sz="0" w:space="0" w:color="auto"/>
              </w:divBdr>
              <w:divsChild>
                <w:div w:id="5588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6583">
      <w:bodyDiv w:val="1"/>
      <w:marLeft w:val="0"/>
      <w:marRight w:val="0"/>
      <w:marTop w:val="0"/>
      <w:marBottom w:val="0"/>
      <w:divBdr>
        <w:top w:val="none" w:sz="0" w:space="0" w:color="auto"/>
        <w:left w:val="none" w:sz="0" w:space="0" w:color="auto"/>
        <w:bottom w:val="none" w:sz="0" w:space="0" w:color="auto"/>
        <w:right w:val="none" w:sz="0" w:space="0" w:color="auto"/>
      </w:divBdr>
    </w:div>
    <w:div w:id="967782782">
      <w:bodyDiv w:val="1"/>
      <w:marLeft w:val="0"/>
      <w:marRight w:val="0"/>
      <w:marTop w:val="0"/>
      <w:marBottom w:val="0"/>
      <w:divBdr>
        <w:top w:val="none" w:sz="0" w:space="0" w:color="auto"/>
        <w:left w:val="none" w:sz="0" w:space="0" w:color="auto"/>
        <w:bottom w:val="none" w:sz="0" w:space="0" w:color="auto"/>
        <w:right w:val="none" w:sz="0" w:space="0" w:color="auto"/>
      </w:divBdr>
    </w:div>
    <w:div w:id="1373847476">
      <w:bodyDiv w:val="1"/>
      <w:marLeft w:val="0"/>
      <w:marRight w:val="0"/>
      <w:marTop w:val="0"/>
      <w:marBottom w:val="0"/>
      <w:divBdr>
        <w:top w:val="none" w:sz="0" w:space="0" w:color="auto"/>
        <w:left w:val="none" w:sz="0" w:space="0" w:color="auto"/>
        <w:bottom w:val="none" w:sz="0" w:space="0" w:color="auto"/>
        <w:right w:val="none" w:sz="0" w:space="0" w:color="auto"/>
      </w:divBdr>
    </w:div>
    <w:div w:id="1485391475">
      <w:bodyDiv w:val="1"/>
      <w:marLeft w:val="0"/>
      <w:marRight w:val="0"/>
      <w:marTop w:val="0"/>
      <w:marBottom w:val="0"/>
      <w:divBdr>
        <w:top w:val="none" w:sz="0" w:space="0" w:color="auto"/>
        <w:left w:val="none" w:sz="0" w:space="0" w:color="auto"/>
        <w:bottom w:val="none" w:sz="0" w:space="0" w:color="auto"/>
        <w:right w:val="none" w:sz="0" w:space="0" w:color="auto"/>
      </w:divBdr>
    </w:div>
    <w:div w:id="1829976111">
      <w:bodyDiv w:val="1"/>
      <w:marLeft w:val="0"/>
      <w:marRight w:val="0"/>
      <w:marTop w:val="0"/>
      <w:marBottom w:val="0"/>
      <w:divBdr>
        <w:top w:val="none" w:sz="0" w:space="0" w:color="auto"/>
        <w:left w:val="none" w:sz="0" w:space="0" w:color="auto"/>
        <w:bottom w:val="none" w:sz="0" w:space="0" w:color="auto"/>
        <w:right w:val="none" w:sz="0" w:space="0" w:color="auto"/>
      </w:divBdr>
    </w:div>
    <w:div w:id="1848903986">
      <w:bodyDiv w:val="1"/>
      <w:marLeft w:val="0"/>
      <w:marRight w:val="0"/>
      <w:marTop w:val="0"/>
      <w:marBottom w:val="0"/>
      <w:divBdr>
        <w:top w:val="none" w:sz="0" w:space="0" w:color="auto"/>
        <w:left w:val="none" w:sz="0" w:space="0" w:color="auto"/>
        <w:bottom w:val="none" w:sz="0" w:space="0" w:color="auto"/>
        <w:right w:val="none" w:sz="0" w:space="0" w:color="auto"/>
      </w:divBdr>
    </w:div>
    <w:div w:id="1864709032">
      <w:bodyDiv w:val="1"/>
      <w:marLeft w:val="0"/>
      <w:marRight w:val="0"/>
      <w:marTop w:val="0"/>
      <w:marBottom w:val="0"/>
      <w:divBdr>
        <w:top w:val="none" w:sz="0" w:space="0" w:color="auto"/>
        <w:left w:val="none" w:sz="0" w:space="0" w:color="auto"/>
        <w:bottom w:val="none" w:sz="0" w:space="0" w:color="auto"/>
        <w:right w:val="none" w:sz="0" w:space="0" w:color="auto"/>
      </w:divBdr>
      <w:divsChild>
        <w:div w:id="1724711365">
          <w:marLeft w:val="0"/>
          <w:marRight w:val="0"/>
          <w:marTop w:val="0"/>
          <w:marBottom w:val="0"/>
          <w:divBdr>
            <w:top w:val="none" w:sz="0" w:space="0" w:color="auto"/>
            <w:left w:val="none" w:sz="0" w:space="0" w:color="auto"/>
            <w:bottom w:val="none" w:sz="0" w:space="0" w:color="auto"/>
            <w:right w:val="none" w:sz="0" w:space="0" w:color="auto"/>
          </w:divBdr>
        </w:div>
        <w:div w:id="1414201723">
          <w:marLeft w:val="0"/>
          <w:marRight w:val="0"/>
          <w:marTop w:val="0"/>
          <w:marBottom w:val="0"/>
          <w:divBdr>
            <w:top w:val="none" w:sz="0" w:space="0" w:color="auto"/>
            <w:left w:val="none" w:sz="0" w:space="0" w:color="auto"/>
            <w:bottom w:val="none" w:sz="0" w:space="0" w:color="auto"/>
            <w:right w:val="none" w:sz="0" w:space="0" w:color="auto"/>
          </w:divBdr>
          <w:divsChild>
            <w:div w:id="81797741">
              <w:marLeft w:val="0"/>
              <w:marRight w:val="0"/>
              <w:marTop w:val="0"/>
              <w:marBottom w:val="0"/>
              <w:divBdr>
                <w:top w:val="none" w:sz="0" w:space="0" w:color="auto"/>
                <w:left w:val="none" w:sz="0" w:space="0" w:color="auto"/>
                <w:bottom w:val="none" w:sz="0" w:space="0" w:color="auto"/>
                <w:right w:val="none" w:sz="0" w:space="0" w:color="auto"/>
              </w:divBdr>
              <w:divsChild>
                <w:div w:id="454451560">
                  <w:marLeft w:val="0"/>
                  <w:marRight w:val="0"/>
                  <w:marTop w:val="0"/>
                  <w:marBottom w:val="0"/>
                  <w:divBdr>
                    <w:top w:val="none" w:sz="0" w:space="0" w:color="auto"/>
                    <w:left w:val="none" w:sz="0" w:space="0" w:color="auto"/>
                    <w:bottom w:val="none" w:sz="0" w:space="0" w:color="auto"/>
                    <w:right w:val="none" w:sz="0" w:space="0" w:color="auto"/>
                  </w:divBdr>
                  <w:divsChild>
                    <w:div w:id="422528229">
                      <w:marLeft w:val="0"/>
                      <w:marRight w:val="0"/>
                      <w:marTop w:val="0"/>
                      <w:marBottom w:val="0"/>
                      <w:divBdr>
                        <w:top w:val="none" w:sz="0" w:space="0" w:color="auto"/>
                        <w:left w:val="none" w:sz="0" w:space="0" w:color="auto"/>
                        <w:bottom w:val="none" w:sz="0" w:space="0" w:color="auto"/>
                        <w:right w:val="none" w:sz="0" w:space="0" w:color="auto"/>
                      </w:divBdr>
                      <w:divsChild>
                        <w:div w:id="164550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94012">
          <w:marLeft w:val="0"/>
          <w:marRight w:val="0"/>
          <w:marTop w:val="0"/>
          <w:marBottom w:val="0"/>
          <w:divBdr>
            <w:top w:val="none" w:sz="0" w:space="0" w:color="auto"/>
            <w:left w:val="none" w:sz="0" w:space="0" w:color="auto"/>
            <w:bottom w:val="none" w:sz="0" w:space="0" w:color="auto"/>
            <w:right w:val="none" w:sz="0" w:space="0" w:color="auto"/>
          </w:divBdr>
          <w:divsChild>
            <w:div w:id="929235953">
              <w:marLeft w:val="0"/>
              <w:marRight w:val="0"/>
              <w:marTop w:val="0"/>
              <w:marBottom w:val="0"/>
              <w:divBdr>
                <w:top w:val="none" w:sz="0" w:space="0" w:color="auto"/>
                <w:left w:val="none" w:sz="0" w:space="0" w:color="auto"/>
                <w:bottom w:val="none" w:sz="0" w:space="0" w:color="auto"/>
                <w:right w:val="none" w:sz="0" w:space="0" w:color="auto"/>
              </w:divBdr>
              <w:divsChild>
                <w:div w:id="1529365850">
                  <w:marLeft w:val="0"/>
                  <w:marRight w:val="0"/>
                  <w:marTop w:val="0"/>
                  <w:marBottom w:val="0"/>
                  <w:divBdr>
                    <w:top w:val="none" w:sz="0" w:space="0" w:color="auto"/>
                    <w:left w:val="none" w:sz="0" w:space="0" w:color="auto"/>
                    <w:bottom w:val="none" w:sz="0" w:space="0" w:color="auto"/>
                    <w:right w:val="none" w:sz="0" w:space="0" w:color="auto"/>
                  </w:divBdr>
                  <w:divsChild>
                    <w:div w:id="506403988">
                      <w:marLeft w:val="0"/>
                      <w:marRight w:val="0"/>
                      <w:marTop w:val="0"/>
                      <w:marBottom w:val="0"/>
                      <w:divBdr>
                        <w:top w:val="none" w:sz="0" w:space="0" w:color="auto"/>
                        <w:left w:val="none" w:sz="0" w:space="0" w:color="auto"/>
                        <w:bottom w:val="none" w:sz="0" w:space="0" w:color="auto"/>
                        <w:right w:val="none" w:sz="0" w:space="0" w:color="auto"/>
                      </w:divBdr>
                      <w:divsChild>
                        <w:div w:id="273440215">
                          <w:marLeft w:val="0"/>
                          <w:marRight w:val="0"/>
                          <w:marTop w:val="0"/>
                          <w:marBottom w:val="0"/>
                          <w:divBdr>
                            <w:top w:val="none" w:sz="0" w:space="0" w:color="auto"/>
                            <w:left w:val="none" w:sz="0" w:space="0" w:color="auto"/>
                            <w:bottom w:val="none" w:sz="0" w:space="0" w:color="auto"/>
                            <w:right w:val="none" w:sz="0" w:space="0" w:color="auto"/>
                          </w:divBdr>
                          <w:divsChild>
                            <w:div w:id="14549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5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E6CCB4A-8488-45EB-8BEE-D75DFC60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4921</Words>
  <Characters>27069</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31927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Natacha FREYD</cp:lastModifiedBy>
  <cp:revision>3</cp:revision>
  <cp:lastPrinted>2019-05-03T08:25:00Z</cp:lastPrinted>
  <dcterms:created xsi:type="dcterms:W3CDTF">2019-05-14T12:05:00Z</dcterms:created>
  <dcterms:modified xsi:type="dcterms:W3CDTF">2019-05-14T12:43:00Z</dcterms:modified>
</cp:coreProperties>
</file>