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vertAnchor="page" w:horzAnchor="margin" w:tblpY="2229"/>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388"/>
        <w:gridCol w:w="2389"/>
        <w:gridCol w:w="2389"/>
        <w:gridCol w:w="2389"/>
      </w:tblGrid>
      <w:tr w:rsidR="00E475F9" w:rsidRPr="00F96689" w:rsidTr="00E54322">
        <w:trPr>
          <w:trHeight w:val="737"/>
        </w:trPr>
        <w:tc>
          <w:tcPr>
            <w:tcW w:w="1250" w:type="pct"/>
            <w:shd w:val="clear" w:color="auto" w:fill="auto"/>
            <w:vAlign w:val="center"/>
          </w:tcPr>
          <w:p w:rsidR="002D11B8" w:rsidRPr="00B920E4" w:rsidRDefault="003D6AC2" w:rsidP="00E54322">
            <w:pPr>
              <w:widowControl w:val="0"/>
              <w:autoSpaceDE w:val="0"/>
              <w:autoSpaceDN w:val="0"/>
              <w:adjustRightInd w:val="0"/>
              <w:rPr>
                <w:rFonts w:ascii="Arial Narrow" w:hAnsi="Arial Narrow" w:cs="Calibri"/>
                <w:szCs w:val="20"/>
              </w:rPr>
            </w:pPr>
            <w:bookmarkStart w:id="0" w:name="_GoBack"/>
            <w:bookmarkEnd w:id="0"/>
            <w:r w:rsidRPr="003D6AC2">
              <w:rPr>
                <w:rFonts w:ascii="Arial Narrow" w:hAnsi="Arial Narrow" w:cs="Calibri"/>
                <w:b/>
                <w:bCs/>
                <w:szCs w:val="20"/>
              </w:rPr>
              <w:t>MINISTERS’ DEPUTIES</w:t>
            </w:r>
          </w:p>
        </w:tc>
        <w:tc>
          <w:tcPr>
            <w:tcW w:w="1250" w:type="pct"/>
            <w:shd w:val="clear" w:color="auto" w:fill="auto"/>
            <w:vAlign w:val="center"/>
          </w:tcPr>
          <w:p w:rsidR="002D11B8" w:rsidRPr="009C5258" w:rsidRDefault="003D6AC2" w:rsidP="00E54322">
            <w:pPr>
              <w:ind w:left="-108"/>
              <w:jc w:val="center"/>
              <w:rPr>
                <w:rFonts w:ascii="Arial Narrow" w:hAnsi="Arial Narrow" w:cs="Arial"/>
                <w:szCs w:val="20"/>
              </w:rPr>
            </w:pPr>
            <w:r w:rsidRPr="003D6AC2">
              <w:rPr>
                <w:rFonts w:ascii="Arial Narrow" w:hAnsi="Arial Narrow" w:cs="Calibri"/>
                <w:szCs w:val="20"/>
              </w:rPr>
              <w:t>CM Documents</w:t>
            </w:r>
          </w:p>
        </w:tc>
        <w:tc>
          <w:tcPr>
            <w:tcW w:w="1250" w:type="pct"/>
            <w:shd w:val="clear" w:color="auto" w:fill="auto"/>
            <w:vAlign w:val="center"/>
          </w:tcPr>
          <w:p w:rsidR="002D11B8" w:rsidRPr="00F222B7" w:rsidRDefault="00F222B7" w:rsidP="00FE16E3">
            <w:pPr>
              <w:ind w:left="-40"/>
              <w:jc w:val="center"/>
              <w:rPr>
                <w:rFonts w:ascii="Arial Narrow" w:hAnsi="Arial Narrow" w:cs="Arial"/>
                <w:b/>
                <w:sz w:val="24"/>
                <w:szCs w:val="24"/>
              </w:rPr>
            </w:pPr>
            <w:proofErr w:type="gramStart"/>
            <w:r w:rsidRPr="00F222B7">
              <w:rPr>
                <w:rFonts w:ascii="Arial Narrow" w:hAnsi="Arial Narrow" w:cs="Calibri"/>
                <w:b/>
                <w:sz w:val="24"/>
                <w:szCs w:val="24"/>
              </w:rPr>
              <w:t>CM(</w:t>
            </w:r>
            <w:proofErr w:type="gramEnd"/>
            <w:r w:rsidRPr="00F222B7">
              <w:rPr>
                <w:rFonts w:ascii="Arial Narrow" w:hAnsi="Arial Narrow" w:cs="Calibri"/>
                <w:b/>
                <w:sz w:val="24"/>
                <w:szCs w:val="24"/>
              </w:rPr>
              <w:t>2019)67-final</w:t>
            </w:r>
          </w:p>
        </w:tc>
        <w:tc>
          <w:tcPr>
            <w:tcW w:w="1250" w:type="pct"/>
            <w:shd w:val="clear" w:color="auto" w:fill="auto"/>
            <w:vAlign w:val="center"/>
          </w:tcPr>
          <w:p w:rsidR="002D11B8" w:rsidRPr="00F96689" w:rsidRDefault="00603637" w:rsidP="00FE16E3">
            <w:pPr>
              <w:jc w:val="right"/>
              <w:rPr>
                <w:rFonts w:ascii="Arial Narrow" w:hAnsi="Arial Narrow" w:cs="Arial"/>
                <w:sz w:val="16"/>
                <w:szCs w:val="16"/>
              </w:rPr>
            </w:pPr>
            <w:r>
              <w:rPr>
                <w:rFonts w:ascii="Arial Narrow" w:hAnsi="Arial Narrow" w:cs="Calibri"/>
                <w:sz w:val="16"/>
                <w:szCs w:val="16"/>
              </w:rPr>
              <w:t>30</w:t>
            </w:r>
            <w:r w:rsidR="00CB1AC9">
              <w:rPr>
                <w:rFonts w:ascii="Arial Narrow" w:hAnsi="Arial Narrow" w:cs="Calibri"/>
                <w:sz w:val="16"/>
                <w:szCs w:val="16"/>
              </w:rPr>
              <w:t xml:space="preserve"> </w:t>
            </w:r>
            <w:r w:rsidR="000A63BC">
              <w:rPr>
                <w:rFonts w:ascii="Arial Narrow" w:hAnsi="Arial Narrow" w:cs="Calibri"/>
                <w:sz w:val="16"/>
                <w:szCs w:val="16"/>
              </w:rPr>
              <w:t>April</w:t>
            </w:r>
            <w:r w:rsidR="002D11B8" w:rsidRPr="00F96689">
              <w:rPr>
                <w:rFonts w:ascii="Arial Narrow" w:hAnsi="Arial Narrow" w:cs="Calibri"/>
                <w:sz w:val="16"/>
                <w:szCs w:val="16"/>
              </w:rPr>
              <w:t xml:space="preserve"> 201</w:t>
            </w:r>
            <w:r w:rsidR="00FE16E3">
              <w:rPr>
                <w:rFonts w:ascii="Arial Narrow" w:hAnsi="Arial Narrow" w:cs="Calibri"/>
                <w:sz w:val="16"/>
                <w:szCs w:val="16"/>
              </w:rPr>
              <w:t>9</w:t>
            </w:r>
          </w:p>
        </w:tc>
      </w:tr>
    </w:tbl>
    <w:p w:rsidR="00D554E6" w:rsidRPr="00F96689"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555"/>
      </w:tblGrid>
      <w:tr w:rsidR="00E24C57" w:rsidRPr="00A12DEC" w:rsidTr="00E54322">
        <w:tc>
          <w:tcPr>
            <w:tcW w:w="9399" w:type="dxa"/>
            <w:shd w:val="clear" w:color="auto" w:fill="auto"/>
            <w:tcMar>
              <w:top w:w="227" w:type="dxa"/>
              <w:bottom w:w="227" w:type="dxa"/>
            </w:tcMar>
            <w:vAlign w:val="center"/>
          </w:tcPr>
          <w:p w:rsidR="00C55D17" w:rsidRPr="002F1231" w:rsidRDefault="00C55D17" w:rsidP="00C55D17">
            <w:pPr>
              <w:widowControl w:val="0"/>
              <w:autoSpaceDE w:val="0"/>
              <w:autoSpaceDN w:val="0"/>
              <w:adjustRightInd w:val="0"/>
              <w:rPr>
                <w:rFonts w:ascii="Arial Narrow" w:hAnsi="Arial Narrow" w:cs="Calibri"/>
                <w:b/>
                <w:bCs/>
                <w:sz w:val="32"/>
                <w:szCs w:val="32"/>
              </w:rPr>
            </w:pPr>
            <w:r w:rsidRPr="002F1231">
              <w:rPr>
                <w:rFonts w:ascii="Arial Narrow" w:hAnsi="Arial Narrow" w:cs="Calibri"/>
                <w:b/>
                <w:bCs/>
                <w:sz w:val="32"/>
                <w:szCs w:val="32"/>
              </w:rPr>
              <w:t>12</w:t>
            </w:r>
            <w:r>
              <w:rPr>
                <w:rFonts w:ascii="Arial Narrow" w:hAnsi="Arial Narrow" w:cs="Calibri"/>
                <w:b/>
                <w:bCs/>
                <w:sz w:val="32"/>
                <w:szCs w:val="32"/>
              </w:rPr>
              <w:t>9</w:t>
            </w:r>
            <w:r w:rsidRPr="002F1231">
              <w:rPr>
                <w:rFonts w:ascii="Arial Narrow" w:hAnsi="Arial Narrow" w:cs="Calibri"/>
                <w:b/>
                <w:bCs/>
                <w:sz w:val="32"/>
                <w:szCs w:val="32"/>
                <w:vertAlign w:val="superscript"/>
              </w:rPr>
              <w:t>th</w:t>
            </w:r>
            <w:r w:rsidRPr="002F1231">
              <w:rPr>
                <w:rFonts w:ascii="Arial Narrow" w:hAnsi="Arial Narrow" w:cs="Calibri"/>
                <w:b/>
                <w:bCs/>
                <w:sz w:val="32"/>
                <w:szCs w:val="32"/>
              </w:rPr>
              <w:t xml:space="preserve"> Session of the Committee of Ministers</w:t>
            </w:r>
          </w:p>
          <w:p w:rsidR="00C55D17" w:rsidRPr="002F1231" w:rsidRDefault="00C55D17" w:rsidP="00C55D17">
            <w:pPr>
              <w:widowControl w:val="0"/>
              <w:autoSpaceDE w:val="0"/>
              <w:autoSpaceDN w:val="0"/>
              <w:adjustRightInd w:val="0"/>
              <w:rPr>
                <w:rFonts w:ascii="Arial Narrow" w:hAnsi="Arial Narrow" w:cs="Calibri"/>
                <w:b/>
                <w:bCs/>
                <w:sz w:val="32"/>
                <w:szCs w:val="32"/>
              </w:rPr>
            </w:pPr>
            <w:r w:rsidRPr="002F1231">
              <w:rPr>
                <w:rFonts w:ascii="Arial Narrow" w:hAnsi="Arial Narrow" w:cs="Calibri"/>
                <w:b/>
                <w:bCs/>
                <w:sz w:val="32"/>
                <w:szCs w:val="32"/>
              </w:rPr>
              <w:t>(</w:t>
            </w:r>
            <w:r>
              <w:rPr>
                <w:rFonts w:ascii="Arial Narrow" w:hAnsi="Arial Narrow" w:cs="Calibri"/>
                <w:b/>
                <w:bCs/>
                <w:sz w:val="32"/>
                <w:szCs w:val="32"/>
              </w:rPr>
              <w:t>Helsinki</w:t>
            </w:r>
            <w:r w:rsidRPr="002F1231">
              <w:rPr>
                <w:rFonts w:ascii="Arial Narrow" w:hAnsi="Arial Narrow" w:cs="Calibri"/>
                <w:b/>
                <w:bCs/>
                <w:sz w:val="32"/>
                <w:szCs w:val="32"/>
              </w:rPr>
              <w:t xml:space="preserve">, </w:t>
            </w:r>
            <w:r>
              <w:rPr>
                <w:rFonts w:ascii="Arial Narrow" w:hAnsi="Arial Narrow" w:cs="Calibri"/>
                <w:b/>
                <w:bCs/>
                <w:sz w:val="32"/>
                <w:szCs w:val="32"/>
              </w:rPr>
              <w:t>16-</w:t>
            </w:r>
            <w:r w:rsidRPr="002F1231">
              <w:rPr>
                <w:rFonts w:ascii="Arial Narrow" w:hAnsi="Arial Narrow" w:cs="Calibri"/>
                <w:b/>
                <w:bCs/>
                <w:sz w:val="32"/>
                <w:szCs w:val="32"/>
              </w:rPr>
              <w:t>1</w:t>
            </w:r>
            <w:r>
              <w:rPr>
                <w:rFonts w:ascii="Arial Narrow" w:hAnsi="Arial Narrow" w:cs="Calibri"/>
                <w:b/>
                <w:bCs/>
                <w:sz w:val="32"/>
                <w:szCs w:val="32"/>
              </w:rPr>
              <w:t>7</w:t>
            </w:r>
            <w:r w:rsidRPr="002F1231">
              <w:rPr>
                <w:rFonts w:ascii="Arial Narrow" w:hAnsi="Arial Narrow" w:cs="Calibri"/>
                <w:b/>
                <w:bCs/>
                <w:sz w:val="32"/>
                <w:szCs w:val="32"/>
              </w:rPr>
              <w:t xml:space="preserve"> May 201</w:t>
            </w:r>
            <w:r w:rsidR="00CD4CC2">
              <w:rPr>
                <w:rFonts w:ascii="Arial Narrow" w:hAnsi="Arial Narrow" w:cs="Calibri"/>
                <w:b/>
                <w:bCs/>
                <w:sz w:val="32"/>
                <w:szCs w:val="32"/>
              </w:rPr>
              <w:t>9</w:t>
            </w:r>
            <w:r w:rsidRPr="002F1231">
              <w:rPr>
                <w:rFonts w:ascii="Arial Narrow" w:hAnsi="Arial Narrow" w:cs="Calibri"/>
                <w:b/>
                <w:bCs/>
                <w:sz w:val="32"/>
                <w:szCs w:val="32"/>
              </w:rPr>
              <w:t>)</w:t>
            </w:r>
          </w:p>
          <w:p w:rsidR="00C55D17" w:rsidRPr="00987872" w:rsidRDefault="00C55D17" w:rsidP="00C55D17">
            <w:pPr>
              <w:rPr>
                <w:rFonts w:ascii="Arial Narrow" w:hAnsi="Arial Narrow" w:cs="Calibri"/>
                <w:b/>
                <w:bCs/>
                <w:sz w:val="22"/>
              </w:rPr>
            </w:pPr>
          </w:p>
          <w:p w:rsidR="00E457C3" w:rsidRPr="000A307B" w:rsidRDefault="008E62BF" w:rsidP="00DA6B7A">
            <w:pPr>
              <w:rPr>
                <w:rFonts w:ascii="Arial Narrow" w:hAnsi="Arial Narrow" w:cs="Calibri"/>
                <w:b/>
                <w:szCs w:val="20"/>
              </w:rPr>
            </w:pPr>
            <w:r w:rsidRPr="00C55D17">
              <w:rPr>
                <w:rFonts w:ascii="Arial Narrow" w:hAnsi="Arial Narrow" w:cs="Calibri"/>
                <w:b/>
                <w:sz w:val="28"/>
                <w:szCs w:val="28"/>
              </w:rPr>
              <w:t>Summary Report on co-operation between the Council of Europe and the European Union</w:t>
            </w:r>
          </w:p>
        </w:tc>
      </w:tr>
    </w:tbl>
    <w:p w:rsidR="00E54322" w:rsidRDefault="00E54322" w:rsidP="0037200F">
      <w:pPr>
        <w:rPr>
          <w:rFonts w:eastAsia="Times New Roman"/>
          <w:szCs w:val="24"/>
        </w:rPr>
      </w:pPr>
      <w:r>
        <w:rPr>
          <w:rFonts w:eastAsia="Times New Roman"/>
          <w:szCs w:val="24"/>
        </w:rPr>
        <w:t xml:space="preserve"> </w:t>
      </w:r>
    </w:p>
    <w:p w:rsidR="00D70CDC" w:rsidRPr="00D70CDC" w:rsidRDefault="00D70CDC" w:rsidP="00CF0DE0">
      <w:pPr>
        <w:numPr>
          <w:ilvl w:val="0"/>
          <w:numId w:val="1"/>
        </w:numPr>
        <w:contextualSpacing/>
        <w:rPr>
          <w:rFonts w:eastAsia="Times New Roman"/>
          <w:b/>
          <w:szCs w:val="24"/>
          <w:lang w:val="en-US"/>
        </w:rPr>
      </w:pPr>
      <w:bookmarkStart w:id="1" w:name="_Hlk5098356"/>
      <w:r w:rsidRPr="00D70CDC">
        <w:rPr>
          <w:rFonts w:eastAsia="Times New Roman"/>
          <w:b/>
          <w:szCs w:val="24"/>
          <w:lang w:val="en-US"/>
        </w:rPr>
        <w:t>Introduction</w:t>
      </w:r>
    </w:p>
    <w:p w:rsidR="00D70CDC" w:rsidRPr="00D70CDC" w:rsidRDefault="00D70CDC" w:rsidP="00CF0DE0">
      <w:pPr>
        <w:rPr>
          <w:rFonts w:eastAsia="Times New Roman"/>
          <w:szCs w:val="24"/>
          <w:lang w:val="en-US"/>
        </w:rPr>
      </w:pPr>
    </w:p>
    <w:p w:rsidR="00D70CDC" w:rsidRPr="00D70CDC" w:rsidRDefault="00D70CDC" w:rsidP="00CF0DE0">
      <w:pPr>
        <w:rPr>
          <w:rFonts w:eastAsia="Times New Roman"/>
          <w:szCs w:val="24"/>
        </w:rPr>
      </w:pPr>
      <w:r w:rsidRPr="00D70CDC">
        <w:rPr>
          <w:rFonts w:eastAsia="Times New Roman"/>
          <w:szCs w:val="24"/>
          <w:lang w:val="en-US"/>
        </w:rPr>
        <w:t>L</w:t>
      </w:r>
      <w:proofErr w:type="spellStart"/>
      <w:r w:rsidRPr="00D70CDC">
        <w:rPr>
          <w:rFonts w:eastAsia="Times New Roman"/>
          <w:szCs w:val="24"/>
        </w:rPr>
        <w:t>ast</w:t>
      </w:r>
      <w:proofErr w:type="spellEnd"/>
      <w:r w:rsidRPr="00D70CDC">
        <w:rPr>
          <w:rFonts w:eastAsia="Times New Roman"/>
          <w:szCs w:val="24"/>
        </w:rPr>
        <w:t xml:space="preserve"> year, at its 128</w:t>
      </w:r>
      <w:r w:rsidRPr="00D70CDC">
        <w:rPr>
          <w:rFonts w:eastAsia="Times New Roman"/>
          <w:szCs w:val="24"/>
          <w:vertAlign w:val="superscript"/>
        </w:rPr>
        <w:t>th</w:t>
      </w:r>
      <w:r w:rsidRPr="00D70CDC">
        <w:rPr>
          <w:rFonts w:eastAsia="Times New Roman"/>
          <w:szCs w:val="24"/>
        </w:rPr>
        <w:t xml:space="preserve"> Session (Elsinore,18 May 2018), the Committee of Ministers took note with satisfaction of the developments in the co-operation between the Council of Europe (CoE) and the European Union (EU) and expressed its determination to further strengthen such co</w:t>
      </w:r>
      <w:r w:rsidRPr="00D70CDC">
        <w:rPr>
          <w:rFonts w:eastAsia="Times New Roman"/>
          <w:szCs w:val="24"/>
        </w:rPr>
        <w:noBreakHyphen/>
        <w:t xml:space="preserve">operation, in accordance with the Memorandum of Understanding (MoU) between the </w:t>
      </w:r>
      <w:proofErr w:type="spellStart"/>
      <w:r w:rsidRPr="00D70CDC">
        <w:rPr>
          <w:rFonts w:eastAsia="Times New Roman"/>
          <w:szCs w:val="24"/>
        </w:rPr>
        <w:t>CoE</w:t>
      </w:r>
      <w:proofErr w:type="spellEnd"/>
      <w:r w:rsidRPr="00D70CDC">
        <w:rPr>
          <w:rFonts w:eastAsia="Times New Roman"/>
          <w:szCs w:val="24"/>
        </w:rPr>
        <w:t xml:space="preserve"> and the EU, in order to better protect and promote human rights, democracy and the rule of law in Europe</w:t>
      </w:r>
      <w:r w:rsidR="00C55D17">
        <w:rPr>
          <w:rFonts w:eastAsia="Times New Roman"/>
          <w:szCs w:val="24"/>
        </w:rPr>
        <w:t>.</w:t>
      </w:r>
      <w:r w:rsidRPr="00D70CDC">
        <w:rPr>
          <w:rFonts w:eastAsia="Times New Roman"/>
          <w:szCs w:val="24"/>
          <w:vertAlign w:val="superscript"/>
        </w:rPr>
        <w:footnoteReference w:id="1"/>
      </w:r>
    </w:p>
    <w:p w:rsidR="00D70CDC" w:rsidRPr="00D70CDC" w:rsidRDefault="00D70CDC" w:rsidP="00CF0DE0">
      <w:pPr>
        <w:rPr>
          <w:rFonts w:eastAsia="Times New Roman"/>
          <w:szCs w:val="24"/>
        </w:rPr>
      </w:pPr>
    </w:p>
    <w:p w:rsidR="00D70CDC" w:rsidRPr="00D70CDC" w:rsidRDefault="00D70CDC" w:rsidP="00CF0DE0">
      <w:pPr>
        <w:rPr>
          <w:rFonts w:eastAsia="Times New Roman"/>
          <w:szCs w:val="24"/>
        </w:rPr>
      </w:pPr>
      <w:r w:rsidRPr="00D70CDC">
        <w:rPr>
          <w:rFonts w:eastAsia="Times New Roman"/>
          <w:szCs w:val="24"/>
        </w:rPr>
        <w:t xml:space="preserve">This co-operation aims at better addressing common challenges facing Europe, at ensuring coherence and complementarity between the pan-European CoE and the EU’s integration process and, ultimately, at building a common legal space for human rights protection. 2017 marked the </w:t>
      </w:r>
      <w:r w:rsidRPr="00D70CDC">
        <w:rPr>
          <w:rFonts w:eastAsia="Times New Roman"/>
          <w:szCs w:val="24"/>
          <w:lang w:val="en-US"/>
        </w:rPr>
        <w:t>10</w:t>
      </w:r>
      <w:r w:rsidRPr="00D70CDC">
        <w:rPr>
          <w:rFonts w:eastAsia="Times New Roman"/>
          <w:szCs w:val="24"/>
          <w:vertAlign w:val="superscript"/>
          <w:lang w:val="en-US"/>
        </w:rPr>
        <w:t>th</w:t>
      </w:r>
      <w:r w:rsidRPr="00D70CDC">
        <w:rPr>
          <w:rFonts w:eastAsia="Times New Roman"/>
          <w:szCs w:val="24"/>
          <w:lang w:val="en-US"/>
        </w:rPr>
        <w:t xml:space="preserve"> anniversary of the </w:t>
      </w:r>
      <w:r w:rsidRPr="00D70CDC">
        <w:rPr>
          <w:rFonts w:eastAsia="Times New Roman"/>
          <w:szCs w:val="24"/>
        </w:rPr>
        <w:t xml:space="preserve">2007 MoU between the Organisation and the EU, which confirms the central role of the CoE as the “benchmark for human rights, the rule of law and democracy in Europe” and the “Europe-wide reference source for human rights”. 2018 was marked by an intensive co-operation increasingly focusing on </w:t>
      </w:r>
      <w:r w:rsidRPr="00D70CDC">
        <w:rPr>
          <w:rFonts w:eastAsia="Times New Roman"/>
          <w:b/>
          <w:szCs w:val="24"/>
        </w:rPr>
        <w:t>rule of law-related issues</w:t>
      </w:r>
      <w:r w:rsidRPr="00D70CDC">
        <w:rPr>
          <w:rFonts w:eastAsia="Times New Roman"/>
          <w:szCs w:val="24"/>
        </w:rPr>
        <w:t xml:space="preserve"> and the need to safeguard </w:t>
      </w:r>
      <w:r w:rsidRPr="00D70CDC">
        <w:rPr>
          <w:rFonts w:eastAsia="Times New Roman"/>
          <w:b/>
          <w:szCs w:val="24"/>
        </w:rPr>
        <w:t>democratic security</w:t>
      </w:r>
      <w:r w:rsidRPr="00D70CDC">
        <w:rPr>
          <w:rFonts w:eastAsia="Times New Roman"/>
          <w:szCs w:val="24"/>
        </w:rPr>
        <w:t xml:space="preserve"> and to reinforce the </w:t>
      </w:r>
      <w:r w:rsidRPr="00D70CDC">
        <w:rPr>
          <w:rFonts w:eastAsia="Times New Roman"/>
          <w:b/>
          <w:szCs w:val="24"/>
        </w:rPr>
        <w:t>resilience of the human rights protection system</w:t>
      </w:r>
      <w:r w:rsidRPr="00D70CDC">
        <w:rPr>
          <w:rFonts w:eastAsia="Times New Roman"/>
          <w:szCs w:val="24"/>
        </w:rPr>
        <w:t xml:space="preserve"> in Europe. The CoE and the EU, which share the same values, also confirmed their common commitment to an effective multilateralism</w:t>
      </w:r>
    </w:p>
    <w:p w:rsidR="00D70CDC" w:rsidRDefault="00D70CDC" w:rsidP="00CF0DE0">
      <w:pPr>
        <w:rPr>
          <w:rFonts w:eastAsia="Times New Roman"/>
          <w:bCs/>
          <w:szCs w:val="24"/>
        </w:rPr>
      </w:pPr>
    </w:p>
    <w:p w:rsidR="00D70CDC" w:rsidRPr="00D70CDC" w:rsidRDefault="00D70CDC" w:rsidP="00CF0DE0">
      <w:pPr>
        <w:rPr>
          <w:rFonts w:eastAsia="Times New Roman"/>
          <w:szCs w:val="24"/>
        </w:rPr>
      </w:pPr>
      <w:r w:rsidRPr="00D70CDC">
        <w:rPr>
          <w:rFonts w:eastAsia="Times New Roman"/>
          <w:bCs/>
          <w:szCs w:val="24"/>
        </w:rPr>
        <w:t>“</w:t>
      </w:r>
      <w:r w:rsidRPr="00D70CDC">
        <w:rPr>
          <w:rFonts w:eastAsia="Times New Roman"/>
          <w:bCs/>
          <w:szCs w:val="24"/>
          <w:lang w:val="en-US"/>
        </w:rPr>
        <w:t>EU Priorities for co-operation with the CoE in 2018-2019”</w:t>
      </w:r>
      <w:r w:rsidR="00C55D17">
        <w:rPr>
          <w:rFonts w:eastAsia="Times New Roman"/>
          <w:bCs/>
          <w:szCs w:val="24"/>
          <w:lang w:val="en-US"/>
        </w:rPr>
        <w:t>,</w:t>
      </w:r>
      <w:r w:rsidRPr="00D70CDC">
        <w:rPr>
          <w:rFonts w:eastAsia="Times New Roman"/>
          <w:b/>
          <w:bCs/>
          <w:szCs w:val="24"/>
          <w:vertAlign w:val="superscript"/>
          <w:lang w:val="en-US"/>
        </w:rPr>
        <w:footnoteReference w:id="2"/>
      </w:r>
      <w:r w:rsidRPr="00D70CDC">
        <w:rPr>
          <w:rFonts w:eastAsia="Times New Roman"/>
          <w:szCs w:val="24"/>
          <w:lang w:val="en-US"/>
        </w:rPr>
        <w:t xml:space="preserve"> which stress the </w:t>
      </w:r>
      <w:r w:rsidRPr="00D70CDC">
        <w:rPr>
          <w:rFonts w:eastAsia="Times New Roman"/>
          <w:szCs w:val="24"/>
          <w:lang w:val="en"/>
        </w:rPr>
        <w:t>EU’s commitment to the CoE convention system,</w:t>
      </w:r>
      <w:r w:rsidRPr="00D70CDC">
        <w:rPr>
          <w:rFonts w:eastAsia="Times New Roman"/>
          <w:szCs w:val="24"/>
          <w:lang w:val="en-US"/>
        </w:rPr>
        <w:t xml:space="preserve"> provide a solid basis for a further enhancement of co-operation and to a large extent reflect the priorities of the </w:t>
      </w:r>
      <w:proofErr w:type="spellStart"/>
      <w:r w:rsidRPr="00D70CDC">
        <w:rPr>
          <w:rFonts w:eastAsia="Times New Roman"/>
          <w:szCs w:val="24"/>
          <w:lang w:val="en-US"/>
        </w:rPr>
        <w:t>Organisation</w:t>
      </w:r>
      <w:proofErr w:type="spellEnd"/>
      <w:r w:rsidRPr="00D70CDC">
        <w:rPr>
          <w:rFonts w:eastAsia="Times New Roman"/>
          <w:szCs w:val="24"/>
          <w:lang w:val="en-US"/>
        </w:rPr>
        <w:t xml:space="preserve">. </w:t>
      </w:r>
    </w:p>
    <w:p w:rsidR="00D70CDC" w:rsidRPr="00D70CDC" w:rsidRDefault="00D70CDC" w:rsidP="00CF0DE0">
      <w:pPr>
        <w:rPr>
          <w:rFonts w:eastAsia="Times New Roman"/>
          <w:szCs w:val="24"/>
          <w:lang w:val="en-US"/>
        </w:rPr>
      </w:pPr>
    </w:p>
    <w:p w:rsidR="00D70CDC" w:rsidRPr="00D70CDC" w:rsidRDefault="00D70CDC" w:rsidP="00CF0DE0">
      <w:pPr>
        <w:rPr>
          <w:rFonts w:eastAsia="Times New Roman"/>
          <w:szCs w:val="24"/>
        </w:rPr>
      </w:pPr>
      <w:r w:rsidRPr="00D70CDC">
        <w:rPr>
          <w:rFonts w:eastAsia="Times New Roman"/>
          <w:szCs w:val="24"/>
        </w:rPr>
        <w:t xml:space="preserve">The </w:t>
      </w:r>
      <w:r w:rsidRPr="00D70CDC">
        <w:rPr>
          <w:rFonts w:eastAsia="Times New Roman"/>
          <w:b/>
          <w:szCs w:val="24"/>
        </w:rPr>
        <w:t xml:space="preserve">CoE Liaison Office </w:t>
      </w:r>
      <w:r w:rsidRPr="00D70CDC">
        <w:rPr>
          <w:rFonts w:eastAsia="Times New Roman"/>
          <w:szCs w:val="24"/>
        </w:rPr>
        <w:t>in Brussels and the</w:t>
      </w:r>
      <w:r w:rsidRPr="00D70CDC">
        <w:rPr>
          <w:rFonts w:eastAsia="Times New Roman"/>
          <w:b/>
          <w:szCs w:val="24"/>
        </w:rPr>
        <w:t xml:space="preserve"> EU Delegation </w:t>
      </w:r>
      <w:r w:rsidRPr="00D70CDC">
        <w:rPr>
          <w:rFonts w:eastAsia="Times New Roman"/>
          <w:szCs w:val="24"/>
        </w:rPr>
        <w:t>in Strasbourg continued to play a key role in reinforcing the dynamics of co-operation and its visibility.</w:t>
      </w:r>
    </w:p>
    <w:p w:rsidR="00D70CDC" w:rsidRPr="00D70CDC" w:rsidRDefault="00D70CDC" w:rsidP="00CF0DE0">
      <w:pPr>
        <w:rPr>
          <w:rFonts w:eastAsia="Times New Roman"/>
          <w:szCs w:val="24"/>
        </w:rPr>
      </w:pPr>
    </w:p>
    <w:p w:rsidR="00D70CDC" w:rsidRPr="00D70CDC" w:rsidRDefault="00D70CDC" w:rsidP="00CF0DE0">
      <w:pPr>
        <w:rPr>
          <w:rFonts w:eastAsia="Times New Roman"/>
          <w:szCs w:val="24"/>
        </w:rPr>
      </w:pPr>
      <w:r w:rsidRPr="00D70CDC">
        <w:rPr>
          <w:rFonts w:eastAsia="Times New Roman"/>
          <w:szCs w:val="24"/>
        </w:rPr>
        <w:t>Co-operation between the Council of Europe and the European Union takes place through political dialogue, co</w:t>
      </w:r>
      <w:r w:rsidR="00C55D17">
        <w:rPr>
          <w:rFonts w:eastAsia="Times New Roman"/>
          <w:szCs w:val="24"/>
        </w:rPr>
        <w:t>-</w:t>
      </w:r>
      <w:r w:rsidRPr="00D70CDC">
        <w:rPr>
          <w:rFonts w:eastAsia="Times New Roman"/>
          <w:szCs w:val="24"/>
        </w:rPr>
        <w:t>operation projects, and legal co</w:t>
      </w:r>
      <w:r w:rsidR="00C55D17">
        <w:rPr>
          <w:rFonts w:eastAsia="Times New Roman"/>
          <w:szCs w:val="24"/>
        </w:rPr>
        <w:t>-</w:t>
      </w:r>
      <w:r w:rsidRPr="00D70CDC">
        <w:rPr>
          <w:rFonts w:eastAsia="Times New Roman"/>
          <w:szCs w:val="24"/>
        </w:rPr>
        <w:t>operation.</w:t>
      </w:r>
    </w:p>
    <w:p w:rsidR="00D70CDC" w:rsidRPr="00D70CDC" w:rsidRDefault="00D70CDC" w:rsidP="00CF0DE0">
      <w:pPr>
        <w:rPr>
          <w:rFonts w:eastAsia="Times New Roman"/>
          <w:b/>
          <w:szCs w:val="24"/>
        </w:rPr>
      </w:pPr>
    </w:p>
    <w:p w:rsidR="00D70CDC" w:rsidRPr="00D70CDC" w:rsidRDefault="00D70CDC" w:rsidP="00CF0DE0">
      <w:pPr>
        <w:numPr>
          <w:ilvl w:val="0"/>
          <w:numId w:val="1"/>
        </w:numPr>
        <w:contextualSpacing/>
        <w:rPr>
          <w:rFonts w:eastAsia="Times New Roman"/>
          <w:b/>
          <w:szCs w:val="24"/>
        </w:rPr>
      </w:pPr>
      <w:r w:rsidRPr="00D70CDC">
        <w:rPr>
          <w:rFonts w:eastAsia="Times New Roman"/>
          <w:b/>
          <w:szCs w:val="24"/>
        </w:rPr>
        <w:t>Intensive political dialogue at all levels</w:t>
      </w:r>
    </w:p>
    <w:p w:rsidR="00D70CDC" w:rsidRPr="00D70CDC" w:rsidRDefault="00D70CDC" w:rsidP="00CF0DE0">
      <w:pPr>
        <w:spacing w:before="78"/>
        <w:rPr>
          <w:rFonts w:eastAsia="Times New Roman"/>
          <w:szCs w:val="24"/>
        </w:rPr>
      </w:pPr>
    </w:p>
    <w:p w:rsidR="006B16FF" w:rsidRDefault="00D70CDC" w:rsidP="00CF0DE0">
      <w:r w:rsidRPr="00D70CDC">
        <w:t xml:space="preserve">Dialogue at </w:t>
      </w:r>
      <w:r w:rsidRPr="00D70CDC">
        <w:rPr>
          <w:b/>
        </w:rPr>
        <w:t>high level</w:t>
      </w:r>
      <w:r w:rsidRPr="00D70CDC">
        <w:t xml:space="preserve"> included, </w:t>
      </w:r>
      <w:r w:rsidRPr="00D70CDC">
        <w:rPr>
          <w:i/>
          <w:iCs/>
        </w:rPr>
        <w:t>inter alia</w:t>
      </w:r>
      <w:r w:rsidRPr="00D70CDC">
        <w:t>, meetings between the Secretary General and the Committee of Ministers on the one hand and President Juncker, HR/VP Mogherini, Com</w:t>
      </w:r>
      <w:r w:rsidRPr="00D70CDC">
        <w:rPr>
          <w:lang w:val="en-US"/>
        </w:rPr>
        <w:t xml:space="preserve">missioner </w:t>
      </w:r>
      <w:r w:rsidRPr="00D70CDC">
        <w:t xml:space="preserve">Hahn, the </w:t>
      </w:r>
      <w:bookmarkStart w:id="2" w:name="top"/>
      <w:r w:rsidRPr="00D70CDC">
        <w:rPr>
          <w:lang w:val="en"/>
        </w:rPr>
        <w:t xml:space="preserve">Political and Security Committee (PSC) </w:t>
      </w:r>
      <w:bookmarkEnd w:id="2"/>
      <w:r w:rsidRPr="00D70CDC">
        <w:t xml:space="preserve">and members </w:t>
      </w:r>
      <w:r w:rsidRPr="00D70CDC">
        <w:rPr>
          <w:lang w:val="en-US"/>
        </w:rPr>
        <w:t>of the European Parliament</w:t>
      </w:r>
      <w:r w:rsidRPr="00D70CDC">
        <w:t xml:space="preserve">, in particular the </w:t>
      </w:r>
      <w:r w:rsidRPr="00D70CDC">
        <w:rPr>
          <w:lang w:val="en-US"/>
        </w:rPr>
        <w:t>Committee on Foreign Affairs (AFET), on the other.</w:t>
      </w:r>
      <w:r w:rsidRPr="00D70CDC">
        <w:t xml:space="preserve"> T</w:t>
      </w:r>
      <w:proofErr w:type="spellStart"/>
      <w:r w:rsidRPr="00D70CDC">
        <w:rPr>
          <w:lang w:val="en-US"/>
        </w:rPr>
        <w:t>hese</w:t>
      </w:r>
      <w:proofErr w:type="spellEnd"/>
      <w:r w:rsidRPr="00D70CDC">
        <w:rPr>
          <w:lang w:val="en-US"/>
        </w:rPr>
        <w:t xml:space="preserve"> regular high-level consultations addressed in particular democratic security in Europe, the functioning of the European human rights protection system and, more specifically, the challenges facing the </w:t>
      </w:r>
      <w:proofErr w:type="spellStart"/>
      <w:r w:rsidRPr="00D70CDC">
        <w:rPr>
          <w:lang w:val="en-US"/>
        </w:rPr>
        <w:t>Organisation</w:t>
      </w:r>
      <w:proofErr w:type="spellEnd"/>
      <w:r w:rsidRPr="00D70CDC">
        <w:rPr>
          <w:lang w:val="en-US"/>
        </w:rPr>
        <w:t xml:space="preserve">, the current situation in a number of CoE member </w:t>
      </w:r>
      <w:r w:rsidR="00B0044A">
        <w:rPr>
          <w:lang w:val="en-US"/>
        </w:rPr>
        <w:t>State</w:t>
      </w:r>
      <w:r w:rsidRPr="00D70CDC">
        <w:rPr>
          <w:lang w:val="en-US"/>
        </w:rPr>
        <w:t xml:space="preserve">s, migration issues and the fight against terrorism and </w:t>
      </w:r>
      <w:proofErr w:type="spellStart"/>
      <w:r w:rsidRPr="00D70CDC">
        <w:rPr>
          <w:lang w:val="en-US"/>
        </w:rPr>
        <w:t>radicalisation</w:t>
      </w:r>
      <w:proofErr w:type="spellEnd"/>
      <w:r w:rsidRPr="00D70CDC">
        <w:rPr>
          <w:lang w:val="en-US"/>
        </w:rPr>
        <w:t xml:space="preserve">. </w:t>
      </w:r>
      <w:r w:rsidRPr="00D70CDC">
        <w:t>On 18 May 2018, addressing the 128</w:t>
      </w:r>
      <w:r w:rsidRPr="00D70CDC">
        <w:rPr>
          <w:vertAlign w:val="superscript"/>
        </w:rPr>
        <w:t>th</w:t>
      </w:r>
      <w:r w:rsidRPr="00D70CDC">
        <w:t xml:space="preserve"> Session of the Committee of Ministers, the EU Representative, Ambassador Mara </w:t>
      </w:r>
      <w:proofErr w:type="spellStart"/>
      <w:r w:rsidRPr="00D70CDC">
        <w:t>Marinaki</w:t>
      </w:r>
      <w:proofErr w:type="spellEnd"/>
      <w:r w:rsidRPr="00D70CDC">
        <w:t xml:space="preserve">, stressed </w:t>
      </w:r>
    </w:p>
    <w:p w:rsidR="006B16FF" w:rsidRDefault="006B16FF">
      <w:r>
        <w:br w:type="page"/>
      </w:r>
    </w:p>
    <w:p w:rsidR="00D70CDC" w:rsidRPr="006B16FF" w:rsidRDefault="00D70CDC" w:rsidP="00CF0DE0">
      <w:pPr>
        <w:rPr>
          <w:rFonts w:eastAsia="Times New Roman"/>
          <w:szCs w:val="24"/>
        </w:rPr>
      </w:pPr>
      <w:r w:rsidRPr="00D70CDC">
        <w:lastRenderedPageBreak/>
        <w:t xml:space="preserve">that “the EU is proud of its strategic partnership with the CoE </w:t>
      </w:r>
      <w:r w:rsidRPr="00D70CDC">
        <w:rPr>
          <w:rFonts w:eastAsia="Times New Roman"/>
          <w:szCs w:val="24"/>
        </w:rPr>
        <w:t xml:space="preserve">because Europe is at its best when its nations and institutions collaborate for freedom, peace, security, justice and gender equality […]”. She also stressed that </w:t>
      </w:r>
      <w:r w:rsidRPr="00D70CDC">
        <w:t>t</w:t>
      </w:r>
      <w:r w:rsidRPr="00D70CDC">
        <w:rPr>
          <w:rFonts w:eastAsia="Times New Roman"/>
          <w:szCs w:val="24"/>
        </w:rPr>
        <w:t>he EU is committed to continuing its close support to the CoE as the moral compass in the wider European neighbourhood and to promote democratic values and dialogue</w:t>
      </w:r>
      <w:r w:rsidR="00D12927">
        <w:rPr>
          <w:rFonts w:eastAsia="Times New Roman"/>
          <w:szCs w:val="24"/>
        </w:rPr>
        <w:t>.</w:t>
      </w:r>
      <w:r w:rsidRPr="00D70CDC">
        <w:rPr>
          <w:rFonts w:eastAsia="Times New Roman"/>
          <w:szCs w:val="24"/>
        </w:rPr>
        <w:t>”</w:t>
      </w:r>
      <w:r w:rsidRPr="00D70CDC">
        <w:rPr>
          <w:rFonts w:eastAsia="Times New Roman"/>
          <w:szCs w:val="24"/>
          <w:vertAlign w:val="superscript"/>
        </w:rPr>
        <w:footnoteReference w:id="3"/>
      </w:r>
      <w:r w:rsidRPr="00D70CDC">
        <w:rPr>
          <w:rFonts w:eastAsia="Times New Roman"/>
          <w:szCs w:val="24"/>
        </w:rPr>
        <w:t xml:space="preserve"> </w:t>
      </w:r>
    </w:p>
    <w:p w:rsidR="00D70CDC" w:rsidRPr="00D70CDC" w:rsidRDefault="00D70CDC" w:rsidP="00CF0DE0"/>
    <w:p w:rsidR="00D70CDC" w:rsidRPr="00D70CDC" w:rsidRDefault="00D70CDC" w:rsidP="00CF0DE0">
      <w:r w:rsidRPr="00D70CDC">
        <w:t xml:space="preserve">Political dialogue with EU representatives also continued, </w:t>
      </w:r>
      <w:r w:rsidRPr="00D70CDC">
        <w:rPr>
          <w:i/>
        </w:rPr>
        <w:t>inter alia,</w:t>
      </w:r>
      <w:r w:rsidRPr="00D70CDC">
        <w:t xml:space="preserve"> in the context of the work of the CoE Parliamentary Assembly (PACE), </w:t>
      </w:r>
      <w:r w:rsidR="00972F26">
        <w:t xml:space="preserve">and the </w:t>
      </w:r>
      <w:r w:rsidRPr="00D70CDC">
        <w:t xml:space="preserve">Congress of Local and Regional Authorities (the Congress) </w:t>
      </w:r>
      <w:r w:rsidRPr="00D70CDC">
        <w:rPr>
          <w:lang w:val="en-US"/>
        </w:rPr>
        <w:t xml:space="preserve">Fostering PACE/EU high-level political dialogue has been one of the themes dealt with by the </w:t>
      </w:r>
      <w:r w:rsidRPr="00D70CDC">
        <w:rPr>
          <w:i/>
          <w:lang w:val="en-US"/>
        </w:rPr>
        <w:t>Ad hoc Committee on the role and mission of the Assembly</w:t>
      </w:r>
      <w:r w:rsidRPr="00D70CDC">
        <w:rPr>
          <w:lang w:val="en-US"/>
        </w:rPr>
        <w:t xml:space="preserve">, led by former Assembly President Michele Nicoletti and bringing together representatives of parliaments from all 47 member </w:t>
      </w:r>
      <w:r w:rsidR="00B0044A">
        <w:rPr>
          <w:lang w:val="en-US"/>
        </w:rPr>
        <w:t>S</w:t>
      </w:r>
      <w:r w:rsidRPr="00D70CDC">
        <w:rPr>
          <w:lang w:val="en-US"/>
        </w:rPr>
        <w:t xml:space="preserve">tates, including </w:t>
      </w:r>
      <w:r w:rsidR="00B0044A">
        <w:rPr>
          <w:lang w:val="en-US"/>
        </w:rPr>
        <w:t xml:space="preserve">the </w:t>
      </w:r>
      <w:r w:rsidRPr="00D70CDC">
        <w:rPr>
          <w:lang w:val="en-US"/>
        </w:rPr>
        <w:t>Russia</w:t>
      </w:r>
      <w:r w:rsidR="00B0044A">
        <w:rPr>
          <w:lang w:val="en-US"/>
        </w:rPr>
        <w:t>n Federation</w:t>
      </w:r>
      <w:r w:rsidR="00DA6B7A">
        <w:rPr>
          <w:lang w:val="en-US"/>
        </w:rPr>
        <w:t>.</w:t>
      </w:r>
      <w:r w:rsidRPr="00D70CDC">
        <w:rPr>
          <w:vertAlign w:val="superscript"/>
          <w:lang w:val="en-US"/>
        </w:rPr>
        <w:footnoteReference w:id="4"/>
      </w:r>
      <w:r w:rsidRPr="00D70CDC">
        <w:rPr>
          <w:lang w:val="en-US"/>
        </w:rPr>
        <w:t xml:space="preserve"> A follow-up report is being prepared</w:t>
      </w:r>
      <w:r w:rsidR="006B16FF">
        <w:rPr>
          <w:lang w:val="en-US"/>
        </w:rPr>
        <w:t>,</w:t>
      </w:r>
      <w:r w:rsidRPr="00D70CDC">
        <w:rPr>
          <w:vertAlign w:val="superscript"/>
          <w:lang w:val="en-US"/>
        </w:rPr>
        <w:footnoteReference w:id="5"/>
      </w:r>
      <w:r w:rsidRPr="00D70CDC">
        <w:rPr>
          <w:lang w:val="en-US"/>
        </w:rPr>
        <w:t xml:space="preserve"> including on the need to enhance political dialogue between PACE and the EU.</w:t>
      </w:r>
      <w:r w:rsidRPr="00D70CDC">
        <w:t xml:space="preserve"> </w:t>
      </w:r>
    </w:p>
    <w:p w:rsidR="00D70CDC" w:rsidRPr="00D70CDC" w:rsidRDefault="00D70CDC" w:rsidP="00CF0DE0"/>
    <w:p w:rsidR="00D70CDC" w:rsidRPr="00D70CDC" w:rsidRDefault="00D70CDC" w:rsidP="00CF0DE0">
      <w:r w:rsidRPr="00D70CDC">
        <w:t xml:space="preserve">In March 2018, </w:t>
      </w:r>
      <w:r w:rsidRPr="00D70CDC">
        <w:rPr>
          <w:lang w:val="en-US"/>
        </w:rPr>
        <w:t xml:space="preserve">the </w:t>
      </w:r>
      <w:r w:rsidRPr="00D70CDC">
        <w:t xml:space="preserve">Congress signed a Revised Co-operation Agreement with the European Committee of the Regions, replacing the 2009 Agreement, to better reflect their solid partnership. The two institutions also identified priority areas for co-operation, such as integration of migrants, fight against radicalisation, strengthening good local governance and combatting corruption, as well as improving human rights. </w:t>
      </w:r>
    </w:p>
    <w:p w:rsidR="00D70CDC" w:rsidRPr="00D70CDC" w:rsidRDefault="00D70CDC" w:rsidP="00CF0DE0"/>
    <w:p w:rsidR="00D70CDC" w:rsidRPr="00D70CDC" w:rsidRDefault="00D70CDC" w:rsidP="00CF0DE0">
      <w:pPr>
        <w:rPr>
          <w:u w:val="single"/>
          <w:lang w:val="en-US"/>
        </w:rPr>
      </w:pPr>
      <w:r w:rsidRPr="00D70CDC">
        <w:t xml:space="preserve">Dialogue also takes place in the context of the European Centre for Global Interdependence and Solidarity of the Council of Europe ("North-South Centre"), where the EU is an active member of the Executive Committee. In addition, </w:t>
      </w:r>
      <w:r w:rsidRPr="00D70CDC">
        <w:rPr>
          <w:lang w:val="en-US"/>
        </w:rPr>
        <w:t xml:space="preserve">consultations have multiplied </w:t>
      </w:r>
      <w:r w:rsidRPr="00D70CDC">
        <w:t>a</w:t>
      </w:r>
      <w:r w:rsidRPr="00D70CDC">
        <w:rPr>
          <w:lang w:val="en-US"/>
        </w:rPr>
        <w:t xml:space="preserve">t a </w:t>
      </w:r>
      <w:r w:rsidRPr="00D70CDC">
        <w:rPr>
          <w:b/>
          <w:lang w:val="en-US"/>
        </w:rPr>
        <w:t>more technical</w:t>
      </w:r>
      <w:r w:rsidRPr="00D70CDC">
        <w:rPr>
          <w:lang w:val="en-US"/>
        </w:rPr>
        <w:t xml:space="preserve"> level </w:t>
      </w:r>
      <w:r w:rsidRPr="00D70CDC">
        <w:t>to allow deeper discussions (see below).</w:t>
      </w:r>
      <w:r w:rsidR="00EA1FB1">
        <w:t xml:space="preserve"> </w:t>
      </w:r>
      <w:r w:rsidRPr="00D70CDC">
        <w:t xml:space="preserve">The annual Meeting of the CoE-EU Senior Officials, </w:t>
      </w:r>
      <w:r w:rsidRPr="00D70CDC">
        <w:rPr>
          <w:lang w:val="en-US"/>
        </w:rPr>
        <w:t>designed for planning and coordinating co</w:t>
      </w:r>
      <w:r w:rsidRPr="00D70CDC">
        <w:rPr>
          <w:lang w:val="en-US"/>
        </w:rPr>
        <w:noBreakHyphen/>
        <w:t>operation between secretariats at the technical level, remains a useful tool to keep co-operation under review and make proposals for further action.</w:t>
      </w:r>
    </w:p>
    <w:p w:rsidR="00D70CDC" w:rsidRPr="00D70CDC" w:rsidRDefault="00D70CDC" w:rsidP="00CF0DE0">
      <w:pPr>
        <w:rPr>
          <w:rFonts w:eastAsia="Times New Roman"/>
          <w:szCs w:val="24"/>
        </w:rPr>
      </w:pPr>
    </w:p>
    <w:p w:rsidR="00D70CDC" w:rsidRPr="00D70CDC" w:rsidRDefault="00D70CDC" w:rsidP="00CF0DE0">
      <w:pPr>
        <w:numPr>
          <w:ilvl w:val="0"/>
          <w:numId w:val="1"/>
        </w:numPr>
        <w:contextualSpacing/>
        <w:rPr>
          <w:rFonts w:eastAsia="Times New Roman"/>
          <w:b/>
          <w:szCs w:val="24"/>
        </w:rPr>
      </w:pPr>
      <w:r w:rsidRPr="00D70CDC">
        <w:rPr>
          <w:rFonts w:eastAsia="Times New Roman"/>
          <w:b/>
          <w:szCs w:val="24"/>
        </w:rPr>
        <w:t>Consolidating the co-operation frameworks</w:t>
      </w:r>
    </w:p>
    <w:p w:rsidR="00D70CDC" w:rsidRPr="00D70CDC" w:rsidRDefault="00D70CDC" w:rsidP="00CF0DE0">
      <w:pPr>
        <w:rPr>
          <w:rFonts w:eastAsia="Times New Roman" w:cs="Arial"/>
          <w:b/>
          <w:szCs w:val="20"/>
          <w:lang w:eastAsia="en-GB"/>
        </w:rPr>
      </w:pPr>
    </w:p>
    <w:p w:rsidR="00D70CDC" w:rsidRPr="00D70CDC" w:rsidRDefault="00D70CDC" w:rsidP="00CF0DE0">
      <w:pPr>
        <w:rPr>
          <w:rFonts w:eastAsia="Times New Roman" w:cs="Arial"/>
          <w:szCs w:val="20"/>
          <w:lang w:eastAsia="en-GB"/>
        </w:rPr>
      </w:pPr>
      <w:r w:rsidRPr="00D70CDC">
        <w:rPr>
          <w:rFonts w:eastAsia="Times New Roman" w:cs="Arial"/>
          <w:b/>
          <w:szCs w:val="20"/>
          <w:lang w:eastAsia="en-GB"/>
        </w:rPr>
        <w:t>Joint Programmes</w:t>
      </w:r>
      <w:r w:rsidRPr="00D70CDC">
        <w:rPr>
          <w:rFonts w:eastAsia="Times New Roman" w:cs="Arial"/>
          <w:szCs w:val="20"/>
          <w:lang w:eastAsia="en-GB"/>
        </w:rPr>
        <w:t xml:space="preserve"> between the CoE and the EU, aimed at promoting respect for the rule of law, democracy and human rights, remained the major source of funding of the CoE technical assistance and co-operation projects in 2018. </w:t>
      </w:r>
      <w:r w:rsidRPr="00D70CDC">
        <w:rPr>
          <w:rFonts w:eastAsia="Times New Roman" w:cs="Arial"/>
          <w:iCs/>
          <w:szCs w:val="20"/>
          <w:lang w:eastAsia="en-GB"/>
        </w:rPr>
        <w:t>The global financial volume of contracts under implementation in 2018 amounted to €154.8 million, with the EU and the CoE contributing €131.4 million (84.9%) and €23.4 million (15.1%) respectively.</w:t>
      </w:r>
      <w:r w:rsidRPr="00D70CDC">
        <w:rPr>
          <w:rFonts w:eastAsia="Times New Roman" w:cs="Arial"/>
          <w:i/>
          <w:iCs/>
          <w:szCs w:val="20"/>
          <w:lang w:eastAsia="en-GB"/>
        </w:rPr>
        <w:t> </w:t>
      </w:r>
    </w:p>
    <w:p w:rsidR="00D70CDC" w:rsidRPr="00D70CDC" w:rsidRDefault="00D70CDC" w:rsidP="00CF0DE0">
      <w:pPr>
        <w:rPr>
          <w:rFonts w:eastAsia="Times New Roman" w:cs="Arial"/>
          <w:szCs w:val="20"/>
          <w:lang w:eastAsia="en-GB"/>
        </w:rPr>
      </w:pPr>
    </w:p>
    <w:p w:rsidR="00D70CDC" w:rsidRPr="00D70CDC" w:rsidRDefault="00D70CDC" w:rsidP="00CF0DE0">
      <w:pPr>
        <w:rPr>
          <w:rFonts w:eastAsia="Times New Roman" w:cs="Arial"/>
          <w:szCs w:val="20"/>
          <w:lang w:eastAsia="en-GB"/>
        </w:rPr>
      </w:pPr>
      <w:r w:rsidRPr="00D70CDC">
        <w:rPr>
          <w:rFonts w:eastAsia="Times New Roman" w:cs="Arial"/>
          <w:szCs w:val="20"/>
          <w:lang w:eastAsia="en-GB"/>
        </w:rPr>
        <w:t xml:space="preserve">Following the 2014 Statement of Intent on co-operation between the European Commission and the CoE, the implementation of strategic co-operation frameworks has continued (during the reporting period), covering the </w:t>
      </w:r>
      <w:r w:rsidRPr="00D70CDC">
        <w:rPr>
          <w:rFonts w:eastAsia="Times New Roman" w:cs="Arial"/>
          <w:b/>
          <w:szCs w:val="20"/>
          <w:lang w:eastAsia="en-GB"/>
        </w:rPr>
        <w:t xml:space="preserve">EU Enlargement Region, </w:t>
      </w:r>
      <w:r>
        <w:rPr>
          <w:rFonts w:eastAsia="Times New Roman" w:cs="Arial"/>
          <w:b/>
          <w:szCs w:val="20"/>
          <w:lang w:eastAsia="en-GB"/>
        </w:rPr>
        <w:t>countries of Eastern Partnership, Southern Mediterranean and Central Asia.</w:t>
      </w:r>
      <w:r w:rsidRPr="00D70CDC">
        <w:rPr>
          <w:rFonts w:eastAsia="Times New Roman" w:cs="Arial"/>
          <w:szCs w:val="20"/>
          <w:lang w:eastAsia="en-GB"/>
        </w:rPr>
        <w:t xml:space="preserve"> </w:t>
      </w:r>
    </w:p>
    <w:p w:rsidR="00D70CDC" w:rsidRPr="00D70CDC" w:rsidRDefault="00D70CDC" w:rsidP="00CF0DE0">
      <w:pPr>
        <w:rPr>
          <w:rFonts w:eastAsia="Times New Roman" w:cs="Arial"/>
          <w:szCs w:val="20"/>
          <w:lang w:eastAsia="en-GB"/>
        </w:rPr>
      </w:pPr>
    </w:p>
    <w:p w:rsidR="00D70CDC" w:rsidRPr="00D70CDC" w:rsidRDefault="00D70CDC" w:rsidP="00CF0DE0">
      <w:pPr>
        <w:rPr>
          <w:rFonts w:cs="Arial"/>
          <w:szCs w:val="20"/>
        </w:rPr>
      </w:pPr>
      <w:r w:rsidRPr="00D70CDC">
        <w:rPr>
          <w:rFonts w:cs="Arial"/>
          <w:szCs w:val="20"/>
        </w:rPr>
        <w:t xml:space="preserve">The </w:t>
      </w:r>
      <w:r w:rsidRPr="00D70CDC">
        <w:rPr>
          <w:rFonts w:cs="Arial"/>
          <w:b/>
          <w:szCs w:val="20"/>
        </w:rPr>
        <w:t>Horizontal Facility for the Western Balkans and Turkey</w:t>
      </w:r>
      <w:r w:rsidRPr="00D70CDC">
        <w:rPr>
          <w:rFonts w:cs="Arial"/>
          <w:szCs w:val="20"/>
        </w:rPr>
        <w:t xml:space="preserve"> is a flagship instrument of co-operation between the EU and the CoE that has been </w:t>
      </w:r>
      <w:r w:rsidRPr="00D70CDC">
        <w:rPr>
          <w:rFonts w:cs="Arial"/>
          <w:b/>
          <w:szCs w:val="20"/>
        </w:rPr>
        <w:t xml:space="preserve">supporting </w:t>
      </w:r>
      <w:r w:rsidRPr="00D70CDC">
        <w:rPr>
          <w:rFonts w:cs="Arial"/>
          <w:b/>
          <w:szCs w:val="20"/>
          <w:lang w:eastAsia="mk-MK"/>
        </w:rPr>
        <w:t>beneficiary-tailored reform processes</w:t>
      </w:r>
      <w:r w:rsidRPr="00D70CDC">
        <w:rPr>
          <w:rFonts w:cs="Arial"/>
          <w:szCs w:val="20"/>
          <w:lang w:eastAsia="mk-MK"/>
        </w:rPr>
        <w:t xml:space="preserve"> </w:t>
      </w:r>
      <w:r w:rsidRPr="00D70CDC">
        <w:rPr>
          <w:rFonts w:cs="Arial"/>
          <w:szCs w:val="20"/>
          <w:lang w:eastAsia="mk-MK"/>
        </w:rPr>
        <w:br/>
      </w:r>
      <w:r w:rsidRPr="00D70CDC">
        <w:rPr>
          <w:rFonts w:cs="Arial"/>
          <w:szCs w:val="20"/>
        </w:rPr>
        <w:t xml:space="preserve">(€25 million from May 2016 to May 2019) and since February 2018 has contributed to the objectives of the EU Western Balkans Strategy initiatives. Using a flexible and needs-oriented approach, the Horizontal Facility </w:t>
      </w:r>
      <w:r w:rsidRPr="00D70CDC">
        <w:rPr>
          <w:rFonts w:cs="Arial"/>
          <w:szCs w:val="20"/>
          <w:lang w:eastAsia="mk-MK"/>
        </w:rPr>
        <w:t>supports beneficiaries</w:t>
      </w:r>
      <w:r w:rsidRPr="00D70CDC">
        <w:rPr>
          <w:rFonts w:cs="Arial"/>
          <w:szCs w:val="20"/>
        </w:rPr>
        <w:t xml:space="preserve"> to address recommendations emanating from CoE monitoring and opinion/advisory bodies on ensuring justice, fighting economic crime and combating discrimination, while also supporting beneficiaries’ progress regarding the implementation of Chapters 23 and 24 of the </w:t>
      </w:r>
      <w:r w:rsidRPr="00D70CDC">
        <w:rPr>
          <w:rFonts w:cs="Arial"/>
          <w:i/>
          <w:szCs w:val="20"/>
        </w:rPr>
        <w:t>EU acquis</w:t>
      </w:r>
      <w:r w:rsidRPr="00D70CDC">
        <w:rPr>
          <w:rFonts w:cs="Arial"/>
          <w:szCs w:val="20"/>
        </w:rPr>
        <w:t xml:space="preserve"> as relevant. </w:t>
      </w:r>
    </w:p>
    <w:p w:rsidR="00D70CDC" w:rsidRPr="00D70CDC" w:rsidRDefault="00D70CDC" w:rsidP="00CF0DE0">
      <w:pPr>
        <w:rPr>
          <w:rFonts w:cs="Arial"/>
          <w:szCs w:val="20"/>
        </w:rPr>
      </w:pPr>
    </w:p>
    <w:p w:rsidR="00D70CDC" w:rsidRPr="00D70CDC" w:rsidRDefault="00D70CDC" w:rsidP="00CF0DE0">
      <w:pPr>
        <w:rPr>
          <w:rFonts w:eastAsia="Times New Roman" w:cs="Arial"/>
          <w:szCs w:val="20"/>
          <w:lang w:eastAsia="en-GB"/>
        </w:rPr>
      </w:pPr>
      <w:r w:rsidRPr="00D70CDC">
        <w:rPr>
          <w:rFonts w:eastAsia="Times New Roman" w:cs="Arial"/>
          <w:szCs w:val="20"/>
          <w:lang w:eastAsia="en-GB"/>
        </w:rPr>
        <w:t xml:space="preserve">Through the Expertise Co-ordination Mechanism (ECM), which is also available to Turkey, the Horizontal Facility provides </w:t>
      </w:r>
      <w:r w:rsidRPr="00D70CDC">
        <w:rPr>
          <w:rFonts w:eastAsia="Times New Roman" w:cs="Arial"/>
          <w:b/>
          <w:i/>
          <w:szCs w:val="20"/>
          <w:lang w:eastAsia="en-GB"/>
        </w:rPr>
        <w:t>ad-hoc</w:t>
      </w:r>
      <w:r w:rsidRPr="00D70CDC">
        <w:rPr>
          <w:rFonts w:eastAsia="Times New Roman" w:cs="Arial"/>
          <w:b/>
          <w:szCs w:val="20"/>
          <w:lang w:eastAsia="en-GB"/>
        </w:rPr>
        <w:t xml:space="preserve"> legal expertise and policy advice</w:t>
      </w:r>
      <w:r w:rsidRPr="00D70CDC">
        <w:rPr>
          <w:rFonts w:eastAsia="Times New Roman" w:cs="Arial"/>
          <w:szCs w:val="20"/>
          <w:lang w:eastAsia="en-GB"/>
        </w:rPr>
        <w:t>. In 2018, assistance was provided in particular to Albania, Bosnia and Herzegovina, Montenegro, North Macedonia, Serbia and Kosovo* in the areas of constitutional reform, justice reform, electoral processes, political parties financing, anti-discrimination and freedom of media. Three other EU/CoE Joint Programmes are also implemented in the region</w:t>
      </w:r>
      <w:r w:rsidR="00DA6B7A">
        <w:rPr>
          <w:rFonts w:eastAsia="Times New Roman" w:cs="Arial"/>
          <w:szCs w:val="20"/>
          <w:lang w:eastAsia="en-GB"/>
        </w:rPr>
        <w:t>.</w:t>
      </w:r>
      <w:r w:rsidRPr="00D70CDC">
        <w:rPr>
          <w:rFonts w:eastAsia="Times New Roman" w:cs="Arial"/>
          <w:szCs w:val="20"/>
          <w:vertAlign w:val="superscript"/>
          <w:lang w:eastAsia="en-GB"/>
        </w:rPr>
        <w:footnoteReference w:id="6"/>
      </w:r>
    </w:p>
    <w:p w:rsidR="00D70CDC" w:rsidRPr="00D70CDC" w:rsidRDefault="00D70CDC" w:rsidP="00CF0DE0">
      <w:pPr>
        <w:rPr>
          <w:rFonts w:eastAsia="Times New Roman" w:cs="Arial"/>
          <w:szCs w:val="20"/>
          <w:lang w:eastAsia="en-GB"/>
        </w:rPr>
      </w:pPr>
    </w:p>
    <w:p w:rsidR="00EA1FB1" w:rsidRDefault="00EA1FB1">
      <w:pPr>
        <w:rPr>
          <w:rFonts w:eastAsia="Times New Roman" w:cs="Arial"/>
          <w:szCs w:val="20"/>
          <w:lang w:eastAsia="en-GB"/>
        </w:rPr>
      </w:pPr>
      <w:r>
        <w:rPr>
          <w:rFonts w:eastAsia="Times New Roman" w:cs="Arial"/>
          <w:szCs w:val="20"/>
          <w:lang w:eastAsia="en-GB"/>
        </w:rPr>
        <w:br w:type="page"/>
      </w:r>
    </w:p>
    <w:p w:rsidR="00D70CDC" w:rsidRPr="00D70CDC" w:rsidRDefault="00D70CDC" w:rsidP="00CF0DE0">
      <w:pPr>
        <w:rPr>
          <w:rFonts w:eastAsia="Times New Roman" w:cs="Arial"/>
          <w:szCs w:val="20"/>
          <w:lang w:eastAsia="fr-FR"/>
        </w:rPr>
      </w:pPr>
      <w:r w:rsidRPr="00D70CDC">
        <w:rPr>
          <w:rFonts w:eastAsia="Times New Roman" w:cs="Arial"/>
          <w:szCs w:val="20"/>
          <w:lang w:eastAsia="en-GB"/>
        </w:rPr>
        <w:lastRenderedPageBreak/>
        <w:t>In the countries of the Eastern Partnership (</w:t>
      </w:r>
      <w:proofErr w:type="spellStart"/>
      <w:r w:rsidRPr="00D70CDC">
        <w:rPr>
          <w:rFonts w:eastAsia="Times New Roman" w:cs="Arial"/>
          <w:szCs w:val="20"/>
          <w:lang w:eastAsia="en-GB"/>
        </w:rPr>
        <w:t>EaP</w:t>
      </w:r>
      <w:proofErr w:type="spellEnd"/>
      <w:r w:rsidRPr="00D70CDC">
        <w:rPr>
          <w:rFonts w:eastAsia="Times New Roman" w:cs="Arial"/>
          <w:szCs w:val="20"/>
          <w:lang w:eastAsia="en-GB"/>
        </w:rPr>
        <w:t>), co-operation continued through the “</w:t>
      </w:r>
      <w:r w:rsidRPr="00D70CDC">
        <w:rPr>
          <w:rFonts w:eastAsia="Times New Roman" w:cs="Arial"/>
          <w:b/>
          <w:szCs w:val="20"/>
          <w:lang w:eastAsia="en-GB"/>
        </w:rPr>
        <w:t>Partnership for Good Governance</w:t>
      </w:r>
      <w:r w:rsidRPr="00D70CDC">
        <w:rPr>
          <w:rFonts w:eastAsia="Times New Roman" w:cs="Arial"/>
          <w:szCs w:val="20"/>
          <w:lang w:eastAsia="en-GB"/>
        </w:rPr>
        <w:t xml:space="preserve">” (PGG). </w:t>
      </w:r>
      <w:r w:rsidRPr="00D70CDC">
        <w:rPr>
          <w:rFonts w:eastAsia="Times New Roman" w:cs="Arial"/>
          <w:szCs w:val="20"/>
          <w:lang w:eastAsia="fr-FR"/>
        </w:rPr>
        <w:t>PGG Phase I 2015-2017, extended to 2018 (with a total budget envelope of €36 million</w:t>
      </w:r>
      <w:r w:rsidRPr="00D70CDC">
        <w:rPr>
          <w:rFonts w:eastAsia="Times New Roman" w:cs="Arial"/>
          <w:szCs w:val="20"/>
          <w:vertAlign w:val="superscript"/>
          <w:lang w:eastAsia="fr-FR"/>
        </w:rPr>
        <w:footnoteReference w:id="7"/>
      </w:r>
      <w:r w:rsidRPr="00D70CDC">
        <w:rPr>
          <w:rFonts w:eastAsia="Times New Roman" w:cs="Arial"/>
          <w:szCs w:val="20"/>
          <w:lang w:eastAsia="fr-FR"/>
        </w:rPr>
        <w:t xml:space="preserve">), was finalised. </w:t>
      </w:r>
      <w:r w:rsidRPr="00D70CDC">
        <w:rPr>
          <w:rFonts w:eastAsia="Times New Roman" w:cs="Arial"/>
          <w:szCs w:val="20"/>
          <w:lang w:eastAsia="en-GB"/>
        </w:rPr>
        <w:t>The independent results-oriented monitoring (ROM) report commissioned by the EU</w:t>
      </w:r>
      <w:r w:rsidR="006B16FF">
        <w:rPr>
          <w:rFonts w:eastAsia="Times New Roman" w:cs="Arial"/>
          <w:szCs w:val="20"/>
          <w:lang w:eastAsia="en-GB"/>
        </w:rPr>
        <w:t>,</w:t>
      </w:r>
      <w:r w:rsidRPr="00D70CDC">
        <w:rPr>
          <w:rFonts w:eastAsia="Times New Roman" w:cs="Arial"/>
          <w:szCs w:val="20"/>
          <w:vertAlign w:val="superscript"/>
          <w:lang w:eastAsia="en-GB"/>
        </w:rPr>
        <w:footnoteReference w:id="8"/>
      </w:r>
      <w:r w:rsidRPr="00D70CDC">
        <w:rPr>
          <w:rFonts w:eastAsia="Times New Roman" w:cs="Arial"/>
          <w:szCs w:val="20"/>
          <w:lang w:eastAsia="en-GB"/>
        </w:rPr>
        <w:t xml:space="preserve"> issued at the end of 2018, concluded that the assistance delivered under phase I of PGG was </w:t>
      </w:r>
      <w:r w:rsidRPr="00D70CDC">
        <w:rPr>
          <w:rFonts w:eastAsia="Times New Roman" w:cs="Arial"/>
          <w:b/>
          <w:szCs w:val="20"/>
          <w:lang w:eastAsia="en-GB"/>
        </w:rPr>
        <w:t>highly relevant, effective and sustainable</w:t>
      </w:r>
      <w:r w:rsidRPr="00D70CDC">
        <w:rPr>
          <w:rFonts w:eastAsia="Times New Roman" w:cs="Arial"/>
          <w:szCs w:val="20"/>
          <w:lang w:eastAsia="en-GB"/>
        </w:rPr>
        <w:t xml:space="preserve">. Negotiations on </w:t>
      </w:r>
      <w:r w:rsidRPr="00D70CDC">
        <w:rPr>
          <w:rFonts w:eastAsia="Times New Roman" w:cs="Arial"/>
          <w:szCs w:val="20"/>
          <w:lang w:eastAsia="fr-FR"/>
        </w:rPr>
        <w:t xml:space="preserve">PGG Phase II 2019-2021 were finalised with a budget envelope of </w:t>
      </w:r>
      <w:r w:rsidRPr="00D70CDC">
        <w:rPr>
          <w:rFonts w:eastAsia="Times New Roman" w:cs="Arial"/>
          <w:iCs/>
          <w:szCs w:val="20"/>
          <w:lang w:eastAsia="en-GB"/>
        </w:rPr>
        <w:t>€</w:t>
      </w:r>
      <w:r w:rsidRPr="00D70CDC">
        <w:rPr>
          <w:rFonts w:eastAsia="Times New Roman" w:cs="Arial"/>
          <w:szCs w:val="20"/>
          <w:lang w:eastAsia="fr-FR"/>
        </w:rPr>
        <w:t>17.5 million</w:t>
      </w:r>
      <w:r w:rsidR="00DA6B7A">
        <w:rPr>
          <w:rFonts w:eastAsia="Times New Roman" w:cs="Arial"/>
          <w:szCs w:val="20"/>
          <w:lang w:eastAsia="fr-FR"/>
        </w:rPr>
        <w:t>.</w:t>
      </w:r>
      <w:r w:rsidRPr="00D70CDC">
        <w:rPr>
          <w:rFonts w:eastAsia="Times New Roman" w:cs="Arial"/>
          <w:szCs w:val="20"/>
          <w:vertAlign w:val="superscript"/>
          <w:lang w:eastAsia="fr-FR"/>
        </w:rPr>
        <w:footnoteReference w:id="9"/>
      </w:r>
      <w:r w:rsidRPr="00D70CDC">
        <w:rPr>
          <w:rFonts w:eastAsia="Times New Roman" w:cs="Arial"/>
          <w:szCs w:val="20"/>
          <w:lang w:eastAsia="fr-FR"/>
        </w:rPr>
        <w:t xml:space="preserve"> It will mainly focus on </w:t>
      </w:r>
      <w:r w:rsidRPr="00D70CDC">
        <w:rPr>
          <w:rFonts w:eastAsia="Times New Roman" w:cs="Arial"/>
          <w:b/>
          <w:szCs w:val="20"/>
          <w:lang w:eastAsia="fr-FR"/>
        </w:rPr>
        <w:t>judicial reform and the fight against corruption</w:t>
      </w:r>
      <w:r w:rsidRPr="00D70CDC">
        <w:rPr>
          <w:rFonts w:eastAsia="Times New Roman" w:cs="Arial"/>
          <w:szCs w:val="20"/>
          <w:lang w:eastAsia="fr-FR"/>
        </w:rPr>
        <w:t xml:space="preserve"> with a view to supporting the achievement of EU 20 Deliverables for 2020.</w:t>
      </w:r>
    </w:p>
    <w:p w:rsidR="00D70CDC" w:rsidRPr="00D70CDC" w:rsidRDefault="00D70CDC" w:rsidP="00CF0DE0">
      <w:pPr>
        <w:rPr>
          <w:rFonts w:eastAsia="Times New Roman" w:cs="Arial"/>
          <w:szCs w:val="20"/>
          <w:lang w:eastAsia="en-GB"/>
        </w:rPr>
      </w:pPr>
    </w:p>
    <w:p w:rsidR="00D70CDC" w:rsidRPr="00D70CDC" w:rsidRDefault="00D70CDC" w:rsidP="00CF0DE0">
      <w:pPr>
        <w:rPr>
          <w:rFonts w:eastAsia="Times New Roman" w:cs="Arial"/>
          <w:szCs w:val="20"/>
          <w:lang w:eastAsia="en-GB"/>
        </w:rPr>
      </w:pPr>
      <w:r w:rsidRPr="00D70CDC">
        <w:rPr>
          <w:rFonts w:eastAsia="Times New Roman" w:cs="Arial"/>
          <w:szCs w:val="20"/>
          <w:lang w:eastAsia="en-GB"/>
        </w:rPr>
        <w:t xml:space="preserve">The EU is also an important partner in the framework of the CoE </w:t>
      </w:r>
      <w:r w:rsidRPr="00D70CDC">
        <w:rPr>
          <w:rFonts w:eastAsia="Times New Roman" w:cs="Arial"/>
          <w:b/>
          <w:szCs w:val="20"/>
          <w:lang w:eastAsia="en-GB"/>
        </w:rPr>
        <w:t>Policy towards neighbouring regions</w:t>
      </w:r>
      <w:r w:rsidRPr="00D70CDC">
        <w:rPr>
          <w:rFonts w:eastAsia="Times New Roman" w:cs="Arial"/>
          <w:szCs w:val="20"/>
          <w:lang w:eastAsia="en-GB"/>
        </w:rPr>
        <w:t>. The EU/CoE Joint Programme “</w:t>
      </w:r>
      <w:r w:rsidRPr="00D70CDC">
        <w:rPr>
          <w:rFonts w:eastAsia="Times New Roman" w:cs="Arial"/>
          <w:b/>
          <w:szCs w:val="20"/>
          <w:lang w:eastAsia="en-GB"/>
        </w:rPr>
        <w:t>Ensuring Sustainable Democratic Governance and Human rights in the Southern Mediterranean”</w:t>
      </w:r>
      <w:r w:rsidRPr="00D70CDC">
        <w:rPr>
          <w:rFonts w:eastAsia="Times New Roman" w:cs="Arial"/>
          <w:szCs w:val="20"/>
          <w:lang w:eastAsia="en-GB"/>
        </w:rPr>
        <w:t xml:space="preserve"> (South Programme III, 2018-2020, €3.34 million) was successfully launched in 2018. The Programme is open to Algeria, Egypt, Israel, Jordan, Lebanon, Libya, Morocco, Palestine*</w:t>
      </w:r>
      <w:r w:rsidR="00B0044A">
        <w:rPr>
          <w:rFonts w:eastAsia="Times New Roman" w:cs="Arial"/>
          <w:szCs w:val="20"/>
          <w:lang w:eastAsia="en-GB"/>
        </w:rPr>
        <w:t>*</w:t>
      </w:r>
      <w:r w:rsidRPr="00D70CDC">
        <w:rPr>
          <w:rFonts w:eastAsia="Times New Roman" w:cs="Arial"/>
          <w:szCs w:val="20"/>
          <w:lang w:eastAsia="en-GB"/>
        </w:rPr>
        <w:t xml:space="preserve"> and Tunisia, allowing further consolidation of the process of creating a common legal space between Europe and the Southern Mediterranean and offering networking and capacity-building opportunities in the region. As a transversal priority, the Programme aims at contributing to combating violence against women using relevant CoE standards, tools and mechanisms. In Tunisia, two new EU/CoE Joint programmes, “Improving the functioning, performance and access to justice in Tunisia (AP-JUST, 2019-2021, €5.56 million</w:t>
      </w:r>
      <w:r w:rsidRPr="00D70CDC">
        <w:rPr>
          <w:rFonts w:eastAsia="Times New Roman" w:cs="Arial"/>
          <w:szCs w:val="20"/>
          <w:vertAlign w:val="superscript"/>
          <w:lang w:eastAsia="en-GB"/>
        </w:rPr>
        <w:footnoteReference w:id="10"/>
      </w:r>
      <w:r w:rsidRPr="00D70CDC">
        <w:rPr>
          <w:rFonts w:eastAsia="Times New Roman" w:cs="Arial"/>
          <w:szCs w:val="20"/>
          <w:lang w:eastAsia="en-GB"/>
        </w:rPr>
        <w:t>)” and “Project to support independent bodies in Tunisia (PAII-T, 2019-2021, €5 million</w:t>
      </w:r>
      <w:r w:rsidRPr="00D70CDC">
        <w:rPr>
          <w:rFonts w:eastAsia="Times New Roman" w:cs="Arial"/>
          <w:szCs w:val="20"/>
          <w:vertAlign w:val="superscript"/>
          <w:lang w:eastAsia="en-GB"/>
        </w:rPr>
        <w:footnoteReference w:id="11"/>
      </w:r>
      <w:r w:rsidRPr="00D70CDC">
        <w:rPr>
          <w:rFonts w:eastAsia="Times New Roman" w:cs="Arial"/>
          <w:szCs w:val="20"/>
          <w:lang w:eastAsia="en-GB"/>
        </w:rPr>
        <w:t xml:space="preserve">)” were signed at the end of 2018. </w:t>
      </w:r>
    </w:p>
    <w:p w:rsidR="00D70CDC" w:rsidRPr="00D70CDC" w:rsidRDefault="00D70CDC" w:rsidP="00CF0DE0">
      <w:pPr>
        <w:rPr>
          <w:rFonts w:eastAsia="Times New Roman" w:cs="Arial"/>
          <w:szCs w:val="20"/>
          <w:lang w:eastAsia="en-GB"/>
        </w:rPr>
      </w:pPr>
    </w:p>
    <w:p w:rsidR="00D70CDC" w:rsidRPr="00D70CDC" w:rsidRDefault="00D70CDC" w:rsidP="00CF0DE0">
      <w:pPr>
        <w:rPr>
          <w:rFonts w:eastAsia="Times New Roman" w:cs="Arial"/>
          <w:szCs w:val="20"/>
          <w:lang w:eastAsia="en-GB"/>
        </w:rPr>
      </w:pPr>
      <w:r w:rsidRPr="00D70CDC">
        <w:rPr>
          <w:rFonts w:eastAsia="Times New Roman" w:cs="Arial"/>
          <w:szCs w:val="20"/>
          <w:lang w:eastAsia="en-GB"/>
        </w:rPr>
        <w:t xml:space="preserve">In </w:t>
      </w:r>
      <w:r w:rsidRPr="00D70CDC">
        <w:rPr>
          <w:rFonts w:eastAsia="Times New Roman" w:cs="Arial"/>
          <w:b/>
          <w:szCs w:val="20"/>
          <w:lang w:eastAsia="en-GB"/>
        </w:rPr>
        <w:t>Central Asia</w:t>
      </w:r>
      <w:r w:rsidRPr="00D70CDC">
        <w:rPr>
          <w:rFonts w:eastAsia="Times New Roman" w:cs="Arial"/>
          <w:szCs w:val="20"/>
          <w:lang w:eastAsia="en-GB"/>
        </w:rPr>
        <w:t xml:space="preserve">, co-operation focused </w:t>
      </w:r>
      <w:r w:rsidRPr="00D70CDC">
        <w:rPr>
          <w:rFonts w:eastAsia="Times New Roman" w:cs="Arial"/>
          <w:b/>
          <w:szCs w:val="20"/>
          <w:lang w:eastAsia="en-GB"/>
        </w:rPr>
        <w:t>mainly on the rule of law</w:t>
      </w:r>
      <w:r w:rsidRPr="00D70CDC">
        <w:rPr>
          <w:rFonts w:eastAsia="Times New Roman" w:cs="Arial"/>
          <w:szCs w:val="20"/>
          <w:lang w:eastAsia="en-GB"/>
        </w:rPr>
        <w:t xml:space="preserve"> with a Joint Programme in Kazakhstan on the reform of justice (2014-2018, €2 million) and two Joint Programmes in the fields of electoral reform and the fight against corruption in the Kyrgyz Republic (€700 000 and €550 000 respectively). The Joint Programme in Kazakhstan and the Joint Programme to fight corruption in Kyrgyzstan were completed in 2018. The Joint Programme in the field of elections in Kyrgyzstan was extended until April 2019 and a follow-up is envisaged. Currently, the CoE is finalising negotiations with the EU on a regional Joint Programme in Central Asia (2019-2022, €8.4 million) that will cover such areas as the promotion of a common legal space and protection of human rights, fight against corruption and good governance. The Central Asian states will also be among the key beneficiaries of another EU/CoE Joint Programme that is currently under discussion</w:t>
      </w:r>
      <w:r w:rsidR="00DA6B7A">
        <w:rPr>
          <w:rFonts w:eastAsia="Times New Roman" w:cs="Arial"/>
          <w:szCs w:val="20"/>
          <w:lang w:eastAsia="en-GB"/>
        </w:rPr>
        <w:t>.</w:t>
      </w:r>
      <w:r w:rsidRPr="00D70CDC">
        <w:rPr>
          <w:rFonts w:eastAsia="Times New Roman" w:cs="Arial"/>
          <w:szCs w:val="20"/>
          <w:vertAlign w:val="superscript"/>
          <w:lang w:eastAsia="en-GB"/>
        </w:rPr>
        <w:footnoteReference w:id="12"/>
      </w:r>
      <w:r w:rsidRPr="00D70CDC">
        <w:rPr>
          <w:rFonts w:eastAsia="Times New Roman" w:cs="Arial"/>
          <w:szCs w:val="20"/>
          <w:lang w:eastAsia="en-GB"/>
        </w:rPr>
        <w:t xml:space="preserve"> </w:t>
      </w:r>
    </w:p>
    <w:p w:rsidR="00D70CDC" w:rsidRDefault="00D70CDC" w:rsidP="00CF0DE0">
      <w:pPr>
        <w:rPr>
          <w:rFonts w:eastAsia="Times New Roman" w:cs="Arial"/>
          <w:szCs w:val="20"/>
          <w:lang w:eastAsia="en-GB"/>
        </w:rPr>
      </w:pPr>
    </w:p>
    <w:p w:rsidR="00D70CDC" w:rsidRPr="00D70CDC" w:rsidRDefault="00D70CDC" w:rsidP="00CF0DE0">
      <w:pPr>
        <w:rPr>
          <w:rFonts w:eastAsia="Times New Roman" w:cs="Arial"/>
          <w:szCs w:val="20"/>
          <w:lang w:eastAsia="en-GB"/>
        </w:rPr>
      </w:pPr>
      <w:r w:rsidRPr="00D70CDC">
        <w:rPr>
          <w:rFonts w:eastAsia="Times New Roman" w:cs="Arial"/>
          <w:szCs w:val="20"/>
          <w:lang w:eastAsia="en-GB"/>
        </w:rPr>
        <w:t xml:space="preserve">With EU financial support for co-operation projects in the Southern Mediterranean and Kyrgyzstan, the Venice Commission was able to provide assistance in the fields of </w:t>
      </w:r>
      <w:r w:rsidRPr="00D70CDC">
        <w:rPr>
          <w:rFonts w:eastAsia="Times New Roman" w:cs="Arial"/>
          <w:b/>
          <w:szCs w:val="20"/>
          <w:lang w:eastAsia="en-GB"/>
        </w:rPr>
        <w:t>constitutional justice and electoral legislation and practice</w:t>
      </w:r>
      <w:r w:rsidRPr="00D70CDC">
        <w:rPr>
          <w:rFonts w:eastAsia="Times New Roman" w:cs="Arial"/>
          <w:szCs w:val="20"/>
          <w:lang w:eastAsia="en-GB"/>
        </w:rPr>
        <w:t xml:space="preserve"> involving the authorities of Algeria, Jordan, Libya, Kyrgyzstan, Morocco and Tunisia.</w:t>
      </w:r>
    </w:p>
    <w:p w:rsidR="00D70CDC" w:rsidRPr="00D70CDC" w:rsidRDefault="00D70CDC" w:rsidP="00CF0DE0">
      <w:pPr>
        <w:rPr>
          <w:rFonts w:eastAsia="Times New Roman" w:cs="Arial"/>
          <w:szCs w:val="20"/>
          <w:lang w:eastAsia="en-GB"/>
        </w:rPr>
      </w:pPr>
    </w:p>
    <w:p w:rsidR="00D70CDC" w:rsidRPr="00D70CDC" w:rsidRDefault="00D70CDC" w:rsidP="00CF0DE0">
      <w:pPr>
        <w:rPr>
          <w:rFonts w:eastAsia="Times New Roman" w:cs="Arial"/>
          <w:szCs w:val="20"/>
          <w:lang w:eastAsia="en-GB"/>
        </w:rPr>
      </w:pPr>
      <w:r w:rsidRPr="00D70CDC">
        <w:rPr>
          <w:rFonts w:eastAsia="Times New Roman" w:cs="Arial"/>
          <w:szCs w:val="20"/>
          <w:lang w:eastAsia="en-GB"/>
        </w:rPr>
        <w:t xml:space="preserve">With respect to </w:t>
      </w:r>
      <w:r w:rsidRPr="00D70CDC">
        <w:rPr>
          <w:rFonts w:eastAsia="Times New Roman" w:cs="Arial"/>
          <w:b/>
          <w:szCs w:val="20"/>
          <w:lang w:eastAsia="en-GB"/>
        </w:rPr>
        <w:t>cybercrime</w:t>
      </w:r>
      <w:r w:rsidRPr="00D70CDC">
        <w:rPr>
          <w:rFonts w:eastAsia="Times New Roman" w:cs="Arial"/>
          <w:szCs w:val="20"/>
          <w:lang w:eastAsia="en-GB"/>
        </w:rPr>
        <w:t xml:space="preserve">, the CoE and EU pursue the common goal of strengthening the rule of law in cyberspace on the basis of the Budapest Convention on Cybercrime. This goal is supported through a large number of capacity-building activities which are being implemented under a range of EU and CoE joint projects. Co-funded by the EU through different financial instruments, these joint projects are aimed at strengthening the capacities of states worldwide to apply legislation on cybercrime and electronic evidence and engage in effective international co-operation while complying with human rights and the rule of law, including data protection standards. In terms of </w:t>
      </w:r>
      <w:r w:rsidRPr="00D70CDC">
        <w:rPr>
          <w:rFonts w:eastAsia="Times New Roman" w:cs="Arial"/>
          <w:b/>
          <w:szCs w:val="20"/>
          <w:lang w:eastAsia="en-GB"/>
        </w:rPr>
        <w:t>geographical coverage</w:t>
      </w:r>
      <w:r w:rsidRPr="00D70CDC">
        <w:rPr>
          <w:rFonts w:eastAsia="Times New Roman" w:cs="Arial"/>
          <w:szCs w:val="20"/>
          <w:lang w:eastAsia="en-GB"/>
        </w:rPr>
        <w:t>, some of these projects are regional and are aimed at Eastern Europe, South Eastern Europe and Turkey and the Southern Neighbourhood, while others are global and are aimed at countries in Africa, Asia/Pacific, the Caribbean and Latin America which are committed to implementing this treaty or prepared to develop legislation on the basis of the Budapest Convention.</w:t>
      </w:r>
    </w:p>
    <w:p w:rsidR="00D70CDC" w:rsidRPr="00D70CDC" w:rsidRDefault="00D70CDC" w:rsidP="00CF0DE0">
      <w:pPr>
        <w:rPr>
          <w:rFonts w:eastAsia="Times New Roman" w:cs="Arial"/>
          <w:szCs w:val="20"/>
          <w:lang w:eastAsia="en-GB"/>
        </w:rPr>
      </w:pPr>
    </w:p>
    <w:p w:rsidR="00D70CDC" w:rsidRPr="00D70CDC" w:rsidRDefault="00D70CDC" w:rsidP="00CF0DE0">
      <w:pPr>
        <w:rPr>
          <w:rFonts w:cs="Arial"/>
          <w:szCs w:val="20"/>
        </w:rPr>
      </w:pPr>
      <w:r w:rsidRPr="00D70CDC">
        <w:rPr>
          <w:rFonts w:cs="Arial"/>
          <w:szCs w:val="20"/>
        </w:rPr>
        <w:t xml:space="preserve">Two new Joint Programmes, “HELP in the EU” and “HELP Radicalisation Prevention” (with a total budget envelope of €1.7 million) contribute to increased protection of fundamental rights in the </w:t>
      </w:r>
      <w:r w:rsidRPr="00D70CDC">
        <w:rPr>
          <w:rFonts w:cs="Arial"/>
          <w:b/>
          <w:szCs w:val="20"/>
        </w:rPr>
        <w:t>EU member States</w:t>
      </w:r>
      <w:r w:rsidRPr="00D70CDC">
        <w:rPr>
          <w:rFonts w:cs="Arial"/>
          <w:szCs w:val="20"/>
        </w:rPr>
        <w:t xml:space="preserve"> in areas such as data protection, privacy, the fight against racism and to improving the criminal justice response in the EU to prevent radicalisation leading to terrorism and violent extremism. </w:t>
      </w:r>
    </w:p>
    <w:p w:rsidR="00D70CDC" w:rsidRPr="00D70CDC" w:rsidRDefault="00D70CDC" w:rsidP="00CF0DE0">
      <w:pPr>
        <w:rPr>
          <w:rFonts w:cs="Arial"/>
          <w:szCs w:val="20"/>
        </w:rPr>
      </w:pPr>
    </w:p>
    <w:p w:rsidR="00EA1FB1" w:rsidRDefault="00EA1FB1">
      <w:pPr>
        <w:rPr>
          <w:rFonts w:cs="Arial"/>
          <w:szCs w:val="20"/>
        </w:rPr>
      </w:pPr>
      <w:r>
        <w:rPr>
          <w:rFonts w:cs="Arial"/>
          <w:szCs w:val="20"/>
        </w:rPr>
        <w:br w:type="page"/>
      </w:r>
    </w:p>
    <w:p w:rsidR="00D70CDC" w:rsidRPr="00D70CDC" w:rsidRDefault="00D70CDC" w:rsidP="00CF0DE0">
      <w:pPr>
        <w:rPr>
          <w:rFonts w:cs="Arial"/>
          <w:szCs w:val="20"/>
        </w:rPr>
      </w:pPr>
      <w:r w:rsidRPr="00D70CDC">
        <w:rPr>
          <w:rFonts w:cs="Arial"/>
          <w:szCs w:val="20"/>
        </w:rPr>
        <w:lastRenderedPageBreak/>
        <w:t xml:space="preserve">Building on the existing co-operation with the EU through the Structural Reform Support Service aimed at assisting the EU member States to strengthen their capacity to prepare and implement </w:t>
      </w:r>
      <w:r w:rsidRPr="00D70CDC">
        <w:rPr>
          <w:rFonts w:cs="Arial"/>
          <w:b/>
          <w:szCs w:val="20"/>
        </w:rPr>
        <w:t>growth-sustaining administrative and structural reforms</w:t>
      </w:r>
      <w:r w:rsidRPr="00D70CDC">
        <w:rPr>
          <w:rFonts w:cs="Arial"/>
          <w:szCs w:val="20"/>
        </w:rPr>
        <w:t xml:space="preserve"> in the area of the rule of law, human rights and democracy, a more structured co-operation framework is being developed between the two organisations.</w:t>
      </w:r>
    </w:p>
    <w:p w:rsidR="00D70CDC" w:rsidRPr="00D70CDC" w:rsidRDefault="00D70CDC" w:rsidP="00CF0DE0">
      <w:pPr>
        <w:rPr>
          <w:rFonts w:eastAsia="Times New Roman" w:cs="Arial"/>
          <w:szCs w:val="20"/>
          <w:lang w:eastAsia="en-GB"/>
        </w:rPr>
      </w:pPr>
    </w:p>
    <w:p w:rsidR="00D70CDC" w:rsidRPr="00D70CDC" w:rsidRDefault="00D70CDC" w:rsidP="00CF0DE0">
      <w:pPr>
        <w:rPr>
          <w:rFonts w:cs="Arial"/>
          <w:bCs/>
          <w:szCs w:val="20"/>
        </w:rPr>
      </w:pPr>
      <w:r w:rsidRPr="00D70CDC">
        <w:rPr>
          <w:rFonts w:cs="Arial"/>
          <w:bCs/>
          <w:szCs w:val="20"/>
        </w:rPr>
        <w:t xml:space="preserve">In 2018, the North-South Centre continued with the implementation of the activities of the Joint Programme </w:t>
      </w:r>
      <w:proofErr w:type="spellStart"/>
      <w:r w:rsidRPr="00D70CDC">
        <w:rPr>
          <w:rFonts w:cs="Arial"/>
          <w:bCs/>
          <w:szCs w:val="20"/>
        </w:rPr>
        <w:t>iLEGEND</w:t>
      </w:r>
      <w:proofErr w:type="spellEnd"/>
      <w:r w:rsidRPr="00D70CDC">
        <w:rPr>
          <w:rFonts w:cs="Arial"/>
          <w:bCs/>
          <w:szCs w:val="20"/>
        </w:rPr>
        <w:t xml:space="preserve"> (Intercultural Learning Exchange through Global Education, Networking and Dialogue) that seeks to strengthen Global Development Education advocacy and capacity-building for formal and non-formal educators in the Balkans, Baltic, South-East Europe and Mediterranean and </w:t>
      </w:r>
      <w:proofErr w:type="spellStart"/>
      <w:r w:rsidRPr="00D70CDC">
        <w:rPr>
          <w:rFonts w:cs="Arial"/>
          <w:bCs/>
          <w:szCs w:val="20"/>
        </w:rPr>
        <w:t>Visegrad</w:t>
      </w:r>
      <w:proofErr w:type="spellEnd"/>
      <w:r w:rsidRPr="00D70CDC">
        <w:rPr>
          <w:rFonts w:cs="Arial"/>
          <w:bCs/>
          <w:szCs w:val="20"/>
        </w:rPr>
        <w:t xml:space="preserve"> regions. The project fosters peaceful and inclusive societies promoting human rights, intercultural dialogue and democratic citizenship.</w:t>
      </w:r>
    </w:p>
    <w:p w:rsidR="00D70CDC" w:rsidRPr="00D70CDC" w:rsidRDefault="00D70CDC" w:rsidP="00CF0DE0">
      <w:pPr>
        <w:rPr>
          <w:rFonts w:eastAsia="Times New Roman" w:cs="Arial"/>
          <w:szCs w:val="20"/>
        </w:rPr>
      </w:pPr>
    </w:p>
    <w:p w:rsidR="00D70CDC" w:rsidRPr="00D70CDC" w:rsidRDefault="00D70CDC" w:rsidP="00CF0DE0">
      <w:pPr>
        <w:rPr>
          <w:rFonts w:eastAsia="Times New Roman" w:cs="Arial"/>
          <w:szCs w:val="20"/>
        </w:rPr>
      </w:pPr>
      <w:r w:rsidRPr="00D70CDC">
        <w:rPr>
          <w:rFonts w:cs="Arial"/>
          <w:szCs w:val="20"/>
        </w:rPr>
        <w:t xml:space="preserve">The </w:t>
      </w:r>
      <w:hyperlink r:id="rId8" w:history="1">
        <w:r w:rsidRPr="00D70CDC">
          <w:rPr>
            <w:rFonts w:cs="Arial"/>
            <w:szCs w:val="20"/>
          </w:rPr>
          <w:t>European Heritage Days</w:t>
        </w:r>
      </w:hyperlink>
      <w:r w:rsidRPr="00D70CDC">
        <w:rPr>
          <w:rFonts w:cs="Arial"/>
          <w:szCs w:val="20"/>
        </w:rPr>
        <w:t xml:space="preserve"> are the most widely celebrated participatory cultural event shared by the citizens of Europe. Launched in 1985 in France, the Programme has been organised as a joint initiative of the CoE and the EU since 1999. All 50 European states parties to the European Cultural Convention actively participate in the project. Today, the European Heritage Days can be considered an essential instrument for fostering a tangible experience of European culture and history in addition to raising public awareness about the many values of our common heritage and the continuous need for its protection. </w:t>
      </w:r>
    </w:p>
    <w:p w:rsidR="00D70CDC" w:rsidRPr="00D70CDC" w:rsidRDefault="00D70CDC" w:rsidP="00CF0DE0">
      <w:pPr>
        <w:rPr>
          <w:rFonts w:eastAsia="Times New Roman" w:cs="Arial"/>
          <w:szCs w:val="20"/>
        </w:rPr>
      </w:pPr>
    </w:p>
    <w:p w:rsidR="00D70CDC" w:rsidRPr="00D70CDC" w:rsidRDefault="00D70CDC" w:rsidP="00CF0DE0">
      <w:pPr>
        <w:rPr>
          <w:rFonts w:eastAsia="Times New Roman" w:cs="Arial"/>
          <w:szCs w:val="20"/>
          <w:lang w:eastAsia="en-GB"/>
        </w:rPr>
      </w:pPr>
      <w:r w:rsidRPr="00D70CDC">
        <w:rPr>
          <w:rFonts w:eastAsia="Times New Roman" w:cs="Arial"/>
          <w:szCs w:val="20"/>
          <w:lang w:eastAsia="en-GB"/>
        </w:rPr>
        <w:t xml:space="preserve">The partnership between the EU and the CoE also reflects in a significant number of </w:t>
      </w:r>
      <w:r w:rsidRPr="00D70CDC">
        <w:rPr>
          <w:rFonts w:eastAsia="Times New Roman" w:cs="Arial"/>
          <w:b/>
          <w:szCs w:val="20"/>
          <w:lang w:eastAsia="en-GB"/>
        </w:rPr>
        <w:t>other Joint Programmes</w:t>
      </w:r>
      <w:r w:rsidRPr="00D70CDC">
        <w:rPr>
          <w:rFonts w:eastAsia="Times New Roman" w:cs="Arial"/>
          <w:szCs w:val="20"/>
          <w:lang w:eastAsia="en-GB"/>
        </w:rPr>
        <w:t xml:space="preserve"> in areas of expertise of the CoE, for example on the fight against violence against women in the Russian Federation (for details, see the information document “Joint Programmes between the CoE and the EU in 2018”).</w:t>
      </w:r>
    </w:p>
    <w:p w:rsidR="00D70CDC" w:rsidRPr="00D70CDC" w:rsidRDefault="00D70CDC" w:rsidP="00CF0DE0">
      <w:pPr>
        <w:rPr>
          <w:rFonts w:eastAsia="Times New Roman" w:cs="Arial"/>
          <w:b/>
          <w:szCs w:val="20"/>
        </w:rPr>
      </w:pPr>
    </w:p>
    <w:p w:rsidR="00D70CDC" w:rsidRPr="00D70CDC" w:rsidRDefault="00D70CDC" w:rsidP="00CF0DE0">
      <w:pPr>
        <w:numPr>
          <w:ilvl w:val="0"/>
          <w:numId w:val="1"/>
        </w:numPr>
        <w:contextualSpacing/>
        <w:rPr>
          <w:rFonts w:eastAsia="Times New Roman"/>
          <w:b/>
          <w:bCs/>
          <w:szCs w:val="24"/>
        </w:rPr>
      </w:pPr>
      <w:r w:rsidRPr="00D70CDC">
        <w:rPr>
          <w:rFonts w:eastAsia="Times New Roman"/>
          <w:b/>
          <w:bCs/>
          <w:szCs w:val="24"/>
        </w:rPr>
        <w:t xml:space="preserve">Legal co-operation: promotion of CoE standards and harmonisation </w:t>
      </w:r>
    </w:p>
    <w:p w:rsidR="00D70CDC" w:rsidRPr="00D70CDC" w:rsidRDefault="00D70CDC" w:rsidP="00CF0DE0">
      <w:pPr>
        <w:rPr>
          <w:rFonts w:eastAsia="Times New Roman"/>
          <w:b/>
          <w:bCs/>
          <w:szCs w:val="24"/>
        </w:rPr>
      </w:pPr>
    </w:p>
    <w:p w:rsidR="00D70CDC" w:rsidRPr="00D70CDC" w:rsidRDefault="00D70CDC" w:rsidP="00CF0DE0">
      <w:pPr>
        <w:rPr>
          <w:rFonts w:eastAsia="Times New Roman"/>
          <w:szCs w:val="24"/>
        </w:rPr>
      </w:pPr>
      <w:r w:rsidRPr="00D70CDC">
        <w:rPr>
          <w:rFonts w:eastAsia="Times New Roman"/>
          <w:szCs w:val="24"/>
        </w:rPr>
        <w:t xml:space="preserve">The third pillar of the strategic partnership, namely legal co-operation, has been largely dominated by increased co-operation in the context of </w:t>
      </w:r>
      <w:r w:rsidRPr="00D70CDC">
        <w:rPr>
          <w:rFonts w:eastAsia="Times New Roman"/>
          <w:b/>
          <w:szCs w:val="24"/>
        </w:rPr>
        <w:t xml:space="preserve">rule of law-related matters </w:t>
      </w:r>
      <w:r w:rsidRPr="00D70CDC">
        <w:rPr>
          <w:rFonts w:eastAsia="Times New Roman"/>
          <w:szCs w:val="24"/>
        </w:rPr>
        <w:t xml:space="preserve">in Europe, as well as by the issue of the </w:t>
      </w:r>
      <w:r w:rsidRPr="00D70CDC">
        <w:rPr>
          <w:rFonts w:eastAsia="Times New Roman"/>
          <w:b/>
          <w:szCs w:val="24"/>
        </w:rPr>
        <w:t>EU participation/accession in CoE Conventions and bodies</w:t>
      </w:r>
      <w:r w:rsidRPr="00D70CDC">
        <w:rPr>
          <w:rFonts w:eastAsia="Times New Roman"/>
          <w:szCs w:val="24"/>
        </w:rPr>
        <w:t xml:space="preserve">. In this context, contacts between EU institutions and CoE bodies, </w:t>
      </w:r>
      <w:proofErr w:type="gramStart"/>
      <w:r w:rsidRPr="00D70CDC">
        <w:rPr>
          <w:rFonts w:eastAsia="Times New Roman"/>
          <w:szCs w:val="24"/>
        </w:rPr>
        <w:t>in particular monitoring</w:t>
      </w:r>
      <w:proofErr w:type="gramEnd"/>
      <w:r w:rsidRPr="00D70CDC">
        <w:rPr>
          <w:rFonts w:eastAsia="Times New Roman"/>
          <w:szCs w:val="24"/>
        </w:rPr>
        <w:t xml:space="preserve"> and advisory bodies, have intensified. The latter, as well as the outcomes of their monitoring proceedings, have also been </w:t>
      </w:r>
      <w:r w:rsidRPr="00D70CDC">
        <w:rPr>
          <w:rFonts w:eastAsia="Times New Roman"/>
          <w:szCs w:val="24"/>
          <w:lang w:val="en-US"/>
        </w:rPr>
        <w:t>regularly referred to by EU institutions</w:t>
      </w:r>
      <w:r w:rsidRPr="00D70CDC">
        <w:rPr>
          <w:rFonts w:eastAsia="Times New Roman"/>
          <w:szCs w:val="24"/>
        </w:rPr>
        <w:t xml:space="preserve">, confirming the </w:t>
      </w:r>
      <w:r w:rsidRPr="00D70CDC">
        <w:rPr>
          <w:rFonts w:eastAsia="Times New Roman"/>
          <w:b/>
          <w:bCs/>
          <w:szCs w:val="24"/>
          <w:lang w:val="en-US"/>
        </w:rPr>
        <w:t xml:space="preserve">benchmarking </w:t>
      </w:r>
      <w:r w:rsidRPr="00D70CDC">
        <w:rPr>
          <w:rFonts w:eastAsia="Times New Roman"/>
          <w:bCs/>
          <w:szCs w:val="24"/>
          <w:lang w:val="en-US"/>
        </w:rPr>
        <w:t>role</w:t>
      </w:r>
      <w:r w:rsidRPr="00D70CDC">
        <w:rPr>
          <w:rFonts w:eastAsia="Times New Roman"/>
          <w:szCs w:val="24"/>
          <w:lang w:val="en-US"/>
        </w:rPr>
        <w:t xml:space="preserve"> of the CoE and its unique expertise.</w:t>
      </w:r>
    </w:p>
    <w:p w:rsidR="00D70CDC" w:rsidRPr="00D70CDC" w:rsidRDefault="00D70CDC" w:rsidP="00CF0DE0">
      <w:pPr>
        <w:rPr>
          <w:rFonts w:eastAsia="Times New Roman"/>
          <w:szCs w:val="24"/>
          <w:lang w:val="en-US"/>
        </w:rPr>
      </w:pPr>
    </w:p>
    <w:p w:rsidR="00D70CDC" w:rsidRPr="00D70CDC" w:rsidRDefault="00D70CDC" w:rsidP="00CF0DE0">
      <w:pPr>
        <w:rPr>
          <w:rFonts w:eastAsia="Times New Roman"/>
          <w:szCs w:val="24"/>
        </w:rPr>
      </w:pPr>
      <w:r w:rsidRPr="00D70CDC">
        <w:rPr>
          <w:rFonts w:eastAsia="Times New Roman"/>
          <w:szCs w:val="24"/>
        </w:rPr>
        <w:t xml:space="preserve">As concerns developments in EU member States, co-operation has increased in the context of </w:t>
      </w:r>
      <w:r w:rsidRPr="00D70CDC">
        <w:rPr>
          <w:rFonts w:eastAsia="Times New Roman"/>
          <w:b/>
          <w:szCs w:val="24"/>
        </w:rPr>
        <w:t>rule of law initiatives and assessments</w:t>
      </w:r>
      <w:r w:rsidRPr="00D70CDC">
        <w:rPr>
          <w:rFonts w:eastAsia="Times New Roman"/>
          <w:szCs w:val="24"/>
        </w:rPr>
        <w:t xml:space="preserve"> from the EU institutions, </w:t>
      </w:r>
      <w:r w:rsidRPr="00D70CDC">
        <w:rPr>
          <w:rFonts w:eastAsia="Times New Roman"/>
          <w:szCs w:val="24"/>
          <w:lang w:val="en-US"/>
        </w:rPr>
        <w:t>notably the Commission’s “Framework to strengthen the Rule of Law” and the annual rule of law dialogue in the Council (General Affairs)</w:t>
      </w:r>
      <w:r w:rsidR="00DA6B7A">
        <w:rPr>
          <w:rFonts w:eastAsia="Times New Roman"/>
          <w:szCs w:val="24"/>
          <w:lang w:val="en-US"/>
        </w:rPr>
        <w:t>.</w:t>
      </w:r>
      <w:r w:rsidRPr="00D70CDC">
        <w:rPr>
          <w:rFonts w:eastAsia="Times New Roman"/>
          <w:szCs w:val="24"/>
          <w:vertAlign w:val="superscript"/>
          <w:lang w:val="en-US"/>
        </w:rPr>
        <w:footnoteReference w:id="13"/>
      </w:r>
      <w:r w:rsidRPr="00D70CDC">
        <w:rPr>
          <w:rFonts w:eastAsia="Times New Roman"/>
          <w:szCs w:val="24"/>
          <w:lang w:val="en-US"/>
        </w:rPr>
        <w:t xml:space="preserve"> This year, such a dialogue was devoted to the topic: “Trust in public institutions and the rule of law" and the CoE was invited to take an active part in the preparatory discussions of the dialogue. </w:t>
      </w:r>
      <w:r w:rsidRPr="00D70CDC">
        <w:rPr>
          <w:rFonts w:eastAsia="Times New Roman"/>
          <w:szCs w:val="24"/>
        </w:rPr>
        <w:t xml:space="preserve">The </w:t>
      </w:r>
      <w:r w:rsidRPr="00D70CDC">
        <w:rPr>
          <w:rFonts w:eastAsia="Times New Roman"/>
          <w:szCs w:val="24"/>
          <w:lang w:val="en-US"/>
        </w:rPr>
        <w:t xml:space="preserve">CoE has continued to provide a valuable input in view of its well-established </w:t>
      </w:r>
      <w:r w:rsidRPr="00D70CDC">
        <w:rPr>
          <w:rFonts w:eastAsia="Times New Roman"/>
          <w:szCs w:val="24"/>
        </w:rPr>
        <w:t>experience in this field, in particular through the case law of the European Court of Human Rights, the expertise provided by the Venice Commission</w:t>
      </w:r>
      <w:r w:rsidR="00DA6B7A">
        <w:rPr>
          <w:rFonts w:eastAsia="Times New Roman"/>
          <w:szCs w:val="24"/>
        </w:rPr>
        <w:t>,</w:t>
      </w:r>
      <w:r w:rsidRPr="00D70CDC">
        <w:rPr>
          <w:rFonts w:eastAsia="Times New Roman"/>
          <w:szCs w:val="24"/>
          <w:vertAlign w:val="superscript"/>
        </w:rPr>
        <w:footnoteReference w:id="14"/>
      </w:r>
      <w:r w:rsidRPr="00D70CDC">
        <w:rPr>
          <w:rFonts w:eastAsia="Times New Roman"/>
          <w:szCs w:val="24"/>
        </w:rPr>
        <w:t xml:space="preserve"> GRECO, the European Commission for the Efficiency of Justice (CEPEJ), MONEYVAL, the Consultative Councils of European Judges (CCJE) and of European Prosecutors (CCPE), as well as directly through co-operation projects. </w:t>
      </w:r>
    </w:p>
    <w:p w:rsidR="00D70CDC" w:rsidRPr="00D70CDC" w:rsidRDefault="00D70CDC" w:rsidP="00CF0DE0">
      <w:pPr>
        <w:rPr>
          <w:rFonts w:eastAsia="Times New Roman"/>
          <w:szCs w:val="24"/>
        </w:rPr>
      </w:pPr>
    </w:p>
    <w:p w:rsidR="00EA1FB1" w:rsidRDefault="00D70CDC" w:rsidP="00CF0DE0">
      <w:pPr>
        <w:rPr>
          <w:rFonts w:eastAsia="Times New Roman"/>
          <w:szCs w:val="24"/>
        </w:rPr>
      </w:pPr>
      <w:r w:rsidRPr="00D70CDC">
        <w:rPr>
          <w:rFonts w:eastAsia="Times New Roman"/>
          <w:szCs w:val="24"/>
        </w:rPr>
        <w:t xml:space="preserve">In addition, </w:t>
      </w:r>
      <w:r w:rsidRPr="00D70CDC">
        <w:rPr>
          <w:rFonts w:eastAsia="Times New Roman"/>
          <w:b/>
          <w:szCs w:val="24"/>
        </w:rPr>
        <w:t>CEPEJ</w:t>
      </w:r>
      <w:r w:rsidRPr="00D70CDC">
        <w:rPr>
          <w:rFonts w:eastAsia="Times New Roman"/>
          <w:szCs w:val="24"/>
        </w:rPr>
        <w:t xml:space="preserve"> continued to provide data on the </w:t>
      </w:r>
      <w:r w:rsidRPr="00D70CDC">
        <w:rPr>
          <w:rFonts w:eastAsia="Times New Roman"/>
          <w:b/>
          <w:szCs w:val="24"/>
        </w:rPr>
        <w:t>functioning of judicial systems</w:t>
      </w:r>
      <w:r w:rsidRPr="00D70CDC">
        <w:rPr>
          <w:rFonts w:eastAsia="Times New Roman"/>
          <w:szCs w:val="24"/>
        </w:rPr>
        <w:t xml:space="preserve"> in the 28 EU member States for the </w:t>
      </w:r>
      <w:r w:rsidRPr="00D70CDC">
        <w:rPr>
          <w:rFonts w:cs="Arial"/>
          <w:szCs w:val="20"/>
        </w:rPr>
        <w:t>European Commission</w:t>
      </w:r>
      <w:r w:rsidRPr="00D70CDC">
        <w:rPr>
          <w:rFonts w:eastAsia="Times New Roman"/>
          <w:szCs w:val="24"/>
        </w:rPr>
        <w:t>’s annual “Justice Scoreboard”. This exemplary co-operation is based on a multi</w:t>
      </w:r>
      <w:r w:rsidRPr="00D70CDC">
        <w:rPr>
          <w:rFonts w:eastAsia="Times New Roman"/>
          <w:szCs w:val="24"/>
        </w:rPr>
        <w:noBreakHyphen/>
        <w:t xml:space="preserve">year contract between the </w:t>
      </w:r>
      <w:r w:rsidRPr="00D70CDC">
        <w:rPr>
          <w:rFonts w:cs="Arial"/>
          <w:szCs w:val="20"/>
        </w:rPr>
        <w:t>European Commission</w:t>
      </w:r>
      <w:r w:rsidRPr="00D70CDC">
        <w:rPr>
          <w:rFonts w:eastAsia="Times New Roman"/>
          <w:szCs w:val="24"/>
        </w:rPr>
        <w:t xml:space="preserve"> and the CoE (renewed in 2017 for a four-year period)</w:t>
      </w:r>
      <w:r w:rsidRPr="00D70CDC">
        <w:rPr>
          <w:rFonts w:eastAsia="Times New Roman"/>
          <w:szCs w:val="24"/>
          <w:lang w:val="en-US"/>
        </w:rPr>
        <w:t xml:space="preserve">. </w:t>
      </w:r>
      <w:r w:rsidRPr="00D70CDC">
        <w:rPr>
          <w:rFonts w:eastAsia="Times New Roman"/>
          <w:szCs w:val="24"/>
        </w:rPr>
        <w:t>Such an arrangement avoids duplication, confirms CEPEJ’s status as a common reference point for justice evaluation</w:t>
      </w:r>
      <w:r w:rsidRPr="00D70CDC">
        <w:rPr>
          <w:rFonts w:eastAsia="Times New Roman"/>
          <w:szCs w:val="24"/>
          <w:vertAlign w:val="superscript"/>
        </w:rPr>
        <w:footnoteReference w:id="15"/>
      </w:r>
      <w:r w:rsidRPr="00D70CDC">
        <w:rPr>
          <w:rFonts w:eastAsia="Times New Roman"/>
          <w:szCs w:val="24"/>
        </w:rPr>
        <w:t xml:space="preserve"> and </w:t>
      </w:r>
      <w:r w:rsidRPr="00D70CDC">
        <w:rPr>
          <w:rFonts w:eastAsia="Times New Roman"/>
          <w:szCs w:val="24"/>
          <w:lang w:val="en-US"/>
        </w:rPr>
        <w:t>increases its visibility, as well as that of the CoE.</w:t>
      </w:r>
      <w:r w:rsidRPr="00D70CDC">
        <w:rPr>
          <w:rFonts w:eastAsia="Times New Roman"/>
          <w:szCs w:val="24"/>
        </w:rPr>
        <w:t xml:space="preserve"> Contacts have also intensified between </w:t>
      </w:r>
      <w:r w:rsidRPr="00D70CDC">
        <w:rPr>
          <w:rFonts w:eastAsia="Times New Roman"/>
          <w:b/>
          <w:szCs w:val="24"/>
        </w:rPr>
        <w:t xml:space="preserve">GRECO </w:t>
      </w:r>
      <w:r w:rsidRPr="00D70CDC">
        <w:rPr>
          <w:rFonts w:eastAsia="Times New Roman"/>
          <w:szCs w:val="24"/>
        </w:rPr>
        <w:t>and EU institutions, in particular the European Parliament, the General Secretariat of the Council and the European Commission, with regard to substantial issues and in view of the EU’s participation in</w:t>
      </w:r>
      <w:r>
        <w:rPr>
          <w:rFonts w:eastAsia="Times New Roman"/>
          <w:szCs w:val="24"/>
        </w:rPr>
        <w:t xml:space="preserve"> </w:t>
      </w:r>
      <w:r w:rsidRPr="00D70CDC">
        <w:rPr>
          <w:rFonts w:eastAsia="Times New Roman"/>
          <w:szCs w:val="24"/>
        </w:rPr>
        <w:t>GRECO</w:t>
      </w:r>
      <w:r w:rsidR="00DA6B7A">
        <w:rPr>
          <w:rFonts w:eastAsia="Times New Roman"/>
          <w:szCs w:val="24"/>
        </w:rPr>
        <w:t>.</w:t>
      </w:r>
      <w:r w:rsidRPr="00D70CDC">
        <w:rPr>
          <w:rFonts w:eastAsia="Times New Roman"/>
          <w:szCs w:val="24"/>
          <w:vertAlign w:val="superscript"/>
        </w:rPr>
        <w:footnoteReference w:id="16"/>
      </w:r>
      <w:r w:rsidRPr="00D70CDC">
        <w:rPr>
          <w:rFonts w:eastAsia="Times New Roman"/>
          <w:szCs w:val="24"/>
        </w:rPr>
        <w:t xml:space="preserve"> Furthermore, the EU and the CoE are in the process of concluding a contract for </w:t>
      </w:r>
    </w:p>
    <w:p w:rsidR="00EA1FB1" w:rsidRDefault="00EA1FB1">
      <w:pPr>
        <w:rPr>
          <w:rFonts w:eastAsia="Times New Roman"/>
          <w:szCs w:val="24"/>
        </w:rPr>
      </w:pPr>
      <w:r>
        <w:rPr>
          <w:rFonts w:eastAsia="Times New Roman"/>
          <w:szCs w:val="24"/>
        </w:rPr>
        <w:br w:type="page"/>
      </w:r>
    </w:p>
    <w:p w:rsidR="00D70CDC" w:rsidRPr="00D70CDC" w:rsidRDefault="00D70CDC" w:rsidP="00CF0DE0">
      <w:pPr>
        <w:rPr>
          <w:rFonts w:eastAsia="Times New Roman"/>
          <w:szCs w:val="24"/>
        </w:rPr>
      </w:pPr>
      <w:r w:rsidRPr="00D70CDC">
        <w:rPr>
          <w:rFonts w:eastAsia="Times New Roman"/>
          <w:szCs w:val="24"/>
        </w:rPr>
        <w:lastRenderedPageBreak/>
        <w:t>using the unique CoE expertise to assess the practical implementation and effective application of the 4</w:t>
      </w:r>
      <w:r w:rsidRPr="00D70CDC">
        <w:rPr>
          <w:rFonts w:eastAsia="Times New Roman"/>
          <w:szCs w:val="24"/>
          <w:vertAlign w:val="superscript"/>
        </w:rPr>
        <w:t>th</w:t>
      </w:r>
      <w:r w:rsidRPr="00D70CDC">
        <w:rPr>
          <w:rFonts w:eastAsia="Times New Roman"/>
          <w:szCs w:val="24"/>
        </w:rPr>
        <w:t xml:space="preserve"> </w:t>
      </w:r>
      <w:r w:rsidRPr="00D70CDC">
        <w:rPr>
          <w:rFonts w:eastAsia="Times New Roman"/>
          <w:b/>
          <w:szCs w:val="24"/>
        </w:rPr>
        <w:t>Anti-money Laundering</w:t>
      </w:r>
      <w:r w:rsidRPr="00D70CDC">
        <w:rPr>
          <w:rFonts w:eastAsia="Times New Roman"/>
          <w:szCs w:val="24"/>
        </w:rPr>
        <w:t xml:space="preserve"> Directive by the EU member States. </w:t>
      </w:r>
    </w:p>
    <w:p w:rsidR="00D70CDC" w:rsidRPr="00D70CDC" w:rsidRDefault="00D70CDC" w:rsidP="00CF0DE0">
      <w:pPr>
        <w:rPr>
          <w:rFonts w:eastAsia="Times New Roman"/>
          <w:bCs/>
          <w:szCs w:val="24"/>
        </w:rPr>
      </w:pPr>
    </w:p>
    <w:p w:rsidR="00D70CDC" w:rsidRPr="00D70CDC" w:rsidRDefault="00D70CDC" w:rsidP="00CF0DE0">
      <w:pPr>
        <w:rPr>
          <w:rFonts w:eastAsia="Times New Roman"/>
          <w:szCs w:val="24"/>
          <w:lang w:val="en-US"/>
        </w:rPr>
      </w:pPr>
      <w:r w:rsidRPr="00D70CDC">
        <w:rPr>
          <w:rFonts w:eastAsia="Times New Roman"/>
          <w:bCs/>
          <w:szCs w:val="24"/>
        </w:rPr>
        <w:t xml:space="preserve">With respect to </w:t>
      </w:r>
      <w:r w:rsidRPr="00D70CDC">
        <w:rPr>
          <w:rFonts w:eastAsia="Times New Roman"/>
          <w:b/>
          <w:szCs w:val="24"/>
        </w:rPr>
        <w:t>EU participation in CoE instruments</w:t>
      </w:r>
      <w:r w:rsidRPr="00D70CDC">
        <w:rPr>
          <w:rFonts w:eastAsia="Times New Roman"/>
          <w:szCs w:val="24"/>
        </w:rPr>
        <w:t>,</w:t>
      </w:r>
      <w:r w:rsidRPr="00D70CDC">
        <w:rPr>
          <w:rFonts w:eastAsia="Times New Roman"/>
          <w:b/>
          <w:szCs w:val="24"/>
        </w:rPr>
        <w:t xml:space="preserve"> </w:t>
      </w:r>
      <w:r w:rsidRPr="00D70CDC">
        <w:rPr>
          <w:rFonts w:eastAsia="Times New Roman"/>
          <w:szCs w:val="24"/>
          <w:lang w:val="en-US"/>
        </w:rPr>
        <w:t xml:space="preserve">participation of the EU in CoE relevant treaties remains a common goal. </w:t>
      </w:r>
      <w:r w:rsidRPr="00D70CDC">
        <w:rPr>
          <w:rFonts w:eastAsia="Times New Roman"/>
          <w:szCs w:val="24"/>
        </w:rPr>
        <w:t xml:space="preserve">As provided by the 2007 Memorandum of Understanding, legal co-operation should be developed with a view to ensuring coherence between EU law and CoE standards. The participation of the EU in CoE instruments would significantly enhance such coherence, as well as </w:t>
      </w:r>
      <w:r w:rsidRPr="00D70CDC">
        <w:rPr>
          <w:rFonts w:eastAsia="Times New Roman"/>
          <w:bCs/>
          <w:szCs w:val="24"/>
        </w:rPr>
        <w:t>synergies</w:t>
      </w:r>
      <w:r w:rsidRPr="00D70CDC">
        <w:rPr>
          <w:rFonts w:eastAsia="Times New Roman"/>
          <w:szCs w:val="24"/>
        </w:rPr>
        <w:t xml:space="preserve"> between the </w:t>
      </w:r>
      <w:r w:rsidRPr="00D70CDC">
        <w:rPr>
          <w:rFonts w:eastAsia="Times New Roman"/>
          <w:bCs/>
          <w:szCs w:val="24"/>
        </w:rPr>
        <w:t>EU and</w:t>
      </w:r>
      <w:r w:rsidRPr="00D70CDC">
        <w:rPr>
          <w:rFonts w:eastAsia="Times New Roman"/>
          <w:szCs w:val="24"/>
        </w:rPr>
        <w:t xml:space="preserve"> </w:t>
      </w:r>
      <w:r w:rsidRPr="00D70CDC">
        <w:rPr>
          <w:rFonts w:eastAsia="Times New Roman"/>
          <w:bCs/>
          <w:szCs w:val="24"/>
        </w:rPr>
        <w:t>CoE monitoring and advisory bodies</w:t>
      </w:r>
      <w:r w:rsidRPr="00D70CDC">
        <w:rPr>
          <w:rFonts w:eastAsia="Times New Roman"/>
          <w:szCs w:val="24"/>
        </w:rPr>
        <w:t xml:space="preserve">. It raises, however, a number of difficult legal issues, as illustrated first and foremost by the negotiation process of EU accession to the European Convention on Human Rights (ECHR). </w:t>
      </w:r>
    </w:p>
    <w:p w:rsidR="00D70CDC" w:rsidRPr="00D70CDC" w:rsidRDefault="00D70CDC" w:rsidP="00CF0DE0">
      <w:pPr>
        <w:rPr>
          <w:rFonts w:eastAsia="Times New Roman"/>
          <w:szCs w:val="24"/>
          <w:lang w:val="en-US"/>
        </w:rPr>
      </w:pPr>
    </w:p>
    <w:p w:rsidR="00D70CDC" w:rsidRPr="00D70CDC" w:rsidRDefault="00D70CDC" w:rsidP="00CF0DE0">
      <w:pPr>
        <w:rPr>
          <w:rFonts w:eastAsia="Times New Roman"/>
          <w:szCs w:val="24"/>
          <w:lang w:val="en-US"/>
        </w:rPr>
      </w:pPr>
      <w:r w:rsidRPr="00D70CDC">
        <w:rPr>
          <w:rFonts w:eastAsia="Times New Roman"/>
          <w:szCs w:val="24"/>
          <w:lang w:val="en-US"/>
        </w:rPr>
        <w:t xml:space="preserve">CoE member </w:t>
      </w:r>
      <w:r w:rsidR="00B0044A">
        <w:rPr>
          <w:rFonts w:eastAsia="Times New Roman"/>
          <w:szCs w:val="24"/>
          <w:lang w:val="en-US"/>
        </w:rPr>
        <w:t>State</w:t>
      </w:r>
      <w:r w:rsidRPr="00D70CDC">
        <w:rPr>
          <w:rFonts w:eastAsia="Times New Roman"/>
          <w:szCs w:val="24"/>
          <w:lang w:val="en-US"/>
        </w:rPr>
        <w:t xml:space="preserve">s </w:t>
      </w:r>
      <w:r w:rsidRPr="00D70CDC">
        <w:rPr>
          <w:rFonts w:eastAsia="Times New Roman"/>
          <w:szCs w:val="24"/>
        </w:rPr>
        <w:t xml:space="preserve">reaffirmed the importance of the </w:t>
      </w:r>
      <w:r w:rsidRPr="00D70CDC">
        <w:rPr>
          <w:rFonts w:eastAsia="Times New Roman"/>
          <w:b/>
          <w:szCs w:val="24"/>
        </w:rPr>
        <w:t>EU’s accession to the ECHR</w:t>
      </w:r>
      <w:r w:rsidRPr="00D70CDC">
        <w:rPr>
          <w:rFonts w:eastAsia="Times New Roman"/>
          <w:szCs w:val="24"/>
        </w:rPr>
        <w:t xml:space="preserve"> through a Declaration adopted in April 2018</w:t>
      </w:r>
      <w:r w:rsidR="00DA6B7A">
        <w:rPr>
          <w:rFonts w:eastAsia="Times New Roman"/>
          <w:szCs w:val="24"/>
        </w:rPr>
        <w:t>.</w:t>
      </w:r>
      <w:r w:rsidRPr="00D70CDC">
        <w:rPr>
          <w:rFonts w:eastAsia="Times New Roman"/>
          <w:szCs w:val="24"/>
          <w:vertAlign w:val="superscript"/>
        </w:rPr>
        <w:footnoteReference w:id="17"/>
      </w:r>
      <w:r w:rsidRPr="00D70CDC">
        <w:rPr>
          <w:rFonts w:eastAsia="Times New Roman"/>
          <w:szCs w:val="24"/>
        </w:rPr>
        <w:t xml:space="preserve"> The EU’s continued commitment to its accession to the Convention, which is an obligation under the Lisbon Treaty, has been confirmed by the European Commission, European Parliament and member </w:t>
      </w:r>
      <w:r w:rsidR="00B0044A">
        <w:rPr>
          <w:rFonts w:eastAsia="Times New Roman"/>
          <w:szCs w:val="24"/>
        </w:rPr>
        <w:t>State</w:t>
      </w:r>
      <w:r w:rsidRPr="00D70CDC">
        <w:rPr>
          <w:rFonts w:eastAsia="Times New Roman"/>
          <w:szCs w:val="24"/>
        </w:rPr>
        <w:t>s in the EU Council. I</w:t>
      </w:r>
      <w:r w:rsidRPr="00D70CDC">
        <w:rPr>
          <w:rFonts w:eastAsia="Times New Roman"/>
          <w:szCs w:val="24"/>
          <w:lang w:val="en-US"/>
        </w:rPr>
        <w:t xml:space="preserve">n June 2018, </w:t>
      </w:r>
      <w:r w:rsidRPr="00D70CDC">
        <w:rPr>
          <w:rFonts w:cs="Arial"/>
          <w:lang w:val="en-US"/>
        </w:rPr>
        <w:t>President Juncker assured that he had taken the initiative to reinvigorate work on EU accession to the Convention.</w:t>
      </w:r>
      <w:r w:rsidRPr="00D70CDC">
        <w:rPr>
          <w:rFonts w:eastAsia="Times New Roman"/>
          <w:szCs w:val="24"/>
          <w:lang w:val="en-US"/>
        </w:rPr>
        <w:t xml:space="preserve"> </w:t>
      </w:r>
      <w:r w:rsidRPr="00D70CDC">
        <w:rPr>
          <w:rFonts w:eastAsia="Times New Roman"/>
          <w:szCs w:val="24"/>
        </w:rPr>
        <w:t xml:space="preserve">Accession would </w:t>
      </w:r>
      <w:r w:rsidRPr="00D70CDC">
        <w:rPr>
          <w:rFonts w:eastAsia="Times New Roman"/>
          <w:szCs w:val="24"/>
          <w:lang w:val="en-US"/>
        </w:rPr>
        <w:t>reinforce the common values of the Union, improve the effectiveness of EU law and enhance the coherence of fundamental rights protection in Europe. There is, however, no time-framework for new negotiations for the time being.</w:t>
      </w:r>
    </w:p>
    <w:p w:rsidR="00D70CDC" w:rsidRPr="00D70CDC" w:rsidRDefault="00D70CDC" w:rsidP="00CF0DE0">
      <w:pPr>
        <w:rPr>
          <w:rFonts w:eastAsia="Times New Roman"/>
          <w:szCs w:val="24"/>
          <w:lang w:val="en-US"/>
        </w:rPr>
      </w:pPr>
    </w:p>
    <w:p w:rsidR="00D70CDC" w:rsidRPr="00D70CDC" w:rsidRDefault="00D70CDC" w:rsidP="00CF0DE0">
      <w:pPr>
        <w:rPr>
          <w:rFonts w:eastAsia="Times New Roman"/>
          <w:szCs w:val="24"/>
          <w:lang w:val="en-US"/>
        </w:rPr>
      </w:pPr>
      <w:r w:rsidRPr="00D70CDC">
        <w:rPr>
          <w:rFonts w:eastAsia="Times New Roman"/>
          <w:szCs w:val="24"/>
          <w:lang w:val="en-US"/>
        </w:rPr>
        <w:t xml:space="preserve">With respect to EU accession to other CoE Conventions, a major step was achieved in 2018 with EU accession to the </w:t>
      </w:r>
      <w:r w:rsidRPr="00D70CDC">
        <w:rPr>
          <w:rFonts w:eastAsia="Times New Roman"/>
          <w:szCs w:val="24"/>
        </w:rPr>
        <w:t xml:space="preserve">CoE </w:t>
      </w:r>
      <w:r w:rsidRPr="00D70CDC">
        <w:rPr>
          <w:rFonts w:eastAsia="Times New Roman"/>
          <w:b/>
          <w:szCs w:val="24"/>
        </w:rPr>
        <w:t xml:space="preserve">Convention on the Prevention of Terrorism and its Additional Protocol </w:t>
      </w:r>
      <w:r w:rsidRPr="00D70CDC">
        <w:rPr>
          <w:rFonts w:eastAsia="Times New Roman"/>
          <w:szCs w:val="24"/>
        </w:rPr>
        <w:t>on 26</w:t>
      </w:r>
      <w:r w:rsidR="00DA6B7A">
        <w:rPr>
          <w:rFonts w:eastAsia="Times New Roman"/>
          <w:szCs w:val="24"/>
        </w:rPr>
        <w:t> </w:t>
      </w:r>
      <w:r w:rsidRPr="00D70CDC">
        <w:rPr>
          <w:rFonts w:eastAsia="Times New Roman"/>
          <w:szCs w:val="24"/>
        </w:rPr>
        <w:t>June 2018.</w:t>
      </w:r>
      <w:r w:rsidRPr="00D70CDC">
        <w:rPr>
          <w:rFonts w:eastAsia="Times New Roman"/>
          <w:szCs w:val="24"/>
          <w:lang w:val="en-US"/>
        </w:rPr>
        <w:t xml:space="preserve"> T</w:t>
      </w:r>
      <w:r w:rsidRPr="00D70CDC">
        <w:rPr>
          <w:rFonts w:eastAsia="Times New Roman"/>
          <w:szCs w:val="24"/>
        </w:rPr>
        <w:t xml:space="preserve">he EU has also designated the EU Agency for Law Enforcement Co-operation (Europol) as its contact point for the exchange of information on foreign terrorist fighters. </w:t>
      </w:r>
    </w:p>
    <w:p w:rsidR="00D70CDC" w:rsidRPr="00D70CDC" w:rsidRDefault="00D70CDC" w:rsidP="00CF0DE0">
      <w:pPr>
        <w:rPr>
          <w:rFonts w:eastAsia="Times New Roman" w:cs="Arial"/>
          <w:szCs w:val="20"/>
        </w:rPr>
      </w:pPr>
    </w:p>
    <w:p w:rsidR="00D70CDC" w:rsidRPr="00D70CDC" w:rsidRDefault="00D70CDC" w:rsidP="00CF0DE0">
      <w:pPr>
        <w:rPr>
          <w:rFonts w:eastAsia="Times New Roman"/>
          <w:szCs w:val="24"/>
        </w:rPr>
      </w:pPr>
      <w:r w:rsidRPr="00D70CDC">
        <w:rPr>
          <w:rFonts w:eastAsia="Times New Roman"/>
          <w:szCs w:val="24"/>
        </w:rPr>
        <w:t xml:space="preserve">Work is also on-going to conclude EU accession to the CoE </w:t>
      </w:r>
      <w:r w:rsidRPr="00D70CDC">
        <w:rPr>
          <w:rFonts w:eastAsia="Times New Roman"/>
          <w:b/>
          <w:szCs w:val="24"/>
        </w:rPr>
        <w:t>Convention on Preventing and Combating Violence against Women and Domestic Violence</w:t>
      </w:r>
      <w:r w:rsidRPr="00D70CDC">
        <w:rPr>
          <w:rFonts w:eastAsia="Times New Roman"/>
          <w:szCs w:val="24"/>
        </w:rPr>
        <w:t xml:space="preserve"> (Istanbul Convention), signed by the EU in 2017. </w:t>
      </w:r>
      <w:r w:rsidRPr="00D70CDC">
        <w:rPr>
          <w:rFonts w:cs="Arial"/>
        </w:rPr>
        <w:t>The EU and the CoE support the dissemination of information on the convention and its objectives and the ratification process of remaining EU and CoE member States.</w:t>
      </w:r>
      <w:r w:rsidRPr="00D70CDC">
        <w:t xml:space="preserve"> </w:t>
      </w:r>
      <w:r w:rsidRPr="00D70CDC">
        <w:rPr>
          <w:rFonts w:cs="Arial"/>
        </w:rPr>
        <w:t>The Commission and CoE relevant organs continue to pursue regular consultation in the field of gender equality in the context of their respective multiannual strategies, notably in the areas of violence against women, sexism and gender stereotypes, women’s role in media and politics, and gender mainstreaming.</w:t>
      </w:r>
    </w:p>
    <w:p w:rsidR="00D70CDC" w:rsidRPr="00D70CDC" w:rsidRDefault="00D70CDC" w:rsidP="00CF0DE0">
      <w:pPr>
        <w:rPr>
          <w:rFonts w:eastAsia="Times New Roman" w:cs="Arial"/>
          <w:szCs w:val="20"/>
        </w:rPr>
      </w:pPr>
    </w:p>
    <w:p w:rsidR="00D70CDC" w:rsidRPr="00D70CDC" w:rsidRDefault="00D70CDC" w:rsidP="00CF0DE0">
      <w:pPr>
        <w:rPr>
          <w:rFonts w:eastAsiaTheme="minorHAnsi" w:cs="Arial"/>
          <w:szCs w:val="20"/>
          <w:lang w:eastAsia="en-GB"/>
        </w:rPr>
      </w:pPr>
      <w:r w:rsidRPr="00D70CDC">
        <w:rPr>
          <w:rFonts w:cs="Arial"/>
          <w:szCs w:val="20"/>
        </w:rPr>
        <w:t xml:space="preserve">On </w:t>
      </w:r>
      <w:r w:rsidRPr="00D70CDC">
        <w:rPr>
          <w:rFonts w:cs="Arial"/>
          <w:szCs w:val="20"/>
          <w:lang w:eastAsia="en-GB"/>
        </w:rPr>
        <w:t>12 March 2019,</w:t>
      </w:r>
      <w:r w:rsidRPr="00D70CDC">
        <w:rPr>
          <w:rFonts w:eastAsia="Times New Roman" w:cs="Arial"/>
          <w:szCs w:val="20"/>
        </w:rPr>
        <w:t xml:space="preserve"> </w:t>
      </w:r>
      <w:r w:rsidRPr="00D70CDC">
        <w:rPr>
          <w:rFonts w:cs="Arial"/>
          <w:szCs w:val="20"/>
          <w:lang w:eastAsia="en-GB"/>
        </w:rPr>
        <w:t xml:space="preserve">the </w:t>
      </w:r>
      <w:r w:rsidRPr="00D70CDC">
        <w:rPr>
          <w:rFonts w:cs="Arial"/>
          <w:szCs w:val="20"/>
        </w:rPr>
        <w:t xml:space="preserve">European Parliament </w:t>
      </w:r>
      <w:r w:rsidRPr="00D70CDC">
        <w:rPr>
          <w:rFonts w:cs="Arial"/>
          <w:szCs w:val="20"/>
          <w:lang w:eastAsia="en-GB"/>
        </w:rPr>
        <w:t xml:space="preserve">gave its </w:t>
      </w:r>
      <w:hyperlink r:id="rId9" w:history="1">
        <w:r w:rsidRPr="00D70CDC">
          <w:rPr>
            <w:rFonts w:cs="Arial"/>
            <w:szCs w:val="20"/>
            <w:lang w:eastAsia="en-GB"/>
          </w:rPr>
          <w:t>consent</w:t>
        </w:r>
      </w:hyperlink>
      <w:r w:rsidRPr="00D70CDC">
        <w:rPr>
          <w:rFonts w:cs="Arial"/>
          <w:szCs w:val="20"/>
          <w:lang w:eastAsia="en-GB"/>
        </w:rPr>
        <w:t xml:space="preserve"> to </w:t>
      </w:r>
      <w:r w:rsidRPr="00D70CDC">
        <w:rPr>
          <w:rFonts w:eastAsiaTheme="minorHAnsi" w:cs="Arial"/>
          <w:szCs w:val="20"/>
          <w:lang w:eastAsia="en-GB"/>
        </w:rPr>
        <w:t xml:space="preserve">the draft Council decision authorising </w:t>
      </w:r>
      <w:r w:rsidRPr="00D70CDC">
        <w:rPr>
          <w:rFonts w:cs="Arial"/>
          <w:szCs w:val="20"/>
        </w:rPr>
        <w:t>the EU member States</w:t>
      </w:r>
      <w:r w:rsidRPr="00D70CDC">
        <w:rPr>
          <w:rFonts w:eastAsiaTheme="minorHAnsi" w:cs="Arial"/>
          <w:b/>
          <w:szCs w:val="20"/>
          <w:lang w:eastAsia="en-GB"/>
        </w:rPr>
        <w:t xml:space="preserve"> </w:t>
      </w:r>
      <w:r w:rsidRPr="00D70CDC">
        <w:rPr>
          <w:rFonts w:eastAsiaTheme="minorHAnsi" w:cs="Arial"/>
          <w:szCs w:val="20"/>
          <w:lang w:eastAsia="en-GB"/>
        </w:rPr>
        <w:t xml:space="preserve">to ratify, in the interests of the </w:t>
      </w:r>
      <w:r w:rsidRPr="00D70CDC">
        <w:rPr>
          <w:rFonts w:cs="Arial"/>
          <w:szCs w:val="20"/>
          <w:lang w:eastAsia="en-GB"/>
        </w:rPr>
        <w:t>EU</w:t>
      </w:r>
      <w:r w:rsidRPr="00D70CDC">
        <w:rPr>
          <w:rFonts w:eastAsiaTheme="minorHAnsi" w:cs="Arial"/>
          <w:szCs w:val="20"/>
          <w:lang w:eastAsia="en-GB"/>
        </w:rPr>
        <w:t xml:space="preserve">, the Protocol amending the CoE </w:t>
      </w:r>
      <w:r w:rsidRPr="00D70CDC">
        <w:rPr>
          <w:rFonts w:eastAsiaTheme="minorHAnsi" w:cs="Arial"/>
          <w:b/>
          <w:szCs w:val="20"/>
          <w:lang w:eastAsia="en-GB"/>
        </w:rPr>
        <w:t>Convention for the Protection of Individuals with regard to Automatic Processing of Personal Data</w:t>
      </w:r>
      <w:r w:rsidRPr="00D70CDC">
        <w:rPr>
          <w:rFonts w:cs="Arial"/>
          <w:szCs w:val="20"/>
          <w:lang w:eastAsia="en-GB"/>
        </w:rPr>
        <w:t xml:space="preserve">. </w:t>
      </w:r>
      <w:r w:rsidRPr="00D70CDC">
        <w:rPr>
          <w:rFonts w:cs="Arial"/>
          <w:szCs w:val="20"/>
        </w:rPr>
        <w:t>The EU has further</w:t>
      </w:r>
      <w:r w:rsidRPr="00D70CDC">
        <w:rPr>
          <w:rFonts w:eastAsia="Times New Roman" w:cs="Arial"/>
          <w:szCs w:val="20"/>
        </w:rPr>
        <w:t xml:space="preserve"> encouraged accession by third countries to this Convention which is</w:t>
      </w:r>
      <w:r w:rsidRPr="00D70CDC" w:rsidDel="00A66678">
        <w:rPr>
          <w:rFonts w:eastAsia="Times New Roman" w:cs="Arial"/>
          <w:szCs w:val="20"/>
        </w:rPr>
        <w:t xml:space="preserve"> </w:t>
      </w:r>
      <w:r w:rsidRPr="00D70CDC">
        <w:rPr>
          <w:rFonts w:eastAsia="Times New Roman" w:cs="Arial"/>
          <w:szCs w:val="20"/>
        </w:rPr>
        <w:t>the only binding multilateral instrument in the area of data protection. CoE and EU respective frameworks contribute to the convergence towards a set of high data protection standards.</w:t>
      </w:r>
      <w:r w:rsidRPr="00D70CDC" w:rsidDel="00A66678">
        <w:rPr>
          <w:rFonts w:eastAsia="Times New Roman" w:cs="Arial"/>
          <w:bCs/>
          <w:szCs w:val="20"/>
        </w:rPr>
        <w:t xml:space="preserve"> </w:t>
      </w:r>
      <w:r w:rsidRPr="00D70CDC">
        <w:rPr>
          <w:rFonts w:eastAsia="Times New Roman" w:cs="Arial"/>
          <w:szCs w:val="20"/>
        </w:rPr>
        <w:t xml:space="preserve">The EU also reiterated its support to the </w:t>
      </w:r>
      <w:r w:rsidRPr="00D70CDC">
        <w:rPr>
          <w:rFonts w:eastAsia="Times New Roman" w:cs="Arial"/>
          <w:b/>
          <w:szCs w:val="20"/>
        </w:rPr>
        <w:t>CoE Convention on Cybercrime (and Additional Protocols).</w:t>
      </w:r>
      <w:r w:rsidRPr="00D70CDC">
        <w:rPr>
          <w:rFonts w:eastAsia="Times New Roman" w:cs="Arial"/>
          <w:szCs w:val="20"/>
        </w:rPr>
        <w:t xml:space="preserve"> In February 2019, the Commission published its recommendation for a negotiating mandate with respect to the second Protocol to the Budapest Convention on e-evidence, currently prepared by the CoE. It expected that this mandate would be adopted by June 2019. The draft mandate, however, raises concerns as it appears that the CoE work on the second Protocol could be substantially affected.</w:t>
      </w:r>
    </w:p>
    <w:p w:rsidR="00D70CDC" w:rsidRPr="00D70CDC" w:rsidRDefault="00D70CDC" w:rsidP="00CF0DE0">
      <w:pPr>
        <w:rPr>
          <w:rFonts w:cs="Arial"/>
          <w:szCs w:val="20"/>
        </w:rPr>
      </w:pPr>
    </w:p>
    <w:p w:rsidR="00D70CDC" w:rsidRPr="00D70CDC" w:rsidRDefault="00D70CDC" w:rsidP="00CF0DE0">
      <w:pPr>
        <w:contextualSpacing/>
        <w:rPr>
          <w:rFonts w:eastAsia="Times New Roman" w:cs="Arial"/>
          <w:szCs w:val="20"/>
        </w:rPr>
      </w:pPr>
      <w:r w:rsidRPr="00D70CDC">
        <w:rPr>
          <w:rFonts w:eastAsia="Times New Roman" w:cs="Arial"/>
          <w:szCs w:val="20"/>
        </w:rPr>
        <w:t xml:space="preserve">As regards the CoE Sport Conventions, </w:t>
      </w:r>
      <w:r w:rsidRPr="00D70CDC">
        <w:rPr>
          <w:rFonts w:cs="Arial"/>
          <w:szCs w:val="20"/>
        </w:rPr>
        <w:t xml:space="preserve">on </w:t>
      </w:r>
      <w:r w:rsidRPr="00D70CDC">
        <w:rPr>
          <w:rFonts w:cs="Arial"/>
          <w:szCs w:val="20"/>
          <w:lang w:eastAsia="en-GB"/>
        </w:rPr>
        <w:t xml:space="preserve">12 March 2019, the </w:t>
      </w:r>
      <w:r w:rsidRPr="00D70CDC">
        <w:rPr>
          <w:rFonts w:cs="Arial"/>
          <w:szCs w:val="20"/>
        </w:rPr>
        <w:t xml:space="preserve">European Parliament recommended </w:t>
      </w:r>
      <w:r w:rsidRPr="00D70CDC">
        <w:rPr>
          <w:rFonts w:cs="Arial"/>
          <w:szCs w:val="20"/>
          <w:lang w:eastAsia="en-GB"/>
        </w:rPr>
        <w:t xml:space="preserve">authorising </w:t>
      </w:r>
      <w:r w:rsidRPr="00D70CDC">
        <w:rPr>
          <w:rFonts w:eastAsia="Times New Roman" w:cs="Arial"/>
          <w:szCs w:val="20"/>
        </w:rPr>
        <w:t>the EU member States</w:t>
      </w:r>
      <w:r w:rsidRPr="00D70CDC">
        <w:rPr>
          <w:rFonts w:eastAsia="Times New Roman" w:cs="Arial"/>
          <w:b/>
          <w:szCs w:val="20"/>
        </w:rPr>
        <w:t xml:space="preserve"> </w:t>
      </w:r>
      <w:r w:rsidRPr="00D70CDC">
        <w:rPr>
          <w:rFonts w:cs="Arial"/>
          <w:szCs w:val="20"/>
          <w:lang w:eastAsia="en-GB"/>
        </w:rPr>
        <w:t>to ratify the CoE</w:t>
      </w:r>
      <w:r w:rsidRPr="00D70CDC">
        <w:rPr>
          <w:rFonts w:eastAsia="Times New Roman" w:cs="Arial"/>
          <w:szCs w:val="20"/>
        </w:rPr>
        <w:t xml:space="preserve"> </w:t>
      </w:r>
      <w:r w:rsidRPr="00D70CDC">
        <w:rPr>
          <w:rFonts w:cs="Arial"/>
          <w:b/>
          <w:szCs w:val="20"/>
        </w:rPr>
        <w:t>Convention on an Integrated Safety, Security and Service Approach at Football Matches and Other Sports Events</w:t>
      </w:r>
      <w:r w:rsidRPr="00D70CDC">
        <w:rPr>
          <w:rFonts w:cs="Arial"/>
          <w:szCs w:val="20"/>
          <w:lang w:eastAsia="en-GB"/>
        </w:rPr>
        <w:t>.</w:t>
      </w:r>
      <w:r w:rsidRPr="00D70CDC">
        <w:rPr>
          <w:rFonts w:eastAsia="Times New Roman" w:cs="Arial"/>
          <w:szCs w:val="20"/>
        </w:rPr>
        <w:t xml:space="preserve"> It is still hoped that EU institutions will address the current deadlock preventing the EU member States from ratifying the </w:t>
      </w:r>
      <w:r w:rsidRPr="00D70CDC">
        <w:rPr>
          <w:rFonts w:cs="Arial"/>
          <w:b/>
          <w:szCs w:val="20"/>
        </w:rPr>
        <w:t xml:space="preserve">Convention on the Manipulation of Sports Competitions. </w:t>
      </w:r>
    </w:p>
    <w:p w:rsidR="00D70CDC" w:rsidRPr="00D70CDC" w:rsidRDefault="00D70CDC" w:rsidP="00CF0DE0">
      <w:pPr>
        <w:contextualSpacing/>
        <w:rPr>
          <w:rFonts w:cs="Arial"/>
          <w:szCs w:val="20"/>
        </w:rPr>
      </w:pPr>
    </w:p>
    <w:p w:rsidR="00D70CDC" w:rsidRPr="00D70CDC" w:rsidRDefault="00D70CDC" w:rsidP="00CF0DE0">
      <w:pPr>
        <w:contextualSpacing/>
        <w:rPr>
          <w:rFonts w:eastAsia="Times New Roman"/>
          <w:szCs w:val="24"/>
        </w:rPr>
      </w:pPr>
      <w:r w:rsidRPr="00D70CDC">
        <w:rPr>
          <w:rFonts w:eastAsia="Times New Roman"/>
          <w:szCs w:val="24"/>
        </w:rPr>
        <w:t xml:space="preserve">Contacts have also intensified between the EU and the CoE Enlarged Partial Agreement on </w:t>
      </w:r>
      <w:r w:rsidRPr="00D70CDC">
        <w:rPr>
          <w:rFonts w:eastAsia="Times New Roman"/>
          <w:b/>
          <w:szCs w:val="24"/>
        </w:rPr>
        <w:t>Cultural Routes</w:t>
      </w:r>
      <w:r w:rsidRPr="00D70CDC">
        <w:rPr>
          <w:rFonts w:eastAsia="Times New Roman"/>
          <w:szCs w:val="24"/>
        </w:rPr>
        <w:t xml:space="preserve"> with a view to developing synergies and modalities of a more structured partnership, as well as between the EU and the CoE in the context of the 2018 European Year of </w:t>
      </w:r>
      <w:r w:rsidRPr="00D70CDC">
        <w:rPr>
          <w:rFonts w:eastAsia="Times New Roman"/>
          <w:b/>
          <w:szCs w:val="24"/>
        </w:rPr>
        <w:t xml:space="preserve">Cultural Heritage, </w:t>
      </w:r>
      <w:r w:rsidRPr="00D70CDC">
        <w:rPr>
          <w:rFonts w:eastAsia="Times New Roman"/>
          <w:szCs w:val="24"/>
        </w:rPr>
        <w:t>including the launch of a new Joint Project on promoting the Framework Convention on the Value of Cultural Heritage for Society (Faro Convention).</w:t>
      </w:r>
    </w:p>
    <w:p w:rsidR="00D70CDC" w:rsidRPr="00D70CDC" w:rsidRDefault="00D70CDC" w:rsidP="00CF0DE0">
      <w:pPr>
        <w:contextualSpacing/>
        <w:rPr>
          <w:rFonts w:eastAsia="Times New Roman"/>
          <w:szCs w:val="24"/>
        </w:rPr>
      </w:pPr>
    </w:p>
    <w:p w:rsidR="00EA1FB1" w:rsidRDefault="00EA1FB1">
      <w:pPr>
        <w:rPr>
          <w:rFonts w:eastAsia="Times New Roman"/>
          <w:szCs w:val="24"/>
        </w:rPr>
      </w:pPr>
      <w:r>
        <w:rPr>
          <w:rFonts w:eastAsia="Times New Roman"/>
          <w:szCs w:val="24"/>
        </w:rPr>
        <w:br w:type="page"/>
      </w:r>
    </w:p>
    <w:p w:rsidR="00D70CDC" w:rsidRPr="00D70CDC" w:rsidRDefault="00D70CDC" w:rsidP="00CF0DE0">
      <w:pPr>
        <w:contextualSpacing/>
        <w:rPr>
          <w:rFonts w:cs="Arial"/>
        </w:rPr>
      </w:pPr>
      <w:r w:rsidRPr="00D70CDC">
        <w:rPr>
          <w:rFonts w:eastAsia="Times New Roman"/>
          <w:szCs w:val="24"/>
        </w:rPr>
        <w:lastRenderedPageBreak/>
        <w:t xml:space="preserve">Further reflexions and exchanges on the </w:t>
      </w:r>
      <w:r w:rsidRPr="00D70CDC">
        <w:rPr>
          <w:rFonts w:eastAsia="Times New Roman"/>
          <w:b/>
          <w:szCs w:val="24"/>
        </w:rPr>
        <w:t>implications</w:t>
      </w:r>
      <w:r w:rsidRPr="00D70CDC">
        <w:rPr>
          <w:rFonts w:eastAsia="Times New Roman"/>
          <w:szCs w:val="24"/>
        </w:rPr>
        <w:t xml:space="preserve"> of the EU’s participation in such CoE conventions and bodies are taking place. These implications are of a political, legal and financial nature.</w:t>
      </w:r>
    </w:p>
    <w:p w:rsidR="00D70CDC" w:rsidRPr="00D70CDC" w:rsidRDefault="00D70CDC" w:rsidP="00CF0DE0">
      <w:pPr>
        <w:rPr>
          <w:rFonts w:eastAsia="Times New Roman"/>
          <w:szCs w:val="24"/>
          <w:lang w:val="en-US"/>
        </w:rPr>
      </w:pPr>
    </w:p>
    <w:p w:rsidR="00D70CDC" w:rsidRPr="00D70CDC" w:rsidRDefault="00D70CDC" w:rsidP="00CF0DE0">
      <w:pPr>
        <w:rPr>
          <w:rFonts w:eastAsia="Times New Roman"/>
          <w:szCs w:val="24"/>
          <w:lang w:val="en-US"/>
        </w:rPr>
      </w:pPr>
      <w:r w:rsidRPr="00D70CDC">
        <w:rPr>
          <w:rFonts w:eastAsia="Times New Roman"/>
          <w:szCs w:val="24"/>
          <w:lang w:val="en-US"/>
        </w:rPr>
        <w:t xml:space="preserve">In the field of </w:t>
      </w:r>
      <w:r w:rsidRPr="00D70CDC">
        <w:rPr>
          <w:rFonts w:eastAsia="Times New Roman"/>
          <w:b/>
          <w:szCs w:val="24"/>
          <w:lang w:val="en-US"/>
        </w:rPr>
        <w:t>migration</w:t>
      </w:r>
      <w:r w:rsidRPr="00D70CDC">
        <w:rPr>
          <w:rFonts w:eastAsia="Times New Roman"/>
          <w:szCs w:val="24"/>
          <w:lang w:val="en-US"/>
        </w:rPr>
        <w:t xml:space="preserve">, the Special Representative of the Secretary General on migration and refugees has further developed co-operation with relevant EU partners. Political dialogue is regular with the European Commission on matters of importance for both </w:t>
      </w:r>
      <w:proofErr w:type="spellStart"/>
      <w:r w:rsidRPr="00D70CDC">
        <w:rPr>
          <w:rFonts w:eastAsia="Times New Roman"/>
          <w:szCs w:val="24"/>
          <w:lang w:val="en-US"/>
        </w:rPr>
        <w:t>organisations</w:t>
      </w:r>
      <w:proofErr w:type="spellEnd"/>
      <w:r w:rsidRPr="00D70CDC">
        <w:rPr>
          <w:rFonts w:eastAsia="Times New Roman"/>
          <w:szCs w:val="24"/>
          <w:lang w:val="en-US"/>
        </w:rPr>
        <w:t xml:space="preserve">. Work is on-going, notably also with a view of building up synergies between the CoE Action Plan on Protecting Refugee and Migrant Children and the European Commission’s Communication on protecting children in migration. Co-operation in this field is also being pursued with the participation of relevant EU institutions and agencies in the </w:t>
      </w:r>
      <w:proofErr w:type="spellStart"/>
      <w:r w:rsidRPr="00D70CDC">
        <w:rPr>
          <w:rFonts w:eastAsia="Times New Roman"/>
          <w:szCs w:val="24"/>
          <w:lang w:val="en-US"/>
        </w:rPr>
        <w:t>CoE’s</w:t>
      </w:r>
      <w:proofErr w:type="spellEnd"/>
      <w:r w:rsidRPr="00D70CDC">
        <w:rPr>
          <w:rFonts w:eastAsia="Times New Roman"/>
          <w:szCs w:val="24"/>
          <w:lang w:val="en-US"/>
        </w:rPr>
        <w:t xml:space="preserve"> intergovernmental work. Difficulties that have occurred in the context of the preparation of a CoE codifying instrument on European rules on the administrative detention of migrants have illustrated the sensitivity of these issues at European level and the need to further pursue a permanent dialogue in this respect. Further co-operation with respect to the</w:t>
      </w:r>
      <w:r w:rsidRPr="00D70CDC">
        <w:rPr>
          <w:rFonts w:eastAsia="Times New Roman"/>
          <w:szCs w:val="24"/>
        </w:rPr>
        <w:t xml:space="preserve"> integration of migrants and refugees is being considered, notably in the context of the Intercultural Cities programme</w:t>
      </w:r>
      <w:r w:rsidRPr="00D70CDC">
        <w:rPr>
          <w:rFonts w:eastAsia="Times New Roman"/>
          <w:szCs w:val="24"/>
          <w:lang w:val="en-US"/>
        </w:rPr>
        <w:t xml:space="preserve">, </w:t>
      </w:r>
      <w:r w:rsidRPr="00D70CDC">
        <w:t>as well as between the North-South Centre and the European Institute for Gender Equality on the question of integration of migrant, refugee and asylum-seeking women and girls.</w:t>
      </w:r>
    </w:p>
    <w:p w:rsidR="00D70CDC" w:rsidRPr="00D70CDC" w:rsidRDefault="00D70CDC" w:rsidP="00CF0DE0">
      <w:pPr>
        <w:rPr>
          <w:rFonts w:eastAsia="Times New Roman"/>
          <w:szCs w:val="24"/>
          <w:lang w:val="en-US"/>
        </w:rPr>
      </w:pPr>
    </w:p>
    <w:p w:rsidR="00D70CDC" w:rsidRPr="00D70CDC" w:rsidRDefault="00D70CDC" w:rsidP="00CF0DE0">
      <w:pPr>
        <w:rPr>
          <w:rFonts w:eastAsia="Times New Roman"/>
          <w:strike/>
          <w:szCs w:val="24"/>
          <w:lang w:val="en-US"/>
        </w:rPr>
      </w:pPr>
      <w:r w:rsidRPr="00D70CDC">
        <w:rPr>
          <w:rFonts w:eastAsia="Times New Roman"/>
          <w:szCs w:val="24"/>
          <w:lang w:val="en-US"/>
        </w:rPr>
        <w:t xml:space="preserve">Co-operation on policies, standards and practices related to </w:t>
      </w:r>
      <w:r w:rsidRPr="00D70CDC">
        <w:rPr>
          <w:rFonts w:eastAsia="Times New Roman"/>
          <w:b/>
          <w:szCs w:val="24"/>
          <w:lang w:val="en-US"/>
        </w:rPr>
        <w:t>Artificial Intelligence and Internet Governance</w:t>
      </w:r>
      <w:r w:rsidRPr="00D70CDC">
        <w:rPr>
          <w:rFonts w:eastAsia="Times New Roman"/>
          <w:szCs w:val="24"/>
          <w:lang w:val="en-US"/>
        </w:rPr>
        <w:t xml:space="preserve"> is another major issue on the agenda of both </w:t>
      </w:r>
      <w:proofErr w:type="spellStart"/>
      <w:r w:rsidRPr="00D70CDC">
        <w:rPr>
          <w:rFonts w:eastAsia="Times New Roman"/>
          <w:szCs w:val="24"/>
          <w:lang w:val="en-US"/>
        </w:rPr>
        <w:t>organisations</w:t>
      </w:r>
      <w:proofErr w:type="spellEnd"/>
      <w:r w:rsidRPr="00D70CDC">
        <w:rPr>
          <w:rFonts w:eastAsia="Times New Roman"/>
          <w:szCs w:val="24"/>
          <w:lang w:val="en-US"/>
        </w:rPr>
        <w:t xml:space="preserve">. The CoE participates as an observer in both the EU High-Level Working Group on Artificial Intelligence and the High-Level Working Group on Internet Governance, and regular working level contacts and exchanges of views take place on a variety of topics, including those related to intermediary liability, content moderation and algorithmic transparency. Representatives of the European Commission participate in meetings of relevant Expert Committees and provide comments and feedback on draft standard-setting instruments being developed by the CoE related to automated data processing and different forms of artificial intelligence, as well as related to the challenges of promoting quality journalism in the digital age. Both </w:t>
      </w:r>
      <w:proofErr w:type="spellStart"/>
      <w:r w:rsidRPr="00D70CDC">
        <w:rPr>
          <w:rFonts w:eastAsia="Times New Roman"/>
          <w:szCs w:val="24"/>
          <w:lang w:val="en-US"/>
        </w:rPr>
        <w:t>organisations</w:t>
      </w:r>
      <w:proofErr w:type="spellEnd"/>
      <w:r w:rsidRPr="00D70CDC">
        <w:rPr>
          <w:rFonts w:eastAsia="Times New Roman"/>
          <w:szCs w:val="24"/>
          <w:lang w:val="en-US"/>
        </w:rPr>
        <w:t xml:space="preserve"> also co-ordinate their input vis-à-vis relevant regional and international internet governance forums.</w:t>
      </w:r>
    </w:p>
    <w:p w:rsidR="00D70CDC" w:rsidRPr="00D70CDC" w:rsidRDefault="00D70CDC" w:rsidP="00CF0DE0">
      <w:pPr>
        <w:rPr>
          <w:rFonts w:eastAsia="Times New Roman"/>
          <w:szCs w:val="24"/>
          <w:lang w:val="en-US"/>
        </w:rPr>
      </w:pPr>
    </w:p>
    <w:p w:rsidR="00D70CDC" w:rsidRPr="00D70CDC" w:rsidRDefault="00D70CDC" w:rsidP="00CF0DE0">
      <w:pPr>
        <w:rPr>
          <w:rFonts w:eastAsia="Times New Roman"/>
          <w:szCs w:val="24"/>
          <w:lang w:val="en-US"/>
        </w:rPr>
      </w:pPr>
      <w:r w:rsidRPr="00D70CDC">
        <w:rPr>
          <w:rFonts w:eastAsia="Times New Roman"/>
          <w:szCs w:val="24"/>
          <w:lang w:val="en-US"/>
        </w:rPr>
        <w:t xml:space="preserve">Meetings </w:t>
      </w:r>
      <w:proofErr w:type="spellStart"/>
      <w:r w:rsidRPr="00D70CDC">
        <w:rPr>
          <w:rFonts w:eastAsia="Times New Roman"/>
          <w:szCs w:val="24"/>
          <w:lang w:val="en-US"/>
        </w:rPr>
        <w:t>organised</w:t>
      </w:r>
      <w:proofErr w:type="spellEnd"/>
      <w:r w:rsidRPr="00D70CDC">
        <w:rPr>
          <w:rFonts w:eastAsia="Times New Roman"/>
          <w:szCs w:val="24"/>
          <w:lang w:val="en-US"/>
        </w:rPr>
        <w:t xml:space="preserve"> twice a year between the CoE and the EU</w:t>
      </w:r>
      <w:r w:rsidRPr="00D70CDC">
        <w:rPr>
          <w:rFonts w:eastAsia="Times New Roman"/>
          <w:szCs w:val="24"/>
          <w:vertAlign w:val="superscript"/>
          <w:lang w:val="en-US"/>
        </w:rPr>
        <w:footnoteReference w:id="18"/>
      </w:r>
      <w:r w:rsidRPr="00D70CDC">
        <w:rPr>
          <w:rFonts w:eastAsia="Times New Roman"/>
          <w:szCs w:val="24"/>
          <w:lang w:val="en-US"/>
        </w:rPr>
        <w:t xml:space="preserve"> facilitate the harmonious development of standard-setting and policies on legal issues and strategic topics in the fields of police and judicial co-operation in criminal matters. The </w:t>
      </w:r>
      <w:r w:rsidRPr="00D70CDC">
        <w:rPr>
          <w:rFonts w:eastAsia="Times New Roman"/>
          <w:b/>
          <w:szCs w:val="24"/>
          <w:lang w:val="en-US"/>
        </w:rPr>
        <w:t xml:space="preserve">fight against terrorism and </w:t>
      </w:r>
      <w:proofErr w:type="spellStart"/>
      <w:r w:rsidRPr="00D70CDC">
        <w:rPr>
          <w:rFonts w:eastAsia="Times New Roman"/>
          <w:b/>
          <w:szCs w:val="24"/>
          <w:lang w:val="en-US"/>
        </w:rPr>
        <w:t>radicalisation</w:t>
      </w:r>
      <w:proofErr w:type="spellEnd"/>
      <w:r w:rsidRPr="00D70CDC">
        <w:rPr>
          <w:rFonts w:eastAsia="Times New Roman"/>
          <w:szCs w:val="24"/>
          <w:lang w:val="en-US"/>
        </w:rPr>
        <w:t xml:space="preserve"> also remains a priority issue in this context.</w:t>
      </w:r>
    </w:p>
    <w:p w:rsidR="00D70CDC" w:rsidRPr="00D70CDC" w:rsidRDefault="00D70CDC" w:rsidP="00CF0DE0">
      <w:pPr>
        <w:rPr>
          <w:rFonts w:eastAsia="Times New Roman"/>
          <w:szCs w:val="24"/>
          <w:lang w:val="en-US"/>
        </w:rPr>
      </w:pPr>
    </w:p>
    <w:p w:rsidR="00D70CDC" w:rsidRPr="00D70CDC" w:rsidRDefault="00D70CDC" w:rsidP="00CF0DE0">
      <w:pPr>
        <w:rPr>
          <w:rFonts w:eastAsia="Times New Roman"/>
          <w:szCs w:val="24"/>
          <w:lang w:val="en-US"/>
        </w:rPr>
      </w:pPr>
      <w:r w:rsidRPr="00D70CDC">
        <w:rPr>
          <w:rFonts w:eastAsia="Times New Roman"/>
          <w:szCs w:val="24"/>
          <w:lang w:val="en-US"/>
        </w:rPr>
        <w:t xml:space="preserve">As a further illustration of synergies, the relevant organs of the European Commission and the CoE stepped up their co-operation in the field of </w:t>
      </w:r>
      <w:r w:rsidRPr="00D70CDC">
        <w:rPr>
          <w:rFonts w:eastAsia="Times New Roman"/>
          <w:b/>
          <w:szCs w:val="24"/>
          <w:lang w:val="en-US"/>
        </w:rPr>
        <w:t>anti-discrimination</w:t>
      </w:r>
      <w:r w:rsidRPr="00D70CDC">
        <w:rPr>
          <w:rFonts w:eastAsia="Times New Roman"/>
          <w:szCs w:val="24"/>
          <w:lang w:val="en-US"/>
        </w:rPr>
        <w:t xml:space="preserve">, notably in the context of the drafting of EU guidelines on combatting hate speech and promoting non-discrimination, and strengthening policies promoting equality in non-EU member </w:t>
      </w:r>
      <w:r w:rsidR="00B0044A">
        <w:rPr>
          <w:rFonts w:eastAsia="Times New Roman"/>
          <w:szCs w:val="24"/>
          <w:lang w:val="en-US"/>
        </w:rPr>
        <w:t>State</w:t>
      </w:r>
      <w:r w:rsidRPr="00D70CDC">
        <w:rPr>
          <w:rFonts w:eastAsia="Times New Roman"/>
          <w:szCs w:val="24"/>
          <w:lang w:val="en-US"/>
        </w:rPr>
        <w:t xml:space="preserve">s. Co-operation has also developed on </w:t>
      </w:r>
      <w:r w:rsidRPr="00D70CDC">
        <w:rPr>
          <w:rFonts w:eastAsia="Times New Roman"/>
          <w:b/>
          <w:szCs w:val="24"/>
          <w:lang w:val="en-US"/>
        </w:rPr>
        <w:t>education</w:t>
      </w:r>
      <w:r w:rsidRPr="00D70CDC">
        <w:rPr>
          <w:rFonts w:eastAsia="Times New Roman"/>
          <w:szCs w:val="24"/>
          <w:lang w:val="en-US"/>
        </w:rPr>
        <w:t>,</w:t>
      </w:r>
      <w:r w:rsidRPr="00D70CDC">
        <w:rPr>
          <w:rFonts w:eastAsia="Times New Roman"/>
          <w:b/>
          <w:szCs w:val="24"/>
          <w:lang w:val="en-US"/>
        </w:rPr>
        <w:t xml:space="preserve"> </w:t>
      </w:r>
      <w:r w:rsidRPr="00D70CDC">
        <w:rPr>
          <w:rFonts w:eastAsia="Times New Roman"/>
          <w:i/>
          <w:szCs w:val="24"/>
          <w:lang w:val="en-US"/>
        </w:rPr>
        <w:t>inter alia</w:t>
      </w:r>
      <w:r w:rsidRPr="00D70CDC">
        <w:rPr>
          <w:rFonts w:eastAsia="Times New Roman"/>
          <w:szCs w:val="24"/>
          <w:lang w:val="en-US"/>
        </w:rPr>
        <w:t xml:space="preserve"> in the context of the EU’s Western Balkans strategy and on</w:t>
      </w:r>
      <w:r w:rsidRPr="00D70CDC">
        <w:rPr>
          <w:rFonts w:eastAsia="Times New Roman"/>
          <w:b/>
          <w:szCs w:val="24"/>
          <w:lang w:val="en-US"/>
        </w:rPr>
        <w:t xml:space="preserve"> sport</w:t>
      </w:r>
      <w:r w:rsidRPr="00D70CDC">
        <w:rPr>
          <w:rFonts w:eastAsia="Times New Roman"/>
          <w:szCs w:val="24"/>
          <w:lang w:val="en-US"/>
        </w:rPr>
        <w:t xml:space="preserve">, whereas the partnership between the EU and the CoE in the </w:t>
      </w:r>
      <w:r w:rsidRPr="00D70CDC">
        <w:rPr>
          <w:rFonts w:eastAsia="Times New Roman"/>
          <w:b/>
          <w:szCs w:val="24"/>
          <w:lang w:val="en-US"/>
        </w:rPr>
        <w:t>youth</w:t>
      </w:r>
      <w:r w:rsidRPr="00D70CDC">
        <w:rPr>
          <w:rFonts w:eastAsia="Times New Roman"/>
          <w:szCs w:val="24"/>
          <w:lang w:val="en-US"/>
        </w:rPr>
        <w:t xml:space="preserve"> field celebrated its 20th anniversary last year, having been launched in 1998. </w:t>
      </w:r>
    </w:p>
    <w:p w:rsidR="00D70CDC" w:rsidRPr="00D70CDC" w:rsidRDefault="00D70CDC" w:rsidP="00CF0DE0">
      <w:pPr>
        <w:rPr>
          <w:rFonts w:eastAsia="Times New Roman"/>
          <w:szCs w:val="24"/>
          <w:lang w:val="en-US"/>
        </w:rPr>
      </w:pPr>
    </w:p>
    <w:p w:rsidR="00D70CDC" w:rsidRPr="00D70CDC" w:rsidRDefault="00D70CDC" w:rsidP="00CF0DE0">
      <w:pPr>
        <w:rPr>
          <w:rFonts w:eastAsia="Times New Roman"/>
          <w:szCs w:val="24"/>
        </w:rPr>
      </w:pPr>
      <w:r w:rsidRPr="00D70CDC">
        <w:rPr>
          <w:rFonts w:eastAsia="Times New Roman"/>
          <w:bCs/>
          <w:szCs w:val="24"/>
        </w:rPr>
        <w:t>C</w:t>
      </w:r>
      <w:r w:rsidRPr="00D70CDC">
        <w:rPr>
          <w:rFonts w:eastAsia="Times New Roman"/>
          <w:szCs w:val="24"/>
        </w:rPr>
        <w:t xml:space="preserve">o-operation between the CoE and the </w:t>
      </w:r>
      <w:r w:rsidRPr="00D70CDC">
        <w:rPr>
          <w:rFonts w:eastAsia="Times New Roman"/>
          <w:b/>
          <w:szCs w:val="24"/>
        </w:rPr>
        <w:t>EU Agency for Fundamental Rights</w:t>
      </w:r>
      <w:r w:rsidRPr="00D70CDC">
        <w:rPr>
          <w:rFonts w:eastAsia="Times New Roman"/>
          <w:szCs w:val="24"/>
        </w:rPr>
        <w:t xml:space="preserve"> (FRA) further developed successfully in various areas on the basis of their respective mandates, strengths and skills. On the occasion of exchanges of views with the Committee of Ministers in 2018, the FRA Director confirmed the excellent co-operation and complementarity between the Agency and the CoE. In addition, the CoE made a significant contribution to the FRA </w:t>
      </w:r>
      <w:hyperlink r:id="rId10" w:history="1">
        <w:r w:rsidRPr="00D70CDC">
          <w:rPr>
            <w:rFonts w:eastAsia="Times New Roman"/>
            <w:szCs w:val="24"/>
          </w:rPr>
          <w:t>Fundamental Rights Forum</w:t>
        </w:r>
      </w:hyperlink>
      <w:r w:rsidRPr="00D70CDC">
        <w:rPr>
          <w:rFonts w:eastAsia="Times New Roman"/>
          <w:szCs w:val="24"/>
        </w:rPr>
        <w:t xml:space="preserve"> held in Vienna in September 2018</w:t>
      </w:r>
      <w:r w:rsidRPr="00D70CDC">
        <w:t xml:space="preserve">. Co-operation at operational level, notably in terms of exchanges of information, consultation on respective activities and identification of potential for more synergies is also increasingly developing with the </w:t>
      </w:r>
      <w:r w:rsidRPr="00D70CDC">
        <w:rPr>
          <w:b/>
        </w:rPr>
        <w:t>European Institute for Gender Equality</w:t>
      </w:r>
      <w:r w:rsidRPr="00D70CDC">
        <w:t xml:space="preserve"> (EIGE), notably in the areas of gender equality and violence against women.</w:t>
      </w:r>
    </w:p>
    <w:p w:rsidR="00D70CDC" w:rsidRPr="00D70CDC" w:rsidRDefault="00D70CDC" w:rsidP="00CF0DE0"/>
    <w:p w:rsidR="00D70CDC" w:rsidRPr="00D70CDC" w:rsidRDefault="00D70CDC" w:rsidP="00CF0DE0">
      <w:pPr>
        <w:rPr>
          <w:rFonts w:eastAsia="Times New Roman"/>
          <w:szCs w:val="24"/>
        </w:rPr>
      </w:pPr>
      <w:r w:rsidRPr="00D70CDC">
        <w:rPr>
          <w:rFonts w:eastAsia="Times New Roman"/>
          <w:szCs w:val="24"/>
          <w:lang w:val="en-US"/>
        </w:rPr>
        <w:t xml:space="preserve">Co-operation </w:t>
      </w:r>
      <w:r w:rsidRPr="00D70CDC">
        <w:rPr>
          <w:rFonts w:eastAsia="Times New Roman"/>
          <w:szCs w:val="24"/>
        </w:rPr>
        <w:t>between the CoE and the EU</w:t>
      </w:r>
      <w:r w:rsidRPr="00D70CDC">
        <w:rPr>
          <w:rFonts w:eastAsia="Times New Roman"/>
          <w:szCs w:val="24"/>
          <w:lang w:val="en-US"/>
        </w:rPr>
        <w:t xml:space="preserve"> also further developed at the </w:t>
      </w:r>
      <w:r w:rsidRPr="00D70CDC">
        <w:rPr>
          <w:rFonts w:eastAsia="Times New Roman"/>
          <w:b/>
          <w:szCs w:val="24"/>
          <w:lang w:val="en-US"/>
        </w:rPr>
        <w:t>global level</w:t>
      </w:r>
      <w:r w:rsidRPr="00D70CDC">
        <w:rPr>
          <w:rFonts w:eastAsia="Times New Roman"/>
          <w:szCs w:val="24"/>
          <w:lang w:val="en-US"/>
        </w:rPr>
        <w:t xml:space="preserve"> </w:t>
      </w:r>
      <w:r w:rsidRPr="00D70CDC">
        <w:rPr>
          <w:rFonts w:eastAsia="Times New Roman"/>
          <w:szCs w:val="24"/>
        </w:rPr>
        <w:t>in the framework of the UN Sustainable Development Goals (SDGs) and</w:t>
      </w:r>
      <w:r w:rsidRPr="00D70CDC">
        <w:rPr>
          <w:rFonts w:eastAsia="Times New Roman"/>
          <w:szCs w:val="24"/>
          <w:lang w:val="en-US"/>
        </w:rPr>
        <w:t xml:space="preserve"> in the context of </w:t>
      </w:r>
      <w:r w:rsidRPr="00D70CDC">
        <w:rPr>
          <w:rFonts w:eastAsia="Times New Roman"/>
          <w:szCs w:val="24"/>
        </w:rPr>
        <w:t xml:space="preserve">the preparation of the 2018 UNGA Resolution on a moratorium on the use of the </w:t>
      </w:r>
      <w:r w:rsidRPr="00D70CDC">
        <w:rPr>
          <w:rFonts w:eastAsia="Times New Roman"/>
          <w:b/>
          <w:szCs w:val="24"/>
        </w:rPr>
        <w:t>death penalty</w:t>
      </w:r>
      <w:r w:rsidRPr="00D70CDC">
        <w:rPr>
          <w:rFonts w:eastAsia="Times New Roman"/>
          <w:szCs w:val="24"/>
        </w:rPr>
        <w:t xml:space="preserve">, thus also strengthening multilateralism beyond Europe. On 10 October 2018, </w:t>
      </w:r>
      <w:r w:rsidRPr="00D70CDC">
        <w:t xml:space="preserve">HR/VP Mogherini and the </w:t>
      </w:r>
      <w:proofErr w:type="spellStart"/>
      <w:r w:rsidRPr="00D70CDC">
        <w:t>CoE</w:t>
      </w:r>
      <w:proofErr w:type="spellEnd"/>
      <w:r w:rsidRPr="00D70CDC">
        <w:t xml:space="preserve"> Secretary General also reiterated </w:t>
      </w:r>
      <w:r w:rsidRPr="00D70CDC">
        <w:rPr>
          <w:lang w:val="en"/>
        </w:rPr>
        <w:t>their strong opposition to capital punishment in all circumstances in a</w:t>
      </w:r>
      <w:r w:rsidRPr="00D70CDC">
        <w:t xml:space="preserve"> J</w:t>
      </w:r>
      <w:proofErr w:type="spellStart"/>
      <w:r w:rsidRPr="00D70CDC">
        <w:rPr>
          <w:lang w:val="en"/>
        </w:rPr>
        <w:t>oint</w:t>
      </w:r>
      <w:proofErr w:type="spellEnd"/>
      <w:r w:rsidRPr="00D70CDC">
        <w:rPr>
          <w:lang w:val="en"/>
        </w:rPr>
        <w:t xml:space="preserve"> Declaration to mark the European and World Day against the Death Penalty.</w:t>
      </w:r>
    </w:p>
    <w:p w:rsidR="00D70CDC" w:rsidRPr="00D70CDC" w:rsidRDefault="00D70CDC" w:rsidP="00CF0DE0">
      <w:pPr>
        <w:rPr>
          <w:rFonts w:eastAsia="Times New Roman"/>
          <w:szCs w:val="24"/>
        </w:rPr>
      </w:pPr>
    </w:p>
    <w:p w:rsidR="00EA1FB1" w:rsidRDefault="00EA1FB1">
      <w:pPr>
        <w:rPr>
          <w:rFonts w:eastAsia="Times New Roman"/>
          <w:b/>
          <w:szCs w:val="24"/>
        </w:rPr>
      </w:pPr>
      <w:r>
        <w:rPr>
          <w:rFonts w:eastAsia="Times New Roman"/>
          <w:b/>
          <w:szCs w:val="24"/>
        </w:rPr>
        <w:br w:type="page"/>
      </w:r>
    </w:p>
    <w:p w:rsidR="00D70CDC" w:rsidRPr="00D70CDC" w:rsidRDefault="00D70CDC" w:rsidP="00CF0DE0">
      <w:pPr>
        <w:numPr>
          <w:ilvl w:val="0"/>
          <w:numId w:val="1"/>
        </w:numPr>
        <w:contextualSpacing/>
        <w:rPr>
          <w:rFonts w:eastAsia="Times New Roman"/>
          <w:b/>
          <w:szCs w:val="24"/>
        </w:rPr>
      </w:pPr>
      <w:r w:rsidRPr="00D70CDC">
        <w:rPr>
          <w:rFonts w:eastAsia="Times New Roman"/>
          <w:b/>
          <w:szCs w:val="24"/>
        </w:rPr>
        <w:lastRenderedPageBreak/>
        <w:t>Conclusion</w:t>
      </w:r>
    </w:p>
    <w:p w:rsidR="00D70CDC" w:rsidRPr="00D70CDC" w:rsidRDefault="00D70CDC" w:rsidP="00CF0DE0">
      <w:pPr>
        <w:rPr>
          <w:rFonts w:eastAsia="Times New Roman"/>
          <w:b/>
          <w:szCs w:val="24"/>
        </w:rPr>
      </w:pPr>
    </w:p>
    <w:p w:rsidR="00D70CDC" w:rsidRPr="00D70CDC" w:rsidRDefault="00D70CDC" w:rsidP="00CF0DE0">
      <w:pPr>
        <w:rPr>
          <w:rFonts w:eastAsia="Times New Roman"/>
          <w:szCs w:val="24"/>
        </w:rPr>
      </w:pPr>
      <w:r w:rsidRPr="00D70CDC">
        <w:rPr>
          <w:rFonts w:eastAsia="Times New Roman"/>
          <w:szCs w:val="24"/>
        </w:rPr>
        <w:t xml:space="preserve">The increasing </w:t>
      </w:r>
      <w:r w:rsidRPr="00D70CDC">
        <w:rPr>
          <w:rFonts w:eastAsia="Times New Roman"/>
          <w:b/>
          <w:szCs w:val="24"/>
        </w:rPr>
        <w:t xml:space="preserve">challenges </w:t>
      </w:r>
      <w:r w:rsidRPr="00D70CDC">
        <w:rPr>
          <w:rFonts w:eastAsia="Times New Roman"/>
          <w:szCs w:val="24"/>
        </w:rPr>
        <w:t xml:space="preserve">facing Europe in the fields of human rights, democracy and the rule of law, including </w:t>
      </w:r>
      <w:r w:rsidR="00CB1AC9">
        <w:rPr>
          <w:rFonts w:eastAsia="Times New Roman"/>
          <w:szCs w:val="24"/>
        </w:rPr>
        <w:t xml:space="preserve">those linked to </w:t>
      </w:r>
      <w:r w:rsidRPr="00D70CDC">
        <w:rPr>
          <w:rFonts w:eastAsia="Times New Roman"/>
          <w:szCs w:val="24"/>
        </w:rPr>
        <w:t xml:space="preserve">the necessity to preserve and reinforce the post-World War II </w:t>
      </w:r>
      <w:r w:rsidRPr="00D70CDC">
        <w:rPr>
          <w:rFonts w:eastAsia="Times New Roman"/>
          <w:szCs w:val="24"/>
          <w:lang w:val="en-US"/>
        </w:rPr>
        <w:t xml:space="preserve">human rights protection system, </w:t>
      </w:r>
      <w:r w:rsidRPr="00D70CDC">
        <w:rPr>
          <w:rFonts w:eastAsia="Times New Roman"/>
          <w:szCs w:val="24"/>
        </w:rPr>
        <w:t>continue to be co</w:t>
      </w:r>
      <w:r w:rsidRPr="00D70CDC">
        <w:rPr>
          <w:rFonts w:eastAsia="Times New Roman"/>
          <w:szCs w:val="24"/>
        </w:rPr>
        <w:noBreakHyphen/>
        <w:t xml:space="preserve">operation priorities. These challenges have, </w:t>
      </w:r>
      <w:r w:rsidRPr="00D70CDC">
        <w:rPr>
          <w:rFonts w:eastAsia="Times New Roman"/>
          <w:i/>
          <w:szCs w:val="24"/>
        </w:rPr>
        <w:t>inter alia</w:t>
      </w:r>
      <w:r w:rsidRPr="00D70CDC">
        <w:rPr>
          <w:rFonts w:eastAsia="Times New Roman"/>
          <w:szCs w:val="24"/>
        </w:rPr>
        <w:t xml:space="preserve">, further highlighted the </w:t>
      </w:r>
      <w:r w:rsidRPr="00D70CDC">
        <w:rPr>
          <w:rFonts w:eastAsia="Times New Roman"/>
          <w:b/>
          <w:szCs w:val="24"/>
        </w:rPr>
        <w:t xml:space="preserve">unique expertise </w:t>
      </w:r>
      <w:r w:rsidRPr="00D70CDC">
        <w:rPr>
          <w:rFonts w:eastAsia="Times New Roman"/>
          <w:szCs w:val="24"/>
        </w:rPr>
        <w:t xml:space="preserve">of the CoE, as well as the </w:t>
      </w:r>
      <w:r w:rsidRPr="00D70CDC">
        <w:rPr>
          <w:rFonts w:eastAsia="Times New Roman"/>
          <w:b/>
          <w:szCs w:val="24"/>
        </w:rPr>
        <w:t>complementarity</w:t>
      </w:r>
      <w:r w:rsidRPr="00D70CDC">
        <w:rPr>
          <w:rFonts w:eastAsia="Times New Roman"/>
          <w:szCs w:val="24"/>
        </w:rPr>
        <w:t xml:space="preserve"> of both European organisations on the continent. In practice, this complementarity has been further strengthened through political dialogue, joint activities and legal co-operation, on the basis of the MoU, which continues to successfully guide the co</w:t>
      </w:r>
      <w:r w:rsidRPr="00D70CDC">
        <w:rPr>
          <w:rFonts w:eastAsia="Times New Roman"/>
          <w:szCs w:val="24"/>
        </w:rPr>
        <w:noBreakHyphen/>
        <w:t>operation.</w:t>
      </w:r>
    </w:p>
    <w:p w:rsidR="00D70CDC" w:rsidRPr="00D70CDC" w:rsidRDefault="00D70CDC" w:rsidP="00CF0DE0">
      <w:pPr>
        <w:rPr>
          <w:rFonts w:eastAsia="Times New Roman"/>
          <w:szCs w:val="24"/>
        </w:rPr>
      </w:pPr>
    </w:p>
    <w:p w:rsidR="00D70CDC" w:rsidRPr="00D70CDC" w:rsidRDefault="00D70CDC" w:rsidP="00CF0DE0">
      <w:pPr>
        <w:rPr>
          <w:rFonts w:eastAsia="Times New Roman"/>
          <w:szCs w:val="24"/>
          <w:lang w:val="en-US"/>
        </w:rPr>
      </w:pPr>
      <w:r w:rsidRPr="00D70CDC">
        <w:rPr>
          <w:rFonts w:eastAsia="Times New Roman"/>
          <w:szCs w:val="24"/>
        </w:rPr>
        <w:t xml:space="preserve">A strong partnership between the CoE and the EU, based on coherence and complementarity, is needed more now than ever to uphold the </w:t>
      </w:r>
      <w:r w:rsidRPr="00D70CDC">
        <w:rPr>
          <w:rFonts w:eastAsia="Times New Roman"/>
          <w:b/>
          <w:szCs w:val="24"/>
        </w:rPr>
        <w:t xml:space="preserve">resilience of the European </w:t>
      </w:r>
      <w:r w:rsidRPr="00D70CDC">
        <w:rPr>
          <w:rFonts w:eastAsia="Times New Roman"/>
          <w:b/>
          <w:szCs w:val="24"/>
          <w:lang w:val="en-US"/>
        </w:rPr>
        <w:t>human rights protection system</w:t>
      </w:r>
      <w:r w:rsidRPr="00D70CDC">
        <w:rPr>
          <w:rFonts w:eastAsia="Times New Roman"/>
          <w:szCs w:val="24"/>
          <w:lang w:val="en-US"/>
        </w:rPr>
        <w:t xml:space="preserve"> and, beyond this, an effective </w:t>
      </w:r>
      <w:r w:rsidRPr="00D70CDC">
        <w:rPr>
          <w:rFonts w:eastAsia="Times New Roman"/>
          <w:b/>
          <w:szCs w:val="24"/>
          <w:lang w:val="en-US"/>
        </w:rPr>
        <w:t>multilateralism</w:t>
      </w:r>
      <w:r w:rsidRPr="00D70CDC">
        <w:rPr>
          <w:rFonts w:eastAsia="Times New Roman"/>
          <w:szCs w:val="24"/>
          <w:lang w:val="en-US"/>
        </w:rPr>
        <w:t xml:space="preserve"> in Europe. 2019 will be a test year in this respect.</w:t>
      </w:r>
    </w:p>
    <w:p w:rsidR="00D70CDC" w:rsidRPr="00D70CDC" w:rsidRDefault="00D70CDC" w:rsidP="00CF0DE0">
      <w:pPr>
        <w:rPr>
          <w:rFonts w:eastAsia="Times New Roman"/>
          <w:szCs w:val="24"/>
          <w:lang w:val="en-US"/>
        </w:rPr>
      </w:pPr>
    </w:p>
    <w:p w:rsidR="00D70CDC" w:rsidRPr="00D70CDC" w:rsidRDefault="00D70CDC" w:rsidP="00CF0DE0">
      <w:pPr>
        <w:rPr>
          <w:rFonts w:eastAsia="Times New Roman"/>
          <w:szCs w:val="24"/>
        </w:rPr>
      </w:pPr>
    </w:p>
    <w:bookmarkEnd w:id="1"/>
    <w:p w:rsidR="00D70CDC" w:rsidRPr="00D70CDC" w:rsidRDefault="00D70CDC" w:rsidP="00CF0DE0">
      <w:pPr>
        <w:rPr>
          <w:rFonts w:eastAsia="Times New Roman"/>
          <w:szCs w:val="24"/>
          <w:lang w:val="en-US"/>
        </w:rPr>
      </w:pPr>
    </w:p>
    <w:p w:rsidR="0040027C" w:rsidRPr="00A12DEC" w:rsidRDefault="0040027C" w:rsidP="00CF0DE0">
      <w:pPr>
        <w:contextualSpacing/>
        <w:rPr>
          <w:rFonts w:eastAsia="Times New Roman"/>
          <w:szCs w:val="24"/>
        </w:rPr>
      </w:pPr>
    </w:p>
    <w:sectPr w:rsidR="0040027C" w:rsidRPr="00A12DEC" w:rsidSect="00A37E36">
      <w:headerReference w:type="even" r:id="rId11"/>
      <w:headerReference w:type="default" r:id="rId12"/>
      <w:footerReference w:type="default" r:id="rId13"/>
      <w:headerReference w:type="first" r:id="rId14"/>
      <w:footerReference w:type="first" r:id="rId15"/>
      <w:type w:val="continuous"/>
      <w:pgSz w:w="11907" w:h="16840" w:code="9"/>
      <w:pgMar w:top="992" w:right="1162" w:bottom="709" w:left="1077" w:header="454" w:footer="340" w:gutter="113"/>
      <w:pgNumType w:chapStyle="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63BC" w:rsidRDefault="000A63BC" w:rsidP="00FD6043">
      <w:r>
        <w:separator/>
      </w:r>
    </w:p>
  </w:endnote>
  <w:endnote w:type="continuationSeparator" w:id="0">
    <w:p w:rsidR="000A63BC" w:rsidRDefault="000A63BC"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006" w:rsidRPr="002F3006" w:rsidRDefault="002F3006" w:rsidP="002F3006">
    <w:pPr>
      <w:pStyle w:val="Footer"/>
      <w:jc w:val="right"/>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76B8" w:rsidRPr="00113EB0" w:rsidRDefault="001E7C29" w:rsidP="00E15639">
    <w:pPr>
      <w:pStyle w:val="Footer"/>
      <w:rPr>
        <w:sz w:val="16"/>
        <w:szCs w:val="16"/>
      </w:rPr>
    </w:pPr>
    <w:r>
      <w:rPr>
        <w:sz w:val="16"/>
        <w:szCs w:val="16"/>
      </w:rPr>
      <w:t>W</w:t>
    </w:r>
    <w:r w:rsidR="00E15639" w:rsidRPr="00113EB0">
      <w:rPr>
        <w:sz w:val="16"/>
        <w:szCs w:val="16"/>
      </w:rPr>
      <w:t>eb</w:t>
    </w:r>
    <w:r>
      <w:rPr>
        <w:sz w:val="16"/>
        <w:szCs w:val="16"/>
      </w:rPr>
      <w:t>site</w:t>
    </w:r>
    <w:r w:rsidR="00E15639" w:rsidRPr="00113EB0">
      <w:rPr>
        <w:sz w:val="16"/>
        <w:szCs w:val="16"/>
      </w:rPr>
      <w:t xml:space="preserve">: </w:t>
    </w:r>
    <w:hyperlink r:id="rId1" w:history="1">
      <w:r w:rsidR="00AE76B8" w:rsidRPr="00533557">
        <w:rPr>
          <w:rStyle w:val="Hyperlink"/>
          <w:sz w:val="16"/>
          <w:szCs w:val="16"/>
        </w:rPr>
        <w:t>www.coe.int/cm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63BC" w:rsidRDefault="000A63BC" w:rsidP="00FD6043">
      <w:r>
        <w:separator/>
      </w:r>
    </w:p>
  </w:footnote>
  <w:footnote w:type="continuationSeparator" w:id="0">
    <w:p w:rsidR="000A63BC" w:rsidRDefault="000A63BC" w:rsidP="00FD6043">
      <w:r>
        <w:continuationSeparator/>
      </w:r>
    </w:p>
  </w:footnote>
  <w:footnote w:id="1">
    <w:p w:rsidR="00D70CDC" w:rsidRPr="00CF0DE0" w:rsidRDefault="00D70CDC" w:rsidP="00D70CDC">
      <w:pPr>
        <w:pStyle w:val="NormalWeb"/>
        <w:rPr>
          <w:rFonts w:ascii="Arial" w:eastAsia="Times New Roman" w:hAnsi="Arial" w:cs="Arial"/>
          <w:bCs/>
          <w:sz w:val="16"/>
          <w:szCs w:val="16"/>
          <w:lang w:eastAsia="en-GB"/>
        </w:rPr>
      </w:pPr>
      <w:r w:rsidRPr="00CF0DE0">
        <w:rPr>
          <w:rStyle w:val="Hyperlink"/>
          <w:rFonts w:ascii="Arial" w:hAnsi="Arial" w:cs="Arial"/>
          <w:sz w:val="16"/>
          <w:szCs w:val="16"/>
          <w:vertAlign w:val="superscript"/>
        </w:rPr>
        <w:footnoteRef/>
      </w:r>
      <w:r w:rsidRPr="00CF0DE0">
        <w:rPr>
          <w:rStyle w:val="Hyperlink"/>
          <w:rFonts w:ascii="Arial" w:hAnsi="Arial" w:cs="Arial"/>
          <w:sz w:val="16"/>
          <w:szCs w:val="16"/>
        </w:rPr>
        <w:t xml:space="preserve"> 128</w:t>
      </w:r>
      <w:r w:rsidRPr="00CF0DE0">
        <w:rPr>
          <w:rStyle w:val="Hyperlink"/>
          <w:rFonts w:ascii="Arial" w:hAnsi="Arial" w:cs="Arial"/>
          <w:sz w:val="16"/>
          <w:szCs w:val="16"/>
          <w:vertAlign w:val="superscript"/>
        </w:rPr>
        <w:t>th</w:t>
      </w:r>
      <w:r w:rsidRPr="00CF0DE0">
        <w:rPr>
          <w:rStyle w:val="Hyperlink"/>
          <w:rFonts w:ascii="Arial" w:hAnsi="Arial" w:cs="Arial"/>
          <w:sz w:val="16"/>
          <w:szCs w:val="16"/>
        </w:rPr>
        <w:t xml:space="preserve"> Session of the Committee of Ministers (Elsinore,</w:t>
      </w:r>
      <w:r w:rsidRPr="00CF0DE0">
        <w:rPr>
          <w:rFonts w:ascii="Arial" w:eastAsia="Times New Roman" w:hAnsi="Arial" w:cs="Arial"/>
          <w:bCs/>
          <w:sz w:val="16"/>
          <w:szCs w:val="16"/>
          <w:lang w:eastAsia="en-GB"/>
        </w:rPr>
        <w:t xml:space="preserve"> 17-18 May 2018) - Summary Report on co-operation between the Council of Europe and the European Union - </w:t>
      </w:r>
      <w:hyperlink r:id="rId1" w:history="1">
        <w:r w:rsidRPr="00CF0DE0">
          <w:rPr>
            <w:rFonts w:ascii="Arial" w:eastAsia="Times New Roman" w:hAnsi="Arial" w:cs="Arial"/>
            <w:bCs/>
            <w:sz w:val="16"/>
            <w:szCs w:val="16"/>
            <w:lang w:eastAsia="en-GB"/>
          </w:rPr>
          <w:t>https://search.coe.int/cm/Pages/result_details.aspx?ObjectID=09000016807c8e8e</w:t>
        </w:r>
      </w:hyperlink>
    </w:p>
  </w:footnote>
  <w:footnote w:id="2">
    <w:p w:rsidR="00D70CDC" w:rsidRPr="00CF0DE0" w:rsidRDefault="00D70CDC" w:rsidP="00D70CDC">
      <w:pPr>
        <w:pStyle w:val="FootnoteText"/>
        <w:rPr>
          <w:rFonts w:cs="Arial"/>
          <w:szCs w:val="16"/>
        </w:rPr>
      </w:pPr>
      <w:r w:rsidRPr="00CF0DE0">
        <w:rPr>
          <w:rStyle w:val="FootnoteReference"/>
          <w:rFonts w:cs="Arial"/>
          <w:szCs w:val="16"/>
        </w:rPr>
        <w:footnoteRef/>
      </w:r>
      <w:r w:rsidRPr="00CF0DE0">
        <w:rPr>
          <w:rFonts w:cs="Arial"/>
          <w:szCs w:val="16"/>
        </w:rPr>
        <w:t xml:space="preserve"> </w:t>
      </w:r>
      <w:r w:rsidRPr="00CF0DE0">
        <w:rPr>
          <w:rFonts w:cs="Arial"/>
          <w:szCs w:val="16"/>
          <w:lang w:val="en-US"/>
        </w:rPr>
        <w:t>“EU Priorities for co-operation with the CoE in 2018-2019”, adopted by the Foreign Affairs Council of the EU on 22 January 2018.</w:t>
      </w:r>
    </w:p>
  </w:footnote>
  <w:footnote w:id="3">
    <w:p w:rsidR="00D70CDC" w:rsidRPr="001D72C0" w:rsidRDefault="00D70CDC" w:rsidP="00D70CDC">
      <w:pPr>
        <w:pStyle w:val="NormalWeb"/>
        <w:rPr>
          <w:rFonts w:ascii="Arial" w:hAnsi="Arial" w:cs="Arial"/>
          <w:sz w:val="16"/>
          <w:szCs w:val="16"/>
        </w:rPr>
      </w:pPr>
      <w:r w:rsidRPr="00CF0DE0">
        <w:rPr>
          <w:rFonts w:ascii="Arial" w:hAnsi="Arial" w:cs="Arial"/>
          <w:sz w:val="16"/>
          <w:szCs w:val="16"/>
          <w:vertAlign w:val="superscript"/>
        </w:rPr>
        <w:footnoteRef/>
      </w:r>
      <w:r w:rsidRPr="00CF0DE0">
        <w:rPr>
          <w:rFonts w:ascii="Arial" w:hAnsi="Arial" w:cs="Arial"/>
          <w:sz w:val="16"/>
          <w:szCs w:val="16"/>
        </w:rPr>
        <w:t xml:space="preserve"> 128</w:t>
      </w:r>
      <w:r w:rsidRPr="00CF0DE0">
        <w:rPr>
          <w:rFonts w:ascii="Arial" w:hAnsi="Arial" w:cs="Arial"/>
          <w:sz w:val="16"/>
          <w:szCs w:val="16"/>
          <w:vertAlign w:val="superscript"/>
        </w:rPr>
        <w:t>th</w:t>
      </w:r>
      <w:r w:rsidRPr="00CF0DE0">
        <w:rPr>
          <w:rFonts w:ascii="Arial" w:hAnsi="Arial" w:cs="Arial"/>
          <w:sz w:val="16"/>
          <w:szCs w:val="16"/>
        </w:rPr>
        <w:t xml:space="preserve"> Session of the Committee of Ministers (Elsinore, 18 May 2018) - Statement by the European Union - </w:t>
      </w:r>
      <w:hyperlink r:id="rId2" w:history="1">
        <w:r w:rsidRPr="00CF0DE0">
          <w:rPr>
            <w:rStyle w:val="Hyperlink"/>
            <w:rFonts w:ascii="Arial" w:hAnsi="Arial" w:cs="Arial"/>
            <w:sz w:val="16"/>
            <w:szCs w:val="16"/>
          </w:rPr>
          <w:t>https://search.coe.int/cm/pages/result_details.aspx?objectid=0900001680889e90</w:t>
        </w:r>
      </w:hyperlink>
    </w:p>
  </w:footnote>
  <w:footnote w:id="4">
    <w:p w:rsidR="00D70CDC" w:rsidRPr="001D72C0" w:rsidRDefault="00D70CDC" w:rsidP="00D70CDC">
      <w:pPr>
        <w:pStyle w:val="FootnoteText"/>
        <w:rPr>
          <w:rFonts w:cs="Arial"/>
          <w:szCs w:val="16"/>
        </w:rPr>
      </w:pPr>
      <w:r w:rsidRPr="001D72C0">
        <w:rPr>
          <w:rStyle w:val="FootnoteReference"/>
          <w:rFonts w:cs="Arial"/>
          <w:szCs w:val="16"/>
        </w:rPr>
        <w:footnoteRef/>
      </w:r>
      <w:r w:rsidRPr="001D72C0">
        <w:rPr>
          <w:rFonts w:cs="Arial"/>
          <w:szCs w:val="16"/>
        </w:rPr>
        <w:t xml:space="preserve"> </w:t>
      </w:r>
      <w:r w:rsidRPr="001D72C0">
        <w:rPr>
          <w:rFonts w:cs="Arial"/>
          <w:szCs w:val="16"/>
          <w:lang w:val="en-US"/>
        </w:rPr>
        <w:t>AS/Bur/MR-</w:t>
      </w:r>
      <w:proofErr w:type="gramStart"/>
      <w:r w:rsidRPr="001D72C0">
        <w:rPr>
          <w:rFonts w:cs="Arial"/>
          <w:szCs w:val="16"/>
          <w:lang w:val="en-US"/>
        </w:rPr>
        <w:t>PA(</w:t>
      </w:r>
      <w:proofErr w:type="gramEnd"/>
      <w:r w:rsidRPr="001D72C0">
        <w:rPr>
          <w:rFonts w:cs="Arial"/>
          <w:szCs w:val="16"/>
          <w:lang w:val="en-US"/>
        </w:rPr>
        <w:t>2018)8, 28 June 2018, Bureau of the Assembly.</w:t>
      </w:r>
    </w:p>
  </w:footnote>
  <w:footnote w:id="5">
    <w:p w:rsidR="00D70CDC" w:rsidRDefault="00D70CDC" w:rsidP="00D70CDC">
      <w:pPr>
        <w:pStyle w:val="FootnoteText"/>
        <w:rPr>
          <w:rFonts w:cs="Arial"/>
          <w:szCs w:val="16"/>
          <w:lang w:val="en-US"/>
        </w:rPr>
      </w:pPr>
      <w:r w:rsidRPr="001D72C0">
        <w:rPr>
          <w:rStyle w:val="FootnoteReference"/>
          <w:rFonts w:cs="Arial"/>
          <w:szCs w:val="16"/>
        </w:rPr>
        <w:footnoteRef/>
      </w:r>
      <w:r w:rsidRPr="001D72C0">
        <w:rPr>
          <w:rFonts w:cs="Arial"/>
          <w:szCs w:val="16"/>
        </w:rPr>
        <w:t xml:space="preserve"> Rapporteur of the </w:t>
      </w:r>
      <w:r w:rsidRPr="001D72C0">
        <w:rPr>
          <w:rFonts w:cs="Arial"/>
          <w:szCs w:val="16"/>
          <w:lang w:val="en-US"/>
        </w:rPr>
        <w:t xml:space="preserve">Committee on Political Affairs and Democracy, </w:t>
      </w:r>
      <w:proofErr w:type="spellStart"/>
      <w:r w:rsidRPr="001D72C0">
        <w:rPr>
          <w:rFonts w:cs="Arial"/>
          <w:szCs w:val="16"/>
          <w:lang w:val="en-US"/>
        </w:rPr>
        <w:t>Mr</w:t>
      </w:r>
      <w:proofErr w:type="spellEnd"/>
      <w:r w:rsidRPr="001D72C0">
        <w:rPr>
          <w:rFonts w:cs="Arial"/>
          <w:szCs w:val="16"/>
          <w:lang w:val="en-US"/>
        </w:rPr>
        <w:t xml:space="preserve"> Tiny </w:t>
      </w:r>
      <w:proofErr w:type="spellStart"/>
      <w:r w:rsidRPr="001D72C0">
        <w:rPr>
          <w:rFonts w:cs="Arial"/>
          <w:szCs w:val="16"/>
          <w:lang w:val="en-US"/>
        </w:rPr>
        <w:t>Kox</w:t>
      </w:r>
      <w:proofErr w:type="spellEnd"/>
      <w:r w:rsidRPr="001D72C0">
        <w:rPr>
          <w:rFonts w:cs="Arial"/>
          <w:szCs w:val="16"/>
          <w:lang w:val="en-US"/>
        </w:rPr>
        <w:t xml:space="preserve"> (Netherland, UEL).</w:t>
      </w:r>
    </w:p>
    <w:p w:rsidR="00EA1FB1" w:rsidRPr="001D72C0" w:rsidRDefault="00EA1FB1" w:rsidP="00D70CDC">
      <w:pPr>
        <w:pStyle w:val="FootnoteText"/>
        <w:rPr>
          <w:rFonts w:cs="Arial"/>
          <w:szCs w:val="16"/>
        </w:rPr>
      </w:pPr>
      <w:r w:rsidRPr="001D72C0">
        <w:rPr>
          <w:rFonts w:cs="Arial"/>
          <w:szCs w:val="16"/>
        </w:rPr>
        <w:t>* All reference to Kosovo, whether to the territory, institutions or population, in this text shall be understood in full compliance with United Nations Security Council Resolution 1244 and without prejudice to the status of Kosovo.</w:t>
      </w:r>
    </w:p>
  </w:footnote>
  <w:footnote w:id="6">
    <w:p w:rsidR="00D70CDC" w:rsidRPr="00090EB2" w:rsidRDefault="00D70CDC" w:rsidP="00D70CDC">
      <w:pPr>
        <w:pStyle w:val="FootnoteText"/>
        <w:rPr>
          <w:lang w:val="en-US"/>
        </w:rPr>
      </w:pPr>
      <w:r>
        <w:rPr>
          <w:rStyle w:val="FootnoteReference"/>
        </w:rPr>
        <w:footnoteRef/>
      </w:r>
      <w:r>
        <w:t xml:space="preserve"> </w:t>
      </w:r>
      <w:r w:rsidRPr="00680216">
        <w:t xml:space="preserve">“Reinforcing Judicial Expertise on Freedom of Expression and the Media in South-East Europe - JUFREX”, “Promoting good governance and Roma empowerment at local level - ROMACTED” and “Project on targeting crime proceeds on the internet in South Eastern Europe and Turkey - </w:t>
      </w:r>
      <w:proofErr w:type="spellStart"/>
      <w:r w:rsidRPr="00680216">
        <w:t>iPROCEEDS</w:t>
      </w:r>
      <w:proofErr w:type="spellEnd"/>
      <w:r w:rsidRPr="00680216">
        <w:t>”</w:t>
      </w:r>
    </w:p>
  </w:footnote>
  <w:footnote w:id="7">
    <w:p w:rsidR="00D70CDC" w:rsidRPr="00707DF1" w:rsidRDefault="00D70CDC" w:rsidP="00D70CDC">
      <w:pPr>
        <w:pStyle w:val="FootnoteText"/>
        <w:rPr>
          <w:rFonts w:cs="Arial"/>
          <w:szCs w:val="16"/>
        </w:rPr>
      </w:pPr>
      <w:r w:rsidRPr="00707DF1">
        <w:rPr>
          <w:rStyle w:val="FootnoteReference"/>
          <w:rFonts w:cs="Arial"/>
          <w:szCs w:val="16"/>
        </w:rPr>
        <w:footnoteRef/>
      </w:r>
      <w:r w:rsidRPr="00707DF1">
        <w:rPr>
          <w:rFonts w:cs="Arial"/>
          <w:szCs w:val="16"/>
        </w:rPr>
        <w:t xml:space="preserve"> EU: €30.4 million, CoE: €5.6 million.</w:t>
      </w:r>
    </w:p>
  </w:footnote>
  <w:footnote w:id="8">
    <w:p w:rsidR="00D70CDC" w:rsidRPr="00707DF1" w:rsidRDefault="00D70CDC" w:rsidP="00D70CDC">
      <w:pPr>
        <w:pStyle w:val="FootnoteText"/>
        <w:rPr>
          <w:rFonts w:cs="Arial"/>
          <w:szCs w:val="16"/>
        </w:rPr>
      </w:pPr>
      <w:r w:rsidRPr="00707DF1">
        <w:rPr>
          <w:rStyle w:val="FootnoteReference"/>
          <w:rFonts w:cs="Arial"/>
          <w:szCs w:val="16"/>
        </w:rPr>
        <w:footnoteRef/>
      </w:r>
      <w:r w:rsidRPr="00707DF1">
        <w:rPr>
          <w:rFonts w:cs="Arial"/>
          <w:szCs w:val="16"/>
        </w:rPr>
        <w:t xml:space="preserve"> Implementation of the Programmatic Co-operation framework within the CoE in the Eastern Partnership</w:t>
      </w:r>
      <w:r>
        <w:rPr>
          <w:rFonts w:cs="Arial"/>
          <w:szCs w:val="16"/>
        </w:rPr>
        <w:t>.</w:t>
      </w:r>
    </w:p>
  </w:footnote>
  <w:footnote w:id="9">
    <w:p w:rsidR="00D70CDC" w:rsidRDefault="00D70CDC" w:rsidP="00D70CDC">
      <w:pPr>
        <w:pStyle w:val="FootnoteText"/>
        <w:rPr>
          <w:rFonts w:cs="Arial"/>
          <w:szCs w:val="16"/>
          <w:lang w:val="en-US" w:eastAsia="fr-FR"/>
        </w:rPr>
      </w:pPr>
      <w:r w:rsidRPr="00707DF1">
        <w:rPr>
          <w:rStyle w:val="FootnoteReference"/>
          <w:rFonts w:cs="Arial"/>
          <w:szCs w:val="16"/>
        </w:rPr>
        <w:footnoteRef/>
      </w:r>
      <w:r w:rsidRPr="00707DF1">
        <w:rPr>
          <w:rFonts w:cs="Arial"/>
          <w:szCs w:val="16"/>
          <w:lang w:val="en-US"/>
        </w:rPr>
        <w:t xml:space="preserve"> EU: </w:t>
      </w:r>
      <w:r w:rsidRPr="00707DF1">
        <w:rPr>
          <w:rFonts w:cs="Arial"/>
          <w:iCs/>
          <w:szCs w:val="16"/>
          <w:lang w:val="en-US"/>
        </w:rPr>
        <w:t>€ </w:t>
      </w:r>
      <w:r>
        <w:rPr>
          <w:rFonts w:cs="Arial"/>
          <w:szCs w:val="16"/>
          <w:lang w:val="en-US" w:eastAsia="fr-FR"/>
        </w:rPr>
        <w:t>14.0 million</w:t>
      </w:r>
      <w:r w:rsidRPr="00707DF1">
        <w:rPr>
          <w:rFonts w:cs="Arial"/>
          <w:szCs w:val="16"/>
          <w:lang w:val="en-US" w:eastAsia="fr-FR"/>
        </w:rPr>
        <w:t xml:space="preserve">, CoE: </w:t>
      </w:r>
      <w:r w:rsidRPr="00707DF1">
        <w:rPr>
          <w:rFonts w:cs="Arial"/>
          <w:iCs/>
          <w:szCs w:val="16"/>
          <w:lang w:val="en-US"/>
        </w:rPr>
        <w:t>€ 3.5</w:t>
      </w:r>
      <w:r w:rsidRPr="00707DF1">
        <w:rPr>
          <w:rFonts w:cs="Arial"/>
          <w:szCs w:val="16"/>
          <w:lang w:val="en-US" w:eastAsia="fr-FR"/>
        </w:rPr>
        <w:t xml:space="preserve"> million</w:t>
      </w:r>
      <w:r>
        <w:rPr>
          <w:rFonts w:cs="Arial"/>
          <w:szCs w:val="16"/>
          <w:lang w:val="en-US" w:eastAsia="fr-FR"/>
        </w:rPr>
        <w:t>.</w:t>
      </w:r>
    </w:p>
    <w:p w:rsidR="00B0044A" w:rsidRPr="00707DF1" w:rsidRDefault="00B0044A" w:rsidP="00D70CDC">
      <w:pPr>
        <w:pStyle w:val="FootnoteText"/>
        <w:rPr>
          <w:rFonts w:cs="Arial"/>
          <w:szCs w:val="16"/>
          <w:lang w:val="en-US"/>
        </w:rPr>
      </w:pPr>
      <w:r>
        <w:rPr>
          <w:rFonts w:cs="Arial"/>
          <w:szCs w:val="16"/>
          <w:lang w:val="en-US"/>
        </w:rPr>
        <w:t>*</w:t>
      </w:r>
      <w:r w:rsidRPr="00707DF1">
        <w:rPr>
          <w:rFonts w:cs="Arial"/>
          <w:szCs w:val="16"/>
        </w:rPr>
        <w:t>*This designation shall not be construed as recognition of a State of Palestine and is without prejudice to the individual positions of Council of Europe and European Union member States on this issue.</w:t>
      </w:r>
    </w:p>
  </w:footnote>
  <w:footnote w:id="10">
    <w:p w:rsidR="00D70CDC" w:rsidRPr="00707DF1" w:rsidRDefault="00D70CDC" w:rsidP="00D70CDC">
      <w:pPr>
        <w:pStyle w:val="FootnoteText"/>
        <w:rPr>
          <w:szCs w:val="16"/>
        </w:rPr>
      </w:pPr>
      <w:r w:rsidRPr="00707DF1">
        <w:rPr>
          <w:rStyle w:val="FootnoteReference"/>
          <w:szCs w:val="16"/>
        </w:rPr>
        <w:footnoteRef/>
      </w:r>
      <w:r w:rsidRPr="00707DF1">
        <w:rPr>
          <w:szCs w:val="16"/>
        </w:rPr>
        <w:t xml:space="preserve"> </w:t>
      </w:r>
      <w:r w:rsidRPr="00707DF1">
        <w:rPr>
          <w:rFonts w:cs="Arial"/>
          <w:szCs w:val="16"/>
        </w:rPr>
        <w:t xml:space="preserve">EU: </w:t>
      </w:r>
      <w:r w:rsidRPr="00707DF1">
        <w:rPr>
          <w:rFonts w:cs="Arial"/>
          <w:iCs/>
          <w:szCs w:val="16"/>
        </w:rPr>
        <w:t>€ </w:t>
      </w:r>
      <w:r w:rsidRPr="00707DF1">
        <w:rPr>
          <w:rFonts w:cs="Arial"/>
          <w:szCs w:val="16"/>
        </w:rPr>
        <w:t xml:space="preserve">90%, </w:t>
      </w:r>
      <w:r w:rsidRPr="00707DF1">
        <w:rPr>
          <w:rFonts w:cs="Arial"/>
          <w:szCs w:val="16"/>
          <w:lang w:eastAsia="fr-FR"/>
        </w:rPr>
        <w:t xml:space="preserve">CoE: </w:t>
      </w:r>
      <w:r w:rsidRPr="00707DF1">
        <w:rPr>
          <w:rFonts w:cs="Arial"/>
          <w:szCs w:val="16"/>
        </w:rPr>
        <w:t>10%</w:t>
      </w:r>
      <w:r w:rsidR="00DA6B7A">
        <w:rPr>
          <w:rFonts w:cs="Arial"/>
          <w:szCs w:val="16"/>
        </w:rPr>
        <w:t>.</w:t>
      </w:r>
    </w:p>
  </w:footnote>
  <w:footnote w:id="11">
    <w:p w:rsidR="00D70CDC" w:rsidRPr="00707DF1" w:rsidRDefault="00D70CDC" w:rsidP="00D70CDC">
      <w:pPr>
        <w:pStyle w:val="FootnoteText"/>
        <w:rPr>
          <w:szCs w:val="16"/>
        </w:rPr>
      </w:pPr>
      <w:r w:rsidRPr="00707DF1">
        <w:rPr>
          <w:rStyle w:val="FootnoteReference"/>
          <w:szCs w:val="16"/>
        </w:rPr>
        <w:footnoteRef/>
      </w:r>
      <w:r w:rsidRPr="00707DF1">
        <w:rPr>
          <w:szCs w:val="16"/>
        </w:rPr>
        <w:t xml:space="preserve"> </w:t>
      </w:r>
      <w:r w:rsidRPr="00707DF1">
        <w:rPr>
          <w:rFonts w:cs="Arial"/>
          <w:szCs w:val="16"/>
        </w:rPr>
        <w:t xml:space="preserve">EU: </w:t>
      </w:r>
      <w:r w:rsidRPr="00707DF1">
        <w:rPr>
          <w:rFonts w:cs="Arial"/>
          <w:iCs/>
          <w:szCs w:val="16"/>
        </w:rPr>
        <w:t>€ </w:t>
      </w:r>
      <w:r w:rsidRPr="00707DF1">
        <w:rPr>
          <w:rFonts w:cs="Arial"/>
          <w:szCs w:val="16"/>
        </w:rPr>
        <w:t xml:space="preserve">90%, </w:t>
      </w:r>
      <w:r w:rsidRPr="00707DF1">
        <w:rPr>
          <w:rFonts w:cs="Arial"/>
          <w:szCs w:val="16"/>
          <w:lang w:eastAsia="fr-FR"/>
        </w:rPr>
        <w:t xml:space="preserve">CoE: </w:t>
      </w:r>
      <w:r w:rsidRPr="00707DF1">
        <w:rPr>
          <w:rFonts w:cs="Arial"/>
          <w:szCs w:val="16"/>
        </w:rPr>
        <w:t>10%</w:t>
      </w:r>
      <w:r w:rsidR="00DA6B7A">
        <w:rPr>
          <w:rFonts w:cs="Arial"/>
          <w:szCs w:val="16"/>
        </w:rPr>
        <w:t>.</w:t>
      </w:r>
    </w:p>
  </w:footnote>
  <w:footnote w:id="12">
    <w:p w:rsidR="00D70CDC" w:rsidRPr="00680216" w:rsidRDefault="00D70CDC" w:rsidP="00D70CDC">
      <w:pPr>
        <w:pStyle w:val="FootnoteText"/>
      </w:pPr>
      <w:r>
        <w:rPr>
          <w:rStyle w:val="FootnoteReference"/>
        </w:rPr>
        <w:footnoteRef/>
      </w:r>
      <w:r>
        <w:t xml:space="preserve"> </w:t>
      </w:r>
      <w:r w:rsidRPr="00680216">
        <w:t>“Support to reforms of electoral legislation and practice and regional human rights instruments and mechanisms in countries of Latin America, Central Asia and Mongolia</w:t>
      </w:r>
      <w:r>
        <w:t>”</w:t>
      </w:r>
      <w:r w:rsidRPr="00680216">
        <w:t xml:space="preserve"> (mid-2019-mid-2021, €0.51 million).</w:t>
      </w:r>
    </w:p>
  </w:footnote>
  <w:footnote w:id="13">
    <w:p w:rsidR="00D70CDC" w:rsidRPr="00977AA6" w:rsidRDefault="00D70CDC" w:rsidP="00D70CDC">
      <w:pPr>
        <w:jc w:val="both"/>
        <w:rPr>
          <w:rFonts w:cs="Arial"/>
          <w:iCs/>
          <w:sz w:val="16"/>
          <w:szCs w:val="16"/>
        </w:rPr>
      </w:pPr>
      <w:r w:rsidRPr="00754253">
        <w:rPr>
          <w:rFonts w:cs="Arial"/>
          <w:iCs/>
          <w:sz w:val="16"/>
          <w:szCs w:val="16"/>
          <w:vertAlign w:val="superscript"/>
        </w:rPr>
        <w:footnoteRef/>
      </w:r>
      <w:r w:rsidRPr="00754253">
        <w:rPr>
          <w:rFonts w:cs="Arial"/>
          <w:iCs/>
          <w:sz w:val="16"/>
          <w:szCs w:val="16"/>
          <w:vertAlign w:val="superscript"/>
        </w:rPr>
        <w:t xml:space="preserve"> </w:t>
      </w:r>
      <w:r w:rsidRPr="002212A2">
        <w:rPr>
          <w:rFonts w:cs="Arial"/>
          <w:iCs/>
          <w:sz w:val="16"/>
          <w:szCs w:val="16"/>
        </w:rPr>
        <w:t>T</w:t>
      </w:r>
      <w:r w:rsidRPr="00977AA6">
        <w:rPr>
          <w:rFonts w:cs="Arial"/>
          <w:iCs/>
          <w:sz w:val="16"/>
          <w:szCs w:val="16"/>
        </w:rPr>
        <w:t xml:space="preserve">he initiative of the Council of the EU on ensuring respect for the rule of law and establishing a dialogue among all member States within the Council to promote and safeguard the rule of law (Conclusions of the Council of the EU and the </w:t>
      </w:r>
      <w:r>
        <w:rPr>
          <w:rFonts w:cs="Arial"/>
          <w:iCs/>
          <w:sz w:val="16"/>
          <w:szCs w:val="16"/>
        </w:rPr>
        <w:t>m</w:t>
      </w:r>
      <w:r w:rsidRPr="00977AA6">
        <w:rPr>
          <w:rFonts w:cs="Arial"/>
          <w:iCs/>
          <w:sz w:val="16"/>
          <w:szCs w:val="16"/>
        </w:rPr>
        <w:t>ember States meeting within the Council on ensuring respect for the rule of law, document 17014/14, 16 December 2014).</w:t>
      </w:r>
    </w:p>
  </w:footnote>
  <w:footnote w:id="14">
    <w:p w:rsidR="00D70CDC" w:rsidRPr="00862D4E" w:rsidRDefault="00D70CDC" w:rsidP="00D70CDC">
      <w:pPr>
        <w:pStyle w:val="FootnoteText"/>
        <w:rPr>
          <w:rFonts w:cs="Arial"/>
          <w:iCs/>
          <w:szCs w:val="16"/>
          <w:lang w:val="en-US"/>
        </w:rPr>
      </w:pPr>
      <w:r>
        <w:rPr>
          <w:rStyle w:val="FootnoteReference"/>
        </w:rPr>
        <w:footnoteRef/>
      </w:r>
      <w:r>
        <w:t xml:space="preserve"> </w:t>
      </w:r>
      <w:r w:rsidRPr="00D57EEE">
        <w:rPr>
          <w:rFonts w:cs="Arial"/>
          <w:iCs/>
          <w:szCs w:val="16"/>
        </w:rPr>
        <w:t xml:space="preserve">See the “Check list on the Rule of Law”, adopted by the Venice Commission on 11-12 March 2016, </w:t>
      </w:r>
      <w:r w:rsidRPr="00D57EEE">
        <w:rPr>
          <w:rFonts w:cs="Arial"/>
          <w:szCs w:val="16"/>
        </w:rPr>
        <w:t xml:space="preserve">formally endorsed by the </w:t>
      </w:r>
      <w:r w:rsidRPr="00D57EEE">
        <w:rPr>
          <w:rFonts w:cs="Arial"/>
          <w:bCs/>
          <w:szCs w:val="16"/>
        </w:rPr>
        <w:t xml:space="preserve">Committee of </w:t>
      </w:r>
      <w:r>
        <w:rPr>
          <w:rFonts w:cs="Arial"/>
          <w:bCs/>
          <w:szCs w:val="16"/>
        </w:rPr>
        <w:t xml:space="preserve">Ministers in September </w:t>
      </w:r>
      <w:r w:rsidRPr="00D57EEE">
        <w:rPr>
          <w:rFonts w:cs="Arial"/>
          <w:szCs w:val="16"/>
        </w:rPr>
        <w:t>2016</w:t>
      </w:r>
      <w:r>
        <w:rPr>
          <w:rFonts w:cs="Arial"/>
          <w:szCs w:val="16"/>
        </w:rPr>
        <w:t xml:space="preserve"> </w:t>
      </w:r>
      <w:r w:rsidRPr="00D57EEE">
        <w:rPr>
          <w:rFonts w:cs="Arial"/>
          <w:iCs/>
          <w:szCs w:val="16"/>
        </w:rPr>
        <w:t xml:space="preserve">and </w:t>
      </w:r>
      <w:r w:rsidRPr="00D57EEE">
        <w:rPr>
          <w:rFonts w:cs="Arial"/>
          <w:szCs w:val="16"/>
          <w:lang w:val="en-US"/>
        </w:rPr>
        <w:t xml:space="preserve">by the Parliamentary Assembly in October (Resolution 2187 (2017). </w:t>
      </w:r>
    </w:p>
  </w:footnote>
  <w:footnote w:id="15">
    <w:p w:rsidR="00D70CDC" w:rsidRPr="00B61F6A" w:rsidRDefault="00D70CDC" w:rsidP="00D70CDC">
      <w:pPr>
        <w:outlineLvl w:val="3"/>
        <w:rPr>
          <w:rFonts w:eastAsia="Times New Roman" w:cs="Arial"/>
          <w:sz w:val="16"/>
          <w:szCs w:val="16"/>
          <w:lang w:eastAsia="en-GB"/>
        </w:rPr>
      </w:pPr>
      <w:r w:rsidRPr="00573285">
        <w:rPr>
          <w:rStyle w:val="FootnoteReference"/>
          <w:sz w:val="16"/>
          <w:szCs w:val="16"/>
        </w:rPr>
        <w:footnoteRef/>
      </w:r>
      <w:r w:rsidRPr="00B61F6A">
        <w:rPr>
          <w:sz w:val="16"/>
          <w:szCs w:val="16"/>
        </w:rPr>
        <w:t xml:space="preserve"> </w:t>
      </w:r>
      <w:r w:rsidRPr="00B61F6A">
        <w:rPr>
          <w:bCs/>
          <w:sz w:val="16"/>
          <w:szCs w:val="16"/>
        </w:rPr>
        <w:t xml:space="preserve">Overview of other CoE </w:t>
      </w:r>
      <w:r>
        <w:rPr>
          <w:bCs/>
          <w:sz w:val="16"/>
          <w:szCs w:val="16"/>
        </w:rPr>
        <w:t>r</w:t>
      </w:r>
      <w:r w:rsidRPr="00B61F6A">
        <w:rPr>
          <w:bCs/>
          <w:sz w:val="16"/>
          <w:szCs w:val="16"/>
        </w:rPr>
        <w:t xml:space="preserve">ule of </w:t>
      </w:r>
      <w:r>
        <w:rPr>
          <w:bCs/>
          <w:sz w:val="16"/>
          <w:szCs w:val="16"/>
        </w:rPr>
        <w:t>l</w:t>
      </w:r>
      <w:r w:rsidRPr="00B61F6A">
        <w:rPr>
          <w:bCs/>
          <w:sz w:val="16"/>
          <w:szCs w:val="16"/>
        </w:rPr>
        <w:t>aw</w:t>
      </w:r>
      <w:r>
        <w:rPr>
          <w:bCs/>
          <w:sz w:val="16"/>
          <w:szCs w:val="16"/>
        </w:rPr>
        <w:t>-r</w:t>
      </w:r>
      <w:r w:rsidRPr="00B61F6A">
        <w:rPr>
          <w:bCs/>
          <w:sz w:val="16"/>
          <w:szCs w:val="16"/>
        </w:rPr>
        <w:t xml:space="preserve">elated </w:t>
      </w:r>
      <w:r>
        <w:rPr>
          <w:bCs/>
          <w:sz w:val="16"/>
          <w:szCs w:val="16"/>
        </w:rPr>
        <w:t>a</w:t>
      </w:r>
      <w:r w:rsidRPr="00B61F6A">
        <w:rPr>
          <w:bCs/>
          <w:sz w:val="16"/>
          <w:szCs w:val="16"/>
        </w:rPr>
        <w:t>ctivities</w:t>
      </w:r>
      <w:r>
        <w:rPr>
          <w:bCs/>
          <w:sz w:val="16"/>
          <w:szCs w:val="16"/>
        </w:rPr>
        <w:t xml:space="preserve"> -</w:t>
      </w:r>
      <w:r w:rsidRPr="00B61F6A">
        <w:rPr>
          <w:bCs/>
          <w:sz w:val="16"/>
          <w:szCs w:val="16"/>
        </w:rPr>
        <w:t xml:space="preserve"> </w:t>
      </w:r>
      <w:hyperlink r:id="rId3" w:history="1">
        <w:r w:rsidRPr="00B61F6A">
          <w:rPr>
            <w:rStyle w:val="Hyperlink"/>
            <w:rFonts w:eastAsia="Times New Roman" w:cs="Arial"/>
            <w:sz w:val="16"/>
            <w:szCs w:val="16"/>
            <w:lang w:eastAsia="en-GB"/>
          </w:rPr>
          <w:t>https://www.coe.int/en/web/dlapil/-/the-council-of-europe-s-role-in-promoting-and-strengthening-the-rule-of-law</w:t>
        </w:r>
      </w:hyperlink>
    </w:p>
  </w:footnote>
  <w:footnote w:id="16">
    <w:p w:rsidR="00D70CDC" w:rsidRPr="002212A2" w:rsidRDefault="00D70CDC" w:rsidP="00D70CDC">
      <w:pPr>
        <w:jc w:val="both"/>
        <w:rPr>
          <w:rFonts w:eastAsia="Times New Roman"/>
          <w:sz w:val="16"/>
          <w:szCs w:val="16"/>
        </w:rPr>
      </w:pPr>
      <w:r w:rsidRPr="00B61F6A">
        <w:rPr>
          <w:rStyle w:val="FootnoteReference"/>
          <w:sz w:val="16"/>
          <w:szCs w:val="16"/>
        </w:rPr>
        <w:footnoteRef/>
      </w:r>
      <w:r w:rsidRPr="00B61F6A">
        <w:rPr>
          <w:sz w:val="16"/>
          <w:szCs w:val="16"/>
        </w:rPr>
        <w:t xml:space="preserve"> </w:t>
      </w:r>
      <w:r w:rsidRPr="00B61F6A">
        <w:rPr>
          <w:rFonts w:eastAsia="Times New Roman"/>
          <w:sz w:val="16"/>
          <w:szCs w:val="16"/>
        </w:rPr>
        <w:t xml:space="preserve">The Committee Article </w:t>
      </w:r>
      <w:r w:rsidR="00DA6B7A" w:rsidRPr="00B61F6A">
        <w:rPr>
          <w:rFonts w:eastAsia="Times New Roman"/>
          <w:sz w:val="16"/>
          <w:szCs w:val="16"/>
        </w:rPr>
        <w:t>Thirty-Six</w:t>
      </w:r>
      <w:r w:rsidRPr="00B61F6A">
        <w:rPr>
          <w:rFonts w:eastAsia="Times New Roman"/>
          <w:sz w:val="16"/>
          <w:szCs w:val="16"/>
        </w:rPr>
        <w:t xml:space="preserve"> (CATS) held a discussion in November 2018 (under Austrian Presidency) on the EU participation in GRECO. </w:t>
      </w:r>
    </w:p>
  </w:footnote>
  <w:footnote w:id="17">
    <w:p w:rsidR="00D70CDC" w:rsidRPr="00925EF4" w:rsidRDefault="00D70CDC" w:rsidP="00D70CDC">
      <w:pPr>
        <w:pStyle w:val="FootnoteText"/>
      </w:pPr>
      <w:r w:rsidRPr="00573285">
        <w:rPr>
          <w:rStyle w:val="FootnoteReference"/>
          <w:szCs w:val="16"/>
        </w:rPr>
        <w:footnoteRef/>
      </w:r>
      <w:r w:rsidRPr="00573285">
        <w:rPr>
          <w:szCs w:val="16"/>
        </w:rPr>
        <w:t xml:space="preserve"> </w:t>
      </w:r>
      <w:bookmarkStart w:id="3" w:name="_Hlk5097497"/>
      <w:r>
        <w:t>Declaration adopted at the Conference of</w:t>
      </w:r>
      <w:r w:rsidRPr="00903D0C">
        <w:t xml:space="preserve"> </w:t>
      </w:r>
      <w:r>
        <w:t>M</w:t>
      </w:r>
      <w:r w:rsidRPr="00903D0C">
        <w:t>inisters of justice on the European human rights system in the future Europe</w:t>
      </w:r>
      <w:r>
        <w:t>, Copenhagen (12-13 April 2018</w:t>
      </w:r>
      <w:bookmarkEnd w:id="3"/>
      <w:r>
        <w:t>).</w:t>
      </w:r>
    </w:p>
  </w:footnote>
  <w:footnote w:id="18">
    <w:p w:rsidR="00D70CDC" w:rsidRPr="0003366D" w:rsidRDefault="00D70CDC" w:rsidP="00D70CDC">
      <w:pPr>
        <w:pStyle w:val="FootnoteText"/>
      </w:pPr>
      <w:r>
        <w:rPr>
          <w:rStyle w:val="FootnoteReference"/>
        </w:rPr>
        <w:footnoteRef/>
      </w:r>
      <w:r>
        <w:t xml:space="preserve"> </w:t>
      </w:r>
      <w:r w:rsidRPr="003B4C03">
        <w:rPr>
          <w:rFonts w:cs="Arial"/>
          <w:bCs/>
          <w:szCs w:val="16"/>
        </w:rPr>
        <w:t>Consultation meetings bet</w:t>
      </w:r>
      <w:r>
        <w:rPr>
          <w:rFonts w:cs="Arial"/>
          <w:bCs/>
          <w:szCs w:val="16"/>
        </w:rPr>
        <w:t>ween the EU’</w:t>
      </w:r>
      <w:r w:rsidRPr="003B4C03">
        <w:rPr>
          <w:rFonts w:cs="Arial"/>
          <w:bCs/>
          <w:szCs w:val="16"/>
        </w:rPr>
        <w:t xml:space="preserve">s Troika of the Article 36 Committee </w:t>
      </w:r>
      <w:r>
        <w:rPr>
          <w:rFonts w:cs="Arial"/>
          <w:bCs/>
          <w:szCs w:val="16"/>
        </w:rPr>
        <w:t>(CATS) and the CoE</w:t>
      </w:r>
      <w:r w:rsidRPr="003B4C03">
        <w:rPr>
          <w:rFonts w:cs="Arial"/>
          <w:bCs/>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4C57" w:rsidRPr="00E54322" w:rsidRDefault="002660DB" w:rsidP="00E54322">
    <w:pPr>
      <w:pStyle w:val="Header"/>
    </w:pPr>
    <w:proofErr w:type="gramStart"/>
    <w:r w:rsidRPr="00E54322">
      <w:t>CM(</w:t>
    </w:r>
    <w:proofErr w:type="gramEnd"/>
    <w:r w:rsidRPr="00E54322">
      <w:t>201</w:t>
    </w:r>
    <w:r w:rsidR="00FE16E3">
      <w:t>9</w:t>
    </w:r>
    <w:r w:rsidRPr="00E54322">
      <w:t>)</w:t>
    </w:r>
    <w:r w:rsidR="000B2AB0">
      <w:t>67-</w:t>
    </w:r>
    <w:r w:rsidR="00C55D17">
      <w:t>final</w:t>
    </w:r>
    <w:r w:rsidR="00E15639" w:rsidRPr="00E54322">
      <w:tab/>
    </w:r>
    <w:r w:rsidR="00E15639" w:rsidRPr="00E54322">
      <w:fldChar w:fldCharType="begin"/>
    </w:r>
    <w:r w:rsidR="00E15639" w:rsidRPr="00E54322">
      <w:instrText xml:space="preserve"> PAGE  \* Arabic  \* MERGEFORMAT </w:instrText>
    </w:r>
    <w:r w:rsidR="00E15639" w:rsidRPr="00E54322">
      <w:fldChar w:fldCharType="separate"/>
    </w:r>
    <w:r w:rsidR="00603637">
      <w:rPr>
        <w:noProof/>
      </w:rPr>
      <w:t>6</w:t>
    </w:r>
    <w:r w:rsidR="00E15639" w:rsidRPr="00E54322">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4C57" w:rsidRPr="00E54322" w:rsidRDefault="00E15639" w:rsidP="00E54322">
    <w:pPr>
      <w:pStyle w:val="Header"/>
    </w:pPr>
    <w:r w:rsidRPr="00E54322">
      <w:tab/>
    </w:r>
    <w:r w:rsidRPr="00E54322">
      <w:fldChar w:fldCharType="begin"/>
    </w:r>
    <w:r w:rsidRPr="00E54322">
      <w:instrText xml:space="preserve"> PAGE  \* Arabic  \* MERGEFORMAT </w:instrText>
    </w:r>
    <w:r w:rsidRPr="00E54322">
      <w:fldChar w:fldCharType="separate"/>
    </w:r>
    <w:r w:rsidR="00603637">
      <w:rPr>
        <w:noProof/>
      </w:rPr>
      <w:t>7</w:t>
    </w:r>
    <w:r w:rsidRPr="00E54322">
      <w:fldChar w:fldCharType="end"/>
    </w:r>
    <w:r w:rsidR="00E475F9" w:rsidRPr="00E54322">
      <w:tab/>
    </w:r>
    <w:proofErr w:type="gramStart"/>
    <w:r w:rsidR="002660DB" w:rsidRPr="00E54322">
      <w:t>CM(</w:t>
    </w:r>
    <w:proofErr w:type="gramEnd"/>
    <w:r w:rsidR="002660DB" w:rsidRPr="00E54322">
      <w:t>201</w:t>
    </w:r>
    <w:r w:rsidR="00FE16E3">
      <w:t>9</w:t>
    </w:r>
    <w:r w:rsidR="002660DB" w:rsidRPr="00E54322">
      <w:t>)</w:t>
    </w:r>
    <w:r w:rsidR="000B2AB0">
      <w:t>67-</w:t>
    </w:r>
    <w:r w:rsidR="00C55D17">
      <w:t>final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5BDB" w:rsidRDefault="00877E5C" w:rsidP="00123CDD">
    <w:pPr>
      <w:pStyle w:val="Header"/>
      <w:spacing w:after="2280"/>
    </w:pPr>
    <w:r>
      <w:rPr>
        <w:noProof/>
        <w:lang w:eastAsia="en-GB"/>
      </w:rPr>
      <w:drawing>
        <wp:anchor distT="0" distB="0" distL="114300" distR="114300" simplePos="0" relativeHeight="251657728" behindDoc="1" locked="0" layoutInCell="0" allowOverlap="0" wp14:anchorId="40842262" wp14:editId="2827E29E">
          <wp:simplePos x="0" y="0"/>
          <wp:positionH relativeFrom="page">
            <wp:posOffset>307818</wp:posOffset>
          </wp:positionH>
          <wp:positionV relativeFrom="page">
            <wp:posOffset>22064</wp:posOffset>
          </wp:positionV>
          <wp:extent cx="7581900" cy="10716601"/>
          <wp:effectExtent l="0" t="0" r="0" b="2540"/>
          <wp:wrapNone/>
          <wp:docPr id="3"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900" cy="1071660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E973AE"/>
    <w:multiLevelType w:val="hybridMultilevel"/>
    <w:tmpl w:val="0884EB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proofState w:spelling="clean" w:grammar="clean"/>
  <w:defaultTabStop w:val="709"/>
  <w:hyphenationZone w:val="425"/>
  <w:evenAndOddHeaders/>
  <w:drawingGridHorizontalSpacing w:val="90"/>
  <w:drawingGridVerticalSpacing w:val="245"/>
  <w:displayHorizontalDrawingGridEvery w:val="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63BC"/>
    <w:rsid w:val="0001238D"/>
    <w:rsid w:val="00035FDF"/>
    <w:rsid w:val="00071EA7"/>
    <w:rsid w:val="00072CBD"/>
    <w:rsid w:val="0008149D"/>
    <w:rsid w:val="00082CEE"/>
    <w:rsid w:val="000A307B"/>
    <w:rsid w:val="000A63BC"/>
    <w:rsid w:val="000B2AB0"/>
    <w:rsid w:val="000C52A6"/>
    <w:rsid w:val="000E50A4"/>
    <w:rsid w:val="000F0031"/>
    <w:rsid w:val="000F4CF2"/>
    <w:rsid w:val="000F58C3"/>
    <w:rsid w:val="000F5ADA"/>
    <w:rsid w:val="00106141"/>
    <w:rsid w:val="00110729"/>
    <w:rsid w:val="00113EB0"/>
    <w:rsid w:val="00123CDD"/>
    <w:rsid w:val="00134D9A"/>
    <w:rsid w:val="00135BDB"/>
    <w:rsid w:val="00140FC8"/>
    <w:rsid w:val="0014266D"/>
    <w:rsid w:val="00147EF4"/>
    <w:rsid w:val="00153BB3"/>
    <w:rsid w:val="00156DC1"/>
    <w:rsid w:val="00160B03"/>
    <w:rsid w:val="00171115"/>
    <w:rsid w:val="00181ED9"/>
    <w:rsid w:val="001A6076"/>
    <w:rsid w:val="001B7E0B"/>
    <w:rsid w:val="001E7C29"/>
    <w:rsid w:val="001F297D"/>
    <w:rsid w:val="001F4F04"/>
    <w:rsid w:val="00214299"/>
    <w:rsid w:val="002250DD"/>
    <w:rsid w:val="0023437D"/>
    <w:rsid w:val="00242ABB"/>
    <w:rsid w:val="00251353"/>
    <w:rsid w:val="00262B36"/>
    <w:rsid w:val="00265917"/>
    <w:rsid w:val="002660DB"/>
    <w:rsid w:val="002861FB"/>
    <w:rsid w:val="00287813"/>
    <w:rsid w:val="00293EE6"/>
    <w:rsid w:val="002C0872"/>
    <w:rsid w:val="002C20BA"/>
    <w:rsid w:val="002C43B5"/>
    <w:rsid w:val="002C4704"/>
    <w:rsid w:val="002D0655"/>
    <w:rsid w:val="002D11B8"/>
    <w:rsid w:val="002E4089"/>
    <w:rsid w:val="002F3006"/>
    <w:rsid w:val="002F405C"/>
    <w:rsid w:val="002F6BB7"/>
    <w:rsid w:val="00303712"/>
    <w:rsid w:val="003354C4"/>
    <w:rsid w:val="00335CAF"/>
    <w:rsid w:val="003364D1"/>
    <w:rsid w:val="0037200F"/>
    <w:rsid w:val="00373957"/>
    <w:rsid w:val="00381C50"/>
    <w:rsid w:val="00385587"/>
    <w:rsid w:val="00392D1D"/>
    <w:rsid w:val="003A5509"/>
    <w:rsid w:val="003B2C8C"/>
    <w:rsid w:val="003B345B"/>
    <w:rsid w:val="003D3B17"/>
    <w:rsid w:val="003D48AE"/>
    <w:rsid w:val="003D6AC2"/>
    <w:rsid w:val="003F3D4B"/>
    <w:rsid w:val="0040027C"/>
    <w:rsid w:val="00400868"/>
    <w:rsid w:val="004256CB"/>
    <w:rsid w:val="004329B7"/>
    <w:rsid w:val="00443709"/>
    <w:rsid w:val="00447D22"/>
    <w:rsid w:val="004553F6"/>
    <w:rsid w:val="00480D8B"/>
    <w:rsid w:val="004A37E1"/>
    <w:rsid w:val="004C0C2F"/>
    <w:rsid w:val="004C11B3"/>
    <w:rsid w:val="0050115D"/>
    <w:rsid w:val="0054041B"/>
    <w:rsid w:val="00550B6C"/>
    <w:rsid w:val="00574663"/>
    <w:rsid w:val="005B1FA1"/>
    <w:rsid w:val="005B3604"/>
    <w:rsid w:val="005C73BB"/>
    <w:rsid w:val="005D7CDF"/>
    <w:rsid w:val="005F093B"/>
    <w:rsid w:val="005F3DC6"/>
    <w:rsid w:val="00603637"/>
    <w:rsid w:val="00614982"/>
    <w:rsid w:val="00631491"/>
    <w:rsid w:val="00643231"/>
    <w:rsid w:val="00643C3F"/>
    <w:rsid w:val="00644AD3"/>
    <w:rsid w:val="006455FA"/>
    <w:rsid w:val="00660638"/>
    <w:rsid w:val="00671684"/>
    <w:rsid w:val="00671EA2"/>
    <w:rsid w:val="006827E4"/>
    <w:rsid w:val="006908C5"/>
    <w:rsid w:val="006B16FF"/>
    <w:rsid w:val="006F0318"/>
    <w:rsid w:val="006F6B48"/>
    <w:rsid w:val="00712E65"/>
    <w:rsid w:val="007150DE"/>
    <w:rsid w:val="00721866"/>
    <w:rsid w:val="00735569"/>
    <w:rsid w:val="007541C7"/>
    <w:rsid w:val="00761627"/>
    <w:rsid w:val="00773CFE"/>
    <w:rsid w:val="00780B1B"/>
    <w:rsid w:val="007A543D"/>
    <w:rsid w:val="007B3DD0"/>
    <w:rsid w:val="007C0AD1"/>
    <w:rsid w:val="007D7B20"/>
    <w:rsid w:val="007E168C"/>
    <w:rsid w:val="00800A19"/>
    <w:rsid w:val="008042E6"/>
    <w:rsid w:val="00805F04"/>
    <w:rsid w:val="00810D5A"/>
    <w:rsid w:val="00814AA2"/>
    <w:rsid w:val="0082394F"/>
    <w:rsid w:val="00853C90"/>
    <w:rsid w:val="008575F2"/>
    <w:rsid w:val="00857F73"/>
    <w:rsid w:val="0087380A"/>
    <w:rsid w:val="00877E5C"/>
    <w:rsid w:val="008B07D4"/>
    <w:rsid w:val="008C12CC"/>
    <w:rsid w:val="008E62BF"/>
    <w:rsid w:val="00916BF5"/>
    <w:rsid w:val="009215B8"/>
    <w:rsid w:val="00923554"/>
    <w:rsid w:val="009270C4"/>
    <w:rsid w:val="00940F14"/>
    <w:rsid w:val="009432D0"/>
    <w:rsid w:val="00950D67"/>
    <w:rsid w:val="009527D7"/>
    <w:rsid w:val="00955512"/>
    <w:rsid w:val="00963962"/>
    <w:rsid w:val="00972F26"/>
    <w:rsid w:val="00974C41"/>
    <w:rsid w:val="00987872"/>
    <w:rsid w:val="009B3AB7"/>
    <w:rsid w:val="009C5258"/>
    <w:rsid w:val="009D28F3"/>
    <w:rsid w:val="00A12DEC"/>
    <w:rsid w:val="00A22D53"/>
    <w:rsid w:val="00A37E36"/>
    <w:rsid w:val="00A474E5"/>
    <w:rsid w:val="00A842D4"/>
    <w:rsid w:val="00A93CA3"/>
    <w:rsid w:val="00AB6552"/>
    <w:rsid w:val="00AB67F8"/>
    <w:rsid w:val="00AB7727"/>
    <w:rsid w:val="00AC30A2"/>
    <w:rsid w:val="00AC73AA"/>
    <w:rsid w:val="00AE76B8"/>
    <w:rsid w:val="00B0044A"/>
    <w:rsid w:val="00B06133"/>
    <w:rsid w:val="00B129D8"/>
    <w:rsid w:val="00B227AE"/>
    <w:rsid w:val="00B41B03"/>
    <w:rsid w:val="00B41EC3"/>
    <w:rsid w:val="00B63F08"/>
    <w:rsid w:val="00B81BAC"/>
    <w:rsid w:val="00B822AF"/>
    <w:rsid w:val="00B849E0"/>
    <w:rsid w:val="00B90246"/>
    <w:rsid w:val="00B920E4"/>
    <w:rsid w:val="00BA79A3"/>
    <w:rsid w:val="00BB7DCE"/>
    <w:rsid w:val="00BD25C0"/>
    <w:rsid w:val="00BF78B3"/>
    <w:rsid w:val="00C049EE"/>
    <w:rsid w:val="00C109FD"/>
    <w:rsid w:val="00C14C2C"/>
    <w:rsid w:val="00C409C2"/>
    <w:rsid w:val="00C55D17"/>
    <w:rsid w:val="00C74E6F"/>
    <w:rsid w:val="00C8348A"/>
    <w:rsid w:val="00C92F89"/>
    <w:rsid w:val="00CB1AC9"/>
    <w:rsid w:val="00CC39DC"/>
    <w:rsid w:val="00CD4CC2"/>
    <w:rsid w:val="00CE1FF8"/>
    <w:rsid w:val="00CE4890"/>
    <w:rsid w:val="00CE6FD2"/>
    <w:rsid w:val="00CF0DE0"/>
    <w:rsid w:val="00D0182E"/>
    <w:rsid w:val="00D0265B"/>
    <w:rsid w:val="00D12927"/>
    <w:rsid w:val="00D24A57"/>
    <w:rsid w:val="00D53526"/>
    <w:rsid w:val="00D554E6"/>
    <w:rsid w:val="00D70628"/>
    <w:rsid w:val="00D70CDC"/>
    <w:rsid w:val="00DA6B7A"/>
    <w:rsid w:val="00DA7643"/>
    <w:rsid w:val="00DB029C"/>
    <w:rsid w:val="00DC162E"/>
    <w:rsid w:val="00DC4A39"/>
    <w:rsid w:val="00DE0A21"/>
    <w:rsid w:val="00DF6796"/>
    <w:rsid w:val="00E125C6"/>
    <w:rsid w:val="00E15639"/>
    <w:rsid w:val="00E173B5"/>
    <w:rsid w:val="00E24C57"/>
    <w:rsid w:val="00E457C3"/>
    <w:rsid w:val="00E475F9"/>
    <w:rsid w:val="00E50974"/>
    <w:rsid w:val="00E54322"/>
    <w:rsid w:val="00E86611"/>
    <w:rsid w:val="00E940BF"/>
    <w:rsid w:val="00EA1FB1"/>
    <w:rsid w:val="00EA643A"/>
    <w:rsid w:val="00EE34E3"/>
    <w:rsid w:val="00F01885"/>
    <w:rsid w:val="00F168A4"/>
    <w:rsid w:val="00F222B7"/>
    <w:rsid w:val="00F2380B"/>
    <w:rsid w:val="00F24713"/>
    <w:rsid w:val="00F40699"/>
    <w:rsid w:val="00F433D6"/>
    <w:rsid w:val="00F61D34"/>
    <w:rsid w:val="00F76BBD"/>
    <w:rsid w:val="00F96689"/>
    <w:rsid w:val="00FD3B4F"/>
    <w:rsid w:val="00FD6043"/>
    <w:rsid w:val="00FE16E3"/>
    <w:rsid w:val="00FF2641"/>
    <w:rsid w:val="00FF3BAB"/>
    <w:rsid w:val="00FF6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C206041C-C65F-4E6B-9511-5D1B0C896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F58C3"/>
    <w:rPr>
      <w:rFonts w:ascii="Arial" w:hAnsi="Arial"/>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491"/>
    <w:pPr>
      <w:tabs>
        <w:tab w:val="center" w:pos="4820"/>
        <w:tab w:val="right" w:pos="9639"/>
      </w:tabs>
    </w:pPr>
    <w:rPr>
      <w:sz w:val="18"/>
    </w:rPr>
  </w:style>
  <w:style w:type="character" w:customStyle="1" w:styleId="HeaderChar">
    <w:name w:val="Header Char"/>
    <w:link w:val="Header"/>
    <w:uiPriority w:val="99"/>
    <w:rsid w:val="00631491"/>
    <w:rPr>
      <w:rFonts w:ascii="Arial" w:hAnsi="Arial"/>
      <w:sz w:val="18"/>
      <w:szCs w:val="22"/>
      <w:lang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iPriority w:val="99"/>
    <w:semiHidden/>
    <w:unhideWhenUsed/>
    <w:rsid w:val="00FD6043"/>
    <w:rPr>
      <w:rFonts w:ascii="Tahoma" w:hAnsi="Tahoma" w:cs="Tahoma"/>
      <w:sz w:val="16"/>
      <w:szCs w:val="16"/>
    </w:rPr>
  </w:style>
  <w:style w:type="character" w:customStyle="1" w:styleId="BalloonTextChar">
    <w:name w:val="Balloon Text Char"/>
    <w:link w:val="BalloonText"/>
    <w:uiPriority w:val="99"/>
    <w:semiHidden/>
    <w:rsid w:val="00FD6043"/>
    <w:rPr>
      <w:rFonts w:ascii="Tahoma" w:hAnsi="Tahoma" w:cs="Tahoma"/>
      <w:sz w:val="16"/>
      <w:szCs w:val="16"/>
    </w:rPr>
  </w:style>
  <w:style w:type="table" w:styleId="TableGrid">
    <w:name w:val="Table Grid"/>
    <w:basedOn w:val="TableNormal"/>
    <w:uiPriority w:val="5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uiPriority w:val="99"/>
    <w:unhideWhenUsed/>
    <w:rsid w:val="00AE76B8"/>
    <w:rPr>
      <w:color w:val="auto"/>
      <w:u w:val="none"/>
    </w:rPr>
  </w:style>
  <w:style w:type="character" w:styleId="PageNumber">
    <w:name w:val="page number"/>
    <w:basedOn w:val="DefaultParagraphFont"/>
    <w:uiPriority w:val="99"/>
    <w:semiHidden/>
    <w:unhideWhenUsed/>
    <w:rsid w:val="00E24C57"/>
  </w:style>
  <w:style w:type="character" w:styleId="CommentReference">
    <w:name w:val="annotation reference"/>
    <w:uiPriority w:val="99"/>
    <w:semiHidden/>
    <w:unhideWhenUsed/>
    <w:rsid w:val="002250DD"/>
    <w:rPr>
      <w:sz w:val="18"/>
      <w:szCs w:val="18"/>
    </w:rPr>
  </w:style>
  <w:style w:type="paragraph" w:styleId="CommentText">
    <w:name w:val="annotation text"/>
    <w:basedOn w:val="Normal"/>
    <w:link w:val="CommentTextChar"/>
    <w:uiPriority w:val="99"/>
    <w:semiHidden/>
    <w:unhideWhenUsed/>
    <w:rsid w:val="002250DD"/>
    <w:rPr>
      <w:sz w:val="24"/>
      <w:szCs w:val="24"/>
    </w:rPr>
  </w:style>
  <w:style w:type="character" w:customStyle="1" w:styleId="CommentTextChar">
    <w:name w:val="Comment Text Char"/>
    <w:link w:val="CommentText"/>
    <w:uiPriority w:val="99"/>
    <w:semiHidden/>
    <w:rsid w:val="002250DD"/>
    <w:rPr>
      <w:sz w:val="24"/>
      <w:szCs w:val="24"/>
    </w:rPr>
  </w:style>
  <w:style w:type="paragraph" w:styleId="CommentSubject">
    <w:name w:val="annotation subject"/>
    <w:basedOn w:val="CommentText"/>
    <w:next w:val="CommentText"/>
    <w:link w:val="CommentSubjectChar"/>
    <w:uiPriority w:val="99"/>
    <w:semiHidden/>
    <w:unhideWhenUsed/>
    <w:rsid w:val="002250DD"/>
    <w:rPr>
      <w:b/>
      <w:bCs/>
      <w:sz w:val="20"/>
      <w:szCs w:val="20"/>
    </w:rPr>
  </w:style>
  <w:style w:type="character" w:customStyle="1" w:styleId="CommentSubjectChar">
    <w:name w:val="Comment Subject Char"/>
    <w:link w:val="CommentSubject"/>
    <w:uiPriority w:val="99"/>
    <w:semiHidden/>
    <w:rsid w:val="002250DD"/>
    <w:rPr>
      <w:b/>
      <w:bCs/>
      <w:sz w:val="20"/>
      <w:szCs w:val="20"/>
    </w:rPr>
  </w:style>
  <w:style w:type="paragraph" w:styleId="FootnoteText">
    <w:name w:val="footnote text"/>
    <w:aliases w:val="poznppMV,Footnote Text Char1,Footnote Text Char Char,Footnote Text Char1 Char Char,Footnote Text Char Char Char Char,Footnote Text Char2 Char Char Char Char Char,Footnote Text Char1 Char Char Char Char Char Char,n,Char, Carattere,Carattere"/>
    <w:basedOn w:val="Normal"/>
    <w:link w:val="FootnoteTextChar"/>
    <w:uiPriority w:val="99"/>
    <w:unhideWhenUsed/>
    <w:qFormat/>
    <w:rsid w:val="009C5258"/>
    <w:rPr>
      <w:sz w:val="16"/>
      <w:szCs w:val="20"/>
    </w:rPr>
  </w:style>
  <w:style w:type="character" w:customStyle="1" w:styleId="FootnoteTextChar">
    <w:name w:val="Footnote Text Char"/>
    <w:aliases w:val="poznppMV Char,Footnote Text Char1 Char,Footnote Text Char Char Char,Footnote Text Char1 Char Char Char,Footnote Text Char Char Char Char Char,Footnote Text Char2 Char Char Char Char Char Char,n Char,Char Char, Carattere Char"/>
    <w:link w:val="FootnoteText"/>
    <w:uiPriority w:val="99"/>
    <w:rsid w:val="009C5258"/>
    <w:rPr>
      <w:rFonts w:ascii="Arial" w:hAnsi="Arial"/>
      <w:sz w:val="16"/>
      <w:lang w:val="fr-FR" w:eastAsia="en-US"/>
    </w:rPr>
  </w:style>
  <w:style w:type="character" w:styleId="FootnoteReference">
    <w:name w:val="footnote reference"/>
    <w:aliases w:val="Footnotes refss,callout,fr,o,Style 6,Nota,(NECG) Footnote Reference,Footnote,Footnote symbol,Voetnootverwijzing,Footnotes refss Car Char Car Char,callout Car Car Char Char Car Char,Footnote Refernece,RSC_WP (footnote reference),4_G"/>
    <w:link w:val="FootnoteReferenceCharCarCharCharCarCharCarCharCarCharCarCharCharCarCarCharCharCharCharCharCarCharCarCharCharCarCharCar"/>
    <w:uiPriority w:val="99"/>
    <w:unhideWhenUsed/>
    <w:qFormat/>
    <w:rsid w:val="00853C90"/>
    <w:rPr>
      <w:vertAlign w:val="superscript"/>
    </w:rPr>
  </w:style>
  <w:style w:type="paragraph" w:styleId="NormalWeb">
    <w:name w:val="Normal (Web)"/>
    <w:basedOn w:val="Normal"/>
    <w:uiPriority w:val="99"/>
    <w:unhideWhenUsed/>
    <w:rsid w:val="000A63BC"/>
    <w:rPr>
      <w:rFonts w:ascii="Times New Roman" w:hAnsi="Times New Roman"/>
      <w:sz w:val="24"/>
      <w:szCs w:val="24"/>
    </w:r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Normal"/>
    <w:link w:val="FootnoteReference"/>
    <w:rsid w:val="000A63BC"/>
    <w:pPr>
      <w:spacing w:after="160" w:line="240" w:lineRule="exact"/>
    </w:pPr>
    <w:rPr>
      <w:rFonts w:ascii="Calibri" w:hAnsi="Calibri"/>
      <w:szCs w:val="20"/>
      <w:vertAlign w:val="superscript"/>
      <w:lang w:eastAsia="en-GB"/>
    </w:rPr>
  </w:style>
  <w:style w:type="character" w:customStyle="1" w:styleId="UnresolvedMention1">
    <w:name w:val="Unresolved Mention1"/>
    <w:basedOn w:val="DefaultParagraphFont"/>
    <w:uiPriority w:val="99"/>
    <w:semiHidden/>
    <w:unhideWhenUsed/>
    <w:rsid w:val="00CB1AC9"/>
    <w:rPr>
      <w:color w:val="605E5C"/>
      <w:shd w:val="clear" w:color="auto" w:fill="E1DFDD"/>
    </w:rPr>
  </w:style>
  <w:style w:type="character" w:styleId="UnresolvedMention">
    <w:name w:val="Unresolved Mention"/>
    <w:basedOn w:val="DefaultParagraphFont"/>
    <w:uiPriority w:val="99"/>
    <w:semiHidden/>
    <w:unhideWhenUsed/>
    <w:rsid w:val="00F222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peanheritagedays.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u.vocuspr.com/Tracking.aspx?Data=HHL%3d%3d0348%26JDG%3c%3b5%3c.31%3a%26SDG%3c90%3a1&amp;RE=IN&amp;RI=1711256&amp;Preview=False&amp;DistributionActionID=18683&amp;Action=Follow+Link" TargetMode="External"/><Relationship Id="rId4" Type="http://schemas.openxmlformats.org/officeDocument/2006/relationships/settings" Target="settings.xml"/><Relationship Id="rId9" Type="http://schemas.openxmlformats.org/officeDocument/2006/relationships/hyperlink" Target="http://www.europarl.europa.eu/sides/getDoc.do?pubRef=-//EP//TEXT+TA+P8-TA-2019-0142+0+DOC+XML+V0//EN&amp;language=EN"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coe.int/en/web/dlapil/-/the-council-of-europe-s-role-in-promoting-and-strengthening-the-rule-of-law" TargetMode="External"/><Relationship Id="rId2" Type="http://schemas.openxmlformats.org/officeDocument/2006/relationships/hyperlink" Target="https://search.coe.int/cm/pages/result_details.aspx?objectid=0900001680889e90" TargetMode="External"/><Relationship Id="rId1" Type="http://schemas.openxmlformats.org/officeDocument/2006/relationships/hyperlink" Target="https://search.coe.int/cm/Pages/result_details.aspx?ObjectID=09000016807c8e8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52B5E4BD-7DAB-4532-AE95-DF1D97D15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4074</Words>
  <Characters>22410</Characters>
  <Application>Microsoft Office Word</Application>
  <DocSecurity>0</DocSecurity>
  <Lines>186</Lines>
  <Paragraphs>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26432</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GODARD Caroline</dc:creator>
  <cp:lastModifiedBy>HATTERSLEY Christine</cp:lastModifiedBy>
  <cp:revision>3</cp:revision>
  <cp:lastPrinted>2016-03-16T18:37:00Z</cp:lastPrinted>
  <dcterms:created xsi:type="dcterms:W3CDTF">2019-04-30T15:14:00Z</dcterms:created>
  <dcterms:modified xsi:type="dcterms:W3CDTF">2019-04-30T15:37:00Z</dcterms:modified>
</cp:coreProperties>
</file>