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rsidTr="00E54322">
        <w:trPr>
          <w:trHeight w:val="737"/>
        </w:trPr>
        <w:tc>
          <w:tcPr>
            <w:tcW w:w="1250" w:type="pct"/>
            <w:shd w:val="clear" w:color="auto" w:fill="auto"/>
            <w:vAlign w:val="center"/>
          </w:tcPr>
          <w:p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rsidR="002D11B8" w:rsidRPr="00040BCB" w:rsidRDefault="00040BCB" w:rsidP="00A574BA">
            <w:pPr>
              <w:ind w:left="-40"/>
              <w:jc w:val="center"/>
              <w:rPr>
                <w:rFonts w:ascii="Arial Narrow" w:hAnsi="Arial Narrow" w:cs="Arial"/>
                <w:b/>
                <w:sz w:val="24"/>
                <w:szCs w:val="24"/>
              </w:rPr>
            </w:pPr>
            <w:proofErr w:type="gramStart"/>
            <w:r w:rsidRPr="00040BCB">
              <w:rPr>
                <w:rFonts w:ascii="Arial Narrow" w:hAnsi="Arial Narrow" w:cs="Calibri"/>
                <w:b/>
                <w:sz w:val="24"/>
                <w:szCs w:val="24"/>
              </w:rPr>
              <w:t>CM(</w:t>
            </w:r>
            <w:proofErr w:type="gramEnd"/>
            <w:r w:rsidRPr="00040BCB">
              <w:rPr>
                <w:rFonts w:ascii="Arial Narrow" w:hAnsi="Arial Narrow" w:cs="Calibri"/>
                <w:b/>
                <w:sz w:val="24"/>
                <w:szCs w:val="24"/>
              </w:rPr>
              <w:t>2019)50</w:t>
            </w:r>
            <w:bookmarkStart w:id="0" w:name="_GoBack"/>
            <w:bookmarkEnd w:id="0"/>
            <w:r w:rsidRPr="00040BCB">
              <w:rPr>
                <w:rFonts w:ascii="Arial Narrow" w:hAnsi="Arial Narrow" w:cs="Calibri"/>
                <w:b/>
                <w:sz w:val="24"/>
                <w:szCs w:val="24"/>
              </w:rPr>
              <w:t>-final</w:t>
            </w:r>
          </w:p>
        </w:tc>
        <w:tc>
          <w:tcPr>
            <w:tcW w:w="1250" w:type="pct"/>
            <w:shd w:val="clear" w:color="auto" w:fill="auto"/>
            <w:vAlign w:val="center"/>
          </w:tcPr>
          <w:p w:rsidR="002D11B8" w:rsidRPr="00F96689" w:rsidRDefault="00B736B2" w:rsidP="00FE16E3">
            <w:pPr>
              <w:jc w:val="right"/>
              <w:rPr>
                <w:rFonts w:ascii="Arial Narrow" w:hAnsi="Arial Narrow" w:cs="Arial"/>
                <w:sz w:val="16"/>
                <w:szCs w:val="16"/>
              </w:rPr>
            </w:pPr>
            <w:r>
              <w:rPr>
                <w:rFonts w:ascii="Arial Narrow" w:hAnsi="Arial Narrow" w:cs="Calibri"/>
                <w:sz w:val="16"/>
                <w:szCs w:val="16"/>
              </w:rPr>
              <w:t xml:space="preserve">30 </w:t>
            </w:r>
            <w:r w:rsidR="00B77F2F">
              <w:rPr>
                <w:rFonts w:ascii="Arial Narrow" w:hAnsi="Arial Narrow" w:cs="Calibri"/>
                <w:sz w:val="16"/>
                <w:szCs w:val="16"/>
              </w:rPr>
              <w:t>April</w:t>
            </w:r>
            <w:r w:rsidR="004E6D2A">
              <w:rPr>
                <w:rFonts w:ascii="Arial Narrow" w:hAnsi="Arial Narrow" w:cs="Calibri"/>
                <w:sz w:val="16"/>
                <w:szCs w:val="16"/>
              </w:rPr>
              <w:t xml:space="preserve"> </w:t>
            </w:r>
            <w:r w:rsidR="002D11B8" w:rsidRPr="00F96689">
              <w:rPr>
                <w:rFonts w:ascii="Arial Narrow" w:hAnsi="Arial Narrow" w:cs="Calibri"/>
                <w:sz w:val="16"/>
                <w:szCs w:val="16"/>
              </w:rPr>
              <w:t>201</w:t>
            </w:r>
            <w:r w:rsidR="00FE16E3">
              <w:rPr>
                <w:rFonts w:ascii="Arial Narrow" w:hAnsi="Arial Narrow" w:cs="Calibri"/>
                <w:sz w:val="16"/>
                <w:szCs w:val="16"/>
              </w:rPr>
              <w:t>9</w:t>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rsidTr="00E54322">
        <w:tc>
          <w:tcPr>
            <w:tcW w:w="9399" w:type="dxa"/>
            <w:shd w:val="clear" w:color="auto" w:fill="auto"/>
            <w:tcMar>
              <w:top w:w="227" w:type="dxa"/>
              <w:bottom w:w="227" w:type="dxa"/>
            </w:tcMar>
            <w:vAlign w:val="center"/>
          </w:tcPr>
          <w:p w:rsidR="009E3FA5" w:rsidRPr="003329D3" w:rsidRDefault="009E3FA5" w:rsidP="009E3FA5">
            <w:pPr>
              <w:widowControl w:val="0"/>
              <w:autoSpaceDE w:val="0"/>
              <w:autoSpaceDN w:val="0"/>
              <w:adjustRightInd w:val="0"/>
              <w:rPr>
                <w:rFonts w:ascii="Arial Narrow" w:hAnsi="Arial Narrow" w:cs="Calibri"/>
                <w:b/>
                <w:bCs/>
                <w:sz w:val="32"/>
                <w:szCs w:val="32"/>
              </w:rPr>
            </w:pPr>
            <w:r>
              <w:rPr>
                <w:rFonts w:ascii="Arial Narrow" w:hAnsi="Arial Narrow" w:cs="Calibri"/>
                <w:b/>
                <w:bCs/>
                <w:sz w:val="32"/>
                <w:szCs w:val="32"/>
              </w:rPr>
              <w:t>129</w:t>
            </w:r>
            <w:r>
              <w:rPr>
                <w:rFonts w:ascii="Arial Narrow" w:hAnsi="Arial Narrow" w:cs="Calibri"/>
                <w:b/>
                <w:bCs/>
                <w:sz w:val="32"/>
                <w:szCs w:val="32"/>
                <w:vertAlign w:val="superscript"/>
              </w:rPr>
              <w:t>th</w:t>
            </w:r>
            <w:r>
              <w:rPr>
                <w:rFonts w:ascii="Arial Narrow" w:hAnsi="Arial Narrow" w:cs="Calibri"/>
                <w:b/>
                <w:bCs/>
                <w:sz w:val="32"/>
                <w:szCs w:val="32"/>
              </w:rPr>
              <w:t xml:space="preserve"> Session of the Committee of Ministers</w:t>
            </w:r>
            <w:r>
              <w:rPr>
                <w:rFonts w:ascii="Arial Narrow" w:hAnsi="Arial Narrow" w:cs="Calibri"/>
                <w:b/>
                <w:bCs/>
                <w:sz w:val="32"/>
                <w:szCs w:val="32"/>
              </w:rPr>
              <w:br/>
              <w:t>(Helsinki, 16-17 May 2019)</w:t>
            </w:r>
          </w:p>
          <w:p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rsidR="00E457C3" w:rsidRPr="00B15FE9" w:rsidRDefault="00A574BA" w:rsidP="00A574BA">
            <w:pPr>
              <w:rPr>
                <w:rFonts w:ascii="Arial Narrow" w:hAnsi="Arial Narrow" w:cs="Calibri"/>
                <w:b/>
                <w:sz w:val="28"/>
                <w:szCs w:val="28"/>
              </w:rPr>
            </w:pPr>
            <w:r w:rsidRPr="00B15FE9">
              <w:rPr>
                <w:rFonts w:ascii="Arial Narrow" w:hAnsi="Arial Narrow" w:cs="Calibri"/>
                <w:b/>
                <w:sz w:val="28"/>
                <w:szCs w:val="28"/>
              </w:rPr>
              <w:t>Report on the implementation of the Policy of the Council of Europe towards neighbouring regions</w:t>
            </w:r>
          </w:p>
        </w:tc>
      </w:tr>
    </w:tbl>
    <w:p w:rsidR="00E54322" w:rsidRDefault="00E54322" w:rsidP="0037200F">
      <w:pPr>
        <w:rPr>
          <w:rFonts w:eastAsia="Times New Roman"/>
          <w:szCs w:val="24"/>
        </w:rPr>
      </w:pPr>
      <w:r>
        <w:rPr>
          <w:rFonts w:eastAsia="Times New Roman"/>
          <w:szCs w:val="24"/>
        </w:rPr>
        <w:t xml:space="preserve"> </w:t>
      </w:r>
    </w:p>
    <w:p w:rsidR="000060A9" w:rsidRDefault="000060A9" w:rsidP="0037200F">
      <w:pPr>
        <w:rPr>
          <w:rFonts w:eastAsia="Times New Roman"/>
          <w:szCs w:val="24"/>
        </w:rPr>
      </w:pPr>
    </w:p>
    <w:p w:rsidR="000060A9" w:rsidRPr="000060A9" w:rsidRDefault="000060A9" w:rsidP="000060A9">
      <w:pPr>
        <w:rPr>
          <w:rFonts w:eastAsia="Times New Roman"/>
          <w:b/>
          <w:bCs/>
          <w:szCs w:val="24"/>
        </w:rPr>
      </w:pPr>
      <w:r w:rsidRPr="000060A9">
        <w:rPr>
          <w:rFonts w:eastAsia="Times New Roman"/>
          <w:b/>
          <w:bCs/>
          <w:szCs w:val="24"/>
        </w:rPr>
        <w:t>Executive Summary</w:t>
      </w:r>
    </w:p>
    <w:p w:rsidR="000060A9" w:rsidRPr="000060A9" w:rsidRDefault="000060A9" w:rsidP="000060A9">
      <w:pPr>
        <w:rPr>
          <w:rFonts w:eastAsia="Times New Roman"/>
          <w:szCs w:val="24"/>
        </w:rPr>
      </w:pPr>
    </w:p>
    <w:p w:rsidR="000060A9" w:rsidRPr="000060A9" w:rsidRDefault="000060A9" w:rsidP="000060A9">
      <w:pPr>
        <w:rPr>
          <w:rFonts w:eastAsia="Times New Roman"/>
          <w:szCs w:val="24"/>
        </w:rPr>
      </w:pPr>
      <w:r w:rsidRPr="000060A9">
        <w:rPr>
          <w:rFonts w:eastAsia="Times New Roman"/>
          <w:szCs w:val="24"/>
        </w:rPr>
        <w:t xml:space="preserve">The Policy of the Council of Europe towards neighbouring regions aims </w:t>
      </w:r>
      <w:r w:rsidR="00CF6BF9">
        <w:rPr>
          <w:rFonts w:eastAsia="Times New Roman"/>
          <w:szCs w:val="24"/>
        </w:rPr>
        <w:t xml:space="preserve">primarily </w:t>
      </w:r>
      <w:r w:rsidRPr="000060A9">
        <w:rPr>
          <w:rFonts w:eastAsia="Times New Roman"/>
          <w:szCs w:val="24"/>
        </w:rPr>
        <w:t xml:space="preserve">at extending co-operation beyond the continent and at developing a common legal space based on Council of Europe values and instruments in order to promote stability and democratic security of both Europe and its neighbouring regions. It is based on the 2011 “Istanbul parameters”, according to which co-operation with the countries concerned shall be, in particular, demand-driven, tailored and flexible. </w:t>
      </w:r>
    </w:p>
    <w:p w:rsidR="000060A9" w:rsidRPr="000060A9" w:rsidRDefault="000060A9" w:rsidP="000060A9">
      <w:pPr>
        <w:rPr>
          <w:rFonts w:eastAsia="Times New Roman"/>
          <w:szCs w:val="24"/>
        </w:rPr>
      </w:pPr>
    </w:p>
    <w:p w:rsidR="000060A9" w:rsidRPr="000060A9" w:rsidRDefault="000060A9" w:rsidP="000060A9">
      <w:pPr>
        <w:rPr>
          <w:rFonts w:eastAsia="Times New Roman"/>
          <w:szCs w:val="24"/>
          <w:lang w:val="en-US"/>
        </w:rPr>
      </w:pPr>
      <w:r w:rsidRPr="000060A9">
        <w:rPr>
          <w:rFonts w:eastAsia="Times New Roman"/>
          <w:szCs w:val="24"/>
        </w:rPr>
        <w:t xml:space="preserve">At present, in the framework of the Neighbourhood Policy, there are: </w:t>
      </w:r>
      <w:proofErr w:type="spellStart"/>
      <w:r w:rsidRPr="000060A9">
        <w:rPr>
          <w:rFonts w:eastAsia="Times New Roman"/>
          <w:i/>
          <w:iCs/>
          <w:szCs w:val="24"/>
          <w:lang w:val="en-US"/>
        </w:rPr>
        <w:t>Neighbourhood</w:t>
      </w:r>
      <w:proofErr w:type="spellEnd"/>
      <w:r w:rsidRPr="000060A9">
        <w:rPr>
          <w:rFonts w:eastAsia="Times New Roman"/>
          <w:i/>
          <w:iCs/>
          <w:szCs w:val="24"/>
          <w:lang w:val="en-US"/>
        </w:rPr>
        <w:t xml:space="preserve"> Partnerships</w:t>
      </w:r>
      <w:r w:rsidRPr="000060A9">
        <w:rPr>
          <w:rFonts w:eastAsia="Times New Roman"/>
          <w:szCs w:val="24"/>
          <w:lang w:val="en-US"/>
        </w:rPr>
        <w:t xml:space="preserve"> (“second generation” co</w:t>
      </w:r>
      <w:r>
        <w:rPr>
          <w:rFonts w:eastAsia="Times New Roman"/>
          <w:szCs w:val="24"/>
          <w:lang w:val="en-US"/>
        </w:rPr>
        <w:t>-</w:t>
      </w:r>
      <w:r w:rsidRPr="000060A9">
        <w:rPr>
          <w:rFonts w:eastAsia="Times New Roman"/>
          <w:szCs w:val="24"/>
          <w:lang w:val="en-US"/>
        </w:rPr>
        <w:t xml:space="preserve">operation documents) with Morocco and Tunisia; </w:t>
      </w:r>
      <w:proofErr w:type="spellStart"/>
      <w:r w:rsidRPr="000060A9">
        <w:rPr>
          <w:rFonts w:eastAsia="Times New Roman"/>
          <w:i/>
          <w:iCs/>
          <w:szCs w:val="24"/>
          <w:lang w:val="en-US"/>
        </w:rPr>
        <w:t>Neighbourhood</w:t>
      </w:r>
      <w:proofErr w:type="spellEnd"/>
      <w:r w:rsidRPr="000060A9">
        <w:rPr>
          <w:rFonts w:eastAsia="Times New Roman"/>
          <w:i/>
          <w:iCs/>
          <w:szCs w:val="24"/>
          <w:lang w:val="en-US"/>
        </w:rPr>
        <w:t xml:space="preserve"> Co-operation Priorities</w:t>
      </w:r>
      <w:r w:rsidRPr="000060A9">
        <w:rPr>
          <w:rFonts w:eastAsia="Times New Roman"/>
          <w:szCs w:val="24"/>
          <w:lang w:val="en-US"/>
        </w:rPr>
        <w:t xml:space="preserve"> (“first generation” co</w:t>
      </w:r>
      <w:r>
        <w:rPr>
          <w:rFonts w:eastAsia="Times New Roman"/>
          <w:szCs w:val="24"/>
          <w:lang w:val="en-US"/>
        </w:rPr>
        <w:t>-</w:t>
      </w:r>
      <w:r w:rsidRPr="000060A9">
        <w:rPr>
          <w:rFonts w:eastAsia="Times New Roman"/>
          <w:szCs w:val="24"/>
          <w:lang w:val="en-US"/>
        </w:rPr>
        <w:t>operation documents) with the Kyrgyz Republic, Palestin</w:t>
      </w:r>
      <w:r w:rsidR="00715B16">
        <w:rPr>
          <w:rFonts w:eastAsia="Times New Roman"/>
          <w:szCs w:val="24"/>
          <w:lang w:val="en-US"/>
        </w:rPr>
        <w:t>e</w:t>
      </w:r>
      <w:r w:rsidR="00715B16" w:rsidRPr="00C20DF1">
        <w:rPr>
          <w:rFonts w:eastAsia="Arial Unicode MS" w:cs="Arial"/>
          <w:szCs w:val="20"/>
          <w:bdr w:val="nil"/>
          <w:vertAlign w:val="superscript"/>
        </w:rPr>
        <w:footnoteReference w:customMarkFollows="1" w:id="1"/>
        <w:t>*</w:t>
      </w:r>
      <w:r w:rsidRPr="000060A9">
        <w:rPr>
          <w:rFonts w:eastAsia="Times New Roman"/>
          <w:szCs w:val="24"/>
          <w:lang w:val="en-US"/>
        </w:rPr>
        <w:t xml:space="preserve"> and Kazakhstan; regional activities and targeted </w:t>
      </w:r>
      <w:r w:rsidRPr="000060A9">
        <w:rPr>
          <w:rFonts w:eastAsia="Times New Roman"/>
          <w:i/>
          <w:iCs/>
          <w:szCs w:val="24"/>
          <w:lang w:val="en-US"/>
        </w:rPr>
        <w:t>ad hoc</w:t>
      </w:r>
      <w:r w:rsidRPr="000060A9">
        <w:rPr>
          <w:rFonts w:eastAsia="Times New Roman"/>
          <w:szCs w:val="24"/>
          <w:lang w:val="en-US"/>
        </w:rPr>
        <w:t xml:space="preserve"> co-operation with other countries of the regions; other forms of co-operation to cover other countries/situations, notably Israel. </w:t>
      </w:r>
    </w:p>
    <w:p w:rsidR="000060A9" w:rsidRPr="000060A9" w:rsidRDefault="000060A9" w:rsidP="000060A9">
      <w:pPr>
        <w:rPr>
          <w:rFonts w:eastAsia="Times New Roman"/>
          <w:szCs w:val="24"/>
        </w:rPr>
      </w:pPr>
    </w:p>
    <w:p w:rsidR="000060A9" w:rsidRPr="000060A9" w:rsidRDefault="000060A9" w:rsidP="000060A9">
      <w:pPr>
        <w:rPr>
          <w:rFonts w:eastAsia="Times New Roman"/>
          <w:szCs w:val="24"/>
        </w:rPr>
      </w:pPr>
      <w:r w:rsidRPr="000060A9">
        <w:rPr>
          <w:rFonts w:eastAsia="Times New Roman"/>
          <w:szCs w:val="24"/>
        </w:rPr>
        <w:t>Tangible results have already been achieved in the development of a common legal space through accession to Council of Europe instruments, preparation and adoption of relevant legislation, as well as the setting-up of institutions</w:t>
      </w:r>
      <w:r w:rsidR="00CF6BF9">
        <w:rPr>
          <w:rFonts w:eastAsia="Times New Roman"/>
          <w:szCs w:val="24"/>
        </w:rPr>
        <w:t xml:space="preserve">. </w:t>
      </w:r>
      <w:r w:rsidRPr="000060A9">
        <w:rPr>
          <w:rFonts w:eastAsia="Times New Roman"/>
          <w:szCs w:val="24"/>
        </w:rPr>
        <w:t xml:space="preserve">Morocco and Tunisia are the most eminent partners. The Council of Europe Offices in Rabat and Tunis play a catalysing role in the co-operation. </w:t>
      </w:r>
    </w:p>
    <w:p w:rsidR="000060A9" w:rsidRPr="000060A9" w:rsidRDefault="000060A9" w:rsidP="000060A9">
      <w:pPr>
        <w:rPr>
          <w:rFonts w:eastAsia="Times New Roman"/>
          <w:szCs w:val="24"/>
        </w:rPr>
      </w:pPr>
    </w:p>
    <w:p w:rsidR="000060A9" w:rsidRPr="000060A9" w:rsidRDefault="000060A9" w:rsidP="000060A9">
      <w:pPr>
        <w:rPr>
          <w:rFonts w:eastAsia="Times New Roman"/>
          <w:szCs w:val="24"/>
        </w:rPr>
      </w:pPr>
      <w:r w:rsidRPr="000060A9">
        <w:rPr>
          <w:rFonts w:eastAsia="Times New Roman"/>
          <w:szCs w:val="24"/>
        </w:rPr>
        <w:t xml:space="preserve">The limitations of the implementation of the Policy, however, have also become visible. In particular, practice has shown that the political will of the beneficiary countries to carry out reforms has to coincide with their implementation capacities. </w:t>
      </w:r>
      <w:r>
        <w:rPr>
          <w:rFonts w:eastAsia="Times New Roman"/>
          <w:szCs w:val="24"/>
        </w:rPr>
        <w:t xml:space="preserve">On the Council of Europe side, </w:t>
      </w:r>
      <w:r w:rsidRPr="000060A9">
        <w:rPr>
          <w:rFonts w:eastAsia="Times New Roman"/>
          <w:szCs w:val="24"/>
        </w:rPr>
        <w:t>resources have been optimised in view of its capacities and predominantly extra-budgetary financing of the Policy. The political and financial support of the EU remains vital. Voluntary contributions also remain indispensable. Co-ordination with other international actors is crucial.</w:t>
      </w:r>
    </w:p>
    <w:p w:rsidR="000060A9" w:rsidRPr="000060A9" w:rsidRDefault="000060A9" w:rsidP="000060A9">
      <w:pPr>
        <w:rPr>
          <w:rFonts w:eastAsia="Times New Roman"/>
          <w:szCs w:val="24"/>
        </w:rPr>
      </w:pPr>
    </w:p>
    <w:p w:rsidR="000060A9" w:rsidRPr="000060A9" w:rsidRDefault="000060A9" w:rsidP="000060A9">
      <w:pPr>
        <w:rPr>
          <w:rFonts w:eastAsia="Times New Roman"/>
          <w:szCs w:val="24"/>
        </w:rPr>
      </w:pPr>
      <w:r w:rsidRPr="000060A9">
        <w:rPr>
          <w:rFonts w:eastAsia="Times New Roman"/>
          <w:szCs w:val="24"/>
        </w:rPr>
        <w:t>For the future, the Council of Europe intends to further consolidate and optimise its involvement in countries where co-operation, governed by Council of Europe standards and values, is demand-driven and will have reasonable impact, taking due account of the Council of Europe added value, its capacities and the capacities of the countries concerned.</w:t>
      </w:r>
    </w:p>
    <w:p w:rsidR="000060A9" w:rsidRDefault="000060A9">
      <w:pPr>
        <w:rPr>
          <w:rFonts w:eastAsia="Times New Roman"/>
          <w:szCs w:val="24"/>
        </w:rPr>
      </w:pPr>
    </w:p>
    <w:p w:rsidR="00C20DF1" w:rsidRPr="00C20DF1" w:rsidRDefault="00C20DF1" w:rsidP="00667FB1">
      <w:pPr>
        <w:numPr>
          <w:ilvl w:val="0"/>
          <w:numId w:val="1"/>
        </w:numPr>
        <w:pBdr>
          <w:top w:val="nil"/>
          <w:left w:val="nil"/>
          <w:bottom w:val="nil"/>
          <w:right w:val="nil"/>
          <w:between w:val="nil"/>
          <w:bar w:val="nil"/>
        </w:pBdr>
        <w:ind w:left="714" w:hanging="714"/>
        <w:jc w:val="both"/>
        <w:rPr>
          <w:rFonts w:cs="Arial"/>
          <w:b/>
          <w:szCs w:val="20"/>
        </w:rPr>
      </w:pPr>
      <w:r w:rsidRPr="00C20DF1">
        <w:rPr>
          <w:rFonts w:cs="Arial"/>
          <w:b/>
          <w:szCs w:val="20"/>
        </w:rPr>
        <w:t>Introduction</w:t>
      </w:r>
    </w:p>
    <w:p w:rsidR="00C20DF1" w:rsidRPr="00C20DF1" w:rsidRDefault="00C20DF1" w:rsidP="00C20DF1">
      <w:pPr>
        <w:ind w:left="720"/>
        <w:jc w:val="both"/>
        <w:rPr>
          <w:rFonts w:cs="Arial"/>
          <w:b/>
          <w:szCs w:val="20"/>
        </w:rPr>
      </w:pPr>
    </w:p>
    <w:p w:rsidR="00C20DF1" w:rsidRPr="00C20DF1" w:rsidRDefault="00C20DF1" w:rsidP="00667FB1">
      <w:pPr>
        <w:ind w:left="720" w:hanging="720"/>
        <w:jc w:val="both"/>
        <w:rPr>
          <w:rFonts w:cs="Arial"/>
          <w:b/>
          <w:szCs w:val="20"/>
        </w:rPr>
      </w:pPr>
      <w:r w:rsidRPr="00C20DF1">
        <w:rPr>
          <w:rFonts w:cs="Arial"/>
          <w:b/>
          <w:szCs w:val="20"/>
        </w:rPr>
        <w:t>1.1.</w:t>
      </w:r>
      <w:r w:rsidRPr="00C20DF1">
        <w:rPr>
          <w:rFonts w:cs="Arial"/>
          <w:b/>
          <w:szCs w:val="20"/>
        </w:rPr>
        <w:tab/>
        <w:t>Council of Europe Policy towards neighbouring regions (“the Policy”)</w:t>
      </w:r>
    </w:p>
    <w:p w:rsidR="00C20DF1" w:rsidRPr="00C20DF1" w:rsidRDefault="00C20DF1" w:rsidP="00C20DF1">
      <w:pPr>
        <w:jc w:val="both"/>
        <w:rPr>
          <w:rFonts w:cs="Arial"/>
          <w:szCs w:val="20"/>
        </w:rPr>
      </w:pPr>
    </w:p>
    <w:p w:rsidR="00C20DF1" w:rsidRPr="00C20DF1" w:rsidRDefault="00C20DF1" w:rsidP="00C20DF1">
      <w:pPr>
        <w:rPr>
          <w:rFonts w:eastAsia="Times New Roman" w:cs="Arial"/>
          <w:szCs w:val="20"/>
          <w:lang w:eastAsia="fr-FR"/>
        </w:rPr>
      </w:pPr>
      <w:r w:rsidRPr="00C20DF1">
        <w:rPr>
          <w:rFonts w:eastAsia="Times New Roman" w:cs="Arial"/>
          <w:szCs w:val="20"/>
          <w:lang w:eastAsia="fr-FR"/>
        </w:rPr>
        <w:t xml:space="preserve">The mandate of the Council of Europe is, and will remain, </w:t>
      </w:r>
      <w:r w:rsidRPr="00C20DF1">
        <w:rPr>
          <w:rFonts w:eastAsia="Times New Roman" w:cs="Arial"/>
          <w:b/>
          <w:szCs w:val="20"/>
          <w:lang w:eastAsia="fr-FR"/>
        </w:rPr>
        <w:t>geographically focused on Europe</w:t>
      </w:r>
      <w:r w:rsidRPr="00C20DF1">
        <w:rPr>
          <w:rFonts w:eastAsia="Times New Roman" w:cs="Arial"/>
          <w:szCs w:val="20"/>
          <w:lang w:eastAsia="fr-FR"/>
        </w:rPr>
        <w:t>. At the same time, many of the core issues the Council of Europe deals with concern and are being influenced by developments outside Europe, and notably in its Mediterranean neighbourhood.</w:t>
      </w:r>
    </w:p>
    <w:p w:rsidR="00C20DF1" w:rsidRPr="00C20DF1" w:rsidRDefault="00C20DF1" w:rsidP="00C20DF1">
      <w:pPr>
        <w:rPr>
          <w:rFonts w:eastAsia="Times New Roman" w:cs="Arial"/>
          <w:szCs w:val="20"/>
          <w:lang w:eastAsia="fr-FR"/>
        </w:rPr>
      </w:pPr>
    </w:p>
    <w:p w:rsidR="00715B16" w:rsidRDefault="00715B16">
      <w:pPr>
        <w:rPr>
          <w:rFonts w:eastAsia="Times New Roman" w:cs="Arial"/>
          <w:szCs w:val="20"/>
          <w:lang w:eastAsia="fr-FR"/>
        </w:rPr>
      </w:pPr>
    </w:p>
    <w:p w:rsidR="00715B16" w:rsidRDefault="00715B16">
      <w:pPr>
        <w:rPr>
          <w:rFonts w:eastAsia="Times New Roman" w:cs="Arial"/>
          <w:szCs w:val="20"/>
          <w:lang w:eastAsia="fr-FR"/>
        </w:rPr>
      </w:pPr>
    </w:p>
    <w:p w:rsidR="00715B16" w:rsidRDefault="00715B16">
      <w:pPr>
        <w:rPr>
          <w:rFonts w:eastAsia="Times New Roman" w:cs="Arial"/>
          <w:szCs w:val="20"/>
          <w:lang w:eastAsia="fr-FR"/>
        </w:rPr>
      </w:pPr>
    </w:p>
    <w:p w:rsidR="00C20DF1" w:rsidRPr="00C20DF1" w:rsidRDefault="00C20DF1" w:rsidP="00C20DF1">
      <w:pPr>
        <w:rPr>
          <w:rFonts w:eastAsia="Times New Roman" w:cs="Arial"/>
          <w:szCs w:val="20"/>
          <w:lang w:eastAsia="fr-FR"/>
        </w:rPr>
      </w:pPr>
      <w:r w:rsidRPr="00C20DF1">
        <w:rPr>
          <w:rFonts w:eastAsia="Times New Roman" w:cs="Arial"/>
          <w:szCs w:val="20"/>
          <w:lang w:eastAsia="fr-FR"/>
        </w:rPr>
        <w:lastRenderedPageBreak/>
        <w:t xml:space="preserve">Increasingly, </w:t>
      </w:r>
      <w:r w:rsidRPr="00C20DF1">
        <w:rPr>
          <w:rFonts w:cs="Arial"/>
          <w:szCs w:val="20"/>
        </w:rPr>
        <w:t xml:space="preserve">Council of Europe standards, bodies and tools are </w:t>
      </w:r>
      <w:r w:rsidR="002447FB">
        <w:rPr>
          <w:rFonts w:cs="Arial"/>
          <w:szCs w:val="20"/>
        </w:rPr>
        <w:t xml:space="preserve">present </w:t>
      </w:r>
      <w:r w:rsidRPr="00C20DF1">
        <w:rPr>
          <w:rFonts w:cs="Arial"/>
          <w:szCs w:val="20"/>
        </w:rPr>
        <w:t>in many parts of the world. The European Commission for Democracy through Law (Venice Commission) for example is active on several continents, the Group of States against Corruption of the Council of Europe (GRECO) has members and observers in Africa and America, and possibly soon in Central Asia, and some conventions (such as the Council of Europe Convention on preventing and combating violence against women and domestic violence (Istanbul Convention), the Council of Europe Convention on Cybercrime (Budapest Convention), and the Council of Europe Convention on the counterfeiting of medical products and similar crimes involving threats to public health (MEDICRIME Convention)) attract a lot of interest globally.</w:t>
      </w:r>
      <w:r w:rsidRPr="00C20DF1">
        <w:rPr>
          <w:rFonts w:eastAsia="Times New Roman" w:cs="Arial"/>
          <w:szCs w:val="20"/>
        </w:rPr>
        <w:t xml:space="preserve"> </w:t>
      </w:r>
      <w:r w:rsidRPr="00C20DF1">
        <w:rPr>
          <w:rFonts w:eastAsia="Times New Roman" w:cs="Arial"/>
          <w:szCs w:val="20"/>
          <w:lang w:eastAsia="fr-FR"/>
        </w:rPr>
        <w:t xml:space="preserve">The </w:t>
      </w:r>
      <w:r w:rsidRPr="00C20DF1">
        <w:rPr>
          <w:rFonts w:eastAsia="Times New Roman" w:cs="Arial"/>
          <w:b/>
          <w:szCs w:val="20"/>
          <w:lang w:eastAsia="fr-FR"/>
        </w:rPr>
        <w:t>Policy of the Council of Europe towards neighbouring</w:t>
      </w:r>
      <w:r w:rsidRPr="00C20DF1">
        <w:rPr>
          <w:rFonts w:eastAsia="Times New Roman" w:cs="Arial"/>
          <w:szCs w:val="20"/>
          <w:lang w:eastAsia="fr-FR"/>
        </w:rPr>
        <w:t xml:space="preserve"> </w:t>
      </w:r>
      <w:r w:rsidRPr="00C20DF1">
        <w:rPr>
          <w:rFonts w:eastAsia="Times New Roman" w:cs="Arial"/>
          <w:b/>
          <w:szCs w:val="20"/>
          <w:lang w:eastAsia="fr-FR"/>
        </w:rPr>
        <w:t>regions</w:t>
      </w:r>
      <w:r w:rsidRPr="00C20DF1">
        <w:rPr>
          <w:rFonts w:eastAsia="Times New Roman" w:cs="Arial"/>
          <w:szCs w:val="20"/>
          <w:lang w:eastAsia="fr-FR"/>
        </w:rPr>
        <w:t xml:space="preserve"> was built on this trend to react to the democratic developments and reforms that have started in the Southern Mediterranean, Middle East and Central Asia.</w:t>
      </w:r>
    </w:p>
    <w:p w:rsidR="00C20DF1" w:rsidRPr="00C20DF1" w:rsidRDefault="00C20DF1" w:rsidP="00C20DF1">
      <w:pPr>
        <w:rPr>
          <w:rFonts w:eastAsia="Times New Roman" w:cs="Arial"/>
          <w:szCs w:val="20"/>
          <w:lang w:eastAsia="fr-FR"/>
        </w:rPr>
      </w:pPr>
    </w:p>
    <w:p w:rsidR="00C20DF1" w:rsidRPr="00C20DF1" w:rsidRDefault="00C20DF1" w:rsidP="00C20DF1">
      <w:pPr>
        <w:rPr>
          <w:rFonts w:eastAsia="Times New Roman" w:cs="Arial"/>
          <w:szCs w:val="20"/>
          <w:lang w:eastAsia="fr-FR"/>
        </w:rPr>
      </w:pPr>
      <w:r w:rsidRPr="00C20DF1">
        <w:rPr>
          <w:rFonts w:eastAsia="Times New Roman" w:cs="Arial"/>
          <w:szCs w:val="20"/>
          <w:lang w:eastAsia="fr-FR"/>
        </w:rPr>
        <w:t xml:space="preserve">The Policy, as a proactive involvement in the (geographically closer and relevant) neighbourhood, aims at extending co-operation beyond the continent and notably at developing a </w:t>
      </w:r>
      <w:r w:rsidRPr="00C20DF1">
        <w:rPr>
          <w:rFonts w:eastAsia="Times New Roman" w:cs="Arial"/>
          <w:b/>
          <w:szCs w:val="20"/>
          <w:lang w:eastAsia="fr-FR"/>
        </w:rPr>
        <w:t>common legal space</w:t>
      </w:r>
      <w:r w:rsidRPr="00C20DF1">
        <w:rPr>
          <w:rFonts w:eastAsia="Times New Roman" w:cs="Arial"/>
          <w:szCs w:val="20"/>
          <w:lang w:eastAsia="fr-FR"/>
        </w:rPr>
        <w:t xml:space="preserve"> based on Council of Europe values and instruments in order to promote </w:t>
      </w:r>
      <w:r w:rsidRPr="00C20DF1">
        <w:rPr>
          <w:rFonts w:eastAsia="Times New Roman" w:cs="Arial"/>
          <w:b/>
          <w:szCs w:val="20"/>
          <w:lang w:eastAsia="fr-FR"/>
        </w:rPr>
        <w:t>stability and democratic security</w:t>
      </w:r>
      <w:r w:rsidRPr="00C20DF1">
        <w:rPr>
          <w:rFonts w:eastAsia="Times New Roman" w:cs="Arial"/>
          <w:szCs w:val="20"/>
          <w:lang w:eastAsia="fr-FR"/>
        </w:rPr>
        <w:t xml:space="preserve"> of both Europe and its neighbouring regions.</w:t>
      </w:r>
    </w:p>
    <w:p w:rsidR="00C20DF1" w:rsidRPr="00C20DF1" w:rsidRDefault="00C20DF1" w:rsidP="00C20DF1">
      <w:pPr>
        <w:rPr>
          <w:rFonts w:cs="Arial"/>
          <w:szCs w:val="20"/>
        </w:rPr>
      </w:pPr>
    </w:p>
    <w:p w:rsidR="00C20DF1" w:rsidRPr="00C20DF1" w:rsidRDefault="00C20DF1" w:rsidP="00C20DF1">
      <w:pPr>
        <w:rPr>
          <w:rFonts w:eastAsia="Times New Roman" w:cs="Arial"/>
          <w:szCs w:val="20"/>
          <w:lang w:eastAsia="fr-FR"/>
        </w:rPr>
      </w:pPr>
      <w:r w:rsidRPr="00C20DF1">
        <w:rPr>
          <w:rFonts w:eastAsia="Times New Roman" w:cs="Arial"/>
          <w:color w:val="000000"/>
          <w:szCs w:val="20"/>
          <w:lang w:eastAsia="fr-FR"/>
        </w:rPr>
        <w:t>According to the 2011 “</w:t>
      </w:r>
      <w:r w:rsidRPr="00C20DF1">
        <w:rPr>
          <w:rFonts w:eastAsia="Times New Roman" w:cs="Arial"/>
          <w:b/>
          <w:color w:val="000000"/>
          <w:szCs w:val="20"/>
          <w:lang w:eastAsia="fr-FR"/>
        </w:rPr>
        <w:t>Istanbul parameters</w:t>
      </w:r>
      <w:r w:rsidRPr="00C20DF1">
        <w:rPr>
          <w:rFonts w:eastAsia="Times New Roman" w:cs="Arial"/>
          <w:color w:val="000000"/>
          <w:szCs w:val="20"/>
          <w:lang w:eastAsia="fr-FR"/>
        </w:rPr>
        <w:t xml:space="preserve">”, the Policy should be implemented without prejudice to the Council of Europe’s activities in member </w:t>
      </w:r>
      <w:r w:rsidR="002447FB">
        <w:rPr>
          <w:rFonts w:eastAsia="Times New Roman" w:cs="Arial"/>
          <w:color w:val="000000"/>
          <w:szCs w:val="20"/>
          <w:lang w:eastAsia="fr-FR"/>
        </w:rPr>
        <w:t>S</w:t>
      </w:r>
      <w:r w:rsidRPr="00C20DF1">
        <w:rPr>
          <w:rFonts w:eastAsia="Times New Roman" w:cs="Arial"/>
          <w:color w:val="000000"/>
          <w:szCs w:val="20"/>
          <w:lang w:eastAsia="fr-FR"/>
        </w:rPr>
        <w:t xml:space="preserve">tates and </w:t>
      </w:r>
      <w:r w:rsidRPr="00C20DF1">
        <w:rPr>
          <w:rFonts w:eastAsia="Times New Roman" w:cs="Arial"/>
          <w:b/>
          <w:color w:val="000000"/>
          <w:szCs w:val="20"/>
          <w:lang w:eastAsia="fr-FR"/>
        </w:rPr>
        <w:t>predominantly financed through</w:t>
      </w:r>
      <w:r w:rsidRPr="00C20DF1">
        <w:rPr>
          <w:rFonts w:eastAsia="Times New Roman" w:cs="Arial"/>
          <w:color w:val="000000"/>
          <w:szCs w:val="20"/>
          <w:lang w:eastAsia="fr-FR"/>
        </w:rPr>
        <w:t xml:space="preserve"> </w:t>
      </w:r>
      <w:r w:rsidRPr="00C20DF1">
        <w:rPr>
          <w:rFonts w:eastAsia="Times New Roman" w:cs="Arial"/>
          <w:b/>
          <w:color w:val="000000"/>
          <w:szCs w:val="20"/>
          <w:lang w:eastAsia="fr-FR"/>
        </w:rPr>
        <w:t>extra-budgetary resources</w:t>
      </w:r>
      <w:r w:rsidRPr="00C20DF1">
        <w:rPr>
          <w:rFonts w:eastAsia="Times New Roman" w:cs="Arial"/>
          <w:color w:val="000000"/>
          <w:szCs w:val="20"/>
          <w:lang w:eastAsia="fr-FR"/>
        </w:rPr>
        <w:t xml:space="preserve">. Co-operation with the countries concerned shall be demand-driven, tailored and flexible, whilst entirely governed by Council of Europe values and standards. The Council of Europe shall focus on areas in which it has a clear added value, namely its instruments and proven expertise in the fields of human rights, the rule of law and democracy. Institutional coherence with the Parliamentary Assembly and the Congress of Local and Regional Authorities, which </w:t>
      </w:r>
      <w:r w:rsidR="008E382C" w:rsidRPr="000060A9">
        <w:rPr>
          <w:rFonts w:eastAsia="Times New Roman" w:cs="Arial"/>
          <w:color w:val="000000"/>
          <w:szCs w:val="20"/>
          <w:lang w:eastAsia="fr-FR"/>
        </w:rPr>
        <w:t xml:space="preserve">have </w:t>
      </w:r>
      <w:r w:rsidRPr="000060A9">
        <w:rPr>
          <w:rFonts w:eastAsia="Times New Roman" w:cs="Arial"/>
          <w:color w:val="000000"/>
          <w:szCs w:val="20"/>
          <w:lang w:eastAsia="fr-FR"/>
        </w:rPr>
        <w:t>d</w:t>
      </w:r>
      <w:r w:rsidRPr="00C20DF1">
        <w:rPr>
          <w:rFonts w:eastAsia="Times New Roman" w:cs="Arial"/>
          <w:color w:val="000000"/>
          <w:szCs w:val="20"/>
          <w:lang w:eastAsia="fr-FR"/>
        </w:rPr>
        <w:t xml:space="preserve">eveloped their respective statuses of “Partnership for Democracy”, should also be ensured. </w:t>
      </w:r>
    </w:p>
    <w:p w:rsidR="00C20DF1" w:rsidRPr="00C20DF1" w:rsidRDefault="00C20DF1" w:rsidP="00C20DF1">
      <w:pPr>
        <w:rPr>
          <w:rFonts w:cs="Arial"/>
          <w:szCs w:val="20"/>
        </w:rPr>
      </w:pPr>
    </w:p>
    <w:p w:rsidR="00C20DF1" w:rsidRPr="00C20DF1" w:rsidRDefault="00C20DF1" w:rsidP="00C20DF1">
      <w:pPr>
        <w:rPr>
          <w:rFonts w:eastAsia="Times New Roman" w:cs="Arial"/>
          <w:szCs w:val="20"/>
          <w:lang w:eastAsia="fr-FR"/>
        </w:rPr>
      </w:pPr>
      <w:r w:rsidRPr="00C20DF1">
        <w:rPr>
          <w:rFonts w:eastAsia="Times New Roman" w:cs="Arial"/>
          <w:szCs w:val="20"/>
          <w:lang w:eastAsia="fr-FR"/>
        </w:rPr>
        <w:t xml:space="preserve">In </w:t>
      </w:r>
      <w:r w:rsidRPr="000060A9">
        <w:rPr>
          <w:rFonts w:eastAsia="Times New Roman" w:cs="Arial"/>
          <w:szCs w:val="20"/>
          <w:lang w:eastAsia="fr-FR"/>
        </w:rPr>
        <w:t>practice</w:t>
      </w:r>
      <w:r w:rsidRPr="00C20DF1">
        <w:rPr>
          <w:rFonts w:eastAsia="Times New Roman" w:cs="Arial"/>
          <w:szCs w:val="20"/>
          <w:lang w:eastAsia="fr-FR"/>
        </w:rPr>
        <w:t xml:space="preserve">, the Policy has been implemented through </w:t>
      </w:r>
      <w:r w:rsidRPr="00C20DF1">
        <w:rPr>
          <w:rFonts w:eastAsia="Times New Roman" w:cs="Arial"/>
          <w:b/>
          <w:szCs w:val="20"/>
          <w:lang w:eastAsia="fr-FR"/>
        </w:rPr>
        <w:t>two pillars</w:t>
      </w:r>
      <w:r w:rsidRPr="00C20DF1">
        <w:rPr>
          <w:rFonts w:eastAsia="Times New Roman" w:cs="Arial"/>
          <w:szCs w:val="20"/>
          <w:lang w:eastAsia="fr-FR"/>
        </w:rPr>
        <w:t xml:space="preserve">: </w:t>
      </w:r>
      <w:r w:rsidRPr="00C20DF1">
        <w:rPr>
          <w:rFonts w:eastAsia="Times New Roman" w:cs="Arial"/>
          <w:b/>
          <w:szCs w:val="20"/>
          <w:lang w:eastAsia="fr-FR"/>
        </w:rPr>
        <w:t>co-operation activities and political dialogue</w:t>
      </w:r>
      <w:r w:rsidRPr="00C20DF1">
        <w:rPr>
          <w:rFonts w:eastAsia="Times New Roman" w:cs="Arial"/>
          <w:szCs w:val="20"/>
          <w:lang w:eastAsia="fr-FR"/>
        </w:rPr>
        <w:t xml:space="preserve">. </w:t>
      </w:r>
      <w:r w:rsidRPr="000060A9">
        <w:rPr>
          <w:rFonts w:eastAsia="Times New Roman" w:cs="Arial"/>
          <w:szCs w:val="20"/>
          <w:lang w:eastAsia="fr-FR"/>
        </w:rPr>
        <w:t>Bilateral</w:t>
      </w:r>
      <w:r w:rsidRPr="00C20DF1">
        <w:rPr>
          <w:rFonts w:eastAsia="Times New Roman" w:cs="Arial"/>
          <w:szCs w:val="20"/>
          <w:lang w:eastAsia="fr-FR"/>
        </w:rPr>
        <w:t xml:space="preserve"> co-operation is in some instances complemented by a </w:t>
      </w:r>
      <w:r w:rsidRPr="00C20DF1">
        <w:rPr>
          <w:rFonts w:eastAsia="Times New Roman" w:cs="Arial"/>
          <w:b/>
          <w:szCs w:val="20"/>
          <w:lang w:eastAsia="fr-FR"/>
        </w:rPr>
        <w:t>regional</w:t>
      </w:r>
      <w:r w:rsidRPr="00C20DF1">
        <w:rPr>
          <w:rFonts w:eastAsia="Times New Roman" w:cs="Arial"/>
          <w:szCs w:val="20"/>
          <w:lang w:eastAsia="fr-FR"/>
        </w:rPr>
        <w:t xml:space="preserve"> dimension, enabling other countries to be involved and to engage in a “south-south” co-operation</w:t>
      </w:r>
      <w:r w:rsidR="003B6950">
        <w:rPr>
          <w:rFonts w:eastAsia="Times New Roman" w:cs="Arial"/>
          <w:szCs w:val="20"/>
          <w:lang w:eastAsia="fr-FR"/>
        </w:rPr>
        <w:t xml:space="preserve">, </w:t>
      </w:r>
      <w:r w:rsidR="003B6950" w:rsidRPr="00B15FE9">
        <w:rPr>
          <w:rFonts w:eastAsia="Times New Roman" w:cs="Arial"/>
          <w:szCs w:val="20"/>
          <w:lang w:eastAsia="fr-FR"/>
        </w:rPr>
        <w:t>including through the</w:t>
      </w:r>
      <w:r w:rsidR="00667682" w:rsidRPr="00B15FE9">
        <w:rPr>
          <w:rFonts w:eastAsia="Times New Roman" w:cs="Arial"/>
          <w:szCs w:val="20"/>
          <w:lang w:eastAsia="fr-FR"/>
        </w:rPr>
        <w:t xml:space="preserve"> European Centre for Global Interdependence and Solidarity</w:t>
      </w:r>
      <w:r w:rsidR="00CC56D9" w:rsidRPr="00B15FE9">
        <w:rPr>
          <w:rFonts w:eastAsia="Times New Roman" w:cs="Arial"/>
          <w:szCs w:val="20"/>
          <w:lang w:eastAsia="fr-FR"/>
        </w:rPr>
        <w:t xml:space="preserve"> of the Council of Europe</w:t>
      </w:r>
      <w:r w:rsidR="00667682" w:rsidRPr="00B15FE9">
        <w:rPr>
          <w:rFonts w:eastAsia="Times New Roman" w:cs="Arial"/>
          <w:szCs w:val="20"/>
          <w:lang w:eastAsia="fr-FR"/>
        </w:rPr>
        <w:t xml:space="preserve"> (North-South Centre).</w:t>
      </w:r>
      <w:r w:rsidRPr="00B15FE9">
        <w:rPr>
          <w:rFonts w:eastAsia="Times New Roman" w:cs="Arial"/>
          <w:szCs w:val="20"/>
          <w:lang w:eastAsia="fr-FR"/>
        </w:rPr>
        <w:t xml:space="preserve"> The Policy has developed in close co-ordination with the European Union</w:t>
      </w:r>
      <w:r w:rsidRPr="00C20DF1">
        <w:rPr>
          <w:rFonts w:eastAsia="Times New Roman" w:cs="Arial"/>
          <w:szCs w:val="20"/>
          <w:lang w:eastAsia="fr-FR"/>
        </w:rPr>
        <w:t>, which is an indispensable partner, both politically and financially.</w:t>
      </w:r>
    </w:p>
    <w:p w:rsidR="00C20DF1" w:rsidRPr="00C20DF1" w:rsidRDefault="00C20DF1" w:rsidP="00C20DF1">
      <w:pPr>
        <w:rPr>
          <w:rFonts w:cs="Arial"/>
          <w:szCs w:val="20"/>
        </w:rPr>
      </w:pPr>
    </w:p>
    <w:p w:rsidR="00C20DF1" w:rsidRPr="00C20DF1" w:rsidRDefault="00C20DF1" w:rsidP="00667FB1">
      <w:pPr>
        <w:ind w:left="720" w:hanging="720"/>
        <w:jc w:val="both"/>
        <w:rPr>
          <w:rFonts w:cs="Arial"/>
          <w:b/>
          <w:szCs w:val="20"/>
        </w:rPr>
      </w:pPr>
      <w:r w:rsidRPr="00C20DF1">
        <w:rPr>
          <w:rFonts w:cs="Arial"/>
          <w:b/>
          <w:szCs w:val="20"/>
        </w:rPr>
        <w:t>1.2.</w:t>
      </w:r>
      <w:r w:rsidRPr="00C20DF1">
        <w:rPr>
          <w:rFonts w:cs="Arial"/>
          <w:b/>
          <w:szCs w:val="20"/>
        </w:rPr>
        <w:tab/>
        <w:t>Last review of the Policy submitted to the Ministerial Session</w:t>
      </w:r>
    </w:p>
    <w:p w:rsidR="00C20DF1" w:rsidRPr="00C20DF1" w:rsidRDefault="00C20DF1" w:rsidP="00C20DF1">
      <w:pPr>
        <w:rPr>
          <w:rFonts w:cs="Arial"/>
          <w:szCs w:val="20"/>
        </w:rPr>
      </w:pPr>
    </w:p>
    <w:p w:rsidR="00C20DF1" w:rsidRPr="00C20DF1" w:rsidRDefault="00C20DF1" w:rsidP="00C20DF1">
      <w:pPr>
        <w:rPr>
          <w:rFonts w:cs="Arial"/>
          <w:szCs w:val="20"/>
        </w:rPr>
      </w:pPr>
      <w:r w:rsidRPr="00C20DF1">
        <w:rPr>
          <w:rFonts w:cs="Arial"/>
          <w:szCs w:val="20"/>
        </w:rPr>
        <w:t xml:space="preserve">A </w:t>
      </w:r>
      <w:r w:rsidRPr="000060A9">
        <w:rPr>
          <w:rFonts w:cs="Arial"/>
          <w:szCs w:val="20"/>
        </w:rPr>
        <w:t>review</w:t>
      </w:r>
      <w:r w:rsidRPr="00C20DF1">
        <w:rPr>
          <w:rFonts w:cs="Arial"/>
          <w:szCs w:val="20"/>
        </w:rPr>
        <w:t xml:space="preserve"> of the Council of Europe Policy towards neighbouring regions was submitted to the </w:t>
      </w:r>
      <w:r w:rsidRPr="000060A9">
        <w:rPr>
          <w:rFonts w:cs="Arial"/>
          <w:szCs w:val="20"/>
        </w:rPr>
        <w:t>Ministerial Session</w:t>
      </w:r>
      <w:r w:rsidRPr="00C20DF1">
        <w:rPr>
          <w:rFonts w:cs="Arial"/>
          <w:szCs w:val="20"/>
        </w:rPr>
        <w:t xml:space="preserve"> held </w:t>
      </w:r>
      <w:r w:rsidRPr="00C20DF1">
        <w:rPr>
          <w:rFonts w:eastAsia="Times New Roman" w:cs="Arial"/>
          <w:szCs w:val="20"/>
        </w:rPr>
        <w:t>in Nicosia on 19 May 2017</w:t>
      </w:r>
      <w:r w:rsidRPr="00C20DF1">
        <w:rPr>
          <w:rFonts w:eastAsia="Times New Roman" w:cs="Arial"/>
          <w:szCs w:val="20"/>
          <w:vertAlign w:val="superscript"/>
        </w:rPr>
        <w:footnoteReference w:id="2"/>
      </w:r>
      <w:r w:rsidRPr="00C20DF1">
        <w:rPr>
          <w:rFonts w:eastAsia="Times New Roman" w:cs="Arial"/>
          <w:szCs w:val="20"/>
        </w:rPr>
        <w:t>. On that occasion, the Committee of Ministers:</w:t>
      </w:r>
      <w:r w:rsidRPr="00C20DF1">
        <w:rPr>
          <w:rFonts w:eastAsia="Times New Roman" w:cs="Arial"/>
          <w:szCs w:val="20"/>
          <w:vertAlign w:val="superscript"/>
        </w:rPr>
        <w:footnoteReference w:id="3"/>
      </w:r>
    </w:p>
    <w:p w:rsidR="00C20DF1" w:rsidRPr="00C20DF1" w:rsidRDefault="00C20DF1" w:rsidP="00C20DF1">
      <w:pPr>
        <w:rPr>
          <w:rFonts w:eastAsia="Times New Roman" w:cs="Arial"/>
          <w:szCs w:val="20"/>
        </w:rPr>
      </w:pPr>
    </w:p>
    <w:p w:rsidR="00C20DF1" w:rsidRPr="00C20DF1" w:rsidRDefault="00C20DF1" w:rsidP="00C20DF1">
      <w:pPr>
        <w:rPr>
          <w:rFonts w:eastAsia="Times New Roman" w:cs="Arial"/>
          <w:i/>
          <w:szCs w:val="20"/>
        </w:rPr>
      </w:pPr>
      <w:r w:rsidRPr="00C20DF1">
        <w:rPr>
          <w:rFonts w:eastAsia="Times New Roman" w:cs="Arial"/>
          <w:i/>
          <w:szCs w:val="20"/>
        </w:rPr>
        <w:t>“1.</w:t>
      </w:r>
      <w:r w:rsidRPr="00C20DF1">
        <w:rPr>
          <w:rFonts w:eastAsia="Times New Roman" w:cs="Arial"/>
          <w:i/>
          <w:szCs w:val="20"/>
        </w:rPr>
        <w:tab/>
        <w:t>welcomed the progress made in implementing the Council of Europe policy towards neighbouring regions – North Africa, Middle East and Central Asia – and expressed its appreciation for the financial contributions made by member States and the European Union in this context;</w:t>
      </w:r>
    </w:p>
    <w:p w:rsidR="00C20DF1" w:rsidRPr="00C20DF1" w:rsidRDefault="00C20DF1" w:rsidP="00C20DF1">
      <w:pPr>
        <w:rPr>
          <w:rFonts w:eastAsia="Times New Roman" w:cs="Arial"/>
          <w:i/>
          <w:szCs w:val="20"/>
        </w:rPr>
      </w:pPr>
    </w:p>
    <w:p w:rsidR="00C20DF1" w:rsidRPr="00C20DF1" w:rsidRDefault="00C20DF1" w:rsidP="00C20DF1">
      <w:pPr>
        <w:rPr>
          <w:rFonts w:eastAsia="Times New Roman" w:cs="Arial"/>
          <w:i/>
          <w:szCs w:val="20"/>
        </w:rPr>
      </w:pPr>
      <w:r w:rsidRPr="00C20DF1">
        <w:rPr>
          <w:rFonts w:eastAsia="Times New Roman" w:cs="Arial"/>
          <w:i/>
          <w:szCs w:val="20"/>
        </w:rPr>
        <w:t>2.</w:t>
      </w:r>
      <w:r w:rsidRPr="00C20DF1">
        <w:rPr>
          <w:rFonts w:eastAsia="Times New Roman" w:cs="Arial"/>
          <w:i/>
          <w:szCs w:val="20"/>
        </w:rPr>
        <w:tab/>
        <w:t>invited the Ministers’ Deputies and the Secretary General to assess the results obtained from: the neighbourhood partnerships with Jordan, Morocco and Tunisia; the neighbourhood co-operation priorities with Kazakhstan, the Kyrgyz Republic and Palestine</w:t>
      </w:r>
      <w:r w:rsidRPr="00C20DF1">
        <w:rPr>
          <w:rFonts w:eastAsia="Times New Roman" w:cs="Arial"/>
          <w:szCs w:val="20"/>
        </w:rPr>
        <w:t>*</w:t>
      </w:r>
      <w:r w:rsidRPr="00C20DF1">
        <w:rPr>
          <w:rFonts w:eastAsia="Times New Roman" w:cs="Arial"/>
          <w:i/>
          <w:szCs w:val="20"/>
        </w:rPr>
        <w:t>; and the co-operation with other countries of the neighbouring regions, notably Israel, in order to decide on the follow-up action to be taken.”</w:t>
      </w:r>
    </w:p>
    <w:p w:rsidR="00C20DF1" w:rsidRPr="00C20DF1" w:rsidRDefault="00C20DF1" w:rsidP="00C20DF1">
      <w:pPr>
        <w:rPr>
          <w:rFonts w:eastAsia="Times New Roman" w:cs="Arial"/>
          <w:i/>
          <w:szCs w:val="20"/>
        </w:rPr>
      </w:pPr>
    </w:p>
    <w:p w:rsidR="00C20DF1" w:rsidRPr="00C20DF1" w:rsidRDefault="00C20DF1" w:rsidP="00667FB1">
      <w:pPr>
        <w:numPr>
          <w:ilvl w:val="0"/>
          <w:numId w:val="1"/>
        </w:numPr>
        <w:pBdr>
          <w:top w:val="nil"/>
          <w:left w:val="nil"/>
          <w:bottom w:val="nil"/>
          <w:right w:val="nil"/>
          <w:between w:val="nil"/>
          <w:bar w:val="nil"/>
        </w:pBdr>
        <w:ind w:left="714" w:hanging="714"/>
        <w:rPr>
          <w:rFonts w:cs="Arial"/>
          <w:b/>
          <w:szCs w:val="20"/>
        </w:rPr>
      </w:pPr>
      <w:r w:rsidRPr="00C20DF1">
        <w:rPr>
          <w:rFonts w:cs="Arial"/>
          <w:b/>
          <w:szCs w:val="20"/>
        </w:rPr>
        <w:t>Implementation of the 2017 Ministerial Decision</w:t>
      </w:r>
    </w:p>
    <w:p w:rsidR="00C20DF1" w:rsidRPr="00C20DF1" w:rsidRDefault="00C20DF1" w:rsidP="00C20DF1">
      <w:pPr>
        <w:ind w:left="720"/>
        <w:contextualSpacing/>
        <w:rPr>
          <w:rFonts w:eastAsia="Times New Roman" w:cs="Arial"/>
          <w:b/>
          <w:szCs w:val="20"/>
        </w:rPr>
      </w:pPr>
    </w:p>
    <w:p w:rsidR="00C20DF1" w:rsidRPr="00C20DF1" w:rsidRDefault="00C20DF1" w:rsidP="00667FB1">
      <w:pPr>
        <w:numPr>
          <w:ilvl w:val="1"/>
          <w:numId w:val="1"/>
        </w:numPr>
        <w:pBdr>
          <w:top w:val="nil"/>
          <w:left w:val="nil"/>
          <w:bottom w:val="nil"/>
          <w:right w:val="nil"/>
          <w:between w:val="nil"/>
          <w:bar w:val="nil"/>
        </w:pBdr>
        <w:spacing w:after="240"/>
        <w:ind w:left="709" w:hanging="709"/>
        <w:contextualSpacing/>
        <w:rPr>
          <w:rFonts w:cs="Arial"/>
          <w:b/>
          <w:szCs w:val="20"/>
        </w:rPr>
      </w:pPr>
      <w:r w:rsidRPr="00C20DF1">
        <w:rPr>
          <w:rFonts w:cs="Arial"/>
          <w:b/>
          <w:szCs w:val="20"/>
        </w:rPr>
        <w:t>Secretary General’s Report</w:t>
      </w:r>
    </w:p>
    <w:p w:rsidR="00C20DF1" w:rsidRPr="00C20DF1" w:rsidRDefault="00C20DF1" w:rsidP="00667FB1">
      <w:pPr>
        <w:contextualSpacing/>
        <w:rPr>
          <w:rFonts w:cs="Arial"/>
          <w:b/>
          <w:szCs w:val="20"/>
        </w:rPr>
      </w:pPr>
    </w:p>
    <w:p w:rsidR="00C20DF1" w:rsidRPr="00C20DF1" w:rsidRDefault="00C20DF1" w:rsidP="00C20DF1">
      <w:pPr>
        <w:rPr>
          <w:rFonts w:cs="Arial"/>
          <w:szCs w:val="20"/>
        </w:rPr>
      </w:pPr>
      <w:r w:rsidRPr="00C20DF1">
        <w:rPr>
          <w:rFonts w:cs="Arial"/>
          <w:szCs w:val="20"/>
        </w:rPr>
        <w:t xml:space="preserve">Subsequently, on 3 October 2017, the </w:t>
      </w:r>
      <w:r w:rsidRPr="00C20DF1">
        <w:rPr>
          <w:rFonts w:eastAsia="Times New Roman" w:cs="Arial"/>
          <w:szCs w:val="20"/>
        </w:rPr>
        <w:t xml:space="preserve">Rapporteur Group on External Relations (GR-EXT) </w:t>
      </w:r>
      <w:r w:rsidRPr="00C20DF1">
        <w:rPr>
          <w:rFonts w:cs="Arial"/>
          <w:szCs w:val="20"/>
        </w:rPr>
        <w:t xml:space="preserve">held a discussion on the basis of a </w:t>
      </w:r>
      <w:r w:rsidRPr="00C20DF1">
        <w:rPr>
          <w:rFonts w:cs="Arial"/>
          <w:b/>
          <w:szCs w:val="20"/>
        </w:rPr>
        <w:t>report submitted by the Secretary General</w:t>
      </w:r>
      <w:r w:rsidRPr="00C20DF1">
        <w:rPr>
          <w:rFonts w:cs="Arial"/>
          <w:szCs w:val="20"/>
        </w:rPr>
        <w:t xml:space="preserve"> on the “Council of Europe </w:t>
      </w:r>
      <w:r w:rsidRPr="00C20DF1">
        <w:rPr>
          <w:rFonts w:eastAsia="Times New Roman" w:cs="Arial"/>
          <w:szCs w:val="20"/>
          <w:lang w:eastAsia="fr-FR"/>
        </w:rPr>
        <w:t>Policy towards neighbouring regions – Post-2017 co-operation framework”</w:t>
      </w:r>
      <w:r w:rsidRPr="00C20DF1">
        <w:rPr>
          <w:rFonts w:eastAsia="Times New Roman" w:cs="Arial"/>
          <w:szCs w:val="20"/>
          <w:vertAlign w:val="superscript"/>
          <w:lang w:eastAsia="fr-FR"/>
        </w:rPr>
        <w:footnoteReference w:id="4"/>
      </w:r>
      <w:r w:rsidRPr="00C20DF1">
        <w:rPr>
          <w:rFonts w:eastAsia="Times New Roman" w:cs="Arial"/>
          <w:szCs w:val="20"/>
          <w:lang w:eastAsia="fr-FR"/>
        </w:rPr>
        <w:t xml:space="preserve"> presenting</w:t>
      </w:r>
      <w:r w:rsidRPr="00C20DF1">
        <w:rPr>
          <w:rFonts w:cs="Arial"/>
          <w:szCs w:val="20"/>
        </w:rPr>
        <w:t xml:space="preserve"> </w:t>
      </w:r>
      <w:r w:rsidRPr="00C20DF1">
        <w:rPr>
          <w:rFonts w:eastAsia="Times New Roman" w:cs="Arial"/>
          <w:szCs w:val="20"/>
        </w:rPr>
        <w:t xml:space="preserve">achievements of the Policy, </w:t>
      </w:r>
      <w:r w:rsidRPr="00C20DF1">
        <w:rPr>
          <w:rFonts w:cs="Arial"/>
          <w:szCs w:val="20"/>
        </w:rPr>
        <w:t>lessons learned and possible features of the</w:t>
      </w:r>
      <w:r w:rsidRPr="00C20DF1">
        <w:rPr>
          <w:rFonts w:cs="Arial"/>
          <w:b/>
          <w:szCs w:val="20"/>
        </w:rPr>
        <w:t xml:space="preserve"> </w:t>
      </w:r>
      <w:r w:rsidRPr="00C20DF1">
        <w:rPr>
          <w:rFonts w:cs="Arial"/>
          <w:szCs w:val="20"/>
        </w:rPr>
        <w:t>post-2017 Policy.</w:t>
      </w:r>
    </w:p>
    <w:p w:rsidR="00C20DF1" w:rsidRPr="00C20DF1" w:rsidRDefault="00C20DF1" w:rsidP="00C20DF1">
      <w:pPr>
        <w:rPr>
          <w:rFonts w:cs="Arial"/>
          <w:b/>
          <w:szCs w:val="20"/>
        </w:rPr>
      </w:pPr>
    </w:p>
    <w:p w:rsidR="00B15FE9" w:rsidRDefault="00B15FE9">
      <w:pPr>
        <w:rPr>
          <w:rFonts w:cs="Arial"/>
          <w:szCs w:val="20"/>
        </w:rPr>
      </w:pPr>
      <w:r>
        <w:rPr>
          <w:rFonts w:cs="Arial"/>
          <w:szCs w:val="20"/>
        </w:rPr>
        <w:br w:type="page"/>
      </w:r>
    </w:p>
    <w:p w:rsidR="00C20DF1" w:rsidRPr="00C20DF1" w:rsidRDefault="00C20DF1" w:rsidP="00C20DF1">
      <w:pPr>
        <w:rPr>
          <w:rFonts w:cs="Arial"/>
          <w:szCs w:val="20"/>
        </w:rPr>
      </w:pPr>
      <w:r w:rsidRPr="00C20DF1">
        <w:rPr>
          <w:rFonts w:cs="Arial"/>
          <w:szCs w:val="20"/>
        </w:rPr>
        <w:lastRenderedPageBreak/>
        <w:t xml:space="preserve">Given the limited resources available, the Secretary General proposed to give preference to the </w:t>
      </w:r>
      <w:r w:rsidRPr="000060A9">
        <w:rPr>
          <w:rFonts w:cs="Arial"/>
          <w:szCs w:val="20"/>
        </w:rPr>
        <w:t>consolidation</w:t>
      </w:r>
      <w:r w:rsidRPr="00C20DF1">
        <w:rPr>
          <w:rFonts w:cs="Arial"/>
          <w:b/>
          <w:szCs w:val="20"/>
        </w:rPr>
        <w:t xml:space="preserve"> </w:t>
      </w:r>
      <w:r w:rsidRPr="00C20DF1">
        <w:rPr>
          <w:rFonts w:cs="Arial"/>
          <w:szCs w:val="20"/>
        </w:rPr>
        <w:t xml:space="preserve">of current achievements, namely the Neighbourhood Partnerships and the Neighbourhood Co-operation Priorities documents. He stressed that the Policy should remain </w:t>
      </w:r>
      <w:r w:rsidRPr="000060A9">
        <w:rPr>
          <w:rFonts w:cs="Arial"/>
          <w:szCs w:val="20"/>
        </w:rPr>
        <w:t>focused</w:t>
      </w:r>
      <w:r w:rsidRPr="00C20DF1">
        <w:rPr>
          <w:rFonts w:cs="Arial"/>
          <w:b/>
          <w:szCs w:val="20"/>
        </w:rPr>
        <w:t xml:space="preserve"> </w:t>
      </w:r>
      <w:r w:rsidRPr="00C20DF1">
        <w:rPr>
          <w:rFonts w:cs="Arial"/>
          <w:szCs w:val="20"/>
        </w:rPr>
        <w:t>geographically</w:t>
      </w:r>
      <w:r w:rsidRPr="00C20DF1">
        <w:rPr>
          <w:rFonts w:cs="Arial"/>
          <w:b/>
          <w:szCs w:val="20"/>
        </w:rPr>
        <w:t xml:space="preserve"> </w:t>
      </w:r>
      <w:r w:rsidRPr="00C20DF1">
        <w:rPr>
          <w:rFonts w:cs="Arial"/>
          <w:szCs w:val="20"/>
        </w:rPr>
        <w:t xml:space="preserve">where co-operation is </w:t>
      </w:r>
      <w:r w:rsidRPr="000060A9">
        <w:rPr>
          <w:rFonts w:cs="Arial"/>
          <w:szCs w:val="20"/>
        </w:rPr>
        <w:t>demand-driven</w:t>
      </w:r>
      <w:r w:rsidRPr="00C20DF1">
        <w:rPr>
          <w:rFonts w:cs="Arial"/>
          <w:szCs w:val="20"/>
        </w:rPr>
        <w:t xml:space="preserve">; where it can have a reasonable </w:t>
      </w:r>
      <w:r w:rsidRPr="000060A9">
        <w:rPr>
          <w:rFonts w:cs="Arial"/>
          <w:szCs w:val="20"/>
        </w:rPr>
        <w:t>impact</w:t>
      </w:r>
      <w:r w:rsidRPr="00C20DF1">
        <w:rPr>
          <w:rFonts w:cs="Arial"/>
          <w:szCs w:val="20"/>
        </w:rPr>
        <w:t>;</w:t>
      </w:r>
      <w:r w:rsidRPr="00C20DF1">
        <w:rPr>
          <w:rFonts w:cs="Arial"/>
          <w:b/>
          <w:szCs w:val="20"/>
        </w:rPr>
        <w:t xml:space="preserve"> </w:t>
      </w:r>
      <w:r w:rsidRPr="00C20DF1">
        <w:rPr>
          <w:rFonts w:cs="Arial"/>
          <w:szCs w:val="20"/>
        </w:rPr>
        <w:t>and where it is</w:t>
      </w:r>
      <w:r w:rsidRPr="00C20DF1">
        <w:rPr>
          <w:rFonts w:cs="Arial"/>
          <w:b/>
          <w:szCs w:val="20"/>
        </w:rPr>
        <w:t xml:space="preserve"> </w:t>
      </w:r>
      <w:r w:rsidRPr="00C20DF1">
        <w:rPr>
          <w:rFonts w:cs="Arial"/>
          <w:szCs w:val="20"/>
        </w:rPr>
        <w:t>based on Council of Europe</w:t>
      </w:r>
      <w:r w:rsidRPr="00C20DF1">
        <w:rPr>
          <w:rFonts w:cs="Arial"/>
          <w:b/>
          <w:szCs w:val="20"/>
        </w:rPr>
        <w:t xml:space="preserve"> </w:t>
      </w:r>
      <w:r w:rsidRPr="000060A9">
        <w:rPr>
          <w:rFonts w:cs="Arial"/>
          <w:szCs w:val="20"/>
        </w:rPr>
        <w:t>added value</w:t>
      </w:r>
      <w:r w:rsidRPr="00C20DF1">
        <w:rPr>
          <w:rFonts w:cs="Arial"/>
          <w:b/>
          <w:szCs w:val="20"/>
        </w:rPr>
        <w:t xml:space="preserve"> </w:t>
      </w:r>
      <w:r w:rsidRPr="00C20DF1">
        <w:rPr>
          <w:rFonts w:cs="Arial"/>
          <w:szCs w:val="20"/>
        </w:rPr>
        <w:t xml:space="preserve">and </w:t>
      </w:r>
      <w:r w:rsidRPr="000060A9">
        <w:rPr>
          <w:rFonts w:cs="Arial"/>
          <w:szCs w:val="20"/>
        </w:rPr>
        <w:t>respective capacities</w:t>
      </w:r>
      <w:r w:rsidRPr="00C20DF1">
        <w:rPr>
          <w:rFonts w:cs="Arial"/>
          <w:szCs w:val="20"/>
        </w:rPr>
        <w:t>.</w:t>
      </w:r>
      <w:r w:rsidRPr="00C20DF1">
        <w:rPr>
          <w:rFonts w:cs="Arial"/>
          <w:b/>
          <w:szCs w:val="20"/>
        </w:rPr>
        <w:t xml:space="preserve"> </w:t>
      </w:r>
      <w:r w:rsidRPr="00C20DF1">
        <w:rPr>
          <w:rFonts w:cs="Arial"/>
          <w:szCs w:val="20"/>
        </w:rPr>
        <w:t xml:space="preserve">A country should first demonstrate its will to adhere to the Council of Europe values and capacity to co-operate through regional and </w:t>
      </w:r>
      <w:r w:rsidRPr="00C20DF1">
        <w:rPr>
          <w:rFonts w:cs="Arial"/>
          <w:i/>
          <w:szCs w:val="20"/>
        </w:rPr>
        <w:t>ad hoc</w:t>
      </w:r>
      <w:r w:rsidRPr="00C20DF1">
        <w:rPr>
          <w:rFonts w:cs="Arial"/>
          <w:szCs w:val="20"/>
        </w:rPr>
        <w:t xml:space="preserve"> co</w:t>
      </w:r>
      <w:r w:rsidRPr="00C20DF1">
        <w:rPr>
          <w:rFonts w:cs="Arial"/>
          <w:szCs w:val="20"/>
        </w:rPr>
        <w:noBreakHyphen/>
        <w:t>operation before benefiting from a Council of Europe institutionalised co-operation-framework.</w:t>
      </w:r>
    </w:p>
    <w:p w:rsidR="00C20DF1" w:rsidRPr="00C20DF1" w:rsidRDefault="00C20DF1" w:rsidP="00C20DF1">
      <w:pPr>
        <w:rPr>
          <w:rFonts w:cs="Arial"/>
          <w:b/>
          <w:szCs w:val="20"/>
        </w:rPr>
      </w:pPr>
    </w:p>
    <w:p w:rsidR="00C20DF1" w:rsidRPr="00C20DF1" w:rsidRDefault="00C20DF1" w:rsidP="00C20DF1">
      <w:pPr>
        <w:rPr>
          <w:rFonts w:cs="Arial"/>
          <w:szCs w:val="20"/>
        </w:rPr>
      </w:pPr>
      <w:r w:rsidRPr="00C20DF1">
        <w:rPr>
          <w:rFonts w:cs="Arial"/>
          <w:szCs w:val="20"/>
        </w:rPr>
        <w:t xml:space="preserve">The Secretary General also stressed that close co-operation and co-ordination with the </w:t>
      </w:r>
      <w:r w:rsidRPr="00CF6BF9">
        <w:rPr>
          <w:rFonts w:cs="Arial"/>
          <w:szCs w:val="20"/>
        </w:rPr>
        <w:t>European Union</w:t>
      </w:r>
      <w:r w:rsidRPr="00C20DF1">
        <w:rPr>
          <w:rFonts w:cs="Arial"/>
          <w:szCs w:val="20"/>
        </w:rPr>
        <w:t xml:space="preserve"> remained an imperative.</w:t>
      </w:r>
    </w:p>
    <w:p w:rsidR="00C20DF1" w:rsidRPr="00C20DF1" w:rsidRDefault="00C20DF1" w:rsidP="00C20DF1">
      <w:pPr>
        <w:rPr>
          <w:rFonts w:cs="Arial"/>
          <w:b/>
          <w:szCs w:val="20"/>
        </w:rPr>
      </w:pPr>
    </w:p>
    <w:p w:rsidR="00C20DF1" w:rsidRPr="00C20DF1" w:rsidRDefault="00C20DF1" w:rsidP="00667FB1">
      <w:pPr>
        <w:numPr>
          <w:ilvl w:val="1"/>
          <w:numId w:val="1"/>
        </w:numPr>
        <w:pBdr>
          <w:top w:val="nil"/>
          <w:left w:val="nil"/>
          <w:bottom w:val="nil"/>
          <w:right w:val="nil"/>
          <w:between w:val="nil"/>
          <w:bar w:val="nil"/>
        </w:pBdr>
        <w:spacing w:after="240"/>
        <w:ind w:left="709" w:hanging="709"/>
        <w:contextualSpacing/>
        <w:rPr>
          <w:rFonts w:cs="Arial"/>
          <w:b/>
          <w:szCs w:val="20"/>
        </w:rPr>
      </w:pPr>
      <w:r w:rsidRPr="00C20DF1">
        <w:rPr>
          <w:rFonts w:cs="Arial"/>
          <w:b/>
          <w:szCs w:val="20"/>
        </w:rPr>
        <w:t>Bilateral co-operation</w:t>
      </w:r>
    </w:p>
    <w:p w:rsidR="00C20DF1" w:rsidRPr="00C20DF1" w:rsidRDefault="00C20DF1" w:rsidP="00C20DF1">
      <w:pPr>
        <w:ind w:left="1080"/>
        <w:contextualSpacing/>
        <w:rPr>
          <w:rFonts w:cs="Arial"/>
          <w:b/>
          <w:szCs w:val="20"/>
        </w:rPr>
      </w:pPr>
    </w:p>
    <w:p w:rsidR="00C20DF1" w:rsidRPr="00C20DF1" w:rsidRDefault="00C20DF1" w:rsidP="00C20DF1">
      <w:pPr>
        <w:rPr>
          <w:rFonts w:eastAsia="Times New Roman" w:cs="Arial"/>
          <w:bCs/>
          <w:szCs w:val="20"/>
        </w:rPr>
      </w:pPr>
      <w:r w:rsidRPr="00C20DF1">
        <w:rPr>
          <w:rFonts w:cs="Arial"/>
          <w:szCs w:val="20"/>
        </w:rPr>
        <w:t xml:space="preserve">In practice, on the basis of relevant implementation reports, on 29 November 2017, the Deputies </w:t>
      </w:r>
      <w:r w:rsidRPr="00C20DF1">
        <w:rPr>
          <w:rFonts w:eastAsia="Times New Roman" w:cs="Arial"/>
          <w:szCs w:val="20"/>
        </w:rPr>
        <w:t>instructed the GR-EXT to prepare new documents relating to partnerships with Morocco, Tunisia and Jordan for the period 2018-2021.</w:t>
      </w:r>
      <w:r w:rsidRPr="00C20DF1">
        <w:rPr>
          <w:rFonts w:eastAsia="Times New Roman" w:cs="Arial"/>
          <w:szCs w:val="20"/>
          <w:vertAlign w:val="superscript"/>
        </w:rPr>
        <w:footnoteReference w:id="5"/>
      </w:r>
      <w:r w:rsidRPr="00C20DF1">
        <w:rPr>
          <w:rFonts w:eastAsia="Times New Roman" w:cs="Arial"/>
          <w:szCs w:val="20"/>
        </w:rPr>
        <w:t xml:space="preserve"> On 16 January 2018, the GR-EXT also held an exchange of views with representatives of the three countries concerned. On 21 March 2018, the Deputies, </w:t>
      </w:r>
      <w:r w:rsidRPr="00C20DF1">
        <w:rPr>
          <w:rFonts w:eastAsia="Times New Roman" w:cs="Arial"/>
          <w:i/>
          <w:szCs w:val="20"/>
        </w:rPr>
        <w:t>inter alia</w:t>
      </w:r>
      <w:r w:rsidRPr="00C20DF1">
        <w:rPr>
          <w:rFonts w:eastAsia="Times New Roman" w:cs="Arial"/>
          <w:szCs w:val="20"/>
        </w:rPr>
        <w:t xml:space="preserve">, </w:t>
      </w:r>
      <w:r w:rsidRPr="000060A9">
        <w:rPr>
          <w:rFonts w:eastAsia="Times New Roman" w:cs="Arial"/>
          <w:bCs/>
          <w:szCs w:val="20"/>
        </w:rPr>
        <w:t>approved</w:t>
      </w:r>
      <w:r w:rsidRPr="00C20DF1">
        <w:rPr>
          <w:rFonts w:eastAsia="Times New Roman" w:cs="Arial"/>
          <w:b/>
          <w:bCs/>
          <w:szCs w:val="20"/>
        </w:rPr>
        <w:t xml:space="preserve"> </w:t>
      </w:r>
      <w:r w:rsidRPr="00C20DF1">
        <w:rPr>
          <w:rFonts w:eastAsia="Times New Roman" w:cs="Arial"/>
          <w:bCs/>
          <w:szCs w:val="20"/>
        </w:rPr>
        <w:t xml:space="preserve">the </w:t>
      </w:r>
      <w:r w:rsidRPr="00C20DF1">
        <w:rPr>
          <w:rFonts w:eastAsia="Times New Roman" w:cs="Arial"/>
          <w:b/>
          <w:bCs/>
          <w:szCs w:val="20"/>
        </w:rPr>
        <w:t>Neighbourhood Partnerships</w:t>
      </w:r>
      <w:r w:rsidRPr="00C20DF1">
        <w:rPr>
          <w:rFonts w:eastAsia="Times New Roman" w:cs="Arial"/>
          <w:bCs/>
          <w:szCs w:val="20"/>
        </w:rPr>
        <w:t xml:space="preserve"> </w:t>
      </w:r>
      <w:r w:rsidRPr="00C20DF1">
        <w:rPr>
          <w:rFonts w:eastAsia="Times New Roman" w:cs="Arial"/>
          <w:b/>
          <w:bCs/>
          <w:szCs w:val="20"/>
        </w:rPr>
        <w:t>for the period 2018-2021</w:t>
      </w:r>
      <w:r w:rsidRPr="00C20DF1">
        <w:rPr>
          <w:rFonts w:eastAsia="Times New Roman" w:cs="Arial"/>
          <w:bCs/>
          <w:szCs w:val="20"/>
        </w:rPr>
        <w:t xml:space="preserve"> with </w:t>
      </w:r>
      <w:r w:rsidRPr="00C20DF1">
        <w:rPr>
          <w:rFonts w:eastAsia="Times New Roman" w:cs="Arial"/>
          <w:b/>
          <w:bCs/>
          <w:szCs w:val="20"/>
        </w:rPr>
        <w:t>Morocco and Tunisia</w:t>
      </w:r>
      <w:r w:rsidRPr="00C20DF1">
        <w:rPr>
          <w:rFonts w:eastAsia="Times New Roman" w:cs="Arial"/>
          <w:bCs/>
          <w:szCs w:val="20"/>
        </w:rPr>
        <w:t>, and invited the GR</w:t>
      </w:r>
      <w:r w:rsidRPr="00C20DF1">
        <w:rPr>
          <w:rFonts w:eastAsia="Times New Roman" w:cs="Arial"/>
          <w:bCs/>
          <w:szCs w:val="20"/>
        </w:rPr>
        <w:noBreakHyphen/>
        <w:t>EXT to follow up their implementation and to report in due course on the progress made.</w:t>
      </w:r>
      <w:r w:rsidRPr="00C20DF1">
        <w:rPr>
          <w:rFonts w:eastAsia="Times New Roman" w:cs="Arial"/>
          <w:bCs/>
          <w:szCs w:val="20"/>
          <w:vertAlign w:val="superscript"/>
        </w:rPr>
        <w:footnoteReference w:id="6"/>
      </w:r>
      <w:r w:rsidRPr="00C20DF1">
        <w:rPr>
          <w:rFonts w:eastAsia="Times New Roman" w:cs="Arial"/>
          <w:bCs/>
          <w:szCs w:val="20"/>
        </w:rPr>
        <w:t xml:space="preserve"> The Deputies also</w:t>
      </w:r>
      <w:r w:rsidRPr="00C20DF1">
        <w:rPr>
          <w:rFonts w:cs="Arial"/>
          <w:szCs w:val="20"/>
        </w:rPr>
        <w:t xml:space="preserve"> </w:t>
      </w:r>
      <w:r w:rsidRPr="00C20DF1">
        <w:rPr>
          <w:rFonts w:eastAsia="Times New Roman" w:cs="Arial"/>
          <w:bCs/>
          <w:szCs w:val="20"/>
        </w:rPr>
        <w:t xml:space="preserve">instructed the Secretariat to pursue efforts to supplement the financing currently available in order to ensure the full implementation of the planned co-operation priorities, and invited the member </w:t>
      </w:r>
      <w:r w:rsidR="002447FB">
        <w:rPr>
          <w:rFonts w:eastAsia="Times New Roman" w:cs="Arial"/>
          <w:bCs/>
          <w:szCs w:val="20"/>
        </w:rPr>
        <w:t>S</w:t>
      </w:r>
      <w:r w:rsidRPr="00C20DF1">
        <w:rPr>
          <w:rFonts w:eastAsia="Times New Roman" w:cs="Arial"/>
          <w:bCs/>
          <w:szCs w:val="20"/>
        </w:rPr>
        <w:t xml:space="preserve">tates to consider providing voluntary contributions. </w:t>
      </w:r>
    </w:p>
    <w:p w:rsidR="00C20DF1" w:rsidRPr="00C20DF1" w:rsidRDefault="00C20DF1" w:rsidP="00C20DF1">
      <w:pPr>
        <w:rPr>
          <w:rFonts w:eastAsia="Times New Roman" w:cs="Arial"/>
          <w:bCs/>
          <w:szCs w:val="20"/>
          <w:highlight w:val="yellow"/>
        </w:rPr>
      </w:pPr>
    </w:p>
    <w:p w:rsidR="00C20DF1" w:rsidRPr="00C20DF1" w:rsidRDefault="008E382C" w:rsidP="00C20DF1">
      <w:pPr>
        <w:rPr>
          <w:rFonts w:eastAsia="Arial Unicode MS" w:cs="Arial"/>
          <w:szCs w:val="20"/>
          <w:bdr w:val="nil"/>
        </w:rPr>
      </w:pPr>
      <w:r w:rsidRPr="000060A9">
        <w:rPr>
          <w:rFonts w:eastAsia="Arial Unicode MS" w:cs="Arial"/>
          <w:szCs w:val="20"/>
        </w:rPr>
        <w:t>The n</w:t>
      </w:r>
      <w:r w:rsidR="00C20DF1" w:rsidRPr="00C20DF1">
        <w:rPr>
          <w:rFonts w:eastAsia="Arial Unicode MS" w:cs="Arial"/>
          <w:szCs w:val="20"/>
        </w:rPr>
        <w:t xml:space="preserve">eighbourhood Partnerships for the period 2018-2021, developed jointly with the respective authorities, aim to consolidate the support provided to Morocco and Tunisia in the process of democratic changes and to tackle the challenges linked to human rights, the rule of law and democracy. </w:t>
      </w:r>
      <w:r w:rsidR="00C20DF1" w:rsidRPr="00C20DF1">
        <w:rPr>
          <w:rFonts w:eastAsia="Arial Unicode MS" w:cs="Arial"/>
          <w:szCs w:val="20"/>
          <w:bdr w:val="nil"/>
        </w:rPr>
        <w:t xml:space="preserve">Co-operation established since 2012 has been continuously consolidated and expanded. With respect to </w:t>
      </w:r>
      <w:r w:rsidR="00C20DF1" w:rsidRPr="00C20DF1">
        <w:rPr>
          <w:rFonts w:eastAsia="Arial Unicode MS" w:cs="Arial"/>
          <w:b/>
          <w:szCs w:val="20"/>
          <w:bdr w:val="nil"/>
        </w:rPr>
        <w:t>Morocco</w:t>
      </w:r>
      <w:r w:rsidR="00C20DF1" w:rsidRPr="00C20DF1">
        <w:rPr>
          <w:rFonts w:eastAsia="Arial Unicode MS" w:cs="Arial"/>
          <w:szCs w:val="20"/>
          <w:bdr w:val="nil"/>
        </w:rPr>
        <w:t xml:space="preserve">, the Neighbourhood Partnership extended co-operation to new sectors included on the national reform agenda, in particular the fight against discrimination and the support to the National Action Plan on Democracy and Human Rights (PANDDH) implementation. It also </w:t>
      </w:r>
      <w:r w:rsidR="00C20DF1" w:rsidRPr="000060A9">
        <w:rPr>
          <w:rFonts w:eastAsia="Arial Unicode MS" w:cs="Arial"/>
          <w:szCs w:val="20"/>
          <w:bdr w:val="nil"/>
        </w:rPr>
        <w:t>intend</w:t>
      </w:r>
      <w:r w:rsidRPr="000060A9">
        <w:rPr>
          <w:rFonts w:eastAsia="Arial Unicode MS" w:cs="Arial"/>
          <w:szCs w:val="20"/>
          <w:bdr w:val="nil"/>
        </w:rPr>
        <w:t>s</w:t>
      </w:r>
      <w:r w:rsidR="00C20DF1" w:rsidRPr="000060A9">
        <w:rPr>
          <w:rFonts w:eastAsia="Arial Unicode MS" w:cs="Arial"/>
          <w:szCs w:val="20"/>
          <w:bdr w:val="nil"/>
        </w:rPr>
        <w:t xml:space="preserve"> to strengthen</w:t>
      </w:r>
      <w:r w:rsidR="00C20DF1" w:rsidRPr="00C20DF1">
        <w:rPr>
          <w:rFonts w:eastAsia="Arial Unicode MS" w:cs="Arial"/>
          <w:szCs w:val="20"/>
          <w:bdr w:val="nil"/>
        </w:rPr>
        <w:t xml:space="preserve"> co-operation in the area of the rule of law. </w:t>
      </w:r>
      <w:r w:rsidR="00C20DF1" w:rsidRPr="00C20DF1">
        <w:rPr>
          <w:rFonts w:eastAsia="Arial Unicode MS" w:cs="Arial"/>
          <w:szCs w:val="20"/>
          <w:bdr w:val="nil"/>
          <w:lang w:eastAsia="en-GB"/>
        </w:rPr>
        <w:t>It seeks to ensure sustainability of the achievements of the co-operation implemented over the last few years.</w:t>
      </w:r>
      <w:r w:rsidR="00C20DF1" w:rsidRPr="00C20DF1">
        <w:rPr>
          <w:rFonts w:eastAsia="Arial Unicode MS" w:cs="Arial"/>
          <w:szCs w:val="20"/>
          <w:bdr w:val="nil"/>
        </w:rPr>
        <w:t xml:space="preserve"> </w:t>
      </w:r>
      <w:r w:rsidR="00C20DF1" w:rsidRPr="00C20DF1">
        <w:rPr>
          <w:rFonts w:eastAsia="Times New Roman" w:cs="Arial"/>
          <w:bCs/>
          <w:szCs w:val="20"/>
        </w:rPr>
        <w:t xml:space="preserve">In Morocco, co-operation was particularly fruitful in the establishment of a national preventive mechanism (NPM) against torture and the drafting of the law on the fight against trafficking in human beings, adopted in 2016 and largely in line with the Council of Europe Convention in this area. Morocco also acceded in 2018 to the Convention on Cybercrime (Budapest Convention) and its additional protocol. </w:t>
      </w:r>
      <w:r w:rsidR="00C20DF1" w:rsidRPr="00C20DF1">
        <w:rPr>
          <w:rFonts w:eastAsia="Arial Unicode MS" w:cs="Arial"/>
          <w:szCs w:val="20"/>
          <w:bdr w:val="nil"/>
        </w:rPr>
        <w:t xml:space="preserve">Where democracy is concerned, the Neighbourhood Partnership will notably pursue the objective of intensifying co-operation with the Moroccan Parliament. </w:t>
      </w:r>
    </w:p>
    <w:p w:rsidR="00C20DF1" w:rsidRPr="00C20DF1" w:rsidRDefault="00C20DF1" w:rsidP="00C20DF1">
      <w:pPr>
        <w:rPr>
          <w:rFonts w:eastAsia="Arial Unicode MS" w:cs="Arial"/>
          <w:szCs w:val="20"/>
          <w:bdr w:val="nil"/>
        </w:rPr>
      </w:pPr>
    </w:p>
    <w:p w:rsidR="00C20DF1" w:rsidRPr="00B15FE9" w:rsidRDefault="00C20DF1" w:rsidP="00C20DF1">
      <w:pPr>
        <w:rPr>
          <w:rFonts w:eastAsia="Arial Unicode MS" w:cs="Arial"/>
          <w:szCs w:val="20"/>
          <w:bdr w:val="nil"/>
        </w:rPr>
      </w:pPr>
      <w:r w:rsidRPr="00C20DF1">
        <w:rPr>
          <w:rFonts w:eastAsia="Arial Unicode MS" w:cs="Arial"/>
          <w:szCs w:val="20"/>
          <w:bdr w:val="nil"/>
        </w:rPr>
        <w:t xml:space="preserve">With respect to </w:t>
      </w:r>
      <w:r w:rsidRPr="00C20DF1">
        <w:rPr>
          <w:rFonts w:eastAsia="Arial Unicode MS" w:cs="Arial"/>
          <w:b/>
          <w:szCs w:val="20"/>
          <w:bdr w:val="nil"/>
        </w:rPr>
        <w:t>Tunisia</w:t>
      </w:r>
      <w:r w:rsidRPr="00C20DF1">
        <w:rPr>
          <w:rFonts w:eastAsia="Arial Unicode MS" w:cs="Arial"/>
          <w:szCs w:val="20"/>
          <w:bdr w:val="nil"/>
        </w:rPr>
        <w:t xml:space="preserve">, the Neighbourhood Partnership will seek, as a priority, to </w:t>
      </w:r>
      <w:r w:rsidR="002447FB">
        <w:rPr>
          <w:rFonts w:eastAsia="Arial Unicode MS" w:cs="Arial"/>
          <w:szCs w:val="20"/>
          <w:bdr w:val="nil"/>
        </w:rPr>
        <w:t xml:space="preserve">support the efforts of the authorities to </w:t>
      </w:r>
      <w:r w:rsidRPr="00C20DF1">
        <w:rPr>
          <w:rFonts w:eastAsia="Arial Unicode MS" w:cs="Arial"/>
          <w:szCs w:val="20"/>
          <w:bdr w:val="nil"/>
        </w:rPr>
        <w:t>ensure continued harmonisation of Tunisian legislation with the Constitution and the relevant</w:t>
      </w:r>
      <w:r w:rsidR="002447FB">
        <w:rPr>
          <w:rFonts w:eastAsia="Arial Unicode MS" w:cs="Arial"/>
          <w:szCs w:val="20"/>
          <w:bdr w:val="nil"/>
        </w:rPr>
        <w:t xml:space="preserve"> international and European</w:t>
      </w:r>
      <w:r w:rsidRPr="00C20DF1">
        <w:rPr>
          <w:rFonts w:eastAsia="Arial Unicode MS" w:cs="Arial"/>
          <w:szCs w:val="20"/>
          <w:bdr w:val="nil"/>
        </w:rPr>
        <w:t xml:space="preserve"> standards, to support the constitutional and independent bodies and the efficiency of justice. Regarding democracy, the Neighbourhood Partnership will pursue, </w:t>
      </w:r>
      <w:r w:rsidRPr="00C20DF1">
        <w:rPr>
          <w:rFonts w:eastAsia="Arial Unicode MS" w:cs="Arial"/>
          <w:i/>
          <w:szCs w:val="20"/>
          <w:bdr w:val="nil"/>
        </w:rPr>
        <w:t>inter alia</w:t>
      </w:r>
      <w:r w:rsidRPr="00C20DF1">
        <w:rPr>
          <w:rFonts w:eastAsia="Arial Unicode MS" w:cs="Arial"/>
          <w:szCs w:val="20"/>
          <w:bdr w:val="nil"/>
        </w:rPr>
        <w:t xml:space="preserve">, the objective of supporting the decentralisation process and strengthening local democracy as a follow-up to the first municipal elections held on 6 May 2018. Based on a notable increased </w:t>
      </w:r>
      <w:r w:rsidR="00CF4543">
        <w:rPr>
          <w:rFonts w:eastAsia="Arial Unicode MS" w:cs="Arial"/>
          <w:szCs w:val="20"/>
          <w:bdr w:val="nil"/>
        </w:rPr>
        <w:t xml:space="preserve">interest </w:t>
      </w:r>
      <w:r w:rsidRPr="00C20DF1">
        <w:rPr>
          <w:rFonts w:eastAsia="Arial Unicode MS" w:cs="Arial"/>
          <w:szCs w:val="20"/>
          <w:bdr w:val="nil"/>
        </w:rPr>
        <w:t xml:space="preserve">from national authorities since 2015 to bring the Tunisian legal framework closer to European standards, Tunisia acceded in 2017 to the Convention for the Protection of Individuals with regard to Automatic Processing of Personal Data and its additional protocol, and was invited to accede to four additional Conventions between May 2017 and February 2018: Council of Europe Convention on the Protection of Children against Sexual Exploitation and Sexual Abuse (Lanzarote Convention); Council of Europe Convention on Action against Trafficking in Human Beings; Council of Europe Convention on the counterfeiting of medical products and similar crimes involving threats to public health (MEDICRIME Convention); </w:t>
      </w:r>
      <w:r w:rsidR="00CF4543">
        <w:rPr>
          <w:rFonts w:eastAsia="Arial Unicode MS" w:cs="Arial"/>
          <w:szCs w:val="20"/>
          <w:bdr w:val="nil"/>
        </w:rPr>
        <w:t>Council of Europe Convention on Cybercrime (</w:t>
      </w:r>
      <w:r w:rsidRPr="00C20DF1">
        <w:rPr>
          <w:rFonts w:eastAsia="Arial Unicode MS" w:cs="Arial"/>
          <w:szCs w:val="20"/>
          <w:bdr w:val="nil"/>
        </w:rPr>
        <w:t>Budapest Convention</w:t>
      </w:r>
      <w:r w:rsidR="00CF4543">
        <w:rPr>
          <w:rFonts w:eastAsia="Arial Unicode MS" w:cs="Arial"/>
          <w:szCs w:val="20"/>
          <w:bdr w:val="nil"/>
        </w:rPr>
        <w:t>)</w:t>
      </w:r>
      <w:r w:rsidRPr="00C20DF1">
        <w:rPr>
          <w:rFonts w:eastAsia="Arial Unicode MS" w:cs="Arial"/>
          <w:szCs w:val="20"/>
          <w:bdr w:val="nil"/>
        </w:rPr>
        <w:t xml:space="preserve"> and its additional protocol; it was also invited by the Committee of Ministers to accede to the Group of States Against Corruption (GRECO) in November 2017. The Council of Europe also played a central role in the setting-up and capacity-building of the National Authority for the Prevention of Torture.</w:t>
      </w:r>
    </w:p>
    <w:p w:rsidR="00C20DF1" w:rsidRPr="00C20DF1" w:rsidRDefault="00C20DF1" w:rsidP="00C20DF1">
      <w:pPr>
        <w:rPr>
          <w:rFonts w:eastAsia="Arial Unicode MS" w:cs="Arial"/>
          <w:szCs w:val="20"/>
        </w:rPr>
      </w:pPr>
    </w:p>
    <w:p w:rsidR="00B15FE9" w:rsidRDefault="00B15FE9">
      <w:pPr>
        <w:rPr>
          <w:rFonts w:eastAsia="Times New Roman" w:cs="Arial"/>
          <w:bCs/>
          <w:szCs w:val="20"/>
        </w:rPr>
      </w:pPr>
      <w:r>
        <w:rPr>
          <w:rFonts w:eastAsia="Times New Roman" w:cs="Arial"/>
          <w:bCs/>
          <w:szCs w:val="20"/>
        </w:rPr>
        <w:br w:type="page"/>
      </w:r>
    </w:p>
    <w:p w:rsidR="00C20DF1" w:rsidRPr="00C20DF1" w:rsidRDefault="00C20DF1" w:rsidP="00C20DF1">
      <w:pPr>
        <w:rPr>
          <w:rFonts w:eastAsia="Times New Roman" w:cs="Arial"/>
          <w:bCs/>
          <w:szCs w:val="20"/>
        </w:rPr>
      </w:pPr>
      <w:r w:rsidRPr="00C20DF1">
        <w:rPr>
          <w:rFonts w:eastAsia="Times New Roman" w:cs="Arial"/>
          <w:bCs/>
          <w:szCs w:val="20"/>
        </w:rPr>
        <w:lastRenderedPageBreak/>
        <w:t xml:space="preserve">An </w:t>
      </w:r>
      <w:r w:rsidRPr="00C20DF1">
        <w:rPr>
          <w:rFonts w:eastAsia="Times New Roman" w:cs="Arial"/>
          <w:b/>
          <w:bCs/>
          <w:szCs w:val="20"/>
        </w:rPr>
        <w:t>Enhanced Political Dialogue</w:t>
      </w:r>
      <w:r w:rsidRPr="00C20DF1">
        <w:rPr>
          <w:rFonts w:eastAsia="Times New Roman" w:cs="Arial"/>
          <w:bCs/>
          <w:szCs w:val="20"/>
        </w:rPr>
        <w:t>, proposed in the Neighbourhood</w:t>
      </w:r>
      <w:r w:rsidRPr="00C20DF1">
        <w:rPr>
          <w:rFonts w:eastAsia="Times New Roman" w:cs="Arial"/>
          <w:b/>
          <w:bCs/>
          <w:szCs w:val="20"/>
        </w:rPr>
        <w:t xml:space="preserve"> </w:t>
      </w:r>
      <w:r w:rsidRPr="00C20DF1">
        <w:rPr>
          <w:rFonts w:eastAsia="Times New Roman" w:cs="Arial"/>
          <w:bCs/>
          <w:szCs w:val="20"/>
        </w:rPr>
        <w:t xml:space="preserve">Partnerships, has developed with Morocco and Tunisia both at technical and high levels, as illustrated, most recently, by the visit of the </w:t>
      </w:r>
      <w:r w:rsidRPr="00C20DF1">
        <w:rPr>
          <w:rFonts w:eastAsia="Arial Unicode MS" w:cs="Arial"/>
          <w:bCs/>
          <w:szCs w:val="20"/>
          <w:bdr w:val="nil"/>
          <w:lang w:val="en"/>
        </w:rPr>
        <w:t>Tunisian M</w:t>
      </w:r>
      <w:proofErr w:type="spellStart"/>
      <w:r w:rsidRPr="00C20DF1">
        <w:rPr>
          <w:rFonts w:eastAsia="Arial Unicode MS" w:cs="Arial"/>
          <w:bCs/>
          <w:szCs w:val="20"/>
          <w:bdr w:val="nil"/>
        </w:rPr>
        <w:t>inister</w:t>
      </w:r>
      <w:proofErr w:type="spellEnd"/>
      <w:r w:rsidRPr="00C20DF1">
        <w:rPr>
          <w:rFonts w:eastAsia="Arial Unicode MS" w:cs="Arial"/>
          <w:szCs w:val="20"/>
          <w:bdr w:val="nil"/>
        </w:rPr>
        <w:t xml:space="preserve"> of </w:t>
      </w:r>
      <w:r w:rsidRPr="00C20DF1">
        <w:rPr>
          <w:rFonts w:eastAsia="Arial Unicode MS" w:cs="Arial"/>
          <w:bCs/>
          <w:szCs w:val="20"/>
          <w:bdr w:val="nil"/>
        </w:rPr>
        <w:t>Foreign Affairs, Mr</w:t>
      </w:r>
      <w:r w:rsidRPr="00C20DF1">
        <w:rPr>
          <w:rFonts w:eastAsia="Arial Unicode MS" w:cs="Arial"/>
          <w:szCs w:val="20"/>
          <w:bdr w:val="nil"/>
        </w:rPr>
        <w:t xml:space="preserve"> </w:t>
      </w:r>
      <w:proofErr w:type="spellStart"/>
      <w:r w:rsidRPr="00C20DF1">
        <w:rPr>
          <w:rFonts w:eastAsia="Arial Unicode MS" w:cs="Arial"/>
          <w:szCs w:val="20"/>
          <w:bdr w:val="nil"/>
          <w:lang w:val="en"/>
        </w:rPr>
        <w:t>Jhinaoui</w:t>
      </w:r>
      <w:proofErr w:type="spellEnd"/>
      <w:r w:rsidRPr="00C20DF1">
        <w:rPr>
          <w:rFonts w:eastAsia="Arial Unicode MS" w:cs="Arial"/>
          <w:szCs w:val="20"/>
          <w:bdr w:val="nil"/>
          <w:lang w:val="en"/>
        </w:rPr>
        <w:t>,</w:t>
      </w:r>
      <w:r w:rsidRPr="00C20DF1">
        <w:rPr>
          <w:rFonts w:eastAsia="Times New Roman" w:cs="Arial"/>
          <w:bCs/>
          <w:szCs w:val="20"/>
        </w:rPr>
        <w:t xml:space="preserve"> to the Council of Europe on </w:t>
      </w:r>
      <w:r w:rsidRPr="00C20DF1">
        <w:rPr>
          <w:rFonts w:eastAsia="Arial Unicode MS" w:cs="Arial"/>
          <w:szCs w:val="20"/>
          <w:bdr w:val="nil"/>
          <w:lang w:val="en"/>
        </w:rPr>
        <w:t>9 October 2018</w:t>
      </w:r>
      <w:r w:rsidRPr="00C20DF1">
        <w:rPr>
          <w:rFonts w:eastAsia="Times New Roman" w:cs="Arial"/>
          <w:bCs/>
          <w:szCs w:val="20"/>
        </w:rPr>
        <w:t xml:space="preserve"> and the visit of a delegation of the GR-EXT to Rabat on 22-23 October 2018. Technical</w:t>
      </w:r>
      <w:r w:rsidRPr="00C20DF1">
        <w:rPr>
          <w:rFonts w:cs="Arial"/>
          <w:szCs w:val="20"/>
          <w:bdr w:val="nil"/>
        </w:rPr>
        <w:t xml:space="preserve"> dialogue has developed with all Neighbourhood Partners (Morocco, Tunisia, and Jordan) through expert bodies. This participation is a less visible but important dimension since it contributes to the institutional involvement of the Partners in the Organisation.</w:t>
      </w:r>
    </w:p>
    <w:p w:rsidR="00C20DF1" w:rsidRPr="00C20DF1" w:rsidRDefault="00C20DF1" w:rsidP="00C20DF1">
      <w:pPr>
        <w:rPr>
          <w:rFonts w:eastAsia="Times New Roman" w:cs="Arial"/>
          <w:bCs/>
          <w:szCs w:val="20"/>
        </w:rPr>
      </w:pPr>
    </w:p>
    <w:p w:rsidR="00C20DF1" w:rsidRPr="00C20DF1" w:rsidRDefault="00C20DF1" w:rsidP="00C20DF1">
      <w:pPr>
        <w:rPr>
          <w:rFonts w:cs="Arial"/>
          <w:szCs w:val="20"/>
        </w:rPr>
      </w:pPr>
      <w:r w:rsidRPr="00C20DF1">
        <w:rPr>
          <w:rFonts w:eastAsia="Times New Roman" w:cs="Arial"/>
          <w:bCs/>
          <w:szCs w:val="20"/>
        </w:rPr>
        <w:t xml:space="preserve">With respect to </w:t>
      </w:r>
      <w:r w:rsidRPr="00C20DF1">
        <w:rPr>
          <w:rFonts w:eastAsia="Times New Roman" w:cs="Arial"/>
          <w:b/>
          <w:bCs/>
          <w:szCs w:val="20"/>
        </w:rPr>
        <w:t>Jordan</w:t>
      </w:r>
      <w:r w:rsidRPr="00C20DF1">
        <w:rPr>
          <w:rFonts w:eastAsia="Times New Roman" w:cs="Arial"/>
          <w:bCs/>
          <w:szCs w:val="20"/>
        </w:rPr>
        <w:t xml:space="preserve">, on 6 September 2018, the GR-EXT was informed that </w:t>
      </w:r>
      <w:r w:rsidRPr="00C20DF1">
        <w:rPr>
          <w:rFonts w:eastAsia="Times New Roman" w:cs="Arial"/>
          <w:szCs w:val="20"/>
          <w:lang w:val="en-US"/>
        </w:rPr>
        <w:t xml:space="preserve">there had been no response to date to the draft </w:t>
      </w:r>
      <w:proofErr w:type="spellStart"/>
      <w:r w:rsidRPr="00C20DF1">
        <w:rPr>
          <w:rFonts w:eastAsia="Times New Roman" w:cs="Arial"/>
          <w:szCs w:val="20"/>
          <w:lang w:val="en-US"/>
        </w:rPr>
        <w:t>Neighbourhood</w:t>
      </w:r>
      <w:proofErr w:type="spellEnd"/>
      <w:r w:rsidRPr="00C20DF1">
        <w:rPr>
          <w:rFonts w:eastAsia="Times New Roman" w:cs="Arial"/>
          <w:szCs w:val="20"/>
          <w:lang w:val="en-US"/>
        </w:rPr>
        <w:t xml:space="preserve"> Partnership for 2018-2021 submitted to the authorities in December 2017. In these circumstances, for the time being, co-operation with Jordan has been confined to regional co-operation activities.</w:t>
      </w:r>
      <w:r w:rsidRPr="00C20DF1">
        <w:rPr>
          <w:rFonts w:eastAsia="Times New Roman" w:cs="Arial"/>
          <w:szCs w:val="20"/>
          <w:vertAlign w:val="superscript"/>
          <w:lang w:val="en-US"/>
        </w:rPr>
        <w:footnoteReference w:id="7"/>
      </w:r>
    </w:p>
    <w:p w:rsidR="00C20DF1" w:rsidRPr="00C20DF1" w:rsidRDefault="00C20DF1" w:rsidP="00C20DF1">
      <w:pPr>
        <w:rPr>
          <w:rFonts w:cs="Arial"/>
          <w:szCs w:val="20"/>
          <w:lang w:val="en-US"/>
        </w:rPr>
      </w:pPr>
    </w:p>
    <w:p w:rsidR="00C20DF1" w:rsidRPr="00C20DF1" w:rsidRDefault="00C20DF1" w:rsidP="00C20DF1">
      <w:pPr>
        <w:rPr>
          <w:rFonts w:eastAsia="Times New Roman" w:cs="Arial"/>
          <w:szCs w:val="20"/>
          <w:lang w:val="en-US"/>
        </w:rPr>
      </w:pPr>
      <w:r w:rsidRPr="00C20DF1">
        <w:rPr>
          <w:rFonts w:eastAsia="Times New Roman" w:cs="Arial"/>
          <w:szCs w:val="20"/>
          <w:lang w:val="en-US"/>
        </w:rPr>
        <w:t xml:space="preserve">With respect to </w:t>
      </w:r>
      <w:r w:rsidRPr="00C20DF1">
        <w:rPr>
          <w:rFonts w:eastAsia="Times New Roman" w:cs="Arial"/>
          <w:b/>
          <w:szCs w:val="20"/>
          <w:lang w:val="en-US"/>
        </w:rPr>
        <w:t>Kazakhstan</w:t>
      </w:r>
      <w:r w:rsidRPr="00C20DF1">
        <w:rPr>
          <w:rFonts w:eastAsia="Times New Roman" w:cs="Arial"/>
          <w:szCs w:val="20"/>
          <w:lang w:val="en-US"/>
        </w:rPr>
        <w:t xml:space="preserve">, </w:t>
      </w:r>
      <w:r w:rsidRPr="00C20DF1">
        <w:rPr>
          <w:rFonts w:eastAsia="Times New Roman" w:cs="Arial"/>
          <w:color w:val="333333"/>
          <w:szCs w:val="20"/>
          <w:lang w:val="en-US"/>
        </w:rPr>
        <w:t>o</w:t>
      </w:r>
      <w:r w:rsidRPr="00C20DF1">
        <w:rPr>
          <w:rFonts w:eastAsia="Times New Roman" w:cs="Arial"/>
          <w:szCs w:val="20"/>
          <w:lang w:val="en-US"/>
        </w:rPr>
        <w:t>n 24 October 2018, the Deputies took note of a final report on the implementation of the “</w:t>
      </w:r>
      <w:proofErr w:type="spellStart"/>
      <w:r w:rsidRPr="00C20DF1">
        <w:rPr>
          <w:rFonts w:eastAsia="Times New Roman" w:cs="Arial"/>
          <w:szCs w:val="20"/>
          <w:lang w:val="en-US"/>
        </w:rPr>
        <w:t>Neighbourhood</w:t>
      </w:r>
      <w:proofErr w:type="spellEnd"/>
      <w:r w:rsidRPr="00C20DF1">
        <w:rPr>
          <w:rFonts w:eastAsia="Times New Roman" w:cs="Arial"/>
          <w:szCs w:val="20"/>
          <w:lang w:val="en-US"/>
        </w:rPr>
        <w:t xml:space="preserve"> Co-operation Priorities for Kazakhstan 2014-2015” (extended until 2018) and invited the Secretariat to continue the discussions with the authorities of Kazakhstan with regard to the preparation of a </w:t>
      </w:r>
      <w:r w:rsidRPr="00C20DF1">
        <w:rPr>
          <w:rFonts w:eastAsia="Times New Roman" w:cs="Arial"/>
          <w:b/>
          <w:szCs w:val="20"/>
          <w:lang w:val="en-US"/>
        </w:rPr>
        <w:t>new document</w:t>
      </w:r>
      <w:r w:rsidRPr="00C20DF1">
        <w:rPr>
          <w:rFonts w:eastAsia="Times New Roman" w:cs="Arial"/>
          <w:szCs w:val="20"/>
          <w:lang w:val="en-US"/>
        </w:rPr>
        <w:t xml:space="preserve"> of co-operation.</w:t>
      </w:r>
      <w:r w:rsidRPr="00C20DF1">
        <w:rPr>
          <w:rFonts w:eastAsia="Times New Roman" w:cs="Arial"/>
          <w:szCs w:val="20"/>
          <w:vertAlign w:val="superscript"/>
        </w:rPr>
        <w:footnoteReference w:id="8"/>
      </w:r>
      <w:r w:rsidRPr="00C20DF1">
        <w:rPr>
          <w:rFonts w:eastAsia="Arial Unicode MS" w:cs="Arial"/>
          <w:szCs w:val="20"/>
          <w:bdr w:val="nil"/>
        </w:rPr>
        <w:t xml:space="preserve"> </w:t>
      </w:r>
      <w:r w:rsidR="00CF6BF9">
        <w:rPr>
          <w:rFonts w:eastAsia="Arial Unicode MS" w:cs="Arial"/>
          <w:szCs w:val="20"/>
          <w:bdr w:val="nil"/>
        </w:rPr>
        <w:t>[</w:t>
      </w:r>
      <w:r w:rsidRPr="00C20DF1">
        <w:rPr>
          <w:rFonts w:eastAsia="Arial Unicode MS" w:cs="Arial"/>
          <w:szCs w:val="20"/>
          <w:bdr w:val="nil"/>
        </w:rPr>
        <w:t xml:space="preserve">A second Neighbourhood Co-operation Priorities document, with a broader scope than the previous one, </w:t>
      </w:r>
      <w:r w:rsidR="00CF6BF9">
        <w:rPr>
          <w:rFonts w:eastAsia="Arial Unicode MS" w:cs="Arial"/>
          <w:szCs w:val="20"/>
          <w:bdr w:val="nil"/>
        </w:rPr>
        <w:t>has been recently adopted</w:t>
      </w:r>
      <w:r w:rsidRPr="00C20DF1">
        <w:rPr>
          <w:rFonts w:eastAsia="Arial Unicode MS" w:cs="Arial"/>
          <w:szCs w:val="20"/>
          <w:bdr w:val="nil"/>
        </w:rPr>
        <w:t xml:space="preserve"> by the Committee of Ministers.</w:t>
      </w:r>
      <w:r w:rsidR="00CF6BF9">
        <w:rPr>
          <w:rFonts w:eastAsia="Arial Unicode MS" w:cs="Arial"/>
          <w:szCs w:val="20"/>
          <w:bdr w:val="nil"/>
        </w:rPr>
        <w:t>]</w:t>
      </w:r>
      <w:r w:rsidR="00CF6BF9">
        <w:rPr>
          <w:rStyle w:val="FootnoteReference"/>
          <w:rFonts w:eastAsia="Arial Unicode MS" w:cs="Arial"/>
          <w:szCs w:val="20"/>
          <w:bdr w:val="nil"/>
        </w:rPr>
        <w:footnoteReference w:id="9"/>
      </w:r>
    </w:p>
    <w:p w:rsidR="00C20DF1" w:rsidRPr="00C20DF1" w:rsidRDefault="00C20DF1" w:rsidP="00C20DF1">
      <w:pPr>
        <w:rPr>
          <w:rFonts w:eastAsia="Times New Roman" w:cs="Arial"/>
          <w:szCs w:val="20"/>
          <w:lang w:val="en-US"/>
        </w:rPr>
      </w:pPr>
    </w:p>
    <w:p w:rsidR="00C20DF1" w:rsidRPr="00C20DF1" w:rsidRDefault="00C20DF1" w:rsidP="00C20DF1">
      <w:pPr>
        <w:rPr>
          <w:rFonts w:eastAsia="Times New Roman" w:cs="Arial"/>
          <w:szCs w:val="20"/>
        </w:rPr>
      </w:pPr>
      <w:r w:rsidRPr="00C20DF1">
        <w:rPr>
          <w:rFonts w:eastAsia="Times New Roman" w:cs="Arial"/>
          <w:szCs w:val="20"/>
          <w:lang w:val="en-US"/>
        </w:rPr>
        <w:t xml:space="preserve">With respect to the </w:t>
      </w:r>
      <w:r w:rsidRPr="00C20DF1">
        <w:rPr>
          <w:rFonts w:eastAsia="Times New Roman" w:cs="Arial"/>
          <w:b/>
          <w:szCs w:val="20"/>
          <w:lang w:val="en-US"/>
        </w:rPr>
        <w:t>Kyrgyz Republic</w:t>
      </w:r>
      <w:r w:rsidRPr="00C20DF1">
        <w:rPr>
          <w:rFonts w:eastAsia="Times New Roman" w:cs="Arial"/>
          <w:szCs w:val="20"/>
          <w:lang w:val="en-US"/>
        </w:rPr>
        <w:t xml:space="preserve">, on 24 October 2018, the Deputies took note of the progress review report on the priorities for co-operation with the Kyrgyz Republic for 2015-2017 (extended until 2019), as set out in document </w:t>
      </w:r>
      <w:bookmarkStart w:id="4" w:name="_ML_000000000001_VALID"/>
      <w:r w:rsidR="00040BCB" w:rsidRPr="00040BCB">
        <w:rPr>
          <w:rFonts w:eastAsia="Times New Roman" w:cs="Arial"/>
          <w:szCs w:val="20"/>
          <w:lang w:val="en-US"/>
        </w:rPr>
        <w:fldChar w:fldCharType="begin"/>
      </w:r>
      <w:r w:rsidR="00040BCB" w:rsidRPr="00040BCB">
        <w:rPr>
          <w:rFonts w:eastAsia="Times New Roman" w:cs="Arial"/>
          <w:szCs w:val="20"/>
          <w:lang w:val="en-US"/>
        </w:rPr>
        <w:instrText xml:space="preserve"> HYPERLINK "https://search.coe.int/cm/Pages/result_details.aspx?Reference=GR-EXT(2018)13" \o "Kyrgyz Republic: Neighbourhood Co-operation Priorities 2015 – 2017, extended until 2019: Progress Review Report (1 August 2016 – 31 July 2018) - Document prepared by the Office of the Directorate General for Programmes" </w:instrText>
      </w:r>
      <w:r w:rsidR="00040BCB" w:rsidRPr="00040BCB">
        <w:rPr>
          <w:rFonts w:eastAsia="Times New Roman" w:cs="Arial"/>
          <w:szCs w:val="20"/>
          <w:lang w:val="en-US"/>
        </w:rPr>
      </w:r>
      <w:r w:rsidR="00040BCB" w:rsidRPr="00040BCB">
        <w:rPr>
          <w:rFonts w:eastAsia="Times New Roman" w:cs="Arial"/>
          <w:szCs w:val="20"/>
          <w:lang w:val="en-US"/>
        </w:rPr>
        <w:fldChar w:fldCharType="separate"/>
      </w:r>
      <w:bookmarkEnd w:id="4"/>
      <w:r w:rsidR="00040BCB" w:rsidRPr="00040BCB">
        <w:rPr>
          <w:rStyle w:val="Hyperlink"/>
          <w:rFonts w:eastAsia="Times New Roman" w:cs="Arial"/>
          <w:szCs w:val="20"/>
          <w:lang w:val="en-US"/>
        </w:rPr>
        <w:t>GR-EXT(2018)13</w:t>
      </w:r>
      <w:r w:rsidR="00040BCB" w:rsidRPr="00040BCB">
        <w:rPr>
          <w:rFonts w:eastAsia="Times New Roman" w:cs="Arial"/>
          <w:szCs w:val="20"/>
          <w:lang w:val="en-US"/>
        </w:rPr>
        <w:fldChar w:fldCharType="end"/>
      </w:r>
      <w:r w:rsidRPr="00C20DF1">
        <w:rPr>
          <w:rFonts w:eastAsia="Times New Roman" w:cs="Arial"/>
          <w:szCs w:val="20"/>
          <w:lang w:val="en-US"/>
        </w:rPr>
        <w:t xml:space="preserve"> and instructed the Secretariat to continue their </w:t>
      </w:r>
      <w:r w:rsidRPr="00C20DF1">
        <w:rPr>
          <w:rFonts w:eastAsia="Times New Roman" w:cs="Arial"/>
          <w:b/>
          <w:szCs w:val="20"/>
          <w:lang w:val="en-US"/>
        </w:rPr>
        <w:t>implementation.</w:t>
      </w:r>
      <w:r w:rsidRPr="00C20DF1">
        <w:rPr>
          <w:rFonts w:eastAsia="Times New Roman" w:cs="Arial"/>
          <w:szCs w:val="20"/>
          <w:vertAlign w:val="superscript"/>
        </w:rPr>
        <w:footnoteReference w:id="10"/>
      </w:r>
      <w:r w:rsidRPr="00C20DF1">
        <w:rPr>
          <w:rFonts w:eastAsia="Times New Roman" w:cs="Arial"/>
          <w:b/>
          <w:szCs w:val="20"/>
          <w:lang w:val="en-US"/>
        </w:rPr>
        <w:t xml:space="preserve"> </w:t>
      </w:r>
    </w:p>
    <w:p w:rsidR="00C20DF1" w:rsidRPr="00C20DF1" w:rsidRDefault="00C20DF1" w:rsidP="00C20DF1">
      <w:pPr>
        <w:rPr>
          <w:rFonts w:eastAsia="Times New Roman" w:cs="Arial"/>
          <w:i/>
          <w:color w:val="333333"/>
          <w:szCs w:val="20"/>
          <w:lang w:val="en-US"/>
        </w:rPr>
      </w:pPr>
    </w:p>
    <w:p w:rsidR="00C20DF1" w:rsidRPr="00C20DF1" w:rsidRDefault="00C20DF1" w:rsidP="00C20DF1">
      <w:pPr>
        <w:rPr>
          <w:rFonts w:eastAsia="Arial Unicode MS" w:cs="Arial"/>
          <w:szCs w:val="20"/>
          <w:bdr w:val="nil"/>
        </w:rPr>
      </w:pPr>
      <w:r w:rsidRPr="00C20DF1">
        <w:rPr>
          <w:rFonts w:eastAsia="Times New Roman" w:cs="Arial"/>
          <w:szCs w:val="20"/>
          <w:lang w:eastAsia="fr-FR"/>
        </w:rPr>
        <w:t xml:space="preserve">With respect to </w:t>
      </w:r>
      <w:r w:rsidRPr="00C20DF1">
        <w:rPr>
          <w:rFonts w:eastAsia="Times New Roman" w:cs="Arial"/>
          <w:b/>
          <w:szCs w:val="20"/>
          <w:lang w:eastAsia="fr-FR"/>
        </w:rPr>
        <w:t>Palestine*</w:t>
      </w:r>
      <w:r w:rsidRPr="00C20DF1">
        <w:rPr>
          <w:rFonts w:eastAsia="Times New Roman" w:cs="Arial"/>
          <w:szCs w:val="20"/>
          <w:lang w:eastAsia="fr-FR"/>
        </w:rPr>
        <w:t>, o</w:t>
      </w:r>
      <w:r w:rsidRPr="00C20DF1">
        <w:rPr>
          <w:rFonts w:eastAsia="Times New Roman" w:cs="Arial"/>
          <w:szCs w:val="20"/>
          <w:lang w:val="en-US"/>
        </w:rPr>
        <w:t xml:space="preserve">n 12 December 2018, </w:t>
      </w:r>
      <w:r w:rsidRPr="00C20DF1">
        <w:rPr>
          <w:rFonts w:eastAsia="Times New Roman" w:cs="Arial"/>
          <w:szCs w:val="24"/>
          <w:bdr w:val="nil"/>
        </w:rPr>
        <w:t>t</w:t>
      </w:r>
      <w:r w:rsidRPr="00C20DF1">
        <w:rPr>
          <w:rFonts w:eastAsia="Arial Unicode MS" w:cs="Arial"/>
          <w:szCs w:val="20"/>
          <w:bdr w:val="nil"/>
        </w:rPr>
        <w:t>he Deputies</w:t>
      </w:r>
      <w:r w:rsidRPr="00C20DF1">
        <w:rPr>
          <w:rFonts w:eastAsia="Times New Roman" w:cs="Arial"/>
          <w:szCs w:val="24"/>
          <w:bdr w:val="nil"/>
        </w:rPr>
        <w:t xml:space="preserve"> </w:t>
      </w:r>
      <w:r w:rsidRPr="00C20DF1">
        <w:rPr>
          <w:rFonts w:eastAsia="Arial Unicode MS" w:cs="Arial"/>
          <w:szCs w:val="20"/>
          <w:bdr w:val="nil"/>
        </w:rPr>
        <w:t>took note of the progress report on the implementation of priorities for co-operation with Palestine for the period 2016-2018</w:t>
      </w:r>
      <w:r w:rsidRPr="00C20DF1">
        <w:rPr>
          <w:rFonts w:eastAsia="Arial Unicode MS" w:cs="Arial"/>
          <w:szCs w:val="20"/>
          <w:bdr w:val="nil"/>
          <w:vertAlign w:val="superscript"/>
        </w:rPr>
        <w:footnoteReference w:id="11"/>
      </w:r>
      <w:r w:rsidRPr="00C20DF1">
        <w:rPr>
          <w:rFonts w:eastAsia="Arial Unicode MS" w:cs="Arial"/>
          <w:szCs w:val="20"/>
          <w:bdr w:val="nil"/>
        </w:rPr>
        <w:t xml:space="preserve"> and instructed the Secretariat to pursue implementation of the co-operation priorities in 2019 and report back in due course to the Rapporteur Group on External Relations (GR-EXT); they also called on member </w:t>
      </w:r>
      <w:r w:rsidR="00CF4543">
        <w:rPr>
          <w:rFonts w:eastAsia="Arial Unicode MS" w:cs="Arial"/>
          <w:szCs w:val="20"/>
          <w:bdr w:val="nil"/>
        </w:rPr>
        <w:t>S</w:t>
      </w:r>
      <w:r w:rsidRPr="00C20DF1">
        <w:rPr>
          <w:rFonts w:eastAsia="Arial Unicode MS" w:cs="Arial"/>
          <w:szCs w:val="20"/>
          <w:bdr w:val="nil"/>
        </w:rPr>
        <w:t>tates to consider the possibility of supplementing funding for the co-operation priorities through voluntary contributions</w:t>
      </w:r>
      <w:r w:rsidR="00B77F2F">
        <w:rPr>
          <w:rFonts w:eastAsia="Arial Unicode MS" w:cs="Arial"/>
          <w:szCs w:val="20"/>
          <w:bdr w:val="nil"/>
        </w:rPr>
        <w:t>.</w:t>
      </w:r>
      <w:r w:rsidRPr="00C20DF1">
        <w:rPr>
          <w:rFonts w:eastAsia="Times New Roman" w:cs="Arial"/>
          <w:szCs w:val="20"/>
          <w:vertAlign w:val="superscript"/>
          <w:lang w:val="en-US"/>
        </w:rPr>
        <w:footnoteReference w:id="12"/>
      </w:r>
      <w:r w:rsidRPr="00C20DF1">
        <w:rPr>
          <w:rFonts w:eastAsia="Arial Unicode MS" w:cs="Arial"/>
          <w:szCs w:val="20"/>
          <w:bdr w:val="nil"/>
        </w:rPr>
        <w:t xml:space="preserve"> At present, co-operation </w:t>
      </w:r>
      <w:r w:rsidR="00B60AEB" w:rsidRPr="00C20DF1">
        <w:rPr>
          <w:rFonts w:eastAsia="Arial Unicode MS" w:cs="Arial"/>
          <w:szCs w:val="20"/>
          <w:bdr w:val="nil"/>
        </w:rPr>
        <w:t>activities</w:t>
      </w:r>
      <w:r w:rsidRPr="00C20DF1">
        <w:rPr>
          <w:rFonts w:eastAsia="Arial Unicode MS" w:cs="Arial"/>
          <w:szCs w:val="20"/>
          <w:bdr w:val="nil"/>
        </w:rPr>
        <w:t xml:space="preserve"> build on the achievements of the previous years, in particular in the field of anti-corruption, where practical co-operation has been established with the relevant instances.</w:t>
      </w:r>
    </w:p>
    <w:p w:rsidR="00C20DF1" w:rsidRPr="00C20DF1" w:rsidRDefault="00C20DF1" w:rsidP="00C20DF1">
      <w:pPr>
        <w:rPr>
          <w:rFonts w:eastAsia="Arial Unicode MS" w:cs="Arial"/>
          <w:szCs w:val="20"/>
          <w:bdr w:val="nil"/>
        </w:rPr>
      </w:pPr>
    </w:p>
    <w:p w:rsidR="00C20DF1" w:rsidRPr="00C20DF1" w:rsidRDefault="00C20DF1" w:rsidP="00667FB1">
      <w:pPr>
        <w:numPr>
          <w:ilvl w:val="1"/>
          <w:numId w:val="1"/>
        </w:numPr>
        <w:pBdr>
          <w:top w:val="nil"/>
          <w:left w:val="nil"/>
          <w:bottom w:val="nil"/>
          <w:right w:val="nil"/>
          <w:between w:val="nil"/>
          <w:bar w:val="nil"/>
        </w:pBdr>
        <w:spacing w:after="200" w:line="276" w:lineRule="auto"/>
        <w:ind w:left="709" w:hanging="709"/>
        <w:contextualSpacing/>
        <w:rPr>
          <w:rFonts w:cs="Arial"/>
          <w:b/>
          <w:szCs w:val="20"/>
        </w:rPr>
      </w:pPr>
      <w:r w:rsidRPr="00C20DF1">
        <w:rPr>
          <w:rFonts w:cs="Arial"/>
          <w:b/>
          <w:szCs w:val="20"/>
        </w:rPr>
        <w:t xml:space="preserve">Regional frameworks for co-operation </w:t>
      </w:r>
    </w:p>
    <w:p w:rsidR="00C20DF1" w:rsidRPr="00C20DF1" w:rsidRDefault="00C20DF1" w:rsidP="00C20DF1">
      <w:pPr>
        <w:spacing w:after="200" w:line="276" w:lineRule="auto"/>
        <w:ind w:left="1080"/>
        <w:contextualSpacing/>
        <w:rPr>
          <w:rFonts w:cs="Arial"/>
          <w:b/>
          <w:szCs w:val="20"/>
        </w:rPr>
      </w:pPr>
    </w:p>
    <w:p w:rsidR="00C20DF1" w:rsidRPr="00C20DF1" w:rsidRDefault="00C20DF1" w:rsidP="00C20DF1">
      <w:pPr>
        <w:rPr>
          <w:rFonts w:cs="Arial"/>
          <w:szCs w:val="20"/>
        </w:rPr>
      </w:pPr>
      <w:r w:rsidRPr="00C20DF1">
        <w:rPr>
          <w:rFonts w:cs="Arial"/>
          <w:szCs w:val="20"/>
        </w:rPr>
        <w:t>S</w:t>
      </w:r>
      <w:r w:rsidRPr="00C20DF1">
        <w:rPr>
          <w:rFonts w:eastAsia="Times New Roman" w:cs="Arial"/>
          <w:szCs w:val="20"/>
        </w:rPr>
        <w:t xml:space="preserve">ince 2012, the </w:t>
      </w:r>
      <w:r w:rsidRPr="00C20DF1">
        <w:rPr>
          <w:rFonts w:eastAsia="Times New Roman" w:cs="Arial"/>
          <w:b/>
          <w:bCs/>
          <w:szCs w:val="20"/>
        </w:rPr>
        <w:t>South Programme</w:t>
      </w:r>
      <w:r w:rsidRPr="00C20DF1">
        <w:rPr>
          <w:rFonts w:eastAsia="Times New Roman" w:cs="Arial"/>
          <w:szCs w:val="20"/>
        </w:rPr>
        <w:t>, financed by the European Union and the Council of Europe and implemented by the latter</w:t>
      </w:r>
      <w:r w:rsidR="000E3C94">
        <w:rPr>
          <w:rFonts w:eastAsia="Times New Roman" w:cs="Arial"/>
          <w:szCs w:val="20"/>
        </w:rPr>
        <w:t>,</w:t>
      </w:r>
      <w:r w:rsidRPr="00C20DF1">
        <w:rPr>
          <w:rFonts w:eastAsia="Times New Roman" w:cs="Arial"/>
          <w:szCs w:val="20"/>
          <w:vertAlign w:val="superscript"/>
        </w:rPr>
        <w:footnoteReference w:id="13"/>
      </w:r>
      <w:r w:rsidRPr="00C20DF1">
        <w:rPr>
          <w:rFonts w:eastAsia="Times New Roman" w:cs="Arial"/>
          <w:szCs w:val="20"/>
        </w:rPr>
        <w:t xml:space="preserve"> has offered a </w:t>
      </w:r>
      <w:r w:rsidRPr="000060A9">
        <w:rPr>
          <w:rFonts w:cs="Arial"/>
          <w:szCs w:val="20"/>
        </w:rPr>
        <w:t>regional framework</w:t>
      </w:r>
      <w:r w:rsidRPr="00C20DF1">
        <w:rPr>
          <w:rFonts w:cs="Arial"/>
          <w:szCs w:val="20"/>
        </w:rPr>
        <w:t xml:space="preserve"> for co-operation completed by bilateral targeted actions. It has allowed the Council of Europe to work </w:t>
      </w:r>
      <w:r w:rsidRPr="00C20DF1">
        <w:rPr>
          <w:rFonts w:eastAsia="Times New Roman" w:cs="Arial"/>
          <w:szCs w:val="20"/>
        </w:rPr>
        <w:t xml:space="preserve">with Algeria, Egypt, Israel, Jordan, Lebanon, Libya, Morocco, Tunisia and Palestine* with a view to promoting respect for human rights and the rule of law, and to enhance democratic governance in accordance with international and European standards. </w:t>
      </w:r>
      <w:r w:rsidRPr="00C20DF1">
        <w:rPr>
          <w:rFonts w:eastAsia="Times New Roman" w:cs="Arial"/>
          <w:szCs w:val="20"/>
          <w:lang w:eastAsia="en-GB"/>
        </w:rPr>
        <w:t>On 18 September 2018, the Council of Europe and the European Union launched the “</w:t>
      </w:r>
      <w:r w:rsidRPr="00C20DF1">
        <w:rPr>
          <w:rFonts w:eastAsia="Times New Roman" w:cs="Arial"/>
          <w:b/>
          <w:szCs w:val="20"/>
          <w:lang w:eastAsia="en-GB"/>
        </w:rPr>
        <w:t>South Programme III</w:t>
      </w:r>
      <w:r w:rsidRPr="00C20DF1">
        <w:rPr>
          <w:rFonts w:eastAsia="Times New Roman" w:cs="Arial"/>
          <w:szCs w:val="20"/>
          <w:lang w:eastAsia="en-GB"/>
        </w:rPr>
        <w:t xml:space="preserve">: Ensuring sustainable democratic governance and human rights in the Southern Mediterranean”. This programme </w:t>
      </w:r>
      <w:r w:rsidR="00CF4543">
        <w:rPr>
          <w:rFonts w:eastAsia="Times New Roman" w:cs="Arial"/>
          <w:szCs w:val="20"/>
          <w:lang w:eastAsia="en-GB"/>
        </w:rPr>
        <w:t xml:space="preserve">is </w:t>
      </w:r>
      <w:r w:rsidRPr="00C20DF1">
        <w:rPr>
          <w:rFonts w:eastAsia="Times New Roman" w:cs="Arial"/>
          <w:szCs w:val="20"/>
          <w:lang w:eastAsia="en-GB"/>
        </w:rPr>
        <w:t>buil</w:t>
      </w:r>
      <w:r w:rsidR="00CF4543">
        <w:rPr>
          <w:rFonts w:eastAsia="Times New Roman" w:cs="Arial"/>
          <w:szCs w:val="20"/>
          <w:lang w:eastAsia="en-GB"/>
        </w:rPr>
        <w:t>t</w:t>
      </w:r>
      <w:r w:rsidRPr="00C20DF1">
        <w:rPr>
          <w:rFonts w:eastAsia="Times New Roman" w:cs="Arial"/>
          <w:szCs w:val="20"/>
          <w:lang w:eastAsia="en-GB"/>
        </w:rPr>
        <w:t xml:space="preserve"> on the results of the previous two programmes, and will transversally follow a new added objective to combat violence against women. </w:t>
      </w:r>
    </w:p>
    <w:p w:rsidR="00C20DF1" w:rsidRPr="00C20DF1" w:rsidRDefault="00C20DF1" w:rsidP="00C20DF1">
      <w:pPr>
        <w:rPr>
          <w:rFonts w:cs="Arial"/>
          <w:szCs w:val="20"/>
        </w:rPr>
      </w:pPr>
    </w:p>
    <w:p w:rsidR="00C20DF1" w:rsidRPr="00C20DF1" w:rsidRDefault="00C20DF1" w:rsidP="00C20DF1">
      <w:pPr>
        <w:rPr>
          <w:rFonts w:cs="Arial"/>
          <w:szCs w:val="20"/>
        </w:rPr>
      </w:pPr>
      <w:r w:rsidRPr="00C20DF1">
        <w:rPr>
          <w:rFonts w:cs="Arial"/>
          <w:szCs w:val="20"/>
        </w:rPr>
        <w:t xml:space="preserve">With respect to </w:t>
      </w:r>
      <w:r w:rsidRPr="00C20DF1">
        <w:rPr>
          <w:rFonts w:cs="Arial"/>
          <w:b/>
          <w:szCs w:val="20"/>
        </w:rPr>
        <w:t>Central Asia</w:t>
      </w:r>
      <w:r w:rsidRPr="00C20DF1">
        <w:rPr>
          <w:rFonts w:cs="Arial"/>
          <w:szCs w:val="20"/>
        </w:rPr>
        <w:t>, contacts between the Council of Europe and the EU are on-going in order to finalise regional frameworks for co-operation. Co-operation</w:t>
      </w:r>
      <w:r w:rsidRPr="00C20DF1">
        <w:rPr>
          <w:rFonts w:eastAsia="Arial Unicode MS" w:cs="Arial"/>
          <w:szCs w:val="20"/>
        </w:rPr>
        <w:t xml:space="preserve"> in these frameworks would focus on</w:t>
      </w:r>
      <w:r w:rsidRPr="00C20DF1">
        <w:rPr>
          <w:rFonts w:cs="Arial"/>
          <w:szCs w:val="20"/>
        </w:rPr>
        <w:t xml:space="preserve"> Venice Commission support, the progressive creation of a common legal space, the fight against economic crime and human rights training for legal professionals.</w:t>
      </w:r>
    </w:p>
    <w:p w:rsidR="00B15FE9" w:rsidRDefault="00B15FE9">
      <w:pPr>
        <w:rPr>
          <w:rFonts w:cs="Arial"/>
          <w:szCs w:val="20"/>
        </w:rPr>
      </w:pPr>
      <w:r>
        <w:rPr>
          <w:rFonts w:cs="Arial"/>
          <w:szCs w:val="20"/>
        </w:rPr>
        <w:br w:type="page"/>
      </w:r>
    </w:p>
    <w:p w:rsidR="00C20DF1" w:rsidRPr="00C20DF1" w:rsidRDefault="00C20DF1" w:rsidP="00667FB1">
      <w:pPr>
        <w:numPr>
          <w:ilvl w:val="1"/>
          <w:numId w:val="1"/>
        </w:numPr>
        <w:pBdr>
          <w:top w:val="nil"/>
          <w:left w:val="nil"/>
          <w:bottom w:val="nil"/>
          <w:right w:val="nil"/>
          <w:between w:val="nil"/>
          <w:bar w:val="nil"/>
        </w:pBdr>
        <w:spacing w:after="240"/>
        <w:ind w:left="709" w:hanging="709"/>
        <w:contextualSpacing/>
        <w:rPr>
          <w:rFonts w:cs="Arial"/>
          <w:b/>
          <w:szCs w:val="20"/>
        </w:rPr>
      </w:pPr>
      <w:r w:rsidRPr="00C20DF1">
        <w:rPr>
          <w:rFonts w:cs="Arial"/>
          <w:b/>
          <w:szCs w:val="20"/>
        </w:rPr>
        <w:lastRenderedPageBreak/>
        <w:t xml:space="preserve">Co-operation with other countries </w:t>
      </w:r>
    </w:p>
    <w:p w:rsidR="00C20DF1" w:rsidRPr="00C20DF1" w:rsidRDefault="00C20DF1" w:rsidP="00C20DF1">
      <w:pPr>
        <w:contextualSpacing/>
        <w:rPr>
          <w:rFonts w:cs="Arial"/>
          <w:b/>
          <w:szCs w:val="20"/>
        </w:rPr>
      </w:pPr>
    </w:p>
    <w:p w:rsidR="00C20DF1" w:rsidRPr="00C20DF1" w:rsidRDefault="00C20DF1" w:rsidP="00C20DF1">
      <w:pPr>
        <w:contextualSpacing/>
        <w:rPr>
          <w:rFonts w:eastAsia="Times New Roman" w:cs="Arial"/>
          <w:szCs w:val="24"/>
          <w:bdr w:val="nil"/>
        </w:rPr>
      </w:pPr>
      <w:r w:rsidRPr="00C20DF1">
        <w:rPr>
          <w:rFonts w:eastAsia="Times New Roman" w:cs="Arial"/>
          <w:szCs w:val="24"/>
          <w:bdr w:val="nil"/>
        </w:rPr>
        <w:t>A multifaceted co-operation has also developed with Israel</w:t>
      </w:r>
      <w:r w:rsidR="000E3C94">
        <w:rPr>
          <w:rFonts w:eastAsia="Times New Roman" w:cs="Arial"/>
          <w:szCs w:val="24"/>
          <w:bdr w:val="nil"/>
        </w:rPr>
        <w:t>.</w:t>
      </w:r>
      <w:r w:rsidRPr="00C20DF1">
        <w:rPr>
          <w:rFonts w:eastAsia="Times New Roman" w:cs="Arial"/>
          <w:szCs w:val="24"/>
          <w:bdr w:val="nil"/>
          <w:vertAlign w:val="superscript"/>
        </w:rPr>
        <w:footnoteReference w:id="14"/>
      </w:r>
      <w:r w:rsidRPr="00C20DF1">
        <w:rPr>
          <w:rFonts w:eastAsia="Times New Roman" w:cs="Arial"/>
          <w:szCs w:val="24"/>
          <w:bdr w:val="nil"/>
        </w:rPr>
        <w:t xml:space="preserve"> </w:t>
      </w:r>
    </w:p>
    <w:p w:rsidR="00C20DF1" w:rsidRPr="00C20DF1" w:rsidRDefault="00C20DF1" w:rsidP="00C20DF1">
      <w:pPr>
        <w:contextualSpacing/>
        <w:rPr>
          <w:rFonts w:eastAsia="Times New Roman" w:cs="Arial"/>
          <w:szCs w:val="24"/>
          <w:bdr w:val="nil"/>
        </w:rPr>
      </w:pPr>
    </w:p>
    <w:p w:rsidR="00C20DF1" w:rsidRPr="00C20DF1" w:rsidRDefault="00C20DF1" w:rsidP="00C20DF1">
      <w:pPr>
        <w:contextualSpacing/>
        <w:rPr>
          <w:rFonts w:eastAsia="Times New Roman" w:cs="Arial"/>
          <w:szCs w:val="24"/>
          <w:bdr w:val="nil"/>
        </w:rPr>
      </w:pPr>
      <w:r w:rsidRPr="00C20DF1">
        <w:rPr>
          <w:rFonts w:cs="Arial"/>
          <w:szCs w:val="20"/>
        </w:rPr>
        <w:t xml:space="preserve">In addition, as agreed by the Deputies, the Council of Europe </w:t>
      </w:r>
      <w:r w:rsidRPr="00C20DF1">
        <w:rPr>
          <w:rFonts w:eastAsia="Times New Roman" w:cs="Arial"/>
          <w:szCs w:val="20"/>
          <w:lang w:eastAsia="fr-FR"/>
        </w:rPr>
        <w:t xml:space="preserve">Policy towards neighbouring regions </w:t>
      </w:r>
      <w:r w:rsidRPr="00C20DF1">
        <w:rPr>
          <w:rFonts w:cs="Arial"/>
          <w:szCs w:val="20"/>
        </w:rPr>
        <w:t>is open to other beneficiaries in the region.</w:t>
      </w:r>
      <w:r w:rsidRPr="00C20DF1">
        <w:rPr>
          <w:rFonts w:cs="Arial"/>
          <w:szCs w:val="20"/>
          <w:vertAlign w:val="superscript"/>
        </w:rPr>
        <w:footnoteReference w:id="15"/>
      </w:r>
      <w:r w:rsidRPr="00C20DF1">
        <w:rPr>
          <w:rFonts w:cs="Arial"/>
          <w:szCs w:val="20"/>
        </w:rPr>
        <w:t xml:space="preserve"> As proposed by the Secretary General</w:t>
      </w:r>
      <w:r w:rsidR="000E3C94">
        <w:rPr>
          <w:rFonts w:cs="Arial"/>
          <w:szCs w:val="20"/>
        </w:rPr>
        <w:t>,</w:t>
      </w:r>
      <w:r w:rsidRPr="00C20DF1">
        <w:rPr>
          <w:rFonts w:cs="Arial"/>
          <w:szCs w:val="20"/>
          <w:vertAlign w:val="superscript"/>
        </w:rPr>
        <w:footnoteReference w:id="16"/>
      </w:r>
      <w:r w:rsidRPr="00C20DF1">
        <w:rPr>
          <w:rFonts w:cs="Arial"/>
          <w:szCs w:val="20"/>
        </w:rPr>
        <w:t xml:space="preserve"> in case another country requests specific assistance, Council of Europe </w:t>
      </w:r>
      <w:r w:rsidRPr="00C20DF1">
        <w:rPr>
          <w:rFonts w:cs="Arial"/>
          <w:b/>
          <w:i/>
          <w:szCs w:val="20"/>
        </w:rPr>
        <w:t>ad hoc</w:t>
      </w:r>
      <w:r w:rsidRPr="00C20DF1">
        <w:rPr>
          <w:rFonts w:cs="Arial"/>
          <w:b/>
          <w:szCs w:val="20"/>
        </w:rPr>
        <w:t xml:space="preserve"> involvement</w:t>
      </w:r>
      <w:r w:rsidRPr="00C20DF1">
        <w:rPr>
          <w:rFonts w:cs="Arial"/>
          <w:szCs w:val="20"/>
        </w:rPr>
        <w:t xml:space="preserve"> and/or involvement within a </w:t>
      </w:r>
      <w:r w:rsidRPr="00C20DF1">
        <w:rPr>
          <w:rFonts w:cs="Arial"/>
          <w:b/>
          <w:szCs w:val="20"/>
        </w:rPr>
        <w:t xml:space="preserve">regional </w:t>
      </w:r>
      <w:r w:rsidRPr="00B60AEB">
        <w:rPr>
          <w:rFonts w:cs="Arial"/>
          <w:b/>
          <w:szCs w:val="20"/>
        </w:rPr>
        <w:t xml:space="preserve">dimension </w:t>
      </w:r>
      <w:r w:rsidRPr="00C20DF1">
        <w:rPr>
          <w:rFonts w:cs="Arial"/>
          <w:szCs w:val="20"/>
        </w:rPr>
        <w:t>should be considered first. For example, the Venice Commission has provided legal expertise on draft Libyan electoral legislation and is currently working with Egypt on judicial institutions.</w:t>
      </w:r>
    </w:p>
    <w:p w:rsidR="00C20DF1" w:rsidRPr="00C20DF1" w:rsidRDefault="00C20DF1" w:rsidP="00C20DF1">
      <w:pPr>
        <w:pBdr>
          <w:top w:val="nil"/>
          <w:left w:val="nil"/>
          <w:bottom w:val="nil"/>
          <w:right w:val="nil"/>
          <w:between w:val="nil"/>
          <w:bar w:val="nil"/>
        </w:pBdr>
        <w:rPr>
          <w:rFonts w:cs="Arial"/>
          <w:szCs w:val="20"/>
        </w:rPr>
      </w:pPr>
    </w:p>
    <w:p w:rsidR="00C20DF1" w:rsidRPr="00C20DF1" w:rsidRDefault="00C20DF1" w:rsidP="00667FB1">
      <w:pPr>
        <w:numPr>
          <w:ilvl w:val="0"/>
          <w:numId w:val="1"/>
        </w:numPr>
        <w:pBdr>
          <w:top w:val="nil"/>
          <w:left w:val="nil"/>
          <w:bottom w:val="nil"/>
          <w:right w:val="nil"/>
          <w:between w:val="nil"/>
          <w:bar w:val="nil"/>
        </w:pBdr>
        <w:ind w:left="714" w:hanging="714"/>
        <w:rPr>
          <w:rFonts w:cs="Arial"/>
          <w:b/>
          <w:color w:val="000000"/>
          <w:szCs w:val="20"/>
          <w:u w:color="000000"/>
          <w:lang w:val="en-US" w:eastAsia="en-GB"/>
        </w:rPr>
      </w:pPr>
      <w:r w:rsidRPr="00C20DF1">
        <w:rPr>
          <w:rFonts w:cs="Arial"/>
          <w:b/>
          <w:color w:val="000000"/>
          <w:szCs w:val="20"/>
          <w:u w:color="000000"/>
          <w:lang w:val="en-US" w:eastAsia="en-GB"/>
        </w:rPr>
        <w:t>Lessons learned and perspectives</w:t>
      </w:r>
    </w:p>
    <w:p w:rsidR="00C20DF1" w:rsidRPr="00C20DF1" w:rsidRDefault="00C20DF1" w:rsidP="00C20DF1">
      <w:pPr>
        <w:rPr>
          <w:rFonts w:eastAsia="Times New Roman" w:cs="Arial"/>
          <w:color w:val="000000"/>
          <w:szCs w:val="20"/>
          <w:lang w:eastAsia="fr-FR"/>
        </w:rPr>
      </w:pPr>
    </w:p>
    <w:p w:rsidR="00C20DF1" w:rsidRPr="00C20DF1" w:rsidRDefault="00C20DF1" w:rsidP="00C20DF1">
      <w:pPr>
        <w:rPr>
          <w:rFonts w:eastAsia="Times New Roman" w:cs="Arial"/>
          <w:color w:val="000000"/>
          <w:szCs w:val="20"/>
          <w:lang w:eastAsia="fr-FR"/>
        </w:rPr>
      </w:pPr>
      <w:r w:rsidRPr="00C20DF1">
        <w:rPr>
          <w:rFonts w:eastAsia="Times New Roman" w:cs="Arial"/>
          <w:color w:val="000000"/>
          <w:szCs w:val="20"/>
          <w:lang w:eastAsia="fr-FR"/>
        </w:rPr>
        <w:t xml:space="preserve">The Policy developed with relevant countries </w:t>
      </w:r>
      <w:r w:rsidRPr="00C20DF1">
        <w:rPr>
          <w:rFonts w:eastAsia="Times New Roman" w:cs="Arial"/>
          <w:szCs w:val="20"/>
          <w:lang w:eastAsia="fr-FR"/>
        </w:rPr>
        <w:t xml:space="preserve">in the Southern Mediterranean, Middle East and Central Asia, on the basis of the </w:t>
      </w:r>
      <w:r w:rsidRPr="00C20DF1">
        <w:rPr>
          <w:rFonts w:eastAsia="Times New Roman" w:cs="Arial"/>
          <w:color w:val="000000"/>
          <w:szCs w:val="20"/>
          <w:lang w:eastAsia="fr-FR"/>
        </w:rPr>
        <w:t xml:space="preserve">2011 “Istanbul parameters”, according to which co-operation with the countries concerned shall be, </w:t>
      </w:r>
      <w:r w:rsidRPr="00C20DF1">
        <w:rPr>
          <w:rFonts w:eastAsia="Times New Roman" w:cs="Arial"/>
          <w:i/>
          <w:color w:val="000000"/>
          <w:szCs w:val="20"/>
          <w:lang w:eastAsia="fr-FR"/>
        </w:rPr>
        <w:t>inter alia</w:t>
      </w:r>
      <w:r w:rsidRPr="00C20DF1">
        <w:rPr>
          <w:rFonts w:eastAsia="Times New Roman" w:cs="Arial"/>
          <w:color w:val="000000"/>
          <w:szCs w:val="20"/>
          <w:lang w:eastAsia="fr-FR"/>
        </w:rPr>
        <w:t xml:space="preserve">, demand-driven, tailored and flexible. </w:t>
      </w:r>
      <w:r w:rsidRPr="00C20DF1">
        <w:rPr>
          <w:rFonts w:cs="Arial"/>
          <w:szCs w:val="20"/>
          <w:bdr w:val="nil"/>
        </w:rPr>
        <w:t xml:space="preserve">The practice and developments in the </w:t>
      </w:r>
      <w:r w:rsidR="008E382C" w:rsidRPr="00B142BA">
        <w:rPr>
          <w:rFonts w:cs="Arial"/>
          <w:szCs w:val="20"/>
          <w:bdr w:val="nil"/>
        </w:rPr>
        <w:t>n</w:t>
      </w:r>
      <w:r w:rsidRPr="00C20DF1">
        <w:rPr>
          <w:rFonts w:cs="Arial"/>
          <w:szCs w:val="20"/>
          <w:bdr w:val="nil"/>
        </w:rPr>
        <w:t xml:space="preserve">eighbourhood regions confirmed the </w:t>
      </w:r>
      <w:r w:rsidRPr="00C20DF1">
        <w:rPr>
          <w:rFonts w:cs="Arial"/>
          <w:b/>
          <w:szCs w:val="20"/>
          <w:bdr w:val="nil"/>
        </w:rPr>
        <w:t xml:space="preserve">validity of the “Istanbul parameters” and </w:t>
      </w:r>
      <w:r w:rsidRPr="00C20DF1">
        <w:rPr>
          <w:rFonts w:eastAsia="Arial Unicode MS" w:cs="Arial"/>
          <w:b/>
          <w:szCs w:val="20"/>
          <w:bdr w:val="nil"/>
          <w:lang w:eastAsia="fr-FR"/>
        </w:rPr>
        <w:t>two pillars</w:t>
      </w:r>
      <w:r w:rsidRPr="00C20DF1">
        <w:rPr>
          <w:rFonts w:eastAsia="Arial Unicode MS" w:cs="Arial"/>
          <w:szCs w:val="20"/>
          <w:bdr w:val="nil"/>
          <w:lang w:eastAsia="fr-FR"/>
        </w:rPr>
        <w:t xml:space="preserve"> of the Policy, namely co-operation activities and political dialogue.</w:t>
      </w:r>
    </w:p>
    <w:p w:rsidR="00C20DF1" w:rsidRPr="00C20DF1" w:rsidRDefault="00C20DF1" w:rsidP="00C20DF1">
      <w:pPr>
        <w:rPr>
          <w:rFonts w:eastAsia="Times New Roman" w:cs="Arial"/>
          <w:color w:val="000000"/>
          <w:szCs w:val="20"/>
          <w:lang w:eastAsia="fr-FR"/>
        </w:rPr>
      </w:pPr>
    </w:p>
    <w:p w:rsidR="00C20DF1" w:rsidRPr="00C20DF1" w:rsidRDefault="00C20DF1" w:rsidP="00C20DF1">
      <w:pPr>
        <w:rPr>
          <w:rFonts w:eastAsia="Times New Roman" w:cs="Arial"/>
          <w:color w:val="000000"/>
          <w:szCs w:val="20"/>
          <w:lang w:eastAsia="fr-FR"/>
        </w:rPr>
      </w:pPr>
      <w:r w:rsidRPr="00C20DF1">
        <w:rPr>
          <w:rFonts w:eastAsia="Arial Unicode MS" w:cs="Arial"/>
          <w:szCs w:val="20"/>
          <w:bdr w:val="nil"/>
          <w:lang w:eastAsia="fr-FR"/>
        </w:rPr>
        <w:t>At present, in the framework of the Neighbourhood Policy, there are:</w:t>
      </w:r>
    </w:p>
    <w:p w:rsidR="00C20DF1" w:rsidRPr="00C20DF1" w:rsidRDefault="00C20DF1" w:rsidP="00C20DF1">
      <w:pPr>
        <w:rPr>
          <w:rFonts w:eastAsia="Arial Unicode MS" w:cs="Arial"/>
          <w:szCs w:val="20"/>
          <w:bdr w:val="nil"/>
          <w:lang w:eastAsia="fr-FR"/>
        </w:rPr>
      </w:pPr>
    </w:p>
    <w:p w:rsidR="00C20DF1" w:rsidRPr="00C20DF1" w:rsidRDefault="00C20DF1" w:rsidP="00667FB1">
      <w:pPr>
        <w:numPr>
          <w:ilvl w:val="0"/>
          <w:numId w:val="3"/>
        </w:numPr>
        <w:pBdr>
          <w:top w:val="nil"/>
          <w:left w:val="nil"/>
          <w:bottom w:val="nil"/>
          <w:right w:val="nil"/>
          <w:between w:val="nil"/>
          <w:bar w:val="nil"/>
        </w:pBdr>
        <w:ind w:left="709" w:hanging="709"/>
        <w:rPr>
          <w:rFonts w:eastAsia="Arial Unicode MS" w:cs="Arial"/>
          <w:color w:val="000000"/>
          <w:szCs w:val="20"/>
          <w:u w:color="000000"/>
          <w:bdr w:val="nil"/>
          <w:lang w:val="en-US" w:eastAsia="fr-FR"/>
        </w:rPr>
      </w:pPr>
      <w:r w:rsidRPr="00C20DF1">
        <w:rPr>
          <w:rFonts w:eastAsia="Arial Unicode MS" w:cs="Arial"/>
          <w:color w:val="000000"/>
          <w:szCs w:val="20"/>
          <w:u w:color="000000"/>
          <w:bdr w:val="nil"/>
          <w:lang w:val="en-US" w:eastAsia="fr-FR"/>
        </w:rPr>
        <w:t>Time-limited</w:t>
      </w:r>
      <w:r w:rsidRPr="00C20DF1">
        <w:rPr>
          <w:rFonts w:eastAsia="Arial Unicode MS" w:cs="Arial"/>
          <w:b/>
          <w:color w:val="000000"/>
          <w:szCs w:val="20"/>
          <w:u w:color="000000"/>
          <w:bdr w:val="nil"/>
          <w:lang w:val="en-US" w:eastAsia="fr-FR"/>
        </w:rPr>
        <w:t xml:space="preserve"> </w:t>
      </w:r>
      <w:proofErr w:type="spellStart"/>
      <w:r w:rsidRPr="00C20DF1">
        <w:rPr>
          <w:rFonts w:eastAsia="Arial Unicode MS" w:cs="Arial"/>
          <w:b/>
          <w:i/>
          <w:color w:val="000000"/>
          <w:szCs w:val="20"/>
          <w:u w:color="000000"/>
          <w:bdr w:val="nil"/>
          <w:lang w:val="en-US" w:eastAsia="fr-FR"/>
        </w:rPr>
        <w:t>Neighbourhood</w:t>
      </w:r>
      <w:proofErr w:type="spellEnd"/>
      <w:r w:rsidRPr="00C20DF1">
        <w:rPr>
          <w:rFonts w:eastAsia="Arial Unicode MS" w:cs="Arial"/>
          <w:b/>
          <w:i/>
          <w:color w:val="000000"/>
          <w:szCs w:val="20"/>
          <w:u w:color="000000"/>
          <w:bdr w:val="nil"/>
          <w:lang w:val="en-US" w:eastAsia="fr-FR"/>
        </w:rPr>
        <w:t xml:space="preserve"> Partnerships</w:t>
      </w:r>
      <w:r w:rsidRPr="00C20DF1">
        <w:rPr>
          <w:rFonts w:eastAsia="Arial Unicode MS" w:cs="Arial"/>
          <w:b/>
          <w:color w:val="000000"/>
          <w:szCs w:val="20"/>
          <w:u w:color="000000"/>
          <w:bdr w:val="nil"/>
          <w:lang w:val="en-US" w:eastAsia="fr-FR"/>
        </w:rPr>
        <w:t xml:space="preserve"> </w:t>
      </w:r>
      <w:r w:rsidRPr="00C20DF1">
        <w:rPr>
          <w:rFonts w:eastAsia="Times New Roman" w:cs="Arial"/>
          <w:b/>
          <w:bCs/>
          <w:color w:val="000000"/>
          <w:szCs w:val="20"/>
          <w:u w:color="000000"/>
          <w:lang w:val="en-US" w:eastAsia="en-GB"/>
        </w:rPr>
        <w:t xml:space="preserve">with </w:t>
      </w:r>
      <w:r w:rsidRPr="00C20DF1">
        <w:rPr>
          <w:rFonts w:eastAsia="Arial Unicode MS" w:cs="Arial"/>
          <w:b/>
          <w:bCs/>
          <w:color w:val="000000"/>
          <w:szCs w:val="20"/>
          <w:u w:color="000000"/>
          <w:bdr w:val="nil"/>
          <w:lang w:val="en-US" w:eastAsia="en-GB"/>
        </w:rPr>
        <w:t xml:space="preserve">Morocco and Tunisia </w:t>
      </w:r>
      <w:r w:rsidRPr="00C20DF1">
        <w:rPr>
          <w:rFonts w:eastAsia="Arial Unicode MS" w:cs="Arial"/>
          <w:bCs/>
          <w:color w:val="000000"/>
          <w:szCs w:val="20"/>
          <w:u w:color="000000"/>
          <w:bdr w:val="nil"/>
          <w:lang w:val="en-US" w:eastAsia="en-GB"/>
        </w:rPr>
        <w:t>(“second generation” co</w:t>
      </w:r>
      <w:r w:rsidRPr="00C20DF1">
        <w:rPr>
          <w:rFonts w:eastAsia="Arial Unicode MS" w:cs="Arial"/>
          <w:bCs/>
          <w:color w:val="000000"/>
          <w:szCs w:val="20"/>
          <w:u w:color="000000"/>
          <w:bdr w:val="nil"/>
          <w:lang w:val="en-US" w:eastAsia="en-GB"/>
        </w:rPr>
        <w:noBreakHyphen/>
        <w:t>operation documents)</w:t>
      </w:r>
      <w:r w:rsidRPr="00C20DF1">
        <w:rPr>
          <w:rFonts w:eastAsia="Times New Roman" w:cs="Arial"/>
          <w:bCs/>
          <w:color w:val="000000"/>
          <w:szCs w:val="20"/>
          <w:u w:color="000000"/>
          <w:lang w:val="en-US" w:eastAsia="en-GB"/>
        </w:rPr>
        <w:t>,</w:t>
      </w:r>
      <w:r w:rsidRPr="00C20DF1">
        <w:rPr>
          <w:rFonts w:eastAsia="Times New Roman" w:cs="Arial"/>
          <w:b/>
          <w:bCs/>
          <w:color w:val="000000"/>
          <w:szCs w:val="20"/>
          <w:u w:color="000000"/>
          <w:lang w:val="en-US" w:eastAsia="en-GB"/>
        </w:rPr>
        <w:t xml:space="preserve"> </w:t>
      </w:r>
      <w:r w:rsidRPr="00C20DF1">
        <w:rPr>
          <w:rFonts w:eastAsia="Arial Unicode MS" w:cs="Arial"/>
          <w:color w:val="000000"/>
          <w:szCs w:val="20"/>
          <w:u w:color="000000"/>
          <w:bdr w:val="nil"/>
          <w:lang w:val="en-US" w:eastAsia="fr-FR"/>
        </w:rPr>
        <w:t xml:space="preserve">the </w:t>
      </w:r>
      <w:r w:rsidRPr="00C20DF1">
        <w:rPr>
          <w:rFonts w:eastAsia="Arial Unicode MS" w:cs="Arial"/>
          <w:b/>
          <w:color w:val="000000"/>
          <w:szCs w:val="20"/>
          <w:u w:color="000000"/>
          <w:bdr w:val="nil"/>
          <w:lang w:val="en-US" w:eastAsia="fr-FR"/>
        </w:rPr>
        <w:t>most advanced</w:t>
      </w:r>
      <w:r w:rsidRPr="00C20DF1">
        <w:rPr>
          <w:rFonts w:eastAsia="Arial Unicode MS" w:cs="Arial"/>
          <w:color w:val="000000"/>
          <w:szCs w:val="20"/>
          <w:u w:color="000000"/>
          <w:bdr w:val="nil"/>
          <w:lang w:val="en-US" w:eastAsia="fr-FR"/>
        </w:rPr>
        <w:t xml:space="preserve"> Partners, </w:t>
      </w:r>
      <w:r w:rsidRPr="00C20DF1">
        <w:rPr>
          <w:rFonts w:eastAsia="Arial Unicode MS" w:cs="Arial"/>
          <w:bCs/>
          <w:color w:val="000000"/>
          <w:szCs w:val="20"/>
          <w:u w:color="000000"/>
          <w:bdr w:val="nil"/>
          <w:lang w:val="en-US" w:eastAsia="en-GB"/>
        </w:rPr>
        <w:t>combining an enhanced political dialogue and co</w:t>
      </w:r>
      <w:r w:rsidRPr="00C20DF1">
        <w:rPr>
          <w:rFonts w:eastAsia="Arial Unicode MS" w:cs="Arial"/>
          <w:bCs/>
          <w:color w:val="000000"/>
          <w:szCs w:val="20"/>
          <w:u w:color="000000"/>
          <w:bdr w:val="nil"/>
          <w:lang w:val="en-US" w:eastAsia="en-GB"/>
        </w:rPr>
        <w:noBreakHyphen/>
        <w:t xml:space="preserve">operation activities </w:t>
      </w:r>
      <w:r w:rsidRPr="00C20DF1">
        <w:rPr>
          <w:rFonts w:eastAsia="Times New Roman" w:cs="Arial"/>
          <w:bCs/>
          <w:color w:val="000000"/>
          <w:szCs w:val="20"/>
          <w:u w:color="000000"/>
          <w:lang w:val="en-US" w:eastAsia="en-GB"/>
        </w:rPr>
        <w:t>for the period 2018-2021</w:t>
      </w:r>
      <w:r w:rsidRPr="00C20DF1">
        <w:rPr>
          <w:rFonts w:eastAsia="Arial Unicode MS" w:cs="Arial"/>
          <w:bCs/>
          <w:color w:val="000000"/>
          <w:szCs w:val="20"/>
          <w:u w:color="000000"/>
          <w:bdr w:val="nil"/>
          <w:lang w:val="en-US" w:eastAsia="en-GB"/>
        </w:rPr>
        <w:t>.</w:t>
      </w:r>
      <w:r w:rsidRPr="00C20DF1">
        <w:rPr>
          <w:rFonts w:eastAsia="Arial Unicode MS" w:cs="Arial"/>
          <w:b/>
          <w:color w:val="000000"/>
          <w:szCs w:val="20"/>
          <w:u w:color="000000"/>
          <w:bdr w:val="nil"/>
          <w:lang w:val="en-US" w:eastAsia="fr-FR"/>
        </w:rPr>
        <w:t xml:space="preserve"> </w:t>
      </w:r>
      <w:r w:rsidRPr="00C20DF1">
        <w:rPr>
          <w:rFonts w:eastAsia="Arial Unicode MS" w:cs="Arial"/>
          <w:color w:val="000000"/>
          <w:szCs w:val="20"/>
          <w:u w:color="000000"/>
          <w:bdr w:val="nil"/>
          <w:lang w:val="en-US" w:eastAsia="en-GB"/>
        </w:rPr>
        <w:t xml:space="preserve">With respect to Jordan, there has been no response to date to the draft </w:t>
      </w:r>
      <w:proofErr w:type="spellStart"/>
      <w:r w:rsidRPr="00C20DF1">
        <w:rPr>
          <w:rFonts w:eastAsia="Arial Unicode MS" w:cs="Arial"/>
          <w:color w:val="000000"/>
          <w:szCs w:val="20"/>
          <w:u w:color="000000"/>
          <w:bdr w:val="nil"/>
          <w:lang w:val="en-US" w:eastAsia="en-GB"/>
        </w:rPr>
        <w:t>Neighbourhood</w:t>
      </w:r>
      <w:proofErr w:type="spellEnd"/>
      <w:r w:rsidRPr="00C20DF1">
        <w:rPr>
          <w:rFonts w:eastAsia="Arial Unicode MS" w:cs="Arial"/>
          <w:color w:val="000000"/>
          <w:szCs w:val="20"/>
          <w:u w:color="000000"/>
          <w:bdr w:val="nil"/>
          <w:lang w:val="en-US" w:eastAsia="en-GB"/>
        </w:rPr>
        <w:t xml:space="preserve"> Partnership for 2018-2021.</w:t>
      </w:r>
    </w:p>
    <w:p w:rsidR="00C20DF1" w:rsidRPr="00C20DF1" w:rsidRDefault="00C20DF1" w:rsidP="00667FB1">
      <w:pPr>
        <w:ind w:left="709" w:hanging="709"/>
        <w:rPr>
          <w:rFonts w:eastAsia="Arial Unicode MS" w:cs="Arial"/>
          <w:color w:val="000000"/>
          <w:szCs w:val="20"/>
          <w:u w:color="000000"/>
          <w:bdr w:val="nil"/>
          <w:lang w:val="en-US" w:eastAsia="fr-FR"/>
        </w:rPr>
      </w:pPr>
    </w:p>
    <w:p w:rsidR="00CF4543" w:rsidRPr="000E3C94" w:rsidRDefault="00C20DF1" w:rsidP="000E3C94">
      <w:pPr>
        <w:pStyle w:val="ListParagraph"/>
        <w:numPr>
          <w:ilvl w:val="0"/>
          <w:numId w:val="3"/>
        </w:numPr>
        <w:pBdr>
          <w:top w:val="nil"/>
          <w:left w:val="nil"/>
          <w:bottom w:val="nil"/>
          <w:right w:val="nil"/>
          <w:between w:val="nil"/>
          <w:bar w:val="nil"/>
        </w:pBdr>
        <w:ind w:left="709" w:hanging="709"/>
        <w:rPr>
          <w:rFonts w:eastAsia="Times New Roman" w:cs="Arial"/>
          <w:color w:val="000000"/>
          <w:szCs w:val="20"/>
          <w:u w:color="000000"/>
          <w:lang w:val="en-US" w:eastAsia="en-GB"/>
        </w:rPr>
      </w:pPr>
      <w:r w:rsidRPr="000E3C94">
        <w:rPr>
          <w:rFonts w:eastAsia="Arial Unicode MS" w:cs="Arial"/>
          <w:color w:val="000000"/>
          <w:szCs w:val="20"/>
          <w:u w:color="000000"/>
          <w:bdr w:val="nil"/>
          <w:lang w:val="en-US" w:eastAsia="fr-FR"/>
        </w:rPr>
        <w:t>Time-limited</w:t>
      </w:r>
      <w:r w:rsidRPr="000E3C94">
        <w:rPr>
          <w:rFonts w:eastAsia="Arial Unicode MS" w:cs="Arial"/>
          <w:b/>
          <w:color w:val="000000"/>
          <w:szCs w:val="20"/>
          <w:u w:color="000000"/>
          <w:bdr w:val="nil"/>
          <w:lang w:val="en-US" w:eastAsia="fr-FR"/>
        </w:rPr>
        <w:t xml:space="preserve"> </w:t>
      </w:r>
      <w:proofErr w:type="spellStart"/>
      <w:r w:rsidRPr="000E3C94">
        <w:rPr>
          <w:rFonts w:eastAsia="Arial Unicode MS" w:cs="Arial"/>
          <w:b/>
          <w:i/>
          <w:color w:val="000000"/>
          <w:szCs w:val="20"/>
          <w:u w:color="000000"/>
          <w:bdr w:val="nil"/>
          <w:lang w:val="en-US" w:eastAsia="fr-FR"/>
        </w:rPr>
        <w:t>Neighbourhood</w:t>
      </w:r>
      <w:proofErr w:type="spellEnd"/>
      <w:r w:rsidRPr="000E3C94">
        <w:rPr>
          <w:rFonts w:eastAsia="Arial Unicode MS" w:cs="Arial"/>
          <w:b/>
          <w:i/>
          <w:color w:val="000000"/>
          <w:szCs w:val="20"/>
          <w:u w:color="000000"/>
          <w:bdr w:val="nil"/>
          <w:lang w:val="en-US" w:eastAsia="fr-FR"/>
        </w:rPr>
        <w:t xml:space="preserve"> Co-operation Priorities</w:t>
      </w:r>
      <w:r w:rsidRPr="000E3C94">
        <w:rPr>
          <w:rFonts w:eastAsia="Arial Unicode MS" w:cs="Arial"/>
          <w:color w:val="000000"/>
          <w:szCs w:val="20"/>
          <w:u w:color="000000"/>
          <w:bdr w:val="nil"/>
          <w:lang w:val="en-US" w:eastAsia="fr-FR"/>
        </w:rPr>
        <w:t xml:space="preserve"> (“first generation” co-operation documents) </w:t>
      </w:r>
      <w:r w:rsidRPr="000E3C94">
        <w:rPr>
          <w:rFonts w:eastAsia="Arial Unicode MS" w:cs="Arial"/>
          <w:color w:val="000000"/>
          <w:szCs w:val="20"/>
          <w:u w:color="000000"/>
          <w:bdr w:val="nil"/>
          <w:lang w:val="en-US" w:eastAsia="en-GB"/>
        </w:rPr>
        <w:t xml:space="preserve">with </w:t>
      </w:r>
      <w:r w:rsidRPr="000E3C94">
        <w:rPr>
          <w:rFonts w:eastAsia="Arial Unicode MS" w:cs="Arial"/>
          <w:b/>
          <w:color w:val="000000"/>
          <w:szCs w:val="20"/>
          <w:u w:color="000000"/>
          <w:bdr w:val="nil"/>
          <w:lang w:val="en-US" w:eastAsia="fr-FR"/>
        </w:rPr>
        <w:t>the Kyrgyz Republic</w:t>
      </w:r>
      <w:r w:rsidRPr="000E3C94">
        <w:rPr>
          <w:rFonts w:eastAsia="Arial Unicode MS" w:cs="Arial"/>
          <w:color w:val="000000"/>
          <w:szCs w:val="20"/>
          <w:u w:color="000000"/>
          <w:bdr w:val="nil"/>
          <w:lang w:val="en-US" w:eastAsia="fr-FR"/>
        </w:rPr>
        <w:t xml:space="preserve"> and </w:t>
      </w:r>
      <w:r w:rsidRPr="000E3C94">
        <w:rPr>
          <w:rFonts w:eastAsia="Arial Unicode MS" w:cs="Arial"/>
          <w:b/>
          <w:color w:val="000000"/>
          <w:szCs w:val="20"/>
          <w:u w:color="000000"/>
          <w:bdr w:val="nil"/>
          <w:lang w:val="en-US" w:eastAsia="fr-FR"/>
        </w:rPr>
        <w:t>Palestine*</w:t>
      </w:r>
      <w:r w:rsidRPr="000E3C94">
        <w:rPr>
          <w:rFonts w:eastAsia="Arial Unicode MS" w:cs="Arial"/>
          <w:color w:val="000000"/>
          <w:szCs w:val="20"/>
          <w:u w:color="000000"/>
          <w:bdr w:val="nil"/>
          <w:lang w:val="en-US" w:eastAsia="fr-FR"/>
        </w:rPr>
        <w:t xml:space="preserve">. </w:t>
      </w:r>
      <w:r w:rsidRPr="000E3C94">
        <w:rPr>
          <w:rFonts w:eastAsia="Times New Roman" w:cs="Arial"/>
          <w:color w:val="000000"/>
          <w:szCs w:val="20"/>
          <w:u w:color="000000"/>
          <w:lang w:val="en-US" w:eastAsia="en-GB"/>
        </w:rPr>
        <w:t xml:space="preserve">With respect to </w:t>
      </w:r>
      <w:r w:rsidRPr="000E3C94">
        <w:rPr>
          <w:rFonts w:eastAsia="Times New Roman" w:cs="Arial"/>
          <w:b/>
          <w:color w:val="000000"/>
          <w:szCs w:val="20"/>
          <w:u w:color="000000"/>
          <w:lang w:val="en-US" w:eastAsia="en-GB"/>
        </w:rPr>
        <w:t>Kazakhstan</w:t>
      </w:r>
      <w:r w:rsidRPr="000E3C94">
        <w:rPr>
          <w:rFonts w:eastAsia="Times New Roman" w:cs="Arial"/>
          <w:color w:val="000000"/>
          <w:szCs w:val="20"/>
          <w:u w:color="000000"/>
          <w:lang w:val="en-US" w:eastAsia="en-GB"/>
        </w:rPr>
        <w:t>, further to the extension of the 2014-2015 “</w:t>
      </w:r>
      <w:proofErr w:type="spellStart"/>
      <w:r w:rsidRPr="000E3C94">
        <w:rPr>
          <w:rFonts w:eastAsia="Times New Roman" w:cs="Arial"/>
          <w:color w:val="000000"/>
          <w:szCs w:val="20"/>
          <w:u w:color="000000"/>
          <w:lang w:val="en-US" w:eastAsia="en-GB"/>
        </w:rPr>
        <w:t>Neighbourhood</w:t>
      </w:r>
      <w:proofErr w:type="spellEnd"/>
      <w:r w:rsidRPr="000E3C94">
        <w:rPr>
          <w:rFonts w:eastAsia="Times New Roman" w:cs="Arial"/>
          <w:color w:val="000000"/>
          <w:szCs w:val="20"/>
          <w:u w:color="000000"/>
          <w:lang w:val="en-US" w:eastAsia="en-GB"/>
        </w:rPr>
        <w:t xml:space="preserve"> Co-operation Priorities for Kazakhstan</w:t>
      </w:r>
      <w:r w:rsidR="00CF4543" w:rsidRPr="000E3C94">
        <w:rPr>
          <w:rFonts w:eastAsia="Times New Roman" w:cs="Arial"/>
          <w:color w:val="000000"/>
          <w:szCs w:val="20"/>
          <w:u w:color="000000"/>
          <w:lang w:val="en-US" w:eastAsia="en-GB"/>
        </w:rPr>
        <w:t>”</w:t>
      </w:r>
      <w:r w:rsidRPr="000E3C94">
        <w:rPr>
          <w:rFonts w:eastAsia="Times New Roman" w:cs="Arial"/>
          <w:color w:val="000000"/>
          <w:szCs w:val="20"/>
          <w:u w:color="000000"/>
          <w:lang w:val="en-US" w:eastAsia="en-GB"/>
        </w:rPr>
        <w:t xml:space="preserve"> until 2018, a </w:t>
      </w:r>
      <w:r w:rsidRPr="000E3C94">
        <w:rPr>
          <w:rFonts w:eastAsia="Times New Roman" w:cs="Arial"/>
          <w:b/>
          <w:color w:val="000000"/>
          <w:szCs w:val="20"/>
          <w:u w:color="000000"/>
          <w:lang w:val="en-US" w:eastAsia="en-GB"/>
        </w:rPr>
        <w:t>new document</w:t>
      </w:r>
      <w:r w:rsidRPr="000E3C94">
        <w:rPr>
          <w:rFonts w:eastAsia="Times New Roman" w:cs="Arial"/>
          <w:color w:val="000000"/>
          <w:szCs w:val="20"/>
          <w:u w:color="000000"/>
          <w:lang w:val="en-US" w:eastAsia="en-GB"/>
        </w:rPr>
        <w:t xml:space="preserve"> of co</w:t>
      </w:r>
      <w:r w:rsidRPr="000E3C94">
        <w:rPr>
          <w:rFonts w:eastAsia="Times New Roman" w:cs="Arial"/>
          <w:color w:val="000000"/>
          <w:szCs w:val="20"/>
          <w:u w:color="000000"/>
          <w:lang w:val="en-US" w:eastAsia="en-GB"/>
        </w:rPr>
        <w:noBreakHyphen/>
        <w:t xml:space="preserve">operation </w:t>
      </w:r>
      <w:r w:rsidR="00CF6BF9" w:rsidRPr="000E3C94">
        <w:rPr>
          <w:rFonts w:eastAsia="Times New Roman" w:cs="Arial"/>
          <w:color w:val="000000"/>
          <w:szCs w:val="20"/>
          <w:u w:color="000000"/>
          <w:lang w:val="en-US" w:eastAsia="en-GB"/>
        </w:rPr>
        <w:t>[has recently been adopted]</w:t>
      </w:r>
      <w:r w:rsidRPr="000E3C94">
        <w:rPr>
          <w:rFonts w:eastAsia="Times New Roman" w:cs="Arial"/>
          <w:color w:val="000000"/>
          <w:szCs w:val="20"/>
          <w:u w:color="000000"/>
          <w:lang w:val="en-US" w:eastAsia="en-GB"/>
        </w:rPr>
        <w:t>.</w:t>
      </w:r>
    </w:p>
    <w:p w:rsidR="00CF4543" w:rsidRPr="00C20DF1" w:rsidRDefault="00CF4543" w:rsidP="00F9084D">
      <w:pPr>
        <w:pBdr>
          <w:top w:val="nil"/>
          <w:left w:val="nil"/>
          <w:bottom w:val="nil"/>
          <w:right w:val="nil"/>
          <w:between w:val="nil"/>
          <w:bar w:val="nil"/>
        </w:pBdr>
        <w:ind w:left="360"/>
        <w:rPr>
          <w:rFonts w:eastAsia="Times New Roman" w:cs="Arial"/>
          <w:color w:val="000000"/>
          <w:szCs w:val="20"/>
          <w:u w:color="000000"/>
          <w:lang w:val="en-US" w:eastAsia="en-GB"/>
        </w:rPr>
      </w:pPr>
    </w:p>
    <w:p w:rsidR="00C20DF1" w:rsidRPr="00C20DF1" w:rsidRDefault="00C20DF1" w:rsidP="00C20DF1">
      <w:pPr>
        <w:pBdr>
          <w:top w:val="nil"/>
          <w:left w:val="nil"/>
          <w:bottom w:val="nil"/>
          <w:right w:val="nil"/>
          <w:between w:val="nil"/>
          <w:bar w:val="nil"/>
        </w:pBdr>
        <w:rPr>
          <w:rFonts w:cs="Arial"/>
          <w:color w:val="000000"/>
          <w:szCs w:val="20"/>
          <w:u w:color="000000"/>
          <w:bdr w:val="nil"/>
          <w:lang w:val="en-US" w:eastAsia="en-GB"/>
        </w:rPr>
      </w:pPr>
      <w:r w:rsidRPr="00C20DF1">
        <w:rPr>
          <w:rFonts w:cs="Arial"/>
          <w:b/>
          <w:color w:val="000000"/>
          <w:szCs w:val="20"/>
          <w:u w:color="000000"/>
          <w:bdr w:val="nil"/>
          <w:lang w:val="en-US" w:eastAsia="en-GB"/>
        </w:rPr>
        <w:t xml:space="preserve">Regional activities and targeted ad hoc co-operation </w:t>
      </w:r>
      <w:r w:rsidRPr="00C20DF1">
        <w:rPr>
          <w:rFonts w:cs="Arial"/>
          <w:color w:val="000000"/>
          <w:szCs w:val="20"/>
          <w:u w:color="000000"/>
          <w:bdr w:val="nil"/>
          <w:lang w:val="en-US" w:eastAsia="en-GB"/>
        </w:rPr>
        <w:t>also</w:t>
      </w:r>
      <w:r w:rsidRPr="00C20DF1">
        <w:rPr>
          <w:rFonts w:cs="Arial"/>
          <w:b/>
          <w:color w:val="000000"/>
          <w:szCs w:val="20"/>
          <w:u w:color="000000"/>
          <w:bdr w:val="nil"/>
          <w:lang w:val="en-US" w:eastAsia="en-GB"/>
        </w:rPr>
        <w:t xml:space="preserve"> </w:t>
      </w:r>
      <w:r w:rsidRPr="00C20DF1">
        <w:rPr>
          <w:rFonts w:cs="Arial"/>
          <w:color w:val="000000"/>
          <w:szCs w:val="20"/>
          <w:u w:color="000000"/>
          <w:bdr w:val="nil"/>
          <w:lang w:val="en-US" w:eastAsia="en-GB"/>
        </w:rPr>
        <w:t xml:space="preserve">take place with other countries of the region. </w:t>
      </w:r>
      <w:r w:rsidRPr="00C20DF1">
        <w:rPr>
          <w:rFonts w:cs="Arial"/>
          <w:b/>
          <w:color w:val="000000"/>
          <w:szCs w:val="20"/>
          <w:u w:color="000000"/>
          <w:bdr w:val="nil"/>
          <w:lang w:val="en-US" w:eastAsia="en-GB"/>
        </w:rPr>
        <w:t>Other forms</w:t>
      </w:r>
      <w:r w:rsidRPr="00C20DF1">
        <w:rPr>
          <w:rFonts w:cs="Arial"/>
          <w:color w:val="000000"/>
          <w:szCs w:val="20"/>
          <w:u w:color="000000"/>
          <w:bdr w:val="nil"/>
          <w:lang w:val="en-US" w:eastAsia="en-GB"/>
        </w:rPr>
        <w:t xml:space="preserve"> of co-operation have also been developed to cover other countries/situations, notably Israel. </w:t>
      </w:r>
    </w:p>
    <w:p w:rsidR="00C20DF1" w:rsidRPr="00C20DF1" w:rsidRDefault="00C20DF1" w:rsidP="00C20DF1">
      <w:pPr>
        <w:pBdr>
          <w:top w:val="nil"/>
          <w:left w:val="nil"/>
          <w:bottom w:val="nil"/>
          <w:right w:val="nil"/>
          <w:between w:val="nil"/>
          <w:bar w:val="nil"/>
        </w:pBdr>
        <w:rPr>
          <w:rFonts w:cs="Arial"/>
          <w:b/>
          <w:szCs w:val="20"/>
          <w:bdr w:val="nil"/>
        </w:rPr>
      </w:pPr>
    </w:p>
    <w:p w:rsidR="00C20DF1" w:rsidRPr="00C20DF1" w:rsidRDefault="00C20DF1" w:rsidP="00C20DF1">
      <w:pPr>
        <w:pBdr>
          <w:top w:val="nil"/>
          <w:left w:val="nil"/>
          <w:bottom w:val="nil"/>
          <w:right w:val="nil"/>
          <w:between w:val="nil"/>
          <w:bar w:val="nil"/>
        </w:pBdr>
        <w:rPr>
          <w:rFonts w:cs="Arial"/>
          <w:szCs w:val="20"/>
          <w:bdr w:val="nil"/>
        </w:rPr>
      </w:pPr>
      <w:r w:rsidRPr="00C20DF1">
        <w:rPr>
          <w:rFonts w:cs="Arial"/>
          <w:b/>
          <w:szCs w:val="20"/>
          <w:bdr w:val="nil"/>
        </w:rPr>
        <w:t>Tangible results</w:t>
      </w:r>
      <w:r w:rsidRPr="00C20DF1">
        <w:rPr>
          <w:rFonts w:cs="Arial"/>
          <w:szCs w:val="20"/>
          <w:bdr w:val="nil"/>
        </w:rPr>
        <w:t xml:space="preserve"> have already been achieved in the development of a common legal space through accession to Council of Europe instruments, the preparation and adoption of relevant legislation, as well as the setting-up of relevant institutions, with the assistance of the Council of Europe, notably in Morocco and Tunisia. The impact of co-operation with the Council of Europe is facilitated by the financial and political </w:t>
      </w:r>
      <w:r w:rsidRPr="00C20DF1">
        <w:rPr>
          <w:rFonts w:cs="Arial"/>
          <w:b/>
          <w:szCs w:val="20"/>
          <w:bdr w:val="nil"/>
        </w:rPr>
        <w:t>partnership with the EU</w:t>
      </w:r>
      <w:r w:rsidRPr="00C20DF1">
        <w:rPr>
          <w:rFonts w:cs="Arial"/>
          <w:szCs w:val="20"/>
          <w:bdr w:val="nil"/>
        </w:rPr>
        <w:t xml:space="preserve">. </w:t>
      </w:r>
      <w:r w:rsidRPr="00C20DF1">
        <w:rPr>
          <w:rFonts w:eastAsia="Arial Unicode MS" w:cs="Arial"/>
          <w:color w:val="000000"/>
          <w:szCs w:val="20"/>
          <w:bdr w:val="nil"/>
          <w:lang w:eastAsia="fr-FR"/>
        </w:rPr>
        <w:t xml:space="preserve">In all terms, </w:t>
      </w:r>
      <w:r w:rsidRPr="00C20DF1">
        <w:rPr>
          <w:rFonts w:eastAsia="Arial Unicode MS" w:cs="Arial"/>
          <w:b/>
          <w:color w:val="000000"/>
          <w:szCs w:val="20"/>
          <w:bdr w:val="nil"/>
          <w:lang w:eastAsia="fr-FR"/>
        </w:rPr>
        <w:t>Morocco and Tunisia</w:t>
      </w:r>
      <w:r w:rsidRPr="00C20DF1">
        <w:rPr>
          <w:rFonts w:eastAsia="Arial Unicode MS" w:cs="Arial"/>
          <w:color w:val="000000"/>
          <w:szCs w:val="20"/>
          <w:bdr w:val="nil"/>
          <w:lang w:eastAsia="fr-FR"/>
        </w:rPr>
        <w:t xml:space="preserve"> are the </w:t>
      </w:r>
      <w:r w:rsidRPr="00C20DF1">
        <w:rPr>
          <w:rFonts w:eastAsia="Arial Unicode MS" w:cs="Arial"/>
          <w:b/>
          <w:color w:val="000000"/>
          <w:szCs w:val="20"/>
          <w:bdr w:val="nil"/>
          <w:lang w:eastAsia="fr-FR"/>
        </w:rPr>
        <w:t>most eminent Partners</w:t>
      </w:r>
      <w:r w:rsidRPr="00C20DF1">
        <w:rPr>
          <w:rFonts w:eastAsia="Arial Unicode MS" w:cs="Arial"/>
          <w:color w:val="000000"/>
          <w:szCs w:val="20"/>
          <w:bdr w:val="nil"/>
          <w:lang w:eastAsia="fr-FR"/>
        </w:rPr>
        <w:t>. The Council of Europe Offices in Rabat and Tunis continue to play a catalysing role in the co-operation.</w:t>
      </w:r>
    </w:p>
    <w:p w:rsidR="00C20DF1" w:rsidRPr="00C20DF1" w:rsidRDefault="00C20DF1" w:rsidP="00C20DF1">
      <w:pPr>
        <w:pBdr>
          <w:top w:val="nil"/>
          <w:left w:val="nil"/>
          <w:bottom w:val="nil"/>
          <w:right w:val="nil"/>
          <w:between w:val="nil"/>
          <w:bar w:val="nil"/>
        </w:pBdr>
        <w:rPr>
          <w:rFonts w:eastAsia="Arial Unicode MS" w:cs="Arial"/>
          <w:color w:val="000000"/>
          <w:szCs w:val="20"/>
          <w:bdr w:val="nil"/>
          <w:lang w:eastAsia="fr-FR"/>
        </w:rPr>
      </w:pPr>
    </w:p>
    <w:p w:rsidR="00C20DF1" w:rsidRPr="00C20DF1" w:rsidRDefault="00C20DF1" w:rsidP="00C20DF1">
      <w:pPr>
        <w:pBdr>
          <w:top w:val="nil"/>
          <w:left w:val="nil"/>
          <w:bottom w:val="nil"/>
          <w:right w:val="nil"/>
          <w:between w:val="nil"/>
          <w:bar w:val="nil"/>
        </w:pBdr>
        <w:autoSpaceDE w:val="0"/>
        <w:autoSpaceDN w:val="0"/>
        <w:adjustRightInd w:val="0"/>
        <w:rPr>
          <w:rFonts w:eastAsia="Arial Unicode MS" w:cs="Arial"/>
          <w:szCs w:val="20"/>
          <w:bdr w:val="nil"/>
          <w:lang w:eastAsia="en-GB"/>
        </w:rPr>
      </w:pPr>
      <w:r w:rsidRPr="00C20DF1">
        <w:rPr>
          <w:rFonts w:cs="Arial"/>
          <w:szCs w:val="20"/>
          <w:bdr w:val="nil"/>
        </w:rPr>
        <w:t xml:space="preserve">The </w:t>
      </w:r>
      <w:r w:rsidRPr="00C20DF1">
        <w:rPr>
          <w:rFonts w:cs="Arial"/>
          <w:b/>
          <w:szCs w:val="20"/>
          <w:bdr w:val="nil"/>
        </w:rPr>
        <w:t>limitations</w:t>
      </w:r>
      <w:r w:rsidRPr="00C20DF1">
        <w:rPr>
          <w:rFonts w:cs="Arial"/>
          <w:szCs w:val="20"/>
          <w:bdr w:val="nil"/>
        </w:rPr>
        <w:t xml:space="preserve"> of the implementation of the Policy, however, have also become visible. In particular, practice has shown that the </w:t>
      </w:r>
      <w:r w:rsidRPr="00C20DF1">
        <w:rPr>
          <w:rFonts w:cs="Arial"/>
          <w:b/>
          <w:szCs w:val="20"/>
          <w:bdr w:val="nil"/>
        </w:rPr>
        <w:t>political will</w:t>
      </w:r>
      <w:r w:rsidRPr="00C20DF1">
        <w:rPr>
          <w:rFonts w:cs="Arial"/>
          <w:szCs w:val="20"/>
          <w:bdr w:val="nil"/>
        </w:rPr>
        <w:t xml:space="preserve"> of the beneficiary countries </w:t>
      </w:r>
      <w:r w:rsidRPr="00C20DF1">
        <w:rPr>
          <w:rFonts w:eastAsia="Arial Unicode MS" w:cs="Arial"/>
          <w:szCs w:val="20"/>
          <w:bdr w:val="nil"/>
          <w:lang w:eastAsia="en-GB"/>
        </w:rPr>
        <w:t xml:space="preserve">to carry out reforms has to coincide with their </w:t>
      </w:r>
      <w:r w:rsidRPr="00C20DF1">
        <w:rPr>
          <w:rFonts w:cs="Arial"/>
          <w:b/>
          <w:szCs w:val="20"/>
          <w:bdr w:val="nil"/>
        </w:rPr>
        <w:t>implementation capacities</w:t>
      </w:r>
      <w:r w:rsidRPr="00C20DF1">
        <w:rPr>
          <w:rFonts w:cs="Arial"/>
          <w:szCs w:val="20"/>
          <w:bdr w:val="nil"/>
        </w:rPr>
        <w:t>.</w:t>
      </w:r>
    </w:p>
    <w:p w:rsidR="00C20DF1" w:rsidRPr="00C20DF1" w:rsidRDefault="00C20DF1" w:rsidP="00C20DF1">
      <w:pPr>
        <w:pBdr>
          <w:top w:val="nil"/>
          <w:left w:val="nil"/>
          <w:bottom w:val="nil"/>
          <w:right w:val="nil"/>
          <w:between w:val="nil"/>
          <w:bar w:val="nil"/>
        </w:pBdr>
        <w:autoSpaceDE w:val="0"/>
        <w:autoSpaceDN w:val="0"/>
        <w:adjustRightInd w:val="0"/>
        <w:rPr>
          <w:rFonts w:eastAsia="Arial Unicode MS" w:cs="Arial"/>
          <w:szCs w:val="20"/>
          <w:bdr w:val="nil"/>
          <w:lang w:eastAsia="en-GB"/>
        </w:rPr>
      </w:pPr>
    </w:p>
    <w:p w:rsidR="00C20DF1" w:rsidRPr="00C20DF1" w:rsidRDefault="00C20DF1" w:rsidP="00C20DF1">
      <w:pPr>
        <w:pBdr>
          <w:top w:val="nil"/>
          <w:left w:val="nil"/>
          <w:bottom w:val="nil"/>
          <w:right w:val="nil"/>
          <w:between w:val="nil"/>
          <w:bar w:val="nil"/>
        </w:pBdr>
        <w:rPr>
          <w:rFonts w:cs="Arial"/>
          <w:szCs w:val="20"/>
          <w:bdr w:val="nil"/>
        </w:rPr>
      </w:pPr>
      <w:r w:rsidRPr="00C20DF1">
        <w:rPr>
          <w:rFonts w:cs="Arial"/>
          <w:szCs w:val="20"/>
          <w:bdr w:val="nil"/>
        </w:rPr>
        <w:t xml:space="preserve">Within the </w:t>
      </w:r>
      <w:r w:rsidRPr="00C20DF1">
        <w:rPr>
          <w:rFonts w:cs="Arial"/>
          <w:b/>
          <w:szCs w:val="20"/>
          <w:bdr w:val="nil"/>
        </w:rPr>
        <w:t>Council of Europe</w:t>
      </w:r>
      <w:r w:rsidRPr="00C20DF1">
        <w:rPr>
          <w:rFonts w:cs="Arial"/>
          <w:szCs w:val="20"/>
          <w:bdr w:val="nil"/>
        </w:rPr>
        <w:t>, the Policy has been</w:t>
      </w:r>
      <w:r w:rsidRPr="00C20DF1">
        <w:rPr>
          <w:rFonts w:cs="Arial"/>
          <w:b/>
          <w:szCs w:val="20"/>
          <w:bdr w:val="nil"/>
        </w:rPr>
        <w:t xml:space="preserve"> mainstreamed </w:t>
      </w:r>
      <w:r w:rsidRPr="00C20DF1">
        <w:rPr>
          <w:rFonts w:cs="Arial"/>
          <w:szCs w:val="20"/>
          <w:bdr w:val="nil"/>
        </w:rPr>
        <w:t>through the</w:t>
      </w:r>
      <w:r w:rsidR="00CF4543">
        <w:rPr>
          <w:rFonts w:cs="Arial"/>
          <w:szCs w:val="20"/>
          <w:bdr w:val="nil"/>
        </w:rPr>
        <w:t xml:space="preserve"> various</w:t>
      </w:r>
      <w:r w:rsidRPr="00C20DF1">
        <w:rPr>
          <w:rFonts w:cs="Arial"/>
          <w:szCs w:val="20"/>
          <w:bdr w:val="nil"/>
        </w:rPr>
        <w:t xml:space="preserve"> instruments and bodies</w:t>
      </w:r>
      <w:r w:rsidR="00CF4543">
        <w:rPr>
          <w:rFonts w:cs="Arial"/>
          <w:szCs w:val="20"/>
          <w:bdr w:val="nil"/>
        </w:rPr>
        <w:t xml:space="preserve"> of the Organisation</w:t>
      </w:r>
      <w:r w:rsidRPr="00C20DF1">
        <w:rPr>
          <w:rFonts w:cs="Arial"/>
          <w:szCs w:val="20"/>
          <w:bdr w:val="nil"/>
        </w:rPr>
        <w:t xml:space="preserve">. The Council of Europe was also able to adjust to the need to </w:t>
      </w:r>
      <w:r w:rsidRPr="00C20DF1">
        <w:rPr>
          <w:rFonts w:cs="Arial"/>
          <w:b/>
          <w:szCs w:val="20"/>
          <w:bdr w:val="nil"/>
        </w:rPr>
        <w:t>respond to the increasing trans-border threats</w:t>
      </w:r>
      <w:r w:rsidRPr="00C20DF1">
        <w:rPr>
          <w:rFonts w:cs="Arial"/>
          <w:szCs w:val="20"/>
          <w:bdr w:val="nil"/>
        </w:rPr>
        <w:t xml:space="preserve"> (migration, trafficking in human beings, terrorism and radicalisation).</w:t>
      </w:r>
    </w:p>
    <w:p w:rsidR="00C20DF1" w:rsidRPr="00C20DF1" w:rsidRDefault="00C20DF1" w:rsidP="00C20DF1">
      <w:pPr>
        <w:pBdr>
          <w:top w:val="nil"/>
          <w:left w:val="nil"/>
          <w:bottom w:val="nil"/>
          <w:right w:val="nil"/>
          <w:between w:val="nil"/>
          <w:bar w:val="nil"/>
        </w:pBdr>
        <w:rPr>
          <w:rFonts w:cs="Arial"/>
          <w:szCs w:val="20"/>
          <w:bdr w:val="nil"/>
        </w:rPr>
      </w:pPr>
    </w:p>
    <w:p w:rsidR="00C20DF1" w:rsidRPr="00C20DF1" w:rsidRDefault="00C20DF1" w:rsidP="00C20DF1">
      <w:pPr>
        <w:pBdr>
          <w:top w:val="nil"/>
          <w:left w:val="nil"/>
          <w:bottom w:val="nil"/>
          <w:right w:val="nil"/>
          <w:between w:val="nil"/>
          <w:bar w:val="nil"/>
        </w:pBdr>
        <w:rPr>
          <w:rFonts w:cs="Arial"/>
          <w:szCs w:val="20"/>
          <w:bdr w:val="nil"/>
        </w:rPr>
      </w:pPr>
      <w:r w:rsidRPr="00C20DF1">
        <w:rPr>
          <w:rFonts w:cs="Arial"/>
          <w:szCs w:val="20"/>
          <w:bdr w:val="nil"/>
        </w:rPr>
        <w:t xml:space="preserve">Regarding </w:t>
      </w:r>
      <w:r w:rsidRPr="00C20DF1">
        <w:rPr>
          <w:rFonts w:cs="Arial"/>
          <w:b/>
          <w:szCs w:val="20"/>
          <w:bdr w:val="nil"/>
        </w:rPr>
        <w:t>Council of Europe capacities</w:t>
      </w:r>
      <w:r w:rsidRPr="00C20DF1">
        <w:rPr>
          <w:rFonts w:cs="Arial"/>
          <w:szCs w:val="20"/>
          <w:bdr w:val="nil"/>
        </w:rPr>
        <w:t xml:space="preserve"> and the </w:t>
      </w:r>
      <w:r w:rsidRPr="00C20DF1">
        <w:rPr>
          <w:rFonts w:cs="Arial"/>
          <w:b/>
          <w:szCs w:val="20"/>
          <w:bdr w:val="nil"/>
        </w:rPr>
        <w:t xml:space="preserve">predominantly extra-budgetary </w:t>
      </w:r>
      <w:r w:rsidRPr="00C20DF1">
        <w:rPr>
          <w:rFonts w:cs="Arial"/>
          <w:szCs w:val="20"/>
          <w:bdr w:val="nil"/>
        </w:rPr>
        <w:t>financing</w:t>
      </w:r>
      <w:r w:rsidRPr="00C20DF1">
        <w:rPr>
          <w:rFonts w:cs="Arial"/>
          <w:b/>
          <w:szCs w:val="20"/>
          <w:bdr w:val="nil"/>
        </w:rPr>
        <w:t xml:space="preserve"> </w:t>
      </w:r>
      <w:r w:rsidRPr="00C20DF1">
        <w:rPr>
          <w:rFonts w:cs="Arial"/>
          <w:szCs w:val="20"/>
          <w:bdr w:val="nil"/>
        </w:rPr>
        <w:t>of the Policy</w:t>
      </w:r>
      <w:r w:rsidRPr="00C20DF1">
        <w:rPr>
          <w:rFonts w:cs="Arial"/>
          <w:b/>
          <w:szCs w:val="20"/>
          <w:bdr w:val="nil"/>
        </w:rPr>
        <w:t xml:space="preserve"> </w:t>
      </w:r>
      <w:r w:rsidRPr="00C20DF1">
        <w:rPr>
          <w:rFonts w:cs="Arial"/>
          <w:szCs w:val="20"/>
          <w:bdr w:val="nil"/>
        </w:rPr>
        <w:t xml:space="preserve">decided in 2011, resources have been </w:t>
      </w:r>
      <w:r w:rsidRPr="00C20DF1">
        <w:rPr>
          <w:rFonts w:cs="Arial"/>
          <w:b/>
          <w:szCs w:val="20"/>
          <w:bdr w:val="nil"/>
        </w:rPr>
        <w:t>optimised</w:t>
      </w:r>
      <w:r w:rsidRPr="00C20DF1">
        <w:rPr>
          <w:rFonts w:cs="Arial"/>
          <w:szCs w:val="20"/>
          <w:bdr w:val="nil"/>
        </w:rPr>
        <w:t xml:space="preserve">. The political and financial support of the </w:t>
      </w:r>
      <w:r w:rsidRPr="00C20DF1">
        <w:rPr>
          <w:rFonts w:cs="Arial"/>
          <w:b/>
          <w:szCs w:val="20"/>
          <w:bdr w:val="nil"/>
        </w:rPr>
        <w:t>EU</w:t>
      </w:r>
      <w:r w:rsidRPr="00C20DF1">
        <w:rPr>
          <w:rFonts w:cs="Arial"/>
          <w:szCs w:val="20"/>
          <w:bdr w:val="nil"/>
        </w:rPr>
        <w:t xml:space="preserve"> towards bilateral and regional co-operation activities remains vital. </w:t>
      </w:r>
      <w:r w:rsidRPr="00C20DF1">
        <w:rPr>
          <w:rFonts w:cs="Arial"/>
          <w:b/>
          <w:szCs w:val="20"/>
          <w:bdr w:val="nil"/>
        </w:rPr>
        <w:t>Voluntary contributions</w:t>
      </w:r>
      <w:r w:rsidRPr="00C20DF1">
        <w:rPr>
          <w:rFonts w:cs="Arial"/>
          <w:szCs w:val="20"/>
          <w:bdr w:val="nil"/>
        </w:rPr>
        <w:t xml:space="preserve"> also remain indispensable. </w:t>
      </w:r>
      <w:r w:rsidRPr="00C20DF1">
        <w:rPr>
          <w:rFonts w:eastAsia="Arial Unicode MS" w:cs="Arial"/>
          <w:b/>
          <w:szCs w:val="20"/>
          <w:bdr w:val="nil"/>
          <w:lang w:eastAsia="en-GB"/>
        </w:rPr>
        <w:t xml:space="preserve">Unearmarked </w:t>
      </w:r>
      <w:r w:rsidRPr="00C20DF1">
        <w:rPr>
          <w:rFonts w:cs="Arial"/>
          <w:szCs w:val="20"/>
          <w:bdr w:val="nil"/>
        </w:rPr>
        <w:t>voluntary contributions allow flexibility to respond to unexpected needs and dynamics of reform processes.</w:t>
      </w:r>
    </w:p>
    <w:p w:rsidR="00C20DF1" w:rsidRPr="00C20DF1" w:rsidRDefault="00C20DF1" w:rsidP="00C20DF1">
      <w:pPr>
        <w:pBdr>
          <w:top w:val="nil"/>
          <w:left w:val="nil"/>
          <w:bottom w:val="nil"/>
          <w:right w:val="nil"/>
          <w:between w:val="nil"/>
          <w:bar w:val="nil"/>
        </w:pBdr>
        <w:rPr>
          <w:rFonts w:cs="Arial"/>
          <w:szCs w:val="20"/>
          <w:bdr w:val="nil"/>
        </w:rPr>
      </w:pPr>
    </w:p>
    <w:p w:rsidR="00B15FE9" w:rsidRDefault="00B15FE9">
      <w:pPr>
        <w:rPr>
          <w:rFonts w:eastAsia="Arial Unicode MS" w:cs="Arial"/>
          <w:b/>
          <w:szCs w:val="20"/>
          <w:bdr w:val="nil"/>
        </w:rPr>
      </w:pPr>
      <w:r>
        <w:rPr>
          <w:rFonts w:eastAsia="Arial Unicode MS" w:cs="Arial"/>
          <w:b/>
          <w:szCs w:val="20"/>
          <w:bdr w:val="nil"/>
        </w:rPr>
        <w:br w:type="page"/>
      </w:r>
    </w:p>
    <w:p w:rsidR="00C20DF1" w:rsidRPr="00C20DF1" w:rsidRDefault="00C20DF1" w:rsidP="00C20DF1">
      <w:pPr>
        <w:pBdr>
          <w:top w:val="nil"/>
          <w:left w:val="nil"/>
          <w:bottom w:val="nil"/>
          <w:right w:val="nil"/>
          <w:between w:val="nil"/>
          <w:bar w:val="nil"/>
        </w:pBdr>
        <w:rPr>
          <w:rFonts w:eastAsia="Arial Unicode MS" w:cs="Arial"/>
          <w:szCs w:val="20"/>
          <w:bdr w:val="nil"/>
          <w:lang w:eastAsia="en-GB"/>
        </w:rPr>
      </w:pPr>
      <w:r w:rsidRPr="00C20DF1">
        <w:rPr>
          <w:rFonts w:eastAsia="Arial Unicode MS" w:cs="Arial"/>
          <w:b/>
          <w:szCs w:val="20"/>
          <w:bdr w:val="nil"/>
        </w:rPr>
        <w:lastRenderedPageBreak/>
        <w:t>C</w:t>
      </w:r>
      <w:r w:rsidRPr="00C20DF1">
        <w:rPr>
          <w:rFonts w:eastAsia="Arial Unicode MS" w:cs="Arial"/>
          <w:b/>
          <w:szCs w:val="20"/>
          <w:bdr w:val="nil"/>
          <w:lang w:eastAsia="en-GB"/>
        </w:rPr>
        <w:t>o-ordination with other international actors</w:t>
      </w:r>
      <w:r w:rsidRPr="00C20DF1">
        <w:rPr>
          <w:rFonts w:eastAsia="Arial Unicode MS" w:cs="Arial"/>
          <w:szCs w:val="20"/>
          <w:bdr w:val="nil"/>
          <w:lang w:eastAsia="en-GB"/>
        </w:rPr>
        <w:t xml:space="preserve">, first and foremost the European Union, is crucial on a daily basis and appears to be fundamental to achieving tangible results. The </w:t>
      </w:r>
      <w:r w:rsidRPr="00C20DF1">
        <w:rPr>
          <w:rFonts w:cs="Arial"/>
          <w:szCs w:val="20"/>
          <w:bdr w:val="nil"/>
        </w:rPr>
        <w:t>Council of Europe</w:t>
      </w:r>
      <w:r w:rsidRPr="00C20DF1">
        <w:rPr>
          <w:rFonts w:cs="Arial"/>
          <w:b/>
          <w:szCs w:val="20"/>
          <w:bdr w:val="nil"/>
        </w:rPr>
        <w:t xml:space="preserve"> </w:t>
      </w:r>
      <w:r w:rsidRPr="00C20DF1">
        <w:rPr>
          <w:rFonts w:eastAsia="Arial Unicode MS" w:cs="Arial"/>
          <w:b/>
          <w:szCs w:val="20"/>
          <w:bdr w:val="nil"/>
          <w:lang w:eastAsia="en-GB"/>
        </w:rPr>
        <w:t>human rights-based approach</w:t>
      </w:r>
      <w:r w:rsidRPr="00C20DF1">
        <w:rPr>
          <w:rFonts w:eastAsia="Arial Unicode MS" w:cs="Arial"/>
          <w:szCs w:val="20"/>
          <w:bdr w:val="nil"/>
          <w:lang w:eastAsia="en-GB"/>
        </w:rPr>
        <w:t xml:space="preserve"> to technical assistance is an important complement to existing international programmes of assistance. </w:t>
      </w:r>
      <w:r w:rsidRPr="00C20DF1">
        <w:rPr>
          <w:rFonts w:cs="Arial"/>
          <w:szCs w:val="20"/>
          <w:bdr w:val="nil"/>
        </w:rPr>
        <w:t>The Organisation’s global “</w:t>
      </w:r>
      <w:r w:rsidRPr="00C20DF1">
        <w:rPr>
          <w:rFonts w:cs="Arial"/>
          <w:b/>
          <w:szCs w:val="20"/>
          <w:bdr w:val="nil"/>
        </w:rPr>
        <w:t>multi-layer</w:t>
      </w:r>
      <w:r w:rsidRPr="00C20DF1">
        <w:rPr>
          <w:rFonts w:cs="Arial"/>
          <w:szCs w:val="20"/>
          <w:bdr w:val="nil"/>
        </w:rPr>
        <w:t>” approach involving state authorities, local authorities and civil society is also an added value.</w:t>
      </w:r>
      <w:r w:rsidRPr="00C20DF1">
        <w:rPr>
          <w:rFonts w:eastAsia="Arial Unicode MS" w:cs="Arial"/>
          <w:szCs w:val="20"/>
          <w:bdr w:val="nil"/>
          <w:lang w:eastAsia="en-GB"/>
        </w:rPr>
        <w:t xml:space="preserve"> The sustainability of the Policy will ultimately rely on the increased </w:t>
      </w:r>
      <w:r w:rsidRPr="00C20DF1">
        <w:rPr>
          <w:rFonts w:eastAsia="Arial Unicode MS" w:cs="Arial"/>
          <w:b/>
          <w:szCs w:val="20"/>
          <w:bdr w:val="nil"/>
          <w:lang w:eastAsia="en-GB"/>
        </w:rPr>
        <w:t>involvement</w:t>
      </w:r>
      <w:r w:rsidRPr="00C20DF1">
        <w:rPr>
          <w:rFonts w:eastAsia="Arial Unicode MS" w:cs="Arial"/>
          <w:szCs w:val="20"/>
          <w:bdr w:val="nil"/>
          <w:lang w:eastAsia="en-GB"/>
        </w:rPr>
        <w:t xml:space="preserve"> </w:t>
      </w:r>
      <w:r w:rsidRPr="000060A9">
        <w:rPr>
          <w:rFonts w:eastAsia="Arial Unicode MS" w:cs="Arial"/>
          <w:b/>
          <w:szCs w:val="20"/>
          <w:bdr w:val="nil"/>
          <w:lang w:eastAsia="en-GB"/>
        </w:rPr>
        <w:t>and ownership</w:t>
      </w:r>
      <w:r w:rsidRPr="00C20DF1">
        <w:rPr>
          <w:rFonts w:eastAsia="Arial Unicode MS" w:cs="Arial"/>
          <w:szCs w:val="20"/>
          <w:bdr w:val="nil"/>
          <w:lang w:eastAsia="en-GB"/>
        </w:rPr>
        <w:t xml:space="preserve"> of the process by the beneficiary countries. Furthermore, the </w:t>
      </w:r>
      <w:r w:rsidR="00621A7B">
        <w:rPr>
          <w:rFonts w:eastAsia="Arial Unicode MS" w:cs="Arial"/>
          <w:szCs w:val="20"/>
          <w:bdr w:val="nil"/>
          <w:lang w:eastAsia="en-GB"/>
        </w:rPr>
        <w:t xml:space="preserve">Neighbourhood Policy </w:t>
      </w:r>
      <w:r w:rsidRPr="00C20DF1">
        <w:rPr>
          <w:rFonts w:eastAsia="Arial Unicode MS" w:cs="Arial"/>
          <w:szCs w:val="20"/>
          <w:bdr w:val="nil"/>
          <w:lang w:eastAsia="en-GB"/>
        </w:rPr>
        <w:t>contributes to the United Nations 2030 Agenda through the support of several Sustainable Development Goals (SDGs).</w:t>
      </w:r>
    </w:p>
    <w:p w:rsidR="00C20DF1" w:rsidRPr="00C20DF1" w:rsidRDefault="00C20DF1" w:rsidP="00C20DF1">
      <w:pPr>
        <w:rPr>
          <w:rFonts w:eastAsia="Arial Unicode MS" w:cs="Arial"/>
          <w:color w:val="333333"/>
          <w:szCs w:val="20"/>
          <w:bdr w:val="nil"/>
        </w:rPr>
      </w:pPr>
    </w:p>
    <w:p w:rsidR="00C20DF1" w:rsidRPr="00C20DF1" w:rsidRDefault="00C20DF1" w:rsidP="00C20DF1">
      <w:pPr>
        <w:pBdr>
          <w:top w:val="nil"/>
          <w:left w:val="nil"/>
          <w:bottom w:val="nil"/>
          <w:right w:val="nil"/>
          <w:between w:val="nil"/>
          <w:bar w:val="nil"/>
        </w:pBdr>
        <w:spacing w:after="240"/>
        <w:rPr>
          <w:rFonts w:cs="Arial"/>
          <w:b/>
          <w:szCs w:val="20"/>
          <w:bdr w:val="nil"/>
        </w:rPr>
      </w:pPr>
      <w:r w:rsidRPr="00C20DF1">
        <w:rPr>
          <w:rFonts w:cs="Arial"/>
          <w:szCs w:val="20"/>
        </w:rPr>
        <w:t xml:space="preserve">For the future, </w:t>
      </w:r>
      <w:r w:rsidR="002D5F41">
        <w:rPr>
          <w:rFonts w:cs="Arial"/>
          <w:szCs w:val="20"/>
          <w:bdr w:val="nil"/>
        </w:rPr>
        <w:t xml:space="preserve">with a view </w:t>
      </w:r>
      <w:r w:rsidRPr="00C20DF1">
        <w:rPr>
          <w:rFonts w:cs="Arial"/>
          <w:szCs w:val="20"/>
          <w:bdr w:val="nil"/>
        </w:rPr>
        <w:t xml:space="preserve">to </w:t>
      </w:r>
      <w:r w:rsidRPr="00C20DF1">
        <w:rPr>
          <w:rFonts w:cs="Arial"/>
          <w:b/>
          <w:szCs w:val="20"/>
          <w:bdr w:val="nil"/>
        </w:rPr>
        <w:t>further</w:t>
      </w:r>
      <w:r w:rsidRPr="00C20DF1">
        <w:rPr>
          <w:rFonts w:cs="Arial"/>
          <w:szCs w:val="20"/>
          <w:bdr w:val="nil"/>
        </w:rPr>
        <w:t xml:space="preserve"> </w:t>
      </w:r>
      <w:r w:rsidRPr="00C20DF1">
        <w:rPr>
          <w:rFonts w:cs="Arial"/>
          <w:b/>
          <w:szCs w:val="20"/>
          <w:bdr w:val="nil"/>
        </w:rPr>
        <w:t>consolidate</w:t>
      </w:r>
      <w:r w:rsidRPr="00C20DF1">
        <w:rPr>
          <w:rFonts w:cs="Arial"/>
          <w:szCs w:val="20"/>
          <w:bdr w:val="nil"/>
        </w:rPr>
        <w:t xml:space="preserve"> and </w:t>
      </w:r>
      <w:r w:rsidRPr="00C20DF1">
        <w:rPr>
          <w:rFonts w:cs="Arial"/>
          <w:b/>
          <w:szCs w:val="20"/>
          <w:bdr w:val="nil"/>
        </w:rPr>
        <w:t xml:space="preserve">optimise </w:t>
      </w:r>
      <w:r w:rsidRPr="00C20DF1">
        <w:rPr>
          <w:rFonts w:cs="Arial"/>
          <w:szCs w:val="20"/>
          <w:bdr w:val="nil"/>
        </w:rPr>
        <w:t>Council of Europe</w:t>
      </w:r>
      <w:r w:rsidRPr="00C20DF1">
        <w:rPr>
          <w:rFonts w:cs="Arial"/>
          <w:b/>
          <w:szCs w:val="20"/>
          <w:bdr w:val="nil"/>
        </w:rPr>
        <w:t xml:space="preserve"> </w:t>
      </w:r>
      <w:r w:rsidRPr="00C20DF1">
        <w:rPr>
          <w:rFonts w:cs="Arial"/>
          <w:szCs w:val="20"/>
          <w:bdr w:val="nil"/>
        </w:rPr>
        <w:t>involvement</w:t>
      </w:r>
      <w:r w:rsidR="001C376D">
        <w:rPr>
          <w:rFonts w:cs="Arial"/>
          <w:szCs w:val="20"/>
          <w:bdr w:val="nil"/>
        </w:rPr>
        <w:t>,</w:t>
      </w:r>
      <w:r w:rsidR="001C376D" w:rsidRPr="001C376D">
        <w:rPr>
          <w:rFonts w:cs="Arial"/>
          <w:szCs w:val="20"/>
          <w:bdr w:val="nil"/>
        </w:rPr>
        <w:t xml:space="preserve"> </w:t>
      </w:r>
      <w:r w:rsidR="001C376D">
        <w:rPr>
          <w:rFonts w:cs="Arial"/>
          <w:szCs w:val="20"/>
          <w:bdr w:val="nil"/>
        </w:rPr>
        <w:t xml:space="preserve">it is proposed to maintain the focus on countries where co-operation, governed by Council of Europe standards and values, </w:t>
      </w:r>
      <w:r w:rsidRPr="00C20DF1">
        <w:rPr>
          <w:rFonts w:cs="Arial"/>
          <w:szCs w:val="20"/>
          <w:bdr w:val="nil"/>
        </w:rPr>
        <w:t xml:space="preserve">is </w:t>
      </w:r>
      <w:r w:rsidRPr="00C20DF1">
        <w:rPr>
          <w:rFonts w:cs="Arial"/>
          <w:b/>
          <w:szCs w:val="20"/>
          <w:bdr w:val="nil"/>
        </w:rPr>
        <w:t xml:space="preserve">demand-driven </w:t>
      </w:r>
      <w:r w:rsidRPr="00C20DF1">
        <w:rPr>
          <w:rFonts w:eastAsia="Arial Unicode MS" w:cs="Arial"/>
          <w:szCs w:val="20"/>
          <w:bdr w:val="nil"/>
          <w:lang w:eastAsia="en-GB"/>
        </w:rPr>
        <w:t>(in geographical and thematic terms)</w:t>
      </w:r>
      <w:r w:rsidR="001C376D" w:rsidRPr="001C376D">
        <w:rPr>
          <w:rFonts w:cs="Arial"/>
          <w:szCs w:val="20"/>
          <w:bdr w:val="nil"/>
        </w:rPr>
        <w:t xml:space="preserve"> </w:t>
      </w:r>
      <w:r w:rsidR="001C376D">
        <w:rPr>
          <w:rFonts w:cs="Arial"/>
          <w:szCs w:val="20"/>
          <w:bdr w:val="nil"/>
        </w:rPr>
        <w:t>and will have reasonable impact, taking due account of the Council of Europe added value</w:t>
      </w:r>
      <w:r w:rsidR="009725F7" w:rsidRPr="009725F7">
        <w:rPr>
          <w:rFonts w:cs="Arial"/>
          <w:szCs w:val="20"/>
          <w:bdr w:val="nil"/>
        </w:rPr>
        <w:t xml:space="preserve">, its capacities and the capacities </w:t>
      </w:r>
      <w:r w:rsidR="009725F7">
        <w:rPr>
          <w:rFonts w:cs="Arial"/>
          <w:szCs w:val="20"/>
          <w:bdr w:val="nil"/>
        </w:rPr>
        <w:t>of the countries</w:t>
      </w:r>
      <w:r w:rsidR="009725F7" w:rsidRPr="009725F7">
        <w:rPr>
          <w:rFonts w:cs="Arial"/>
          <w:szCs w:val="20"/>
          <w:bdr w:val="nil"/>
        </w:rPr>
        <w:t xml:space="preserve"> concerned</w:t>
      </w:r>
      <w:r w:rsidR="00B77F2F">
        <w:rPr>
          <w:rFonts w:cs="Arial"/>
          <w:szCs w:val="20"/>
          <w:bdr w:val="nil"/>
        </w:rPr>
        <w:t>.</w:t>
      </w:r>
      <w:r w:rsidR="009725F7" w:rsidRPr="009725F7">
        <w:rPr>
          <w:rFonts w:cs="Arial"/>
          <w:szCs w:val="20"/>
          <w:bdr w:val="nil"/>
        </w:rPr>
        <w:t xml:space="preserve"> </w:t>
      </w:r>
      <w:r w:rsidR="001C376D" w:rsidRPr="009725F7">
        <w:rPr>
          <w:rFonts w:cs="Arial"/>
          <w:szCs w:val="20"/>
          <w:bdr w:val="nil"/>
        </w:rPr>
        <w:t xml:space="preserve"> </w:t>
      </w:r>
    </w:p>
    <w:p w:rsidR="00C20DF1" w:rsidRPr="00C20DF1" w:rsidRDefault="00C20DF1" w:rsidP="00C20DF1">
      <w:pPr>
        <w:pBdr>
          <w:top w:val="nil"/>
          <w:left w:val="nil"/>
          <w:bottom w:val="nil"/>
          <w:right w:val="nil"/>
          <w:between w:val="nil"/>
          <w:bar w:val="nil"/>
        </w:pBdr>
        <w:rPr>
          <w:rFonts w:cs="Arial"/>
          <w:b/>
          <w:szCs w:val="20"/>
        </w:rPr>
      </w:pPr>
    </w:p>
    <w:p w:rsidR="00C20DF1" w:rsidRPr="00C20DF1" w:rsidRDefault="00C20DF1" w:rsidP="00C20DF1">
      <w:pPr>
        <w:pBdr>
          <w:top w:val="nil"/>
          <w:left w:val="nil"/>
          <w:bottom w:val="nil"/>
          <w:right w:val="nil"/>
          <w:between w:val="nil"/>
          <w:bar w:val="nil"/>
        </w:pBdr>
        <w:rPr>
          <w:rFonts w:cs="Arial"/>
          <w:b/>
          <w:szCs w:val="20"/>
        </w:rPr>
      </w:pPr>
      <w:r w:rsidRPr="00C20DF1">
        <w:rPr>
          <w:rFonts w:cs="Arial"/>
          <w:b/>
          <w:szCs w:val="20"/>
        </w:rPr>
        <w:br w:type="page"/>
      </w:r>
    </w:p>
    <w:p w:rsidR="00C20DF1" w:rsidRPr="00C20DF1" w:rsidRDefault="00C20DF1" w:rsidP="00C20DF1">
      <w:pPr>
        <w:pBdr>
          <w:top w:val="nil"/>
          <w:left w:val="nil"/>
          <w:bottom w:val="nil"/>
          <w:right w:val="nil"/>
          <w:between w:val="nil"/>
          <w:bar w:val="nil"/>
        </w:pBdr>
        <w:jc w:val="center"/>
        <w:rPr>
          <w:rFonts w:cs="Arial"/>
          <w:b/>
          <w:szCs w:val="20"/>
        </w:rPr>
      </w:pPr>
      <w:r w:rsidRPr="00C20DF1">
        <w:rPr>
          <w:rFonts w:cs="Arial"/>
          <w:b/>
          <w:szCs w:val="20"/>
        </w:rPr>
        <w:lastRenderedPageBreak/>
        <w:t>APPENDIX: Overview of the present situation</w:t>
      </w:r>
    </w:p>
    <w:p w:rsidR="00C20DF1" w:rsidRPr="00C20DF1" w:rsidRDefault="00C20DF1" w:rsidP="00C20DF1">
      <w:pPr>
        <w:rPr>
          <w:rFonts w:cs="Arial"/>
          <w:szCs w:val="20"/>
        </w:rPr>
      </w:pPr>
    </w:p>
    <w:p w:rsidR="00C20DF1" w:rsidRPr="00C20DF1" w:rsidRDefault="00C20DF1" w:rsidP="00C20DF1">
      <w:pPr>
        <w:rPr>
          <w:rFonts w:cs="Arial"/>
          <w:szCs w:val="20"/>
        </w:rPr>
      </w:pPr>
      <w:r w:rsidRPr="00C20DF1">
        <w:rPr>
          <w:rFonts w:cs="Arial"/>
          <w:szCs w:val="20"/>
        </w:rPr>
        <w:t xml:space="preserve">Information with respect to accession of countries from neighbouring regions to Council of Europe </w:t>
      </w:r>
      <w:r w:rsidRPr="00C20DF1">
        <w:rPr>
          <w:rFonts w:cs="Arial"/>
          <w:b/>
          <w:szCs w:val="20"/>
        </w:rPr>
        <w:t>Treaties and Partial Agreements</w:t>
      </w:r>
      <w:r w:rsidRPr="00C20DF1">
        <w:rPr>
          <w:rFonts w:cs="Arial"/>
          <w:szCs w:val="20"/>
        </w:rPr>
        <w:t xml:space="preserve"> is available on the DER web site in document </w:t>
      </w:r>
      <w:r w:rsidR="00040BCB" w:rsidRPr="00040BCB">
        <w:rPr>
          <w:rFonts w:cs="Arial"/>
          <w:szCs w:val="20"/>
          <w:u w:val="single"/>
        </w:rPr>
        <w:t>DER/</w:t>
      </w:r>
      <w:proofErr w:type="gramStart"/>
      <w:r w:rsidR="00040BCB" w:rsidRPr="00040BCB">
        <w:rPr>
          <w:rFonts w:cs="Arial"/>
          <w:szCs w:val="20"/>
          <w:u w:val="single"/>
        </w:rPr>
        <w:t>Inf(</w:t>
      </w:r>
      <w:proofErr w:type="gramEnd"/>
      <w:r w:rsidR="00040BCB" w:rsidRPr="00040BCB">
        <w:rPr>
          <w:rFonts w:cs="Arial"/>
          <w:szCs w:val="20"/>
          <w:u w:val="single"/>
        </w:rPr>
        <w:t>2018)4</w:t>
      </w:r>
      <w:r w:rsidRPr="00C20DF1">
        <w:rPr>
          <w:rFonts w:cs="Arial"/>
          <w:szCs w:val="20"/>
        </w:rPr>
        <w:t xml:space="preserve"> (</w:t>
      </w:r>
      <w:hyperlink r:id="rId8" w:history="1">
        <w:r w:rsidRPr="00C20DF1">
          <w:rPr>
            <w:rFonts w:cs="Arial"/>
            <w:szCs w:val="20"/>
          </w:rPr>
          <w:t>https://www.coe.int/en/web/DER</w:t>
        </w:r>
      </w:hyperlink>
      <w:r w:rsidRPr="00C20DF1">
        <w:rPr>
          <w:rFonts w:cs="Arial"/>
          <w:szCs w:val="20"/>
        </w:rPr>
        <w:t>).</w:t>
      </w:r>
    </w:p>
    <w:p w:rsidR="00C20DF1" w:rsidRPr="00C20DF1" w:rsidRDefault="00C20DF1" w:rsidP="00C20DF1">
      <w:pPr>
        <w:rPr>
          <w:rFonts w:cs="Arial"/>
          <w:szCs w:val="20"/>
        </w:rPr>
      </w:pPr>
    </w:p>
    <w:p w:rsidR="00C20DF1" w:rsidRPr="00C20DF1" w:rsidRDefault="00C20DF1" w:rsidP="00C20DF1">
      <w:pPr>
        <w:rPr>
          <w:rFonts w:cs="Arial"/>
          <w:szCs w:val="20"/>
        </w:rPr>
      </w:pPr>
      <w:r w:rsidRPr="00C20DF1">
        <w:rPr>
          <w:rFonts w:cs="Arial"/>
          <w:szCs w:val="20"/>
        </w:rPr>
        <w:t xml:space="preserve">At present, co-operation frameworks can be summarised as follows: </w:t>
      </w:r>
    </w:p>
    <w:p w:rsidR="00C20DF1" w:rsidRPr="00C20DF1" w:rsidRDefault="00C20DF1" w:rsidP="00C20DF1">
      <w:pPr>
        <w:rPr>
          <w:rFonts w:cs="Arial"/>
          <w:szCs w:val="20"/>
        </w:rPr>
      </w:pPr>
    </w:p>
    <w:tbl>
      <w:tblPr>
        <w:tblStyle w:val="TableGrid2"/>
        <w:tblW w:w="9750" w:type="dxa"/>
        <w:tblInd w:w="0" w:type="dxa"/>
        <w:tblLayout w:type="fixed"/>
        <w:tblLook w:val="04A0" w:firstRow="1" w:lastRow="0" w:firstColumn="1" w:lastColumn="0" w:noHBand="0" w:noVBand="1"/>
      </w:tblPr>
      <w:tblGrid>
        <w:gridCol w:w="2432"/>
        <w:gridCol w:w="1701"/>
        <w:gridCol w:w="744"/>
        <w:gridCol w:w="1328"/>
        <w:gridCol w:w="1842"/>
        <w:gridCol w:w="1703"/>
      </w:tblGrid>
      <w:tr w:rsidR="00C20DF1" w:rsidRPr="00C20DF1" w:rsidTr="000060A9">
        <w:tc>
          <w:tcPr>
            <w:tcW w:w="975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20DF1" w:rsidRPr="00C20DF1" w:rsidRDefault="00C20DF1" w:rsidP="00C20DF1">
            <w:pPr>
              <w:jc w:val="center"/>
              <w:rPr>
                <w:rFonts w:eastAsia="Calibri" w:cs="Arial"/>
                <w:b/>
                <w:szCs w:val="20"/>
                <w:lang w:eastAsia="en-GB"/>
              </w:rPr>
            </w:pPr>
            <w:r w:rsidRPr="00C20DF1">
              <w:rPr>
                <w:rFonts w:eastAsia="Calibri" w:cs="Arial"/>
                <w:b/>
                <w:szCs w:val="20"/>
                <w:lang w:eastAsia="en-GB"/>
              </w:rPr>
              <w:t>FUNDING SOURCES</w:t>
            </w:r>
          </w:p>
          <w:p w:rsidR="00C20DF1" w:rsidRPr="00C20DF1" w:rsidRDefault="00C20DF1" w:rsidP="00C20DF1">
            <w:pPr>
              <w:jc w:val="center"/>
              <w:rPr>
                <w:rFonts w:eastAsia="Calibri" w:cs="Arial"/>
                <w:b/>
                <w:szCs w:val="20"/>
                <w:lang w:eastAsia="en-GB"/>
              </w:rPr>
            </w:pPr>
          </w:p>
        </w:tc>
      </w:tr>
      <w:tr w:rsidR="00C20DF1" w:rsidRPr="00C20DF1" w:rsidTr="000060A9">
        <w:tc>
          <w:tcPr>
            <w:tcW w:w="4877" w:type="dxa"/>
            <w:gridSpan w:val="3"/>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cs="Arial"/>
                <w:b/>
                <w:szCs w:val="20"/>
                <w:lang w:eastAsia="en-GB"/>
              </w:rPr>
            </w:pPr>
          </w:p>
          <w:p w:rsidR="00C20DF1" w:rsidRPr="00C20DF1" w:rsidRDefault="00C20DF1" w:rsidP="00C20DF1">
            <w:pPr>
              <w:jc w:val="center"/>
              <w:rPr>
                <w:rFonts w:cs="Arial"/>
                <w:b/>
                <w:szCs w:val="20"/>
                <w:lang w:eastAsia="en-GB"/>
              </w:rPr>
            </w:pPr>
            <w:r w:rsidRPr="00C20DF1">
              <w:rPr>
                <w:rFonts w:cs="Arial"/>
                <w:b/>
                <w:szCs w:val="20"/>
                <w:lang w:eastAsia="en-GB"/>
              </w:rPr>
              <w:t xml:space="preserve">REGIONAL PROGRAMMES FOR </w:t>
            </w:r>
          </w:p>
          <w:p w:rsidR="00C20DF1" w:rsidRPr="00C20DF1" w:rsidRDefault="00C20DF1" w:rsidP="00C20DF1">
            <w:pPr>
              <w:jc w:val="center"/>
              <w:rPr>
                <w:rFonts w:cs="Arial"/>
                <w:b/>
                <w:szCs w:val="20"/>
                <w:lang w:eastAsia="en-GB"/>
              </w:rPr>
            </w:pPr>
          </w:p>
          <w:p w:rsidR="00C20DF1" w:rsidRPr="00C20DF1" w:rsidRDefault="00C20DF1" w:rsidP="00C20DF1">
            <w:pPr>
              <w:jc w:val="center"/>
              <w:rPr>
                <w:rFonts w:cs="Arial"/>
                <w:b/>
                <w:szCs w:val="20"/>
                <w:lang w:eastAsia="en-GB"/>
              </w:rPr>
            </w:pPr>
            <w:r w:rsidRPr="00C20DF1">
              <w:rPr>
                <w:rFonts w:cs="Arial"/>
                <w:b/>
                <w:szCs w:val="20"/>
                <w:lang w:eastAsia="en-GB"/>
              </w:rPr>
              <w:t xml:space="preserve">NORTH AFRICA  </w:t>
            </w:r>
          </w:p>
          <w:p w:rsidR="00C20DF1" w:rsidRPr="00C20DF1" w:rsidRDefault="00C20DF1" w:rsidP="00C20DF1">
            <w:pPr>
              <w:jc w:val="center"/>
              <w:rPr>
                <w:rFonts w:cs="Arial"/>
                <w:b/>
                <w:szCs w:val="20"/>
                <w:lang w:eastAsia="en-GB"/>
              </w:rPr>
            </w:pPr>
            <w:r w:rsidRPr="00C20DF1">
              <w:rPr>
                <w:rFonts w:cs="Arial"/>
                <w:b/>
                <w:szCs w:val="20"/>
                <w:lang w:eastAsia="en-GB"/>
              </w:rPr>
              <w:t xml:space="preserve">AND </w:t>
            </w:r>
          </w:p>
          <w:p w:rsidR="00C20DF1" w:rsidRPr="00C20DF1" w:rsidRDefault="00C20DF1" w:rsidP="00C20DF1">
            <w:pPr>
              <w:jc w:val="center"/>
              <w:rPr>
                <w:rFonts w:cs="Arial"/>
                <w:b/>
                <w:szCs w:val="20"/>
                <w:lang w:eastAsia="en-GB"/>
              </w:rPr>
            </w:pPr>
            <w:r w:rsidRPr="00C20DF1">
              <w:rPr>
                <w:rFonts w:cs="Arial"/>
                <w:b/>
                <w:szCs w:val="20"/>
                <w:lang w:eastAsia="en-GB"/>
              </w:rPr>
              <w:t>THE MIDDLE-EAST</w:t>
            </w:r>
          </w:p>
        </w:tc>
        <w:tc>
          <w:tcPr>
            <w:tcW w:w="4873" w:type="dxa"/>
            <w:gridSpan w:val="3"/>
            <w:tcBorders>
              <w:top w:val="single" w:sz="4" w:space="0" w:color="auto"/>
              <w:left w:val="single" w:sz="4" w:space="0" w:color="auto"/>
              <w:bottom w:val="single" w:sz="4" w:space="0" w:color="auto"/>
              <w:right w:val="single" w:sz="4" w:space="0" w:color="auto"/>
            </w:tcBorders>
          </w:tcPr>
          <w:p w:rsidR="00C20DF1" w:rsidRPr="00C20DF1" w:rsidRDefault="00C20DF1" w:rsidP="00C20DF1">
            <w:pPr>
              <w:rPr>
                <w:rFonts w:eastAsia="Calibri" w:cs="Arial"/>
                <w:szCs w:val="20"/>
                <w:lang w:eastAsia="en-GB"/>
              </w:rPr>
            </w:pPr>
          </w:p>
          <w:p w:rsidR="00C20DF1" w:rsidRPr="00C20DF1" w:rsidRDefault="00C20DF1" w:rsidP="00C20DF1">
            <w:pPr>
              <w:rPr>
                <w:rFonts w:eastAsia="Calibri" w:cs="Arial"/>
                <w:szCs w:val="20"/>
                <w:lang w:eastAsia="en-GB"/>
              </w:rPr>
            </w:pPr>
            <w:r w:rsidRPr="00C20DF1">
              <w:rPr>
                <w:rFonts w:eastAsia="Calibri" w:cs="Arial"/>
                <w:szCs w:val="20"/>
                <w:lang w:eastAsia="en-GB"/>
              </w:rPr>
              <w:t>European Union/Council of Europe Joint Programmes (JP):</w:t>
            </w:r>
          </w:p>
          <w:p w:rsidR="00C20DF1" w:rsidRPr="00C20DF1" w:rsidRDefault="00C20DF1" w:rsidP="00C20DF1">
            <w:pPr>
              <w:rPr>
                <w:rFonts w:eastAsia="Calibri" w:cs="Arial"/>
                <w:szCs w:val="20"/>
                <w:lang w:eastAsia="en-GB"/>
              </w:rPr>
            </w:pPr>
            <w:r w:rsidRPr="00C20DF1">
              <w:rPr>
                <w:rFonts w:eastAsia="Calibri" w:cs="Arial"/>
                <w:szCs w:val="20"/>
                <w:lang w:eastAsia="en-GB"/>
              </w:rPr>
              <w:t>South Programme</w:t>
            </w:r>
            <w:r w:rsidRPr="00C20DF1">
              <w:rPr>
                <w:rFonts w:eastAsia="Calibri" w:cs="Arial"/>
                <w:szCs w:val="20"/>
                <w:vertAlign w:val="superscript"/>
                <w:lang w:eastAsia="en-GB"/>
              </w:rPr>
              <w:footnoteReference w:id="17"/>
            </w:r>
            <w:r w:rsidRPr="00C20DF1">
              <w:rPr>
                <w:rFonts w:eastAsia="Calibri" w:cs="Arial"/>
                <w:szCs w:val="20"/>
                <w:lang w:eastAsia="en-GB"/>
              </w:rPr>
              <w:t xml:space="preserve"> </w:t>
            </w:r>
          </w:p>
          <w:p w:rsidR="00C20DF1" w:rsidRPr="00C20DF1" w:rsidRDefault="00C20DF1" w:rsidP="00C20DF1">
            <w:pPr>
              <w:rPr>
                <w:rFonts w:eastAsia="Calibri" w:cs="Arial"/>
                <w:szCs w:val="20"/>
                <w:lang w:eastAsia="en-GB"/>
              </w:rPr>
            </w:pPr>
            <w:proofErr w:type="spellStart"/>
            <w:r w:rsidRPr="00C20DF1">
              <w:rPr>
                <w:rFonts w:eastAsia="Calibri" w:cs="Arial"/>
                <w:szCs w:val="20"/>
                <w:lang w:eastAsia="en-GB"/>
              </w:rPr>
              <w:t>CyberSouth</w:t>
            </w:r>
            <w:proofErr w:type="spellEnd"/>
            <w:r w:rsidRPr="00C20DF1">
              <w:rPr>
                <w:rFonts w:eastAsia="Calibri" w:cs="Arial"/>
                <w:szCs w:val="20"/>
                <w:vertAlign w:val="superscript"/>
                <w:lang w:eastAsia="en-GB"/>
              </w:rPr>
              <w:footnoteReference w:id="18"/>
            </w:r>
            <w:r w:rsidRPr="00C20DF1">
              <w:rPr>
                <w:rFonts w:eastAsia="Calibri" w:cs="Arial"/>
                <w:szCs w:val="20"/>
                <w:lang w:eastAsia="en-GB"/>
              </w:rPr>
              <w:t xml:space="preserve"> </w:t>
            </w:r>
          </w:p>
          <w:p w:rsidR="00C20DF1" w:rsidRPr="00C20DF1" w:rsidRDefault="00C20DF1" w:rsidP="00C20DF1">
            <w:pPr>
              <w:rPr>
                <w:rFonts w:eastAsia="Calibri" w:cs="Arial"/>
                <w:szCs w:val="20"/>
                <w:lang w:eastAsia="en-GB"/>
              </w:rPr>
            </w:pPr>
          </w:p>
          <w:p w:rsidR="00C20DF1" w:rsidRPr="00C20DF1" w:rsidRDefault="00C20DF1" w:rsidP="00C20DF1">
            <w:pPr>
              <w:rPr>
                <w:rFonts w:eastAsia="Calibri" w:cs="Arial"/>
                <w:szCs w:val="20"/>
                <w:lang w:eastAsia="en-GB"/>
              </w:rPr>
            </w:pPr>
            <w:r w:rsidRPr="00C20DF1">
              <w:rPr>
                <w:rFonts w:eastAsia="Calibri" w:cs="Arial"/>
                <w:szCs w:val="20"/>
                <w:lang w:eastAsia="en-GB"/>
              </w:rPr>
              <w:t>Voluntary Contributions:</w:t>
            </w:r>
          </w:p>
          <w:p w:rsidR="00C20DF1" w:rsidRPr="00C20DF1" w:rsidRDefault="00C20DF1" w:rsidP="00C20DF1">
            <w:pPr>
              <w:rPr>
                <w:rFonts w:eastAsia="Calibri" w:cs="Arial"/>
                <w:szCs w:val="20"/>
                <w:lang w:eastAsia="en-GB"/>
              </w:rPr>
            </w:pPr>
            <w:r w:rsidRPr="00C20DF1">
              <w:rPr>
                <w:rFonts w:eastAsia="Calibri" w:cs="Arial"/>
                <w:szCs w:val="20"/>
                <w:lang w:eastAsia="en-GB"/>
              </w:rPr>
              <w:t>Euro-Mediterranean Youth Co</w:t>
            </w:r>
            <w:r w:rsidR="00B60AEB">
              <w:rPr>
                <w:rFonts w:eastAsia="Calibri" w:cs="Arial"/>
                <w:szCs w:val="20"/>
                <w:lang w:eastAsia="en-GB"/>
              </w:rPr>
              <w:t>-</w:t>
            </w:r>
            <w:r w:rsidRPr="00C20DF1">
              <w:rPr>
                <w:rFonts w:eastAsia="Calibri" w:cs="Arial"/>
                <w:szCs w:val="20"/>
                <w:lang w:eastAsia="en-GB"/>
              </w:rPr>
              <w:t>operation</w:t>
            </w:r>
            <w:r w:rsidRPr="00C20DF1">
              <w:rPr>
                <w:rFonts w:eastAsia="Calibri" w:cs="Arial"/>
                <w:szCs w:val="20"/>
                <w:vertAlign w:val="superscript"/>
                <w:lang w:eastAsia="en-GB"/>
              </w:rPr>
              <w:footnoteReference w:id="19"/>
            </w:r>
          </w:p>
          <w:p w:rsidR="00C20DF1" w:rsidRPr="00C20DF1" w:rsidRDefault="00C20DF1" w:rsidP="00C20DF1">
            <w:pPr>
              <w:rPr>
                <w:rFonts w:eastAsia="Calibri" w:cs="Arial"/>
                <w:szCs w:val="20"/>
                <w:lang w:eastAsia="en-GB"/>
              </w:rPr>
            </w:pPr>
            <w:r w:rsidRPr="00C20DF1">
              <w:rPr>
                <w:rFonts w:eastAsia="Calibri" w:cs="Arial"/>
                <w:szCs w:val="20"/>
                <w:lang w:eastAsia="en-GB"/>
              </w:rPr>
              <w:t>NSPEW</w:t>
            </w:r>
            <w:r w:rsidRPr="00C20DF1">
              <w:rPr>
                <w:rFonts w:eastAsia="Calibri" w:cs="Arial"/>
                <w:szCs w:val="20"/>
                <w:vertAlign w:val="superscript"/>
                <w:lang w:eastAsia="en-GB"/>
              </w:rPr>
              <w:footnoteReference w:id="20"/>
            </w:r>
          </w:p>
          <w:p w:rsidR="00C20DF1" w:rsidRPr="00C20DF1" w:rsidRDefault="00C20DF1" w:rsidP="00C20DF1">
            <w:pPr>
              <w:rPr>
                <w:rFonts w:cs="Arial"/>
                <w:b/>
                <w:szCs w:val="20"/>
                <w:lang w:eastAsia="en-GB"/>
              </w:rPr>
            </w:pPr>
          </w:p>
        </w:tc>
      </w:tr>
      <w:tr w:rsidR="00C20DF1" w:rsidRPr="00C20DF1" w:rsidTr="000060A9">
        <w:tc>
          <w:tcPr>
            <w:tcW w:w="9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0DF1" w:rsidRPr="00C20DF1" w:rsidRDefault="00C20DF1" w:rsidP="00C20DF1">
            <w:pPr>
              <w:jc w:val="center"/>
              <w:rPr>
                <w:rFonts w:cs="Arial"/>
                <w:b/>
                <w:szCs w:val="20"/>
                <w:lang w:eastAsia="en-GB"/>
              </w:rPr>
            </w:pPr>
            <w:r w:rsidRPr="00C20DF1">
              <w:rPr>
                <w:rFonts w:cs="Arial"/>
                <w:b/>
                <w:szCs w:val="20"/>
                <w:lang w:eastAsia="en-GB"/>
              </w:rPr>
              <w:t>NORTH AFRICA</w:t>
            </w:r>
          </w:p>
          <w:p w:rsidR="00C20DF1" w:rsidRPr="00C20DF1" w:rsidRDefault="00C20DF1" w:rsidP="00C20DF1">
            <w:pPr>
              <w:jc w:val="center"/>
              <w:rPr>
                <w:rFonts w:eastAsia="Calibri" w:cs="Arial"/>
                <w:b/>
                <w:szCs w:val="20"/>
                <w:lang w:eastAsia="en-GB"/>
              </w:rPr>
            </w:pPr>
          </w:p>
        </w:tc>
      </w:tr>
      <w:tr w:rsidR="00C20DF1" w:rsidRPr="00C20DF1" w:rsidTr="000060A9">
        <w:tc>
          <w:tcPr>
            <w:tcW w:w="2432" w:type="dxa"/>
            <w:tcBorders>
              <w:top w:val="single" w:sz="4" w:space="0" w:color="auto"/>
              <w:left w:val="single" w:sz="4" w:space="0" w:color="auto"/>
              <w:bottom w:val="single" w:sz="4" w:space="0" w:color="auto"/>
              <w:right w:val="single" w:sz="4" w:space="0" w:color="auto"/>
            </w:tcBorders>
          </w:tcPr>
          <w:p w:rsidR="00C20DF1" w:rsidRPr="00C20DF1" w:rsidRDefault="00C20DF1" w:rsidP="00C20DF1">
            <w:pPr>
              <w:rPr>
                <w:rFonts w:eastAsia="Calibri" w:cs="Arial"/>
                <w:szCs w:val="20"/>
                <w:lang w:eastAsia="en-GB"/>
              </w:rPr>
            </w:pPr>
          </w:p>
        </w:tc>
        <w:tc>
          <w:tcPr>
            <w:tcW w:w="1701"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b/>
                <w:szCs w:val="20"/>
                <w:lang w:eastAsia="en-GB"/>
              </w:rPr>
            </w:pPr>
            <w:r w:rsidRPr="00C20DF1">
              <w:rPr>
                <w:rFonts w:eastAsia="Calibri" w:cs="Arial"/>
                <w:b/>
                <w:szCs w:val="20"/>
                <w:lang w:eastAsia="en-GB"/>
              </w:rPr>
              <w:t xml:space="preserve">Bilateral </w:t>
            </w:r>
          </w:p>
          <w:p w:rsidR="00C20DF1" w:rsidRPr="00C20DF1" w:rsidRDefault="00C20DF1" w:rsidP="00C20DF1">
            <w:pPr>
              <w:rPr>
                <w:rFonts w:eastAsia="Calibri" w:cs="Arial"/>
                <w:b/>
                <w:szCs w:val="20"/>
                <w:lang w:eastAsia="en-GB"/>
              </w:rPr>
            </w:pPr>
            <w:r w:rsidRPr="00C20DF1">
              <w:rPr>
                <w:rFonts w:eastAsia="Calibri" w:cs="Arial"/>
                <w:b/>
                <w:szCs w:val="20"/>
                <w:lang w:eastAsia="en-GB"/>
              </w:rPr>
              <w:t>Co-operation document with the CM</w:t>
            </w:r>
          </w:p>
          <w:p w:rsidR="00C20DF1" w:rsidRPr="00C20DF1" w:rsidRDefault="00C20DF1" w:rsidP="00C20DF1">
            <w:pPr>
              <w:rPr>
                <w:rFonts w:eastAsia="Calibri" w:cs="Arial"/>
                <w:b/>
                <w:szCs w:val="20"/>
                <w:lang w:eastAsia="en-GB"/>
              </w:rPr>
            </w:pPr>
          </w:p>
        </w:tc>
        <w:tc>
          <w:tcPr>
            <w:tcW w:w="2072" w:type="dxa"/>
            <w:gridSpan w:val="2"/>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b/>
                <w:szCs w:val="20"/>
                <w:lang w:eastAsia="en-GB"/>
              </w:rPr>
            </w:pPr>
            <w:r w:rsidRPr="00C20DF1">
              <w:rPr>
                <w:rFonts w:eastAsia="Calibri" w:cs="Arial"/>
                <w:b/>
                <w:szCs w:val="20"/>
                <w:lang w:eastAsia="en-GB"/>
              </w:rPr>
              <w:t>Regional framework</w:t>
            </w:r>
          </w:p>
          <w:p w:rsidR="00C20DF1" w:rsidRPr="00C20DF1" w:rsidRDefault="00C20DF1" w:rsidP="00C20DF1">
            <w:pPr>
              <w:rPr>
                <w:rFonts w:eastAsia="Calibri" w:cs="Arial"/>
                <w:b/>
                <w:szCs w:val="20"/>
                <w:lang w:eastAsia="en-GB"/>
              </w:rPr>
            </w:pPr>
            <w:r w:rsidRPr="00C20DF1">
              <w:rPr>
                <w:rFonts w:eastAsia="Calibri" w:cs="Arial"/>
                <w:b/>
                <w:szCs w:val="20"/>
                <w:lang w:eastAsia="en-GB"/>
              </w:rPr>
              <w:t xml:space="preserve">&amp; Funding sources </w:t>
            </w:r>
          </w:p>
        </w:tc>
        <w:tc>
          <w:tcPr>
            <w:tcW w:w="1842"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b/>
                <w:szCs w:val="20"/>
                <w:lang w:eastAsia="en-GB"/>
              </w:rPr>
            </w:pPr>
            <w:r w:rsidRPr="00C20DF1">
              <w:rPr>
                <w:rFonts w:eastAsia="Calibri" w:cs="Arial"/>
                <w:b/>
                <w:szCs w:val="20"/>
                <w:lang w:eastAsia="en-GB"/>
              </w:rPr>
              <w:t>Status with PACE</w:t>
            </w:r>
          </w:p>
        </w:tc>
        <w:tc>
          <w:tcPr>
            <w:tcW w:w="1703"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b/>
                <w:szCs w:val="20"/>
                <w:lang w:eastAsia="en-GB"/>
              </w:rPr>
            </w:pPr>
            <w:r w:rsidRPr="00C20DF1">
              <w:rPr>
                <w:rFonts w:eastAsia="Calibri" w:cs="Arial"/>
                <w:b/>
                <w:szCs w:val="20"/>
                <w:lang w:eastAsia="en-GB"/>
              </w:rPr>
              <w:t>Status with Congress</w:t>
            </w:r>
          </w:p>
        </w:tc>
      </w:tr>
      <w:tr w:rsidR="00C20DF1" w:rsidRPr="00C20DF1" w:rsidTr="000060A9">
        <w:tc>
          <w:tcPr>
            <w:tcW w:w="2432"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b/>
                <w:szCs w:val="20"/>
                <w:lang w:eastAsia="en-GB"/>
              </w:rPr>
            </w:pPr>
            <w:r w:rsidRPr="00C20DF1">
              <w:rPr>
                <w:rFonts w:eastAsia="Calibri" w:cs="Arial"/>
                <w:b/>
                <w:szCs w:val="20"/>
                <w:lang w:eastAsia="en-GB"/>
              </w:rPr>
              <w:t>MOROCCO</w:t>
            </w:r>
          </w:p>
        </w:tc>
        <w:tc>
          <w:tcPr>
            <w:tcW w:w="1701"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cs="Arial"/>
                <w:szCs w:val="20"/>
                <w:lang w:eastAsia="fr-FR"/>
              </w:rPr>
            </w:pPr>
            <w:r w:rsidRPr="00C20DF1">
              <w:rPr>
                <w:rFonts w:cs="Arial"/>
                <w:szCs w:val="20"/>
                <w:lang w:eastAsia="fr-FR"/>
              </w:rPr>
              <w:t>Neighbourhood Partnership 2018-2021</w:t>
            </w:r>
          </w:p>
          <w:bookmarkStart w:id="7" w:name="_ML_000000000003_VALID"/>
          <w:p w:rsidR="00C20DF1" w:rsidRPr="00040BCB" w:rsidRDefault="00040BCB" w:rsidP="00C20DF1">
            <w:pPr>
              <w:rPr>
                <w:rFonts w:eastAsia="Calibri" w:cs="Arial"/>
                <w:szCs w:val="20"/>
                <w:lang w:eastAsia="en-GB"/>
              </w:rPr>
            </w:pPr>
            <w:r w:rsidRPr="00040BCB">
              <w:rPr>
                <w:rFonts w:cs="Arial"/>
                <w:bCs/>
                <w:szCs w:val="20"/>
                <w:lang w:eastAsia="en-GB"/>
              </w:rPr>
              <w:fldChar w:fldCharType="begin"/>
            </w:r>
            <w:r w:rsidRPr="00040BCB">
              <w:rPr>
                <w:rFonts w:cs="Arial"/>
                <w:bCs/>
                <w:szCs w:val="20"/>
                <w:lang w:eastAsia="en-GB"/>
              </w:rPr>
              <w:instrText xml:space="preserve"> HYPERLINK "https://search.coe.int/cm/Pages/result_details.aspx?Reference=CM(2018)47" \o "Policy of the Council of Europe towards neighbouring regions - Neighbourhood Partnership with Morocco 2018-2021 [1311 meeting]" </w:instrText>
            </w:r>
            <w:r w:rsidRPr="00040BCB">
              <w:rPr>
                <w:rFonts w:cs="Arial"/>
                <w:bCs/>
                <w:szCs w:val="20"/>
                <w:lang w:eastAsia="en-GB"/>
              </w:rPr>
            </w:r>
            <w:r w:rsidRPr="00040BCB">
              <w:rPr>
                <w:rFonts w:cs="Arial"/>
                <w:bCs/>
                <w:szCs w:val="20"/>
                <w:lang w:eastAsia="en-GB"/>
              </w:rPr>
              <w:fldChar w:fldCharType="separate"/>
            </w:r>
            <w:bookmarkEnd w:id="7"/>
            <w:proofErr w:type="gramStart"/>
            <w:r w:rsidRPr="00040BCB">
              <w:rPr>
                <w:rStyle w:val="Hyperlink"/>
                <w:rFonts w:cs="Arial"/>
                <w:bCs/>
                <w:szCs w:val="20"/>
                <w:lang w:eastAsia="en-GB"/>
              </w:rPr>
              <w:t>CM(</w:t>
            </w:r>
            <w:proofErr w:type="gramEnd"/>
            <w:r w:rsidRPr="00040BCB">
              <w:rPr>
                <w:rStyle w:val="Hyperlink"/>
                <w:rFonts w:cs="Arial"/>
                <w:bCs/>
                <w:szCs w:val="20"/>
                <w:lang w:eastAsia="en-GB"/>
              </w:rPr>
              <w:t>2018)47</w:t>
            </w:r>
            <w:r w:rsidRPr="00040BCB">
              <w:rPr>
                <w:rFonts w:cs="Arial"/>
                <w:bCs/>
                <w:szCs w:val="20"/>
                <w:lang w:eastAsia="en-GB"/>
              </w:rPr>
              <w:fldChar w:fldCharType="end"/>
            </w:r>
          </w:p>
        </w:tc>
        <w:tc>
          <w:tcPr>
            <w:tcW w:w="2072" w:type="dxa"/>
            <w:gridSpan w:val="2"/>
            <w:tcBorders>
              <w:top w:val="single" w:sz="4" w:space="0" w:color="auto"/>
              <w:left w:val="single" w:sz="4" w:space="0" w:color="auto"/>
              <w:bottom w:val="single" w:sz="4" w:space="0" w:color="auto"/>
              <w:right w:val="single" w:sz="4" w:space="0" w:color="auto"/>
            </w:tcBorders>
          </w:tcPr>
          <w:p w:rsidR="00C20DF1" w:rsidRPr="00C20DF1" w:rsidRDefault="00C20DF1" w:rsidP="00C20DF1">
            <w:pPr>
              <w:rPr>
                <w:rFonts w:eastAsia="Calibri" w:cs="Arial"/>
                <w:szCs w:val="20"/>
                <w:lang w:eastAsia="en-GB"/>
              </w:rPr>
            </w:pPr>
            <w:r w:rsidRPr="00C20DF1">
              <w:rPr>
                <w:rFonts w:eastAsia="Calibri" w:cs="Arial"/>
                <w:szCs w:val="20"/>
                <w:lang w:eastAsia="en-GB"/>
              </w:rPr>
              <w:t>Other regional European Union/Council of Europe JP:</w:t>
            </w:r>
          </w:p>
          <w:p w:rsidR="00C20DF1" w:rsidRPr="00C20DF1" w:rsidRDefault="00C20DF1" w:rsidP="00C20DF1">
            <w:pPr>
              <w:rPr>
                <w:rFonts w:eastAsia="Calibri" w:cs="Arial"/>
                <w:szCs w:val="20"/>
                <w:lang w:eastAsia="en-GB"/>
              </w:rPr>
            </w:pPr>
            <w:r w:rsidRPr="00C20DF1">
              <w:rPr>
                <w:rFonts w:eastAsia="Calibri" w:cs="Arial"/>
                <w:szCs w:val="20"/>
                <w:lang w:eastAsia="en-GB"/>
              </w:rPr>
              <w:t>GLACY Project</w:t>
            </w:r>
            <w:r w:rsidRPr="00C20DF1">
              <w:rPr>
                <w:rFonts w:eastAsia="Calibri" w:cs="Arial"/>
                <w:szCs w:val="20"/>
                <w:vertAlign w:val="superscript"/>
                <w:lang w:eastAsia="en-GB"/>
              </w:rPr>
              <w:footnoteReference w:id="21"/>
            </w:r>
            <w:r w:rsidRPr="00C20DF1">
              <w:rPr>
                <w:rFonts w:eastAsia="Calibri" w:cs="Arial"/>
                <w:szCs w:val="20"/>
                <w:lang w:eastAsia="en-GB"/>
              </w:rPr>
              <w:t xml:space="preserve"> </w:t>
            </w:r>
          </w:p>
          <w:p w:rsidR="00C20DF1" w:rsidRPr="00C20DF1" w:rsidRDefault="00C20DF1" w:rsidP="00C20DF1">
            <w:pPr>
              <w:rPr>
                <w:rFonts w:eastAsia="Calibri" w:cs="Arial"/>
                <w:szCs w:val="20"/>
                <w:lang w:eastAsia="en-GB"/>
              </w:rPr>
            </w:pPr>
          </w:p>
          <w:p w:rsidR="00C20DF1" w:rsidRPr="00C20DF1" w:rsidRDefault="00C20DF1" w:rsidP="00C20DF1">
            <w:pPr>
              <w:rPr>
                <w:rFonts w:eastAsia="Calibri" w:cs="Arial"/>
                <w:szCs w:val="20"/>
                <w:lang w:eastAsia="en-GB"/>
              </w:rPr>
            </w:pPr>
            <w:r w:rsidRPr="00C20DF1">
              <w:rPr>
                <w:rFonts w:eastAsia="Calibri" w:cs="Arial"/>
                <w:szCs w:val="20"/>
                <w:lang w:eastAsia="en-GB"/>
              </w:rPr>
              <w:t xml:space="preserve">Voluntary Contributions: </w:t>
            </w:r>
          </w:p>
          <w:p w:rsidR="00C20DF1" w:rsidRPr="00C20DF1" w:rsidRDefault="00C20DF1" w:rsidP="00C20DF1">
            <w:pPr>
              <w:rPr>
                <w:rFonts w:eastAsia="Calibri" w:cs="Arial"/>
                <w:szCs w:val="20"/>
                <w:lang w:eastAsia="en-GB"/>
              </w:rPr>
            </w:pPr>
            <w:r w:rsidRPr="00C20DF1">
              <w:rPr>
                <w:rFonts w:eastAsia="Calibri" w:cs="Arial"/>
                <w:szCs w:val="20"/>
                <w:lang w:eastAsia="en-GB"/>
              </w:rPr>
              <w:t xml:space="preserve">Estonia, France, Italy, </w:t>
            </w:r>
            <w:proofErr w:type="spellStart"/>
            <w:r w:rsidRPr="00C20DF1">
              <w:rPr>
                <w:rFonts w:eastAsia="Calibri" w:cs="Arial"/>
                <w:szCs w:val="20"/>
                <w:lang w:eastAsia="en-GB"/>
              </w:rPr>
              <w:t>Liechstenstein</w:t>
            </w:r>
            <w:proofErr w:type="spellEnd"/>
            <w:r w:rsidRPr="00C20DF1">
              <w:rPr>
                <w:rFonts w:eastAsia="Calibri" w:cs="Arial"/>
                <w:szCs w:val="20"/>
                <w:lang w:eastAsia="en-GB"/>
              </w:rPr>
              <w:t>, Monaco, Norway</w:t>
            </w:r>
            <w:r w:rsidRPr="00C20DF1">
              <w:rPr>
                <w:rFonts w:eastAsia="Calibri" w:cs="Arial"/>
                <w:szCs w:val="20"/>
                <w:vertAlign w:val="superscript"/>
                <w:lang w:eastAsia="en-GB"/>
              </w:rPr>
              <w:footnoteReference w:id="22"/>
            </w:r>
            <w:r w:rsidRPr="00C20DF1">
              <w:rPr>
                <w:rFonts w:eastAsia="Calibri" w:cs="Arial"/>
                <w:szCs w:val="20"/>
                <w:lang w:eastAsia="en-GB"/>
              </w:rPr>
              <w:t xml:space="preserve"> </w:t>
            </w:r>
          </w:p>
          <w:p w:rsidR="00C20DF1" w:rsidRPr="00C20DF1" w:rsidRDefault="00C20DF1" w:rsidP="00C20DF1">
            <w:pPr>
              <w:rPr>
                <w:rFonts w:eastAsia="Calibri" w:cs="Arial"/>
                <w:szCs w:val="20"/>
                <w:lang w:eastAsia="en-GB"/>
              </w:rPr>
            </w:pPr>
          </w:p>
          <w:p w:rsidR="00C20DF1" w:rsidRPr="00C20DF1" w:rsidRDefault="00C20DF1" w:rsidP="00C20DF1">
            <w:pPr>
              <w:rPr>
                <w:rFonts w:eastAsia="Calibri" w:cs="Arial"/>
                <w:szCs w:val="20"/>
                <w:lang w:eastAsia="en-GB"/>
              </w:rPr>
            </w:pPr>
            <w:r w:rsidRPr="00C20DF1">
              <w:rPr>
                <w:rFonts w:eastAsia="Calibri" w:cs="Arial"/>
                <w:szCs w:val="20"/>
                <w:lang w:eastAsia="en-GB"/>
              </w:rPr>
              <w:t>Bilateral European Union/Council of Europe JP:</w:t>
            </w:r>
          </w:p>
          <w:p w:rsidR="00C20DF1" w:rsidRPr="00C20DF1" w:rsidRDefault="00C20DF1" w:rsidP="00C20DF1">
            <w:pPr>
              <w:rPr>
                <w:rFonts w:eastAsia="Calibri" w:cs="Arial"/>
                <w:szCs w:val="20"/>
                <w:lang w:eastAsia="en-GB"/>
              </w:rPr>
            </w:pPr>
            <w:r w:rsidRPr="00C20DF1">
              <w:rPr>
                <w:rFonts w:eastAsia="Calibri" w:cs="Arial"/>
                <w:szCs w:val="20"/>
                <w:lang w:eastAsia="en-GB"/>
              </w:rPr>
              <w:t>Justice Morocco</w:t>
            </w:r>
            <w:r w:rsidRPr="00C20DF1">
              <w:rPr>
                <w:rFonts w:eastAsia="Calibri" w:cs="Arial"/>
                <w:szCs w:val="20"/>
                <w:vertAlign w:val="superscript"/>
                <w:lang w:val="fr-FR" w:eastAsia="en-GB"/>
              </w:rPr>
              <w:footnoteReference w:id="23"/>
            </w:r>
          </w:p>
          <w:p w:rsidR="00C20DF1" w:rsidRPr="00C20DF1" w:rsidRDefault="00C20DF1" w:rsidP="00C20DF1">
            <w:pPr>
              <w:rPr>
                <w:rFonts w:eastAsia="Calibri" w:cs="Arial"/>
                <w:szCs w:val="20"/>
                <w:lang w:eastAsia="en-GB"/>
              </w:rPr>
            </w:pPr>
          </w:p>
          <w:p w:rsidR="00C20DF1" w:rsidRPr="00C20DF1" w:rsidRDefault="00C20DF1" w:rsidP="00C20DF1">
            <w:pPr>
              <w:rPr>
                <w:rFonts w:eastAsia="Calibri" w:cs="Arial"/>
                <w:szCs w:val="20"/>
                <w:lang w:eastAsia="en-GB"/>
              </w:rPr>
            </w:pPr>
          </w:p>
          <w:p w:rsidR="00C20DF1" w:rsidRPr="00C20DF1" w:rsidRDefault="00C20DF1" w:rsidP="00C20DF1">
            <w:pPr>
              <w:rPr>
                <w:rFonts w:eastAsia="Calibri" w:cs="Arial"/>
                <w:szCs w:val="20"/>
                <w:lang w:eastAsia="en-GB"/>
              </w:rPr>
            </w:pPr>
          </w:p>
          <w:p w:rsidR="00C20DF1" w:rsidRPr="00C20DF1" w:rsidRDefault="00C20DF1" w:rsidP="00C20DF1">
            <w:pPr>
              <w:rPr>
                <w:rFonts w:eastAsia="Calibri" w:cs="Arial"/>
                <w:szCs w:val="20"/>
                <w:lang w:eastAsia="en-GB"/>
              </w:rPr>
            </w:pPr>
          </w:p>
        </w:tc>
        <w:tc>
          <w:tcPr>
            <w:tcW w:w="1842"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szCs w:val="20"/>
                <w:lang w:eastAsia="en-GB"/>
              </w:rPr>
            </w:pPr>
            <w:r w:rsidRPr="00C20DF1">
              <w:rPr>
                <w:rFonts w:eastAsia="Calibri" w:cs="Arial"/>
                <w:szCs w:val="20"/>
                <w:lang w:eastAsia="en-GB"/>
              </w:rPr>
              <w:t xml:space="preserve">Parliament granted Partner for Democracy status in 2011 </w:t>
            </w:r>
          </w:p>
        </w:tc>
        <w:tc>
          <w:tcPr>
            <w:tcW w:w="1703" w:type="dxa"/>
            <w:tcBorders>
              <w:top w:val="single" w:sz="4" w:space="0" w:color="auto"/>
              <w:left w:val="single" w:sz="4" w:space="0" w:color="auto"/>
              <w:bottom w:val="single" w:sz="4" w:space="0" w:color="auto"/>
              <w:right w:val="single" w:sz="4" w:space="0" w:color="auto"/>
            </w:tcBorders>
            <w:hideMark/>
          </w:tcPr>
          <w:p w:rsidR="00C20DF1" w:rsidRPr="00B15FE9" w:rsidRDefault="00FB2CBD" w:rsidP="00FB2CBD">
            <w:pPr>
              <w:rPr>
                <w:rFonts w:eastAsia="Calibri" w:cs="Arial"/>
                <w:szCs w:val="20"/>
                <w:lang w:eastAsia="en-GB"/>
              </w:rPr>
            </w:pPr>
            <w:r w:rsidRPr="00B15FE9">
              <w:rPr>
                <w:rFonts w:eastAsia="Calibri" w:cs="Arial"/>
                <w:szCs w:val="20"/>
                <w:lang w:eastAsia="en-GB"/>
              </w:rPr>
              <w:t>Partner for Local Democracy status granted</w:t>
            </w:r>
            <w:r w:rsidR="004054AC" w:rsidRPr="00B15FE9">
              <w:rPr>
                <w:rFonts w:eastAsia="Calibri" w:cs="Arial"/>
                <w:szCs w:val="20"/>
                <w:lang w:eastAsia="en-GB"/>
              </w:rPr>
              <w:t xml:space="preserve"> to Morocco</w:t>
            </w:r>
            <w:r w:rsidRPr="00B15FE9">
              <w:rPr>
                <w:rFonts w:eastAsia="Calibri" w:cs="Arial"/>
                <w:szCs w:val="20"/>
                <w:lang w:eastAsia="en-GB"/>
              </w:rPr>
              <w:t xml:space="preserve"> in 2019</w:t>
            </w:r>
          </w:p>
        </w:tc>
      </w:tr>
    </w:tbl>
    <w:p w:rsidR="00482D08" w:rsidRDefault="00482D08">
      <w:r>
        <w:br w:type="page"/>
      </w:r>
    </w:p>
    <w:tbl>
      <w:tblPr>
        <w:tblStyle w:val="TableGrid2"/>
        <w:tblW w:w="9750" w:type="dxa"/>
        <w:tblInd w:w="0" w:type="dxa"/>
        <w:tblLayout w:type="fixed"/>
        <w:tblLook w:val="04A0" w:firstRow="1" w:lastRow="0" w:firstColumn="1" w:lastColumn="0" w:noHBand="0" w:noVBand="1"/>
      </w:tblPr>
      <w:tblGrid>
        <w:gridCol w:w="2431"/>
        <w:gridCol w:w="1701"/>
        <w:gridCol w:w="2072"/>
        <w:gridCol w:w="1842"/>
        <w:gridCol w:w="1681"/>
        <w:gridCol w:w="23"/>
      </w:tblGrid>
      <w:tr w:rsidR="00C20DF1" w:rsidRPr="00C20DF1" w:rsidTr="00FF5C1B">
        <w:tc>
          <w:tcPr>
            <w:tcW w:w="2431"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b/>
                <w:szCs w:val="20"/>
                <w:lang w:eastAsia="en-GB"/>
              </w:rPr>
            </w:pPr>
            <w:r w:rsidRPr="00C20DF1">
              <w:rPr>
                <w:rFonts w:eastAsia="Calibri" w:cs="Arial"/>
                <w:b/>
                <w:szCs w:val="20"/>
                <w:lang w:eastAsia="en-GB"/>
              </w:rPr>
              <w:lastRenderedPageBreak/>
              <w:t>TUNISIA</w:t>
            </w:r>
          </w:p>
        </w:tc>
        <w:tc>
          <w:tcPr>
            <w:tcW w:w="1701"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cs="Arial"/>
                <w:szCs w:val="20"/>
                <w:lang w:eastAsia="fr-FR"/>
              </w:rPr>
            </w:pPr>
            <w:r w:rsidRPr="00C20DF1">
              <w:rPr>
                <w:rFonts w:cs="Arial"/>
                <w:szCs w:val="20"/>
                <w:lang w:eastAsia="fr-FR"/>
              </w:rPr>
              <w:t>Neighbourhood Partnership 2018-2021</w:t>
            </w:r>
          </w:p>
          <w:bookmarkStart w:id="8" w:name="_ML_000000000004_VALID"/>
          <w:p w:rsidR="00C20DF1" w:rsidRPr="00040BCB" w:rsidRDefault="00040BCB" w:rsidP="00C20DF1">
            <w:pPr>
              <w:rPr>
                <w:rFonts w:eastAsia="Calibri" w:cs="Arial"/>
                <w:szCs w:val="20"/>
                <w:lang w:eastAsia="en-GB"/>
              </w:rPr>
            </w:pPr>
            <w:r w:rsidRPr="00040BCB">
              <w:rPr>
                <w:rFonts w:cs="Arial"/>
                <w:bCs/>
                <w:szCs w:val="20"/>
                <w:lang w:eastAsia="en-GB"/>
              </w:rPr>
              <w:fldChar w:fldCharType="begin"/>
            </w:r>
            <w:r w:rsidRPr="00040BCB">
              <w:rPr>
                <w:rFonts w:cs="Arial"/>
                <w:bCs/>
                <w:szCs w:val="20"/>
                <w:lang w:eastAsia="en-GB"/>
              </w:rPr>
              <w:instrText xml:space="preserve"> HYPERLINK "https://search.coe.int/cm/Pages/result_details.aspx?Reference=CM(2018)48" \o "Policy of the Council of Europe towards neighbouring regions - Neighbourhood Partnership with Tunisia 2018-2021 [1311 meeting]" </w:instrText>
            </w:r>
            <w:r w:rsidRPr="00040BCB">
              <w:rPr>
                <w:rFonts w:cs="Arial"/>
                <w:bCs/>
                <w:szCs w:val="20"/>
                <w:lang w:eastAsia="en-GB"/>
              </w:rPr>
            </w:r>
            <w:r w:rsidRPr="00040BCB">
              <w:rPr>
                <w:rFonts w:cs="Arial"/>
                <w:bCs/>
                <w:szCs w:val="20"/>
                <w:lang w:eastAsia="en-GB"/>
              </w:rPr>
              <w:fldChar w:fldCharType="separate"/>
            </w:r>
            <w:bookmarkEnd w:id="8"/>
            <w:proofErr w:type="gramStart"/>
            <w:r w:rsidRPr="00040BCB">
              <w:rPr>
                <w:rStyle w:val="Hyperlink"/>
                <w:rFonts w:cs="Arial"/>
                <w:bCs/>
                <w:szCs w:val="20"/>
                <w:lang w:eastAsia="en-GB"/>
              </w:rPr>
              <w:t>CM(</w:t>
            </w:r>
            <w:proofErr w:type="gramEnd"/>
            <w:r w:rsidRPr="00040BCB">
              <w:rPr>
                <w:rStyle w:val="Hyperlink"/>
                <w:rFonts w:cs="Arial"/>
                <w:bCs/>
                <w:szCs w:val="20"/>
                <w:lang w:eastAsia="en-GB"/>
              </w:rPr>
              <w:t>2018)48</w:t>
            </w:r>
            <w:r w:rsidRPr="00040BCB">
              <w:rPr>
                <w:rFonts w:cs="Arial"/>
                <w:bCs/>
                <w:szCs w:val="20"/>
                <w:lang w:eastAsia="en-GB"/>
              </w:rPr>
              <w:fldChar w:fldCharType="end"/>
            </w:r>
          </w:p>
        </w:tc>
        <w:tc>
          <w:tcPr>
            <w:tcW w:w="2072"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szCs w:val="20"/>
                <w:lang w:eastAsia="en-GB"/>
              </w:rPr>
            </w:pPr>
            <w:r w:rsidRPr="00C20DF1">
              <w:rPr>
                <w:rFonts w:eastAsia="Calibri" w:cs="Arial"/>
                <w:szCs w:val="20"/>
                <w:lang w:eastAsia="en-GB"/>
              </w:rPr>
              <w:t xml:space="preserve">Voluntary Contributions: </w:t>
            </w:r>
          </w:p>
          <w:p w:rsidR="00C20DF1" w:rsidRPr="00C20DF1" w:rsidRDefault="00C20DF1" w:rsidP="00C20DF1">
            <w:pPr>
              <w:rPr>
                <w:rFonts w:eastAsia="Calibri" w:cs="Arial"/>
                <w:szCs w:val="20"/>
                <w:lang w:eastAsia="en-GB"/>
              </w:rPr>
            </w:pPr>
            <w:r w:rsidRPr="00C20DF1">
              <w:rPr>
                <w:rFonts w:eastAsia="Calibri" w:cs="Arial"/>
                <w:szCs w:val="20"/>
                <w:lang w:eastAsia="en-GB"/>
              </w:rPr>
              <w:t>Estonia, France, Italy, Monaco, Norway</w:t>
            </w:r>
            <w:r w:rsidRPr="00C20DF1">
              <w:rPr>
                <w:rFonts w:eastAsia="Calibri" w:cs="Arial"/>
                <w:szCs w:val="20"/>
                <w:vertAlign w:val="superscript"/>
                <w:lang w:eastAsia="en-GB"/>
              </w:rPr>
              <w:footnoteReference w:id="24"/>
            </w:r>
            <w:r w:rsidRPr="00C20DF1">
              <w:rPr>
                <w:rFonts w:eastAsia="Calibri" w:cs="Arial"/>
                <w:szCs w:val="20"/>
                <w:lang w:eastAsia="en-GB"/>
              </w:rPr>
              <w:t xml:space="preserve"> </w:t>
            </w:r>
          </w:p>
          <w:p w:rsidR="00C20DF1" w:rsidRPr="00C20DF1" w:rsidRDefault="00C20DF1" w:rsidP="00C20DF1">
            <w:pPr>
              <w:rPr>
                <w:rFonts w:eastAsia="Calibri" w:cs="Arial"/>
                <w:szCs w:val="20"/>
                <w:lang w:eastAsia="en-GB"/>
              </w:rPr>
            </w:pPr>
          </w:p>
          <w:p w:rsidR="00C20DF1" w:rsidRPr="00C20DF1" w:rsidRDefault="00C20DF1" w:rsidP="00C20DF1">
            <w:pPr>
              <w:rPr>
                <w:rFonts w:eastAsia="Calibri" w:cs="Arial"/>
                <w:szCs w:val="20"/>
                <w:lang w:eastAsia="en-GB"/>
              </w:rPr>
            </w:pPr>
            <w:r w:rsidRPr="00C20DF1">
              <w:rPr>
                <w:rFonts w:eastAsia="Calibri" w:cs="Arial"/>
                <w:szCs w:val="20"/>
                <w:lang w:eastAsia="en-GB"/>
              </w:rPr>
              <w:t>Bilateral European Union/Council of Europe JP:</w:t>
            </w:r>
          </w:p>
          <w:p w:rsidR="00C20DF1" w:rsidRPr="00C20DF1" w:rsidRDefault="00C20DF1" w:rsidP="00C20DF1">
            <w:pPr>
              <w:rPr>
                <w:rFonts w:eastAsia="Calibri" w:cs="Arial"/>
                <w:szCs w:val="20"/>
                <w:lang w:eastAsia="en-GB"/>
              </w:rPr>
            </w:pPr>
            <w:r w:rsidRPr="00C20DF1">
              <w:rPr>
                <w:rFonts w:eastAsia="Calibri" w:cs="Arial"/>
                <w:szCs w:val="20"/>
                <w:lang w:eastAsia="en-GB"/>
              </w:rPr>
              <w:t>AP-JUST</w:t>
            </w:r>
            <w:r w:rsidRPr="00C20DF1">
              <w:rPr>
                <w:rFonts w:eastAsia="Calibri" w:cs="Arial"/>
                <w:szCs w:val="20"/>
                <w:vertAlign w:val="superscript"/>
                <w:lang w:val="fr-FR" w:eastAsia="en-GB"/>
              </w:rPr>
              <w:footnoteReference w:id="25"/>
            </w:r>
          </w:p>
          <w:p w:rsidR="00C20DF1" w:rsidRPr="00C20DF1" w:rsidRDefault="00C20DF1" w:rsidP="00C20DF1">
            <w:pPr>
              <w:rPr>
                <w:rFonts w:eastAsia="Calibri" w:cs="Arial"/>
                <w:szCs w:val="20"/>
                <w:lang w:eastAsia="en-GB"/>
              </w:rPr>
            </w:pPr>
            <w:r w:rsidRPr="00C20DF1">
              <w:rPr>
                <w:rFonts w:eastAsia="Calibri" w:cs="Arial"/>
                <w:szCs w:val="20"/>
                <w:lang w:eastAsia="en-GB"/>
              </w:rPr>
              <w:t>PAII-T</w:t>
            </w:r>
            <w:r w:rsidRPr="00C20DF1">
              <w:rPr>
                <w:rFonts w:eastAsia="Calibri" w:cs="Arial"/>
                <w:szCs w:val="20"/>
                <w:vertAlign w:val="superscript"/>
                <w:lang w:val="fr-FR" w:eastAsia="en-GB"/>
              </w:rPr>
              <w:footnoteReference w:id="26"/>
            </w:r>
          </w:p>
          <w:p w:rsidR="00C20DF1" w:rsidRPr="00C20DF1" w:rsidRDefault="00C20DF1" w:rsidP="00C20DF1">
            <w:pPr>
              <w:rPr>
                <w:rFonts w:eastAsia="Calibri" w:cs="Arial"/>
                <w:szCs w:val="20"/>
                <w:lang w:eastAsia="en-GB"/>
              </w:rPr>
            </w:pPr>
          </w:p>
        </w:tc>
        <w:tc>
          <w:tcPr>
            <w:tcW w:w="1842"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szCs w:val="20"/>
                <w:lang w:eastAsia="en-GB"/>
              </w:rPr>
            </w:pPr>
          </w:p>
        </w:tc>
        <w:tc>
          <w:tcPr>
            <w:tcW w:w="1704" w:type="dxa"/>
            <w:gridSpan w:val="2"/>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szCs w:val="20"/>
                <w:lang w:eastAsia="en-GB"/>
              </w:rPr>
            </w:pPr>
          </w:p>
        </w:tc>
      </w:tr>
      <w:tr w:rsidR="00C20DF1" w:rsidRPr="00C20DF1" w:rsidTr="00FF5C1B">
        <w:trPr>
          <w:trHeight w:val="930"/>
        </w:trPr>
        <w:tc>
          <w:tcPr>
            <w:tcW w:w="2431"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b/>
                <w:szCs w:val="20"/>
                <w:lang w:eastAsia="en-GB"/>
              </w:rPr>
            </w:pPr>
            <w:r w:rsidRPr="00C20DF1">
              <w:rPr>
                <w:rFonts w:eastAsia="Calibri" w:cs="Arial"/>
                <w:b/>
                <w:szCs w:val="20"/>
                <w:lang w:eastAsia="en-GB"/>
              </w:rPr>
              <w:t>ALGERIA, EGYPT, LIBYA</w:t>
            </w:r>
          </w:p>
        </w:tc>
        <w:tc>
          <w:tcPr>
            <w:tcW w:w="1701"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szCs w:val="20"/>
                <w:lang w:eastAsia="en-GB"/>
              </w:rPr>
            </w:pPr>
          </w:p>
        </w:tc>
        <w:tc>
          <w:tcPr>
            <w:tcW w:w="2072" w:type="dxa"/>
            <w:tcBorders>
              <w:top w:val="single" w:sz="4" w:space="0" w:color="auto"/>
              <w:left w:val="single" w:sz="4" w:space="0" w:color="auto"/>
              <w:bottom w:val="single" w:sz="4" w:space="0" w:color="auto"/>
              <w:right w:val="single" w:sz="4" w:space="0" w:color="auto"/>
            </w:tcBorders>
          </w:tcPr>
          <w:p w:rsidR="00C20DF1" w:rsidRPr="00C20DF1" w:rsidRDefault="00C20DF1" w:rsidP="00C20DF1">
            <w:pPr>
              <w:rPr>
                <w:rFonts w:eastAsia="Calibri" w:cs="Arial"/>
                <w:szCs w:val="20"/>
                <w:lang w:eastAsia="en-GB"/>
              </w:rPr>
            </w:pPr>
            <w:r w:rsidRPr="00C20DF1">
              <w:rPr>
                <w:rFonts w:eastAsia="Calibri" w:cs="Arial"/>
                <w:szCs w:val="20"/>
                <w:lang w:eastAsia="en-GB"/>
              </w:rPr>
              <w:t>Regional Programmes</w:t>
            </w:r>
          </w:p>
          <w:p w:rsidR="00C20DF1" w:rsidRPr="00C20DF1" w:rsidRDefault="00C20DF1" w:rsidP="00C20DF1">
            <w:pPr>
              <w:rPr>
                <w:rFonts w:eastAsia="Calibri" w:cs="Arial"/>
                <w:szCs w:val="20"/>
                <w:lang w:eastAsia="en-GB"/>
              </w:rPr>
            </w:pPr>
          </w:p>
          <w:p w:rsidR="00C20DF1" w:rsidRPr="00C20DF1" w:rsidRDefault="00C20DF1" w:rsidP="00C20DF1">
            <w:pPr>
              <w:rPr>
                <w:rFonts w:eastAsia="Calibri" w:cs="Arial"/>
                <w:szCs w:val="20"/>
                <w:lang w:eastAsia="en-GB"/>
              </w:rPr>
            </w:pPr>
          </w:p>
        </w:tc>
        <w:tc>
          <w:tcPr>
            <w:tcW w:w="1842" w:type="dxa"/>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szCs w:val="20"/>
                <w:lang w:eastAsia="en-GB"/>
              </w:rPr>
            </w:pPr>
          </w:p>
          <w:p w:rsidR="00C20DF1" w:rsidRPr="00C20DF1" w:rsidRDefault="00C20DF1" w:rsidP="00C20DF1">
            <w:pPr>
              <w:rPr>
                <w:rFonts w:eastAsia="Calibri" w:cs="Arial"/>
                <w:szCs w:val="20"/>
                <w:lang w:eastAsia="en-GB"/>
              </w:rPr>
            </w:pPr>
          </w:p>
        </w:tc>
        <w:tc>
          <w:tcPr>
            <w:tcW w:w="1704" w:type="dxa"/>
            <w:gridSpan w:val="2"/>
            <w:tcBorders>
              <w:top w:val="single" w:sz="4" w:space="0" w:color="auto"/>
              <w:left w:val="single" w:sz="4" w:space="0" w:color="auto"/>
              <w:bottom w:val="single" w:sz="4" w:space="0" w:color="auto"/>
              <w:right w:val="single" w:sz="4" w:space="0" w:color="auto"/>
            </w:tcBorders>
            <w:hideMark/>
          </w:tcPr>
          <w:p w:rsidR="00C20DF1" w:rsidRPr="00C20DF1" w:rsidRDefault="00C20DF1" w:rsidP="00C20DF1">
            <w:pPr>
              <w:rPr>
                <w:rFonts w:eastAsia="Calibri" w:cs="Arial"/>
                <w:szCs w:val="20"/>
                <w:lang w:eastAsia="en-GB"/>
              </w:rPr>
            </w:pPr>
          </w:p>
        </w:tc>
      </w:tr>
      <w:tr w:rsidR="00FF5C1B" w:rsidRPr="00C20DF1" w:rsidTr="00FF5C1B">
        <w:tc>
          <w:tcPr>
            <w:tcW w:w="9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5C1B" w:rsidRPr="00C20DF1" w:rsidRDefault="00FF5C1B" w:rsidP="00586487">
            <w:pPr>
              <w:jc w:val="center"/>
              <w:rPr>
                <w:rFonts w:cs="Arial"/>
                <w:b/>
                <w:szCs w:val="20"/>
                <w:lang w:eastAsia="en-GB"/>
              </w:rPr>
            </w:pPr>
            <w:r w:rsidRPr="00C20DF1">
              <w:rPr>
                <w:rFonts w:cs="Arial"/>
                <w:b/>
                <w:szCs w:val="20"/>
                <w:lang w:eastAsia="en-GB"/>
              </w:rPr>
              <w:t>MIDDLE EAST</w:t>
            </w:r>
          </w:p>
          <w:p w:rsidR="00FF5C1B" w:rsidRPr="00C20DF1" w:rsidRDefault="00FF5C1B" w:rsidP="00586487">
            <w:pPr>
              <w:jc w:val="center"/>
              <w:rPr>
                <w:rFonts w:eastAsia="Calibri" w:cs="Arial"/>
                <w:b/>
                <w:szCs w:val="20"/>
                <w:lang w:eastAsia="en-GB"/>
              </w:rPr>
            </w:pPr>
          </w:p>
        </w:tc>
      </w:tr>
      <w:tr w:rsidR="00FF5C1B" w:rsidRPr="00C20DF1" w:rsidTr="00FF5C1B">
        <w:trPr>
          <w:gridAfter w:val="1"/>
          <w:wAfter w:w="23" w:type="dxa"/>
        </w:trPr>
        <w:tc>
          <w:tcPr>
            <w:tcW w:w="2431" w:type="dxa"/>
          </w:tcPr>
          <w:p w:rsidR="00FF5C1B" w:rsidRPr="00C20DF1" w:rsidRDefault="00FF5C1B" w:rsidP="00586487">
            <w:pPr>
              <w:rPr>
                <w:rFonts w:eastAsia="Calibri" w:cs="Arial"/>
                <w:szCs w:val="20"/>
                <w:lang w:eastAsia="en-GB"/>
              </w:rPr>
            </w:pPr>
          </w:p>
        </w:tc>
        <w:tc>
          <w:tcPr>
            <w:tcW w:w="1701" w:type="dxa"/>
            <w:hideMark/>
          </w:tcPr>
          <w:p w:rsidR="00FF5C1B" w:rsidRPr="00C20DF1" w:rsidRDefault="00FF5C1B" w:rsidP="00586487">
            <w:pPr>
              <w:rPr>
                <w:rFonts w:eastAsia="Calibri" w:cs="Arial"/>
                <w:b/>
                <w:szCs w:val="20"/>
                <w:lang w:eastAsia="en-GB"/>
              </w:rPr>
            </w:pPr>
            <w:r w:rsidRPr="00C20DF1">
              <w:rPr>
                <w:rFonts w:eastAsia="Calibri" w:cs="Arial"/>
                <w:b/>
                <w:szCs w:val="20"/>
                <w:lang w:eastAsia="en-GB"/>
              </w:rPr>
              <w:t xml:space="preserve">Bilateral </w:t>
            </w:r>
          </w:p>
          <w:p w:rsidR="00FF5C1B" w:rsidRPr="00C20DF1" w:rsidRDefault="00FF5C1B" w:rsidP="00586487">
            <w:pPr>
              <w:rPr>
                <w:rFonts w:eastAsia="Calibri" w:cs="Arial"/>
                <w:b/>
                <w:szCs w:val="20"/>
                <w:lang w:eastAsia="en-GB"/>
              </w:rPr>
            </w:pPr>
            <w:r w:rsidRPr="00C20DF1">
              <w:rPr>
                <w:rFonts w:eastAsia="Calibri" w:cs="Arial"/>
                <w:b/>
                <w:szCs w:val="20"/>
                <w:lang w:eastAsia="en-GB"/>
              </w:rPr>
              <w:t>Co-operation document with the CM</w:t>
            </w:r>
          </w:p>
        </w:tc>
        <w:tc>
          <w:tcPr>
            <w:tcW w:w="2072" w:type="dxa"/>
            <w:hideMark/>
          </w:tcPr>
          <w:p w:rsidR="00FF5C1B" w:rsidRPr="00C20DF1" w:rsidRDefault="00FF5C1B" w:rsidP="00586487">
            <w:pPr>
              <w:rPr>
                <w:rFonts w:eastAsia="Calibri" w:cs="Arial"/>
                <w:b/>
                <w:szCs w:val="20"/>
                <w:lang w:eastAsia="en-GB"/>
              </w:rPr>
            </w:pPr>
            <w:r w:rsidRPr="00C20DF1">
              <w:rPr>
                <w:rFonts w:eastAsia="Calibri" w:cs="Arial"/>
                <w:b/>
                <w:szCs w:val="20"/>
                <w:lang w:eastAsia="en-GB"/>
              </w:rPr>
              <w:t xml:space="preserve">Regional framework </w:t>
            </w:r>
          </w:p>
          <w:p w:rsidR="00FF5C1B" w:rsidRPr="00C20DF1" w:rsidRDefault="00FF5C1B" w:rsidP="00586487">
            <w:pPr>
              <w:rPr>
                <w:rFonts w:eastAsia="Calibri" w:cs="Arial"/>
                <w:b/>
                <w:szCs w:val="20"/>
                <w:lang w:eastAsia="en-GB"/>
              </w:rPr>
            </w:pPr>
            <w:r w:rsidRPr="00C20DF1">
              <w:rPr>
                <w:rFonts w:eastAsia="Calibri" w:cs="Arial"/>
                <w:b/>
                <w:szCs w:val="20"/>
                <w:lang w:eastAsia="en-GB"/>
              </w:rPr>
              <w:t>&amp; Funding sources</w:t>
            </w:r>
          </w:p>
        </w:tc>
        <w:tc>
          <w:tcPr>
            <w:tcW w:w="1842" w:type="dxa"/>
            <w:hideMark/>
          </w:tcPr>
          <w:p w:rsidR="00FF5C1B" w:rsidRPr="00C20DF1" w:rsidRDefault="00FF5C1B" w:rsidP="00586487">
            <w:pPr>
              <w:rPr>
                <w:rFonts w:eastAsia="Calibri" w:cs="Arial"/>
                <w:b/>
                <w:szCs w:val="20"/>
                <w:lang w:eastAsia="en-GB"/>
              </w:rPr>
            </w:pPr>
            <w:r w:rsidRPr="00C20DF1">
              <w:rPr>
                <w:rFonts w:eastAsia="Calibri" w:cs="Arial"/>
                <w:b/>
                <w:szCs w:val="20"/>
                <w:lang w:eastAsia="en-GB"/>
              </w:rPr>
              <w:t>Status with PACE</w:t>
            </w:r>
          </w:p>
        </w:tc>
        <w:tc>
          <w:tcPr>
            <w:tcW w:w="1681" w:type="dxa"/>
            <w:hideMark/>
          </w:tcPr>
          <w:p w:rsidR="00FF5C1B" w:rsidRPr="00C20DF1" w:rsidRDefault="00FF5C1B" w:rsidP="00586487">
            <w:pPr>
              <w:rPr>
                <w:rFonts w:eastAsia="Calibri" w:cs="Arial"/>
                <w:b/>
                <w:szCs w:val="20"/>
                <w:lang w:eastAsia="en-GB"/>
              </w:rPr>
            </w:pPr>
            <w:r w:rsidRPr="00C20DF1">
              <w:rPr>
                <w:rFonts w:eastAsia="Calibri" w:cs="Arial"/>
                <w:b/>
                <w:szCs w:val="20"/>
                <w:lang w:eastAsia="en-GB"/>
              </w:rPr>
              <w:t>Status with Congress</w:t>
            </w:r>
          </w:p>
        </w:tc>
      </w:tr>
      <w:tr w:rsidR="00FF5C1B" w:rsidRPr="00C20DF1" w:rsidTr="00FF5C1B">
        <w:trPr>
          <w:gridAfter w:val="1"/>
          <w:wAfter w:w="23" w:type="dxa"/>
        </w:trPr>
        <w:tc>
          <w:tcPr>
            <w:tcW w:w="2431" w:type="dxa"/>
            <w:hideMark/>
          </w:tcPr>
          <w:p w:rsidR="00FF5C1B" w:rsidRPr="00C20DF1" w:rsidRDefault="00FF5C1B" w:rsidP="00586487">
            <w:pPr>
              <w:rPr>
                <w:rFonts w:eastAsia="Calibri" w:cs="Arial"/>
                <w:b/>
                <w:szCs w:val="20"/>
                <w:lang w:eastAsia="en-GB"/>
              </w:rPr>
            </w:pPr>
            <w:r w:rsidRPr="00C20DF1">
              <w:rPr>
                <w:rFonts w:cs="Arial"/>
                <w:b/>
                <w:color w:val="000000"/>
                <w:szCs w:val="20"/>
                <w:lang w:eastAsia="fr-FR"/>
              </w:rPr>
              <w:t>THE HASHEMITE KINGDOM OF JORDAN</w:t>
            </w:r>
          </w:p>
        </w:tc>
        <w:tc>
          <w:tcPr>
            <w:tcW w:w="1701" w:type="dxa"/>
          </w:tcPr>
          <w:p w:rsidR="00FF5C1B" w:rsidRPr="00C20DF1" w:rsidRDefault="00FF5C1B" w:rsidP="00586487">
            <w:pPr>
              <w:rPr>
                <w:rFonts w:cs="Arial"/>
                <w:szCs w:val="20"/>
                <w:lang w:eastAsia="fr-FR"/>
              </w:rPr>
            </w:pPr>
            <w:r w:rsidRPr="00C20DF1">
              <w:rPr>
                <w:rFonts w:eastAsia="Calibri" w:cs="Arial"/>
                <w:szCs w:val="20"/>
                <w:lang w:eastAsia="en-GB"/>
              </w:rPr>
              <w:t xml:space="preserve">(no reply to the proposed Draft </w:t>
            </w:r>
            <w:r w:rsidRPr="00C20DF1">
              <w:rPr>
                <w:rFonts w:cs="Arial"/>
                <w:szCs w:val="20"/>
                <w:lang w:eastAsia="fr-FR"/>
              </w:rPr>
              <w:t>Neighbourhood Partnership 2018-2021)</w:t>
            </w:r>
          </w:p>
          <w:p w:rsidR="00FF5C1B" w:rsidRPr="00C20DF1" w:rsidRDefault="00FF5C1B" w:rsidP="00586487">
            <w:pPr>
              <w:rPr>
                <w:rFonts w:eastAsia="Calibri" w:cs="Arial"/>
                <w:szCs w:val="20"/>
                <w:lang w:eastAsia="en-GB"/>
              </w:rPr>
            </w:pPr>
          </w:p>
        </w:tc>
        <w:tc>
          <w:tcPr>
            <w:tcW w:w="2072" w:type="dxa"/>
          </w:tcPr>
          <w:p w:rsidR="00FF5C1B" w:rsidRPr="00C20DF1" w:rsidRDefault="00FF5C1B" w:rsidP="00586487">
            <w:pPr>
              <w:rPr>
                <w:rFonts w:eastAsia="Calibri" w:cs="Arial"/>
                <w:szCs w:val="20"/>
                <w:lang w:eastAsia="en-GB"/>
              </w:rPr>
            </w:pPr>
            <w:r w:rsidRPr="00C20DF1">
              <w:rPr>
                <w:rFonts w:eastAsia="Calibri" w:cs="Arial"/>
                <w:szCs w:val="20"/>
                <w:lang w:eastAsia="en-GB"/>
              </w:rPr>
              <w:t>Voluntary Contributions:</w:t>
            </w:r>
          </w:p>
          <w:p w:rsidR="00FF5C1B" w:rsidRPr="00C20DF1" w:rsidRDefault="00FF5C1B" w:rsidP="00586487">
            <w:pPr>
              <w:rPr>
                <w:rFonts w:eastAsia="Calibri" w:cs="Arial"/>
                <w:szCs w:val="20"/>
                <w:lang w:eastAsia="en-GB"/>
              </w:rPr>
            </w:pPr>
            <w:r w:rsidRPr="00C20DF1">
              <w:rPr>
                <w:rFonts w:eastAsia="Calibri" w:cs="Arial"/>
                <w:szCs w:val="20"/>
                <w:lang w:eastAsia="en-GB"/>
              </w:rPr>
              <w:t xml:space="preserve">Turkey </w:t>
            </w:r>
            <w:r w:rsidRPr="00C20DF1">
              <w:rPr>
                <w:rFonts w:eastAsia="Calibri" w:cs="Arial"/>
                <w:szCs w:val="20"/>
                <w:vertAlign w:val="superscript"/>
                <w:lang w:val="fr-FR" w:eastAsia="en-GB"/>
              </w:rPr>
              <w:footnoteReference w:id="27"/>
            </w:r>
          </w:p>
          <w:p w:rsidR="00FF5C1B" w:rsidRPr="00C20DF1" w:rsidRDefault="00FF5C1B" w:rsidP="00586487">
            <w:pPr>
              <w:rPr>
                <w:rFonts w:eastAsia="Calibri" w:cs="Arial"/>
                <w:szCs w:val="20"/>
                <w:lang w:val="en-US" w:eastAsia="en-GB"/>
              </w:rPr>
            </w:pPr>
          </w:p>
          <w:p w:rsidR="00FF5C1B" w:rsidRPr="00C20DF1" w:rsidRDefault="00FF5C1B" w:rsidP="00FF5C1B">
            <w:pPr>
              <w:rPr>
                <w:rFonts w:eastAsia="Calibri" w:cs="Arial"/>
                <w:szCs w:val="20"/>
                <w:lang w:eastAsia="en-GB"/>
              </w:rPr>
            </w:pPr>
            <w:r w:rsidRPr="00C20DF1">
              <w:rPr>
                <w:rFonts w:eastAsia="Calibri" w:cs="Arial"/>
                <w:szCs w:val="20"/>
                <w:lang w:eastAsia="en-GB"/>
              </w:rPr>
              <w:t>Bilateral European Union/Council of Europe JP: Justice Jordan</w:t>
            </w:r>
            <w:r w:rsidRPr="00C20DF1">
              <w:rPr>
                <w:rFonts w:eastAsia="Calibri" w:cs="Arial"/>
                <w:szCs w:val="20"/>
                <w:vertAlign w:val="superscript"/>
                <w:lang w:val="fr-FR" w:eastAsia="en-GB"/>
              </w:rPr>
              <w:footnoteReference w:id="28"/>
            </w:r>
          </w:p>
        </w:tc>
        <w:tc>
          <w:tcPr>
            <w:tcW w:w="1842" w:type="dxa"/>
            <w:hideMark/>
          </w:tcPr>
          <w:p w:rsidR="00FF5C1B" w:rsidRPr="00C20DF1" w:rsidRDefault="00FF5C1B" w:rsidP="00586487">
            <w:pPr>
              <w:rPr>
                <w:rFonts w:eastAsia="Calibri" w:cs="Arial"/>
                <w:szCs w:val="20"/>
                <w:lang w:eastAsia="en-GB"/>
              </w:rPr>
            </w:pPr>
            <w:r w:rsidRPr="00C20DF1">
              <w:rPr>
                <w:rFonts w:eastAsia="Calibri" w:cs="Arial"/>
                <w:szCs w:val="20"/>
                <w:lang w:eastAsia="en-GB"/>
              </w:rPr>
              <w:t>Parliament granted Partner for Democracy status in 2016</w:t>
            </w:r>
          </w:p>
        </w:tc>
        <w:tc>
          <w:tcPr>
            <w:tcW w:w="1681" w:type="dxa"/>
            <w:hideMark/>
          </w:tcPr>
          <w:p w:rsidR="00FF5C1B" w:rsidRPr="00C20DF1" w:rsidRDefault="00FF5C1B" w:rsidP="00586487">
            <w:pPr>
              <w:rPr>
                <w:rFonts w:eastAsia="Calibri" w:cs="Arial"/>
                <w:szCs w:val="20"/>
                <w:lang w:eastAsia="en-GB"/>
              </w:rPr>
            </w:pPr>
          </w:p>
        </w:tc>
      </w:tr>
      <w:tr w:rsidR="00FF5C1B" w:rsidRPr="00C20DF1" w:rsidTr="00FF5C1B">
        <w:trPr>
          <w:gridAfter w:val="1"/>
          <w:wAfter w:w="23" w:type="dxa"/>
        </w:trPr>
        <w:tc>
          <w:tcPr>
            <w:tcW w:w="2431" w:type="dxa"/>
            <w:hideMark/>
          </w:tcPr>
          <w:p w:rsidR="00FF5C1B" w:rsidRPr="00C20DF1" w:rsidRDefault="00FF5C1B" w:rsidP="00586487">
            <w:pPr>
              <w:rPr>
                <w:rFonts w:cs="Arial"/>
                <w:b/>
                <w:szCs w:val="20"/>
                <w:lang w:eastAsia="fr-FR"/>
              </w:rPr>
            </w:pPr>
            <w:r w:rsidRPr="00C20DF1">
              <w:rPr>
                <w:rFonts w:cs="Arial"/>
                <w:b/>
                <w:szCs w:val="20"/>
                <w:lang w:eastAsia="fr-FR"/>
              </w:rPr>
              <w:t>PALESTINE*</w:t>
            </w:r>
            <w:r w:rsidRPr="00C20DF1">
              <w:rPr>
                <w:rFonts w:cs="Arial"/>
                <w:szCs w:val="20"/>
                <w:lang w:eastAsia="fr-FR"/>
              </w:rPr>
              <w:t>.</w:t>
            </w:r>
          </w:p>
        </w:tc>
        <w:tc>
          <w:tcPr>
            <w:tcW w:w="1701" w:type="dxa"/>
            <w:hideMark/>
          </w:tcPr>
          <w:p w:rsidR="00FF5C1B" w:rsidRPr="00C20DF1" w:rsidRDefault="00FF5C1B" w:rsidP="00586487">
            <w:pPr>
              <w:rPr>
                <w:rFonts w:cs="Arial"/>
                <w:color w:val="333333"/>
                <w:szCs w:val="20"/>
                <w:lang w:val="en-US" w:eastAsia="en-GB"/>
              </w:rPr>
            </w:pPr>
            <w:r w:rsidRPr="00C20DF1">
              <w:rPr>
                <w:rFonts w:cs="Arial"/>
                <w:color w:val="333333"/>
                <w:szCs w:val="20"/>
                <w:lang w:val="en-US" w:eastAsia="en-GB"/>
              </w:rPr>
              <w:t xml:space="preserve">Implementation of the </w:t>
            </w:r>
            <w:proofErr w:type="spellStart"/>
            <w:r w:rsidRPr="00C20DF1">
              <w:rPr>
                <w:rFonts w:cs="Arial"/>
                <w:color w:val="333333"/>
                <w:szCs w:val="20"/>
                <w:lang w:val="en-US" w:eastAsia="en-GB"/>
              </w:rPr>
              <w:t>Neighbourhood</w:t>
            </w:r>
            <w:proofErr w:type="spellEnd"/>
            <w:r w:rsidRPr="00C20DF1">
              <w:rPr>
                <w:rFonts w:cs="Arial"/>
                <w:color w:val="333333"/>
                <w:szCs w:val="20"/>
                <w:lang w:val="en-US" w:eastAsia="en-GB"/>
              </w:rPr>
              <w:t xml:space="preserve"> Co-operation Priorities (2016-2017) extended in 2018 &amp; 2019;</w:t>
            </w:r>
          </w:p>
          <w:bookmarkStart w:id="9" w:name="_ML_000000000005_VALID"/>
          <w:p w:rsidR="00FF5C1B" w:rsidRPr="00040BCB" w:rsidRDefault="00040BCB" w:rsidP="00586487">
            <w:pPr>
              <w:rPr>
                <w:rFonts w:cs="Arial"/>
                <w:szCs w:val="20"/>
                <w:lang w:val="en-US" w:eastAsia="en-GB"/>
              </w:rPr>
            </w:pPr>
            <w:r w:rsidRPr="00040BCB">
              <w:rPr>
                <w:rFonts w:cs="Arial"/>
                <w:szCs w:val="20"/>
                <w:lang w:val="en-US" w:eastAsia="en-GB"/>
              </w:rPr>
              <w:fldChar w:fldCharType="begin"/>
            </w:r>
            <w:r w:rsidRPr="00040BCB">
              <w:rPr>
                <w:rFonts w:cs="Arial"/>
                <w:szCs w:val="20"/>
                <w:lang w:val="en-US" w:eastAsia="en-GB"/>
              </w:rPr>
              <w:instrText xml:space="preserve"> HYPERLINK "https://search.coe.int/cm/Pages/result_details.aspx?Reference=CM(2016)117" \o "Neighbourhood Co-operation Priorities with Palestine (2016-2017) - Document prepared by the Office of the Directorate General for Programmes and the Directorate of External Relations [1264 meeting]" </w:instrText>
            </w:r>
            <w:r w:rsidRPr="00040BCB">
              <w:rPr>
                <w:rFonts w:cs="Arial"/>
                <w:szCs w:val="20"/>
                <w:lang w:val="en-US" w:eastAsia="en-GB"/>
              </w:rPr>
            </w:r>
            <w:r w:rsidRPr="00040BCB">
              <w:rPr>
                <w:rFonts w:cs="Arial"/>
                <w:szCs w:val="20"/>
                <w:lang w:val="en-US" w:eastAsia="en-GB"/>
              </w:rPr>
              <w:fldChar w:fldCharType="separate"/>
            </w:r>
            <w:bookmarkEnd w:id="9"/>
            <w:proofErr w:type="gramStart"/>
            <w:r w:rsidRPr="00040BCB">
              <w:rPr>
                <w:rStyle w:val="Hyperlink"/>
                <w:rFonts w:cs="Arial"/>
                <w:szCs w:val="20"/>
                <w:lang w:val="en-US" w:eastAsia="en-GB"/>
              </w:rPr>
              <w:t>CM(</w:t>
            </w:r>
            <w:proofErr w:type="gramEnd"/>
            <w:r w:rsidRPr="00040BCB">
              <w:rPr>
                <w:rStyle w:val="Hyperlink"/>
                <w:rFonts w:cs="Arial"/>
                <w:szCs w:val="20"/>
                <w:lang w:val="en-US" w:eastAsia="en-GB"/>
              </w:rPr>
              <w:t>2016)117</w:t>
            </w:r>
            <w:r w:rsidRPr="00040BCB">
              <w:rPr>
                <w:rFonts w:cs="Arial"/>
                <w:szCs w:val="20"/>
                <w:lang w:val="en-US" w:eastAsia="en-GB"/>
              </w:rPr>
              <w:fldChar w:fldCharType="end"/>
            </w:r>
          </w:p>
          <w:p w:rsidR="00FF5C1B" w:rsidRDefault="00FF5C1B" w:rsidP="00586487">
            <w:pPr>
              <w:rPr>
                <w:rFonts w:cs="Arial"/>
                <w:szCs w:val="20"/>
              </w:rPr>
            </w:pPr>
            <w:r w:rsidRPr="00C20DF1">
              <w:rPr>
                <w:rFonts w:cs="Arial"/>
                <w:color w:val="333333"/>
                <w:szCs w:val="20"/>
                <w:lang w:val="en-US" w:eastAsia="en-GB"/>
              </w:rPr>
              <w:t>Reporting end of 2018:</w:t>
            </w:r>
            <w:r w:rsidRPr="00C20DF1">
              <w:rPr>
                <w:rFonts w:cs="Arial"/>
                <w:szCs w:val="20"/>
              </w:rPr>
              <w:t xml:space="preserve"> </w:t>
            </w:r>
          </w:p>
          <w:bookmarkStart w:id="10" w:name="_ML_000000000006_VALID"/>
          <w:p w:rsidR="00FF5C1B" w:rsidRPr="00040BCB" w:rsidRDefault="00040BCB" w:rsidP="00586487">
            <w:pPr>
              <w:rPr>
                <w:rFonts w:cs="Arial"/>
                <w:color w:val="333333"/>
                <w:szCs w:val="20"/>
                <w:lang w:val="en-US" w:eastAsia="en-GB"/>
              </w:rPr>
            </w:pPr>
            <w:r w:rsidRPr="00040BCB">
              <w:rPr>
                <w:rStyle w:val="Hyperlink"/>
                <w:rFonts w:cs="Arial"/>
                <w:szCs w:val="20"/>
              </w:rPr>
              <w:fldChar w:fldCharType="begin"/>
            </w:r>
            <w:r w:rsidRPr="00040BCB">
              <w:rPr>
                <w:rStyle w:val="Hyperlink"/>
                <w:rFonts w:cs="Arial"/>
                <w:szCs w:val="20"/>
              </w:rPr>
              <w:instrText xml:space="preserve"> HYPERLINK "https://search.coe.int/cm/Pages/result_details.aspx?Reference=GR-EXT(2018)15" \o "Council of Europe Neighbourhood Co-operation Priorities with Palestine (2016-2018) - Progress report - Document prepared by the Office of the Directorate General for Programmes and the Directorate of external relations" </w:instrText>
            </w:r>
            <w:r w:rsidRPr="00040BCB">
              <w:rPr>
                <w:rStyle w:val="Hyperlink"/>
                <w:rFonts w:cs="Arial"/>
                <w:szCs w:val="20"/>
              </w:rPr>
            </w:r>
            <w:r w:rsidRPr="00040BCB">
              <w:rPr>
                <w:rStyle w:val="Hyperlink"/>
                <w:rFonts w:cs="Arial"/>
                <w:szCs w:val="20"/>
              </w:rPr>
              <w:fldChar w:fldCharType="separate"/>
            </w:r>
            <w:bookmarkEnd w:id="10"/>
            <w:r w:rsidRPr="00040BCB">
              <w:rPr>
                <w:rStyle w:val="Hyperlink"/>
                <w:rFonts w:cs="Arial"/>
                <w:szCs w:val="20"/>
              </w:rPr>
              <w:t>GR-</w:t>
            </w:r>
            <w:proofErr w:type="gramStart"/>
            <w:r w:rsidRPr="00040BCB">
              <w:rPr>
                <w:rStyle w:val="Hyperlink"/>
                <w:rFonts w:cs="Arial"/>
                <w:szCs w:val="20"/>
              </w:rPr>
              <w:t>EXT(</w:t>
            </w:r>
            <w:proofErr w:type="gramEnd"/>
            <w:r w:rsidRPr="00040BCB">
              <w:rPr>
                <w:rStyle w:val="Hyperlink"/>
                <w:rFonts w:cs="Arial"/>
                <w:szCs w:val="20"/>
              </w:rPr>
              <w:t>2018)15</w:t>
            </w:r>
            <w:r w:rsidRPr="00040BCB">
              <w:rPr>
                <w:rStyle w:val="Hyperlink"/>
                <w:rFonts w:cs="Arial"/>
                <w:szCs w:val="20"/>
              </w:rPr>
              <w:fldChar w:fldCharType="end"/>
            </w:r>
          </w:p>
          <w:p w:rsidR="00FF5C1B" w:rsidRPr="00C20DF1" w:rsidRDefault="00FF5C1B" w:rsidP="00586487">
            <w:pPr>
              <w:rPr>
                <w:rFonts w:eastAsia="Calibri" w:cs="Arial"/>
                <w:szCs w:val="20"/>
                <w:lang w:eastAsia="en-GB"/>
              </w:rPr>
            </w:pPr>
            <w:r w:rsidRPr="00C20DF1">
              <w:rPr>
                <w:rFonts w:cs="Arial"/>
                <w:szCs w:val="20"/>
              </w:rPr>
              <w:t>Secretariat to report back in due course.</w:t>
            </w:r>
          </w:p>
        </w:tc>
        <w:tc>
          <w:tcPr>
            <w:tcW w:w="2072" w:type="dxa"/>
            <w:hideMark/>
          </w:tcPr>
          <w:p w:rsidR="00FF5C1B" w:rsidRPr="00C20DF1" w:rsidRDefault="00FF5C1B" w:rsidP="00586487">
            <w:pPr>
              <w:rPr>
                <w:rFonts w:eastAsia="Calibri" w:cs="Arial"/>
                <w:szCs w:val="20"/>
                <w:lang w:eastAsia="en-GB"/>
              </w:rPr>
            </w:pPr>
            <w:r w:rsidRPr="00C20DF1">
              <w:rPr>
                <w:rFonts w:eastAsia="Calibri" w:cs="Arial"/>
                <w:szCs w:val="20"/>
                <w:lang w:eastAsia="en-GB"/>
              </w:rPr>
              <w:t>Voluntary Contributions:</w:t>
            </w:r>
          </w:p>
          <w:p w:rsidR="00FF5C1B" w:rsidRPr="00C20DF1" w:rsidRDefault="00FF5C1B" w:rsidP="00586487">
            <w:pPr>
              <w:rPr>
                <w:rFonts w:eastAsia="Calibri" w:cs="Arial"/>
                <w:szCs w:val="20"/>
                <w:lang w:eastAsia="en-GB"/>
              </w:rPr>
            </w:pPr>
            <w:r w:rsidRPr="00C20DF1">
              <w:rPr>
                <w:rFonts w:eastAsia="Calibri" w:cs="Arial"/>
                <w:szCs w:val="20"/>
                <w:lang w:eastAsia="en-GB"/>
              </w:rPr>
              <w:t>Turkey</w:t>
            </w:r>
            <w:r w:rsidRPr="00C20DF1">
              <w:rPr>
                <w:rFonts w:eastAsia="Calibri" w:cs="Arial"/>
                <w:szCs w:val="20"/>
                <w:vertAlign w:val="superscript"/>
                <w:lang w:eastAsia="en-GB"/>
              </w:rPr>
              <w:footnoteReference w:id="29"/>
            </w:r>
          </w:p>
          <w:p w:rsidR="00FF5C1B" w:rsidRPr="00C20DF1" w:rsidRDefault="00FF5C1B" w:rsidP="00586487">
            <w:pPr>
              <w:rPr>
                <w:rFonts w:eastAsia="Calibri" w:cs="Arial"/>
                <w:szCs w:val="20"/>
                <w:lang w:eastAsia="en-GB"/>
              </w:rPr>
            </w:pPr>
          </w:p>
          <w:p w:rsidR="00FF5C1B" w:rsidRPr="00C20DF1" w:rsidRDefault="00FF5C1B" w:rsidP="00586487">
            <w:pPr>
              <w:rPr>
                <w:rFonts w:eastAsia="Calibri" w:cs="Arial"/>
                <w:szCs w:val="20"/>
                <w:lang w:eastAsia="en-GB"/>
              </w:rPr>
            </w:pPr>
            <w:r w:rsidRPr="00C20DF1">
              <w:rPr>
                <w:rFonts w:eastAsia="Calibri" w:cs="Arial"/>
                <w:szCs w:val="20"/>
                <w:lang w:eastAsia="en-GB"/>
              </w:rPr>
              <w:t>Regional Programmes</w:t>
            </w:r>
          </w:p>
        </w:tc>
        <w:tc>
          <w:tcPr>
            <w:tcW w:w="1842" w:type="dxa"/>
          </w:tcPr>
          <w:p w:rsidR="00FF5C1B" w:rsidRPr="00C20DF1" w:rsidRDefault="00FF5C1B" w:rsidP="00586487">
            <w:pPr>
              <w:spacing w:before="100" w:beforeAutospacing="1" w:after="100" w:afterAutospacing="1"/>
              <w:rPr>
                <w:rFonts w:cs="Arial"/>
                <w:szCs w:val="20"/>
                <w:lang w:eastAsia="en-GB"/>
              </w:rPr>
            </w:pPr>
            <w:r w:rsidRPr="00C20DF1">
              <w:rPr>
                <w:rFonts w:cs="Arial"/>
                <w:szCs w:val="20"/>
                <w:lang w:eastAsia="en-GB"/>
              </w:rPr>
              <w:t xml:space="preserve">Palestinian National Council (PNC) granted Partner for Democracy status in 2011 </w:t>
            </w:r>
          </w:p>
          <w:p w:rsidR="00FF5C1B" w:rsidRPr="00C20DF1" w:rsidRDefault="00FF5C1B" w:rsidP="00586487">
            <w:pPr>
              <w:rPr>
                <w:rFonts w:eastAsia="Calibri" w:cs="Arial"/>
                <w:szCs w:val="20"/>
                <w:lang w:eastAsia="en-GB"/>
              </w:rPr>
            </w:pPr>
          </w:p>
        </w:tc>
        <w:tc>
          <w:tcPr>
            <w:tcW w:w="1681" w:type="dxa"/>
            <w:hideMark/>
          </w:tcPr>
          <w:p w:rsidR="00FF5C1B" w:rsidRPr="00B15FE9" w:rsidRDefault="00FF5C1B" w:rsidP="00586487">
            <w:pPr>
              <w:rPr>
                <w:rFonts w:eastAsia="Calibri" w:cs="Arial"/>
                <w:szCs w:val="20"/>
                <w:lang w:eastAsia="en-GB"/>
              </w:rPr>
            </w:pPr>
            <w:r w:rsidRPr="00B15FE9">
              <w:rPr>
                <w:rFonts w:eastAsia="Calibri" w:cs="Arial"/>
                <w:szCs w:val="20"/>
                <w:lang w:eastAsia="en-GB"/>
              </w:rPr>
              <w:t>Observer status granted to the Association of Palestinian Local Authorities in 2005</w:t>
            </w:r>
          </w:p>
        </w:tc>
      </w:tr>
      <w:tr w:rsidR="00FF5C1B" w:rsidRPr="00C20DF1" w:rsidTr="00FF5C1B">
        <w:trPr>
          <w:gridAfter w:val="1"/>
          <w:wAfter w:w="23" w:type="dxa"/>
        </w:trPr>
        <w:tc>
          <w:tcPr>
            <w:tcW w:w="2431" w:type="dxa"/>
            <w:hideMark/>
          </w:tcPr>
          <w:p w:rsidR="00FF5C1B" w:rsidRPr="00C20DF1" w:rsidRDefault="00FF5C1B" w:rsidP="00586487">
            <w:pPr>
              <w:rPr>
                <w:rFonts w:cs="Arial"/>
                <w:b/>
                <w:szCs w:val="20"/>
                <w:lang w:eastAsia="fr-FR"/>
              </w:rPr>
            </w:pPr>
            <w:r w:rsidRPr="00C20DF1">
              <w:rPr>
                <w:rFonts w:cs="Arial"/>
                <w:b/>
                <w:szCs w:val="20"/>
                <w:lang w:eastAsia="fr-FR"/>
              </w:rPr>
              <w:t>LEBANON, SYRIA</w:t>
            </w:r>
            <w:r w:rsidRPr="00C20DF1">
              <w:rPr>
                <w:rFonts w:cs="Arial"/>
                <w:b/>
                <w:szCs w:val="20"/>
                <w:vertAlign w:val="superscript"/>
                <w:lang w:eastAsia="fr-FR"/>
              </w:rPr>
              <w:footnoteReference w:id="30"/>
            </w:r>
          </w:p>
        </w:tc>
        <w:tc>
          <w:tcPr>
            <w:tcW w:w="1701" w:type="dxa"/>
            <w:hideMark/>
          </w:tcPr>
          <w:p w:rsidR="00FF5C1B" w:rsidRPr="00C20DF1" w:rsidRDefault="00FF5C1B" w:rsidP="00586487">
            <w:pPr>
              <w:rPr>
                <w:rFonts w:eastAsia="Calibri" w:cs="Arial"/>
                <w:szCs w:val="20"/>
                <w:lang w:eastAsia="en-GB"/>
              </w:rPr>
            </w:pPr>
          </w:p>
        </w:tc>
        <w:tc>
          <w:tcPr>
            <w:tcW w:w="2072" w:type="dxa"/>
            <w:hideMark/>
          </w:tcPr>
          <w:p w:rsidR="00FF5C1B" w:rsidRPr="00C20DF1" w:rsidRDefault="00FF5C1B" w:rsidP="00586487">
            <w:pPr>
              <w:spacing w:after="240"/>
              <w:rPr>
                <w:rFonts w:eastAsia="Calibri" w:cs="Arial"/>
                <w:szCs w:val="20"/>
                <w:lang w:eastAsia="en-GB"/>
              </w:rPr>
            </w:pPr>
            <w:r w:rsidRPr="00C20DF1">
              <w:rPr>
                <w:rFonts w:eastAsia="Calibri" w:cs="Arial"/>
                <w:szCs w:val="20"/>
                <w:lang w:eastAsia="en-GB"/>
              </w:rPr>
              <w:t>Regional Programmes</w:t>
            </w:r>
          </w:p>
        </w:tc>
        <w:tc>
          <w:tcPr>
            <w:tcW w:w="1842" w:type="dxa"/>
            <w:hideMark/>
          </w:tcPr>
          <w:p w:rsidR="00FF5C1B" w:rsidRPr="00C20DF1" w:rsidRDefault="00FF5C1B" w:rsidP="00586487">
            <w:pPr>
              <w:rPr>
                <w:rFonts w:eastAsia="Calibri" w:cs="Arial"/>
                <w:szCs w:val="20"/>
                <w:lang w:eastAsia="en-GB"/>
              </w:rPr>
            </w:pPr>
          </w:p>
        </w:tc>
        <w:tc>
          <w:tcPr>
            <w:tcW w:w="1681" w:type="dxa"/>
            <w:hideMark/>
          </w:tcPr>
          <w:p w:rsidR="00FF5C1B" w:rsidRPr="00C20DF1" w:rsidRDefault="00FF5C1B" w:rsidP="00586487">
            <w:pPr>
              <w:rPr>
                <w:rFonts w:eastAsia="Calibri" w:cs="Arial"/>
                <w:szCs w:val="20"/>
                <w:lang w:eastAsia="en-GB"/>
              </w:rPr>
            </w:pPr>
          </w:p>
        </w:tc>
      </w:tr>
      <w:tr w:rsidR="00FF5C1B" w:rsidRPr="00C20DF1" w:rsidTr="00FF5C1B">
        <w:tc>
          <w:tcPr>
            <w:tcW w:w="2431" w:type="dxa"/>
            <w:hideMark/>
          </w:tcPr>
          <w:p w:rsidR="00FF5C1B" w:rsidRPr="00C20DF1" w:rsidRDefault="00FF5C1B" w:rsidP="00586487">
            <w:pPr>
              <w:rPr>
                <w:rFonts w:eastAsia="Calibri" w:cs="Arial"/>
                <w:b/>
                <w:szCs w:val="20"/>
                <w:lang w:eastAsia="en-GB"/>
              </w:rPr>
            </w:pPr>
            <w:r w:rsidRPr="00C20DF1">
              <w:rPr>
                <w:rFonts w:eastAsia="Calibri" w:cs="Arial"/>
                <w:b/>
                <w:szCs w:val="20"/>
                <w:lang w:eastAsia="en-GB"/>
              </w:rPr>
              <w:t>ISRAEL</w:t>
            </w:r>
          </w:p>
        </w:tc>
        <w:tc>
          <w:tcPr>
            <w:tcW w:w="1701" w:type="dxa"/>
            <w:hideMark/>
          </w:tcPr>
          <w:p w:rsidR="00FF5C1B" w:rsidRPr="00C20DF1" w:rsidRDefault="00FF5C1B" w:rsidP="00586487">
            <w:pPr>
              <w:rPr>
                <w:rFonts w:cs="Arial"/>
                <w:szCs w:val="20"/>
                <w:lang w:eastAsia="fr-FR"/>
              </w:rPr>
            </w:pPr>
            <w:r w:rsidRPr="00C20DF1">
              <w:rPr>
                <w:rFonts w:cs="Arial"/>
                <w:szCs w:val="20"/>
                <w:lang w:eastAsia="fr-FR"/>
              </w:rPr>
              <w:t xml:space="preserve">Multifaceted </w:t>
            </w:r>
          </w:p>
          <w:p w:rsidR="00FF5C1B" w:rsidRPr="00C20DF1" w:rsidRDefault="00FF5C1B" w:rsidP="00586487">
            <w:pPr>
              <w:rPr>
                <w:rFonts w:cs="Arial"/>
                <w:szCs w:val="20"/>
                <w:lang w:eastAsia="fr-FR"/>
              </w:rPr>
            </w:pPr>
            <w:r w:rsidRPr="00C20DF1">
              <w:rPr>
                <w:rFonts w:cs="Arial"/>
                <w:szCs w:val="20"/>
                <w:lang w:eastAsia="fr-FR"/>
              </w:rPr>
              <w:t>co-operation</w:t>
            </w:r>
          </w:p>
          <w:p w:rsidR="00FF5C1B" w:rsidRPr="00C20DF1" w:rsidRDefault="00FF5C1B" w:rsidP="00586487">
            <w:pPr>
              <w:rPr>
                <w:rFonts w:cs="Arial"/>
                <w:szCs w:val="20"/>
                <w:lang w:eastAsia="fr-FR"/>
              </w:rPr>
            </w:pPr>
            <w:r w:rsidRPr="00C20DF1">
              <w:rPr>
                <w:rFonts w:cs="Arial"/>
                <w:szCs w:val="20"/>
                <w:lang w:eastAsia="fr-FR"/>
              </w:rPr>
              <w:t>(see</w:t>
            </w:r>
          </w:p>
          <w:p w:rsidR="00FF5C1B" w:rsidRPr="00C20DF1" w:rsidRDefault="00FF5C1B" w:rsidP="00586487">
            <w:pPr>
              <w:rPr>
                <w:rFonts w:eastAsia="Calibri" w:cs="Arial"/>
                <w:szCs w:val="20"/>
                <w:lang w:eastAsia="en-GB"/>
              </w:rPr>
            </w:pPr>
            <w:r w:rsidRPr="00C20DF1">
              <w:rPr>
                <w:rFonts w:cs="Arial"/>
                <w:szCs w:val="20"/>
                <w:lang w:eastAsia="en-GB"/>
              </w:rPr>
              <w:t xml:space="preserve">Co-operation between the Council of Europe and Israel </w:t>
            </w:r>
            <w:r w:rsidRPr="00715B16">
              <w:rPr>
                <w:rFonts w:cs="Arial"/>
                <w:szCs w:val="20"/>
                <w:lang w:eastAsia="en-GB"/>
              </w:rPr>
              <w:t>(</w:t>
            </w:r>
            <w:r w:rsidR="00040BCB" w:rsidRPr="00040BCB">
              <w:rPr>
                <w:rFonts w:cs="Arial"/>
                <w:szCs w:val="20"/>
                <w:lang w:eastAsia="en-GB"/>
              </w:rPr>
              <w:t>DER/</w:t>
            </w:r>
            <w:proofErr w:type="gramStart"/>
            <w:r w:rsidR="00040BCB" w:rsidRPr="00040BCB">
              <w:rPr>
                <w:rFonts w:cs="Arial"/>
                <w:szCs w:val="20"/>
                <w:lang w:eastAsia="en-GB"/>
              </w:rPr>
              <w:t>Inf(</w:t>
            </w:r>
            <w:proofErr w:type="gramEnd"/>
            <w:r w:rsidR="00040BCB" w:rsidRPr="00040BCB">
              <w:rPr>
                <w:rFonts w:cs="Arial"/>
                <w:szCs w:val="20"/>
                <w:lang w:eastAsia="en-GB"/>
              </w:rPr>
              <w:t>2017)2</w:t>
            </w:r>
          </w:p>
        </w:tc>
        <w:tc>
          <w:tcPr>
            <w:tcW w:w="2072" w:type="dxa"/>
            <w:hideMark/>
          </w:tcPr>
          <w:p w:rsidR="00FF5C1B" w:rsidRPr="00C20DF1" w:rsidRDefault="00FF5C1B" w:rsidP="00586487">
            <w:pPr>
              <w:rPr>
                <w:rFonts w:eastAsia="Calibri" w:cs="Arial"/>
                <w:szCs w:val="20"/>
                <w:lang w:eastAsia="en-GB"/>
              </w:rPr>
            </w:pPr>
            <w:r w:rsidRPr="00C20DF1">
              <w:rPr>
                <w:rFonts w:eastAsia="Calibri" w:cs="Arial"/>
                <w:szCs w:val="20"/>
                <w:lang w:eastAsia="en-GB"/>
              </w:rPr>
              <w:t>Regional Programmes</w:t>
            </w:r>
          </w:p>
        </w:tc>
        <w:tc>
          <w:tcPr>
            <w:tcW w:w="1842" w:type="dxa"/>
            <w:hideMark/>
          </w:tcPr>
          <w:p w:rsidR="00FF5C1B" w:rsidRPr="00C20DF1" w:rsidRDefault="00FF5C1B" w:rsidP="00586487">
            <w:pPr>
              <w:rPr>
                <w:rFonts w:eastAsia="Calibri" w:cs="Arial"/>
                <w:szCs w:val="20"/>
                <w:lang w:eastAsia="en-GB"/>
              </w:rPr>
            </w:pPr>
            <w:r w:rsidRPr="00C20DF1">
              <w:rPr>
                <w:rFonts w:eastAsia="Calibri" w:cs="Arial"/>
                <w:szCs w:val="20"/>
                <w:lang w:eastAsia="en-GB"/>
              </w:rPr>
              <w:t>Observer status granted to the Knesset in 1957</w:t>
            </w:r>
          </w:p>
        </w:tc>
        <w:tc>
          <w:tcPr>
            <w:tcW w:w="1704" w:type="dxa"/>
            <w:gridSpan w:val="2"/>
            <w:hideMark/>
          </w:tcPr>
          <w:p w:rsidR="00FF5C1B" w:rsidRPr="00C20DF1" w:rsidRDefault="00FF5C1B" w:rsidP="00586487">
            <w:pPr>
              <w:rPr>
                <w:rFonts w:eastAsia="Calibri" w:cs="Arial"/>
                <w:szCs w:val="20"/>
                <w:lang w:eastAsia="en-GB"/>
              </w:rPr>
            </w:pPr>
            <w:r w:rsidRPr="00C20DF1">
              <w:rPr>
                <w:rFonts w:eastAsia="Calibri" w:cs="Arial"/>
                <w:szCs w:val="20"/>
                <w:lang w:eastAsia="en-GB"/>
              </w:rPr>
              <w:t>Observer status granted to the Union of Local Authorities in 1994</w:t>
            </w:r>
          </w:p>
        </w:tc>
      </w:tr>
      <w:tr w:rsidR="00FF5C1B" w:rsidRPr="00C20DF1" w:rsidTr="00FF5C1B">
        <w:tc>
          <w:tcPr>
            <w:tcW w:w="9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5C1B" w:rsidRPr="00C20DF1" w:rsidRDefault="00FF5C1B" w:rsidP="00586487">
            <w:pPr>
              <w:jc w:val="center"/>
              <w:rPr>
                <w:rFonts w:cs="Arial"/>
                <w:b/>
                <w:szCs w:val="20"/>
                <w:lang w:eastAsia="en-GB"/>
              </w:rPr>
            </w:pPr>
            <w:r w:rsidRPr="00C20DF1">
              <w:rPr>
                <w:rFonts w:cs="Arial"/>
                <w:b/>
                <w:szCs w:val="20"/>
                <w:lang w:eastAsia="en-GB"/>
              </w:rPr>
              <w:lastRenderedPageBreak/>
              <w:t>CENTRAL ASIA</w:t>
            </w:r>
          </w:p>
          <w:p w:rsidR="00FF5C1B" w:rsidRPr="00C20DF1" w:rsidRDefault="00FF5C1B" w:rsidP="00586487">
            <w:pPr>
              <w:jc w:val="center"/>
              <w:rPr>
                <w:rFonts w:eastAsia="Calibri" w:cs="Arial"/>
                <w:b/>
                <w:szCs w:val="20"/>
                <w:lang w:eastAsia="en-GB"/>
              </w:rPr>
            </w:pPr>
          </w:p>
        </w:tc>
      </w:tr>
      <w:tr w:rsidR="00FF5C1B" w:rsidRPr="00C20DF1" w:rsidTr="00FF5C1B">
        <w:tc>
          <w:tcPr>
            <w:tcW w:w="2431" w:type="dxa"/>
          </w:tcPr>
          <w:p w:rsidR="00FF5C1B" w:rsidRPr="00C20DF1" w:rsidRDefault="00FF5C1B" w:rsidP="00586487">
            <w:pPr>
              <w:rPr>
                <w:rFonts w:eastAsia="Calibri" w:cs="Arial"/>
                <w:szCs w:val="20"/>
                <w:lang w:eastAsia="en-GB"/>
              </w:rPr>
            </w:pPr>
          </w:p>
        </w:tc>
        <w:tc>
          <w:tcPr>
            <w:tcW w:w="1701" w:type="dxa"/>
            <w:hideMark/>
          </w:tcPr>
          <w:p w:rsidR="00FF5C1B" w:rsidRPr="00C20DF1" w:rsidRDefault="00FF5C1B" w:rsidP="00586487">
            <w:pPr>
              <w:rPr>
                <w:rFonts w:eastAsia="Calibri" w:cs="Arial"/>
                <w:b/>
                <w:szCs w:val="20"/>
                <w:lang w:eastAsia="en-GB"/>
              </w:rPr>
            </w:pPr>
            <w:r w:rsidRPr="00C20DF1">
              <w:rPr>
                <w:rFonts w:eastAsia="Calibri" w:cs="Arial"/>
                <w:b/>
                <w:szCs w:val="20"/>
                <w:lang w:eastAsia="en-GB"/>
              </w:rPr>
              <w:t xml:space="preserve">Bilateral </w:t>
            </w:r>
          </w:p>
          <w:p w:rsidR="00FF5C1B" w:rsidRPr="00C20DF1" w:rsidRDefault="00FF5C1B" w:rsidP="00586487">
            <w:pPr>
              <w:rPr>
                <w:rFonts w:eastAsia="Calibri" w:cs="Arial"/>
                <w:b/>
                <w:szCs w:val="20"/>
                <w:lang w:eastAsia="en-GB"/>
              </w:rPr>
            </w:pPr>
            <w:r w:rsidRPr="00C20DF1">
              <w:rPr>
                <w:rFonts w:eastAsia="Calibri" w:cs="Arial"/>
                <w:b/>
                <w:szCs w:val="20"/>
                <w:lang w:eastAsia="en-GB"/>
              </w:rPr>
              <w:t>Co-operation document with the CM</w:t>
            </w:r>
          </w:p>
        </w:tc>
        <w:tc>
          <w:tcPr>
            <w:tcW w:w="2072" w:type="dxa"/>
            <w:hideMark/>
          </w:tcPr>
          <w:p w:rsidR="00FF5C1B" w:rsidRPr="00C20DF1" w:rsidRDefault="00FF5C1B" w:rsidP="00586487">
            <w:pPr>
              <w:rPr>
                <w:rFonts w:eastAsia="Calibri" w:cs="Arial"/>
                <w:b/>
                <w:szCs w:val="20"/>
                <w:lang w:eastAsia="en-GB"/>
              </w:rPr>
            </w:pPr>
            <w:r w:rsidRPr="00C20DF1">
              <w:rPr>
                <w:rFonts w:eastAsia="Calibri" w:cs="Arial"/>
                <w:b/>
                <w:szCs w:val="20"/>
                <w:lang w:eastAsia="en-GB"/>
              </w:rPr>
              <w:t xml:space="preserve">Regional framework </w:t>
            </w:r>
          </w:p>
          <w:p w:rsidR="00FF5C1B" w:rsidRPr="00C20DF1" w:rsidRDefault="00FF5C1B" w:rsidP="00586487">
            <w:pPr>
              <w:rPr>
                <w:rFonts w:eastAsia="Calibri" w:cs="Arial"/>
                <w:b/>
                <w:szCs w:val="20"/>
                <w:lang w:eastAsia="en-GB"/>
              </w:rPr>
            </w:pPr>
            <w:r w:rsidRPr="00C20DF1">
              <w:rPr>
                <w:rFonts w:eastAsia="Calibri" w:cs="Arial"/>
                <w:b/>
                <w:szCs w:val="20"/>
                <w:lang w:eastAsia="en-GB"/>
              </w:rPr>
              <w:t>&amp; Funding sources</w:t>
            </w:r>
          </w:p>
        </w:tc>
        <w:tc>
          <w:tcPr>
            <w:tcW w:w="1842" w:type="dxa"/>
            <w:hideMark/>
          </w:tcPr>
          <w:p w:rsidR="00FF5C1B" w:rsidRPr="00C20DF1" w:rsidRDefault="00FF5C1B" w:rsidP="00586487">
            <w:pPr>
              <w:rPr>
                <w:rFonts w:eastAsia="Calibri" w:cs="Arial"/>
                <w:b/>
                <w:szCs w:val="20"/>
                <w:lang w:eastAsia="en-GB"/>
              </w:rPr>
            </w:pPr>
            <w:r w:rsidRPr="00C20DF1">
              <w:rPr>
                <w:rFonts w:eastAsia="Calibri" w:cs="Arial"/>
                <w:b/>
                <w:szCs w:val="20"/>
                <w:lang w:eastAsia="en-GB"/>
              </w:rPr>
              <w:t>Status with PACE</w:t>
            </w:r>
          </w:p>
        </w:tc>
        <w:tc>
          <w:tcPr>
            <w:tcW w:w="1704" w:type="dxa"/>
            <w:gridSpan w:val="2"/>
            <w:hideMark/>
          </w:tcPr>
          <w:p w:rsidR="00FF5C1B" w:rsidRPr="00C20DF1" w:rsidRDefault="00FF5C1B" w:rsidP="00586487">
            <w:pPr>
              <w:rPr>
                <w:rFonts w:eastAsia="Calibri" w:cs="Arial"/>
                <w:b/>
                <w:szCs w:val="20"/>
                <w:lang w:eastAsia="en-GB"/>
              </w:rPr>
            </w:pPr>
            <w:r w:rsidRPr="00C20DF1">
              <w:rPr>
                <w:rFonts w:eastAsia="Calibri" w:cs="Arial"/>
                <w:b/>
                <w:szCs w:val="20"/>
                <w:lang w:eastAsia="en-GB"/>
              </w:rPr>
              <w:t>Status with Congress</w:t>
            </w:r>
          </w:p>
        </w:tc>
      </w:tr>
      <w:tr w:rsidR="00FF5C1B" w:rsidRPr="00C20DF1" w:rsidTr="00FF5C1B">
        <w:tc>
          <w:tcPr>
            <w:tcW w:w="2431" w:type="dxa"/>
            <w:hideMark/>
          </w:tcPr>
          <w:p w:rsidR="00FF5C1B" w:rsidRPr="00C20DF1" w:rsidRDefault="00FF5C1B" w:rsidP="00586487">
            <w:pPr>
              <w:rPr>
                <w:rFonts w:eastAsia="Calibri" w:cs="Arial"/>
                <w:szCs w:val="20"/>
                <w:lang w:eastAsia="en-GB"/>
              </w:rPr>
            </w:pPr>
            <w:r w:rsidRPr="00C20DF1">
              <w:rPr>
                <w:rFonts w:cs="Arial"/>
                <w:b/>
                <w:szCs w:val="20"/>
                <w:lang w:eastAsia="fr-FR"/>
              </w:rPr>
              <w:t>KAZAKHSTAN</w:t>
            </w:r>
          </w:p>
        </w:tc>
        <w:tc>
          <w:tcPr>
            <w:tcW w:w="1701" w:type="dxa"/>
          </w:tcPr>
          <w:p w:rsidR="00FF5C1B" w:rsidRPr="00C20DF1" w:rsidRDefault="00FF5C1B" w:rsidP="00586487">
            <w:pPr>
              <w:rPr>
                <w:rFonts w:cs="Arial"/>
                <w:szCs w:val="20"/>
                <w:lang w:eastAsia="en-GB"/>
              </w:rPr>
            </w:pPr>
            <w:r w:rsidRPr="00C20DF1">
              <w:rPr>
                <w:rFonts w:cs="Arial"/>
                <w:bCs/>
                <w:szCs w:val="20"/>
                <w:lang w:eastAsia="en-GB"/>
              </w:rPr>
              <w:t>Neighbourhood Co-operation Priorities for Kazakhstan 2014-2015</w:t>
            </w:r>
          </w:p>
          <w:p w:rsidR="00FF5C1B" w:rsidRPr="00C20DF1" w:rsidRDefault="00FF5C1B" w:rsidP="00586487">
            <w:pPr>
              <w:rPr>
                <w:rFonts w:cs="Arial"/>
                <w:szCs w:val="20"/>
                <w:lang w:eastAsia="en-GB"/>
              </w:rPr>
            </w:pPr>
            <w:r w:rsidRPr="00C20DF1">
              <w:rPr>
                <w:rFonts w:cs="Arial"/>
                <w:bCs/>
                <w:szCs w:val="20"/>
                <w:lang w:eastAsia="en-GB"/>
              </w:rPr>
              <w:t>Co-operation activities on Council of Europe’s conventions in criminal matters, extended until 2017 and 2018</w:t>
            </w:r>
          </w:p>
          <w:bookmarkStart w:id="11" w:name="_ML_000000000008_VALID"/>
          <w:p w:rsidR="00FF5C1B" w:rsidRPr="00040BCB" w:rsidRDefault="00040BCB" w:rsidP="00586487">
            <w:pPr>
              <w:rPr>
                <w:rFonts w:cs="Arial"/>
                <w:szCs w:val="20"/>
                <w:lang w:eastAsia="en-GB"/>
              </w:rPr>
            </w:pPr>
            <w:r w:rsidRPr="00040BCB">
              <w:rPr>
                <w:rFonts w:cs="Arial"/>
                <w:szCs w:val="20"/>
                <w:lang w:val="en-US" w:eastAsia="en-GB"/>
              </w:rPr>
              <w:fldChar w:fldCharType="begin"/>
            </w:r>
            <w:r w:rsidRPr="00040BCB">
              <w:rPr>
                <w:rFonts w:cs="Arial"/>
                <w:szCs w:val="20"/>
                <w:lang w:val="en-US" w:eastAsia="en-GB"/>
              </w:rPr>
              <w:instrText xml:space="preserve"> HYPERLINK "https://search.coe.int/cm/Pages/result_details.aspx?Reference=GR-EXT(2018)12" \o "Neighbourhood Co-operation Priorities for Kazakhstan 2014-2015-Co-operation activities on Council of Europe’s conventions in criminal matters, extended until 2017 and 2018: Final Report (1 January 2014 – 31 July 2018) - Document prepared by the Office of the Directorate General for Programmes" </w:instrText>
            </w:r>
            <w:r w:rsidRPr="00040BCB">
              <w:rPr>
                <w:rFonts w:cs="Arial"/>
                <w:szCs w:val="20"/>
                <w:lang w:val="en-US" w:eastAsia="en-GB"/>
              </w:rPr>
            </w:r>
            <w:r w:rsidRPr="00040BCB">
              <w:rPr>
                <w:rFonts w:cs="Arial"/>
                <w:szCs w:val="20"/>
                <w:lang w:val="en-US" w:eastAsia="en-GB"/>
              </w:rPr>
              <w:fldChar w:fldCharType="separate"/>
            </w:r>
            <w:bookmarkEnd w:id="11"/>
            <w:r w:rsidRPr="00040BCB">
              <w:rPr>
                <w:rStyle w:val="Hyperlink"/>
                <w:rFonts w:cs="Arial"/>
                <w:szCs w:val="20"/>
                <w:lang w:val="en-US" w:eastAsia="en-GB"/>
              </w:rPr>
              <w:t>GR-</w:t>
            </w:r>
            <w:proofErr w:type="gramStart"/>
            <w:r w:rsidRPr="00040BCB">
              <w:rPr>
                <w:rStyle w:val="Hyperlink"/>
                <w:rFonts w:cs="Arial"/>
                <w:szCs w:val="20"/>
                <w:lang w:val="en-US" w:eastAsia="en-GB"/>
              </w:rPr>
              <w:t>EXT(</w:t>
            </w:r>
            <w:proofErr w:type="gramEnd"/>
            <w:r w:rsidRPr="00040BCB">
              <w:rPr>
                <w:rStyle w:val="Hyperlink"/>
                <w:rFonts w:cs="Arial"/>
                <w:szCs w:val="20"/>
                <w:lang w:val="en-US" w:eastAsia="en-GB"/>
              </w:rPr>
              <w:t>2018)12</w:t>
            </w:r>
            <w:r w:rsidRPr="00040BCB">
              <w:rPr>
                <w:rFonts w:cs="Arial"/>
                <w:szCs w:val="20"/>
                <w:lang w:val="en-US" w:eastAsia="en-GB"/>
              </w:rPr>
              <w:fldChar w:fldCharType="end"/>
            </w:r>
          </w:p>
          <w:p w:rsidR="00FF5C1B" w:rsidRPr="00C20DF1" w:rsidRDefault="00FF5C1B" w:rsidP="00586487">
            <w:pPr>
              <w:rPr>
                <w:rFonts w:cs="Arial"/>
                <w:szCs w:val="20"/>
                <w:lang w:val="en-US" w:eastAsia="en-GB"/>
              </w:rPr>
            </w:pPr>
          </w:p>
          <w:p w:rsidR="00FF5C1B" w:rsidRPr="00C20DF1" w:rsidRDefault="00FF5C1B" w:rsidP="00586487">
            <w:pPr>
              <w:rPr>
                <w:rFonts w:cs="Arial"/>
                <w:szCs w:val="20"/>
                <w:lang w:val="en-US" w:eastAsia="en-GB"/>
              </w:rPr>
            </w:pPr>
            <w:r w:rsidRPr="00C20DF1">
              <w:rPr>
                <w:rFonts w:cs="Arial"/>
                <w:szCs w:val="20"/>
                <w:lang w:val="en-US" w:eastAsia="en-GB"/>
              </w:rPr>
              <w:t xml:space="preserve">Preparation of a new document of co-operation </w:t>
            </w:r>
          </w:p>
          <w:p w:rsidR="00FF5C1B" w:rsidRPr="00C20DF1" w:rsidRDefault="00FF5C1B" w:rsidP="00586487">
            <w:pPr>
              <w:rPr>
                <w:rFonts w:cs="Arial"/>
                <w:szCs w:val="20"/>
                <w:lang w:val="en-US" w:eastAsia="en-GB"/>
              </w:rPr>
            </w:pPr>
          </w:p>
        </w:tc>
        <w:tc>
          <w:tcPr>
            <w:tcW w:w="2072" w:type="dxa"/>
            <w:hideMark/>
          </w:tcPr>
          <w:p w:rsidR="00FF5C1B" w:rsidRPr="00C20DF1" w:rsidRDefault="00FF5C1B" w:rsidP="00586487">
            <w:pPr>
              <w:rPr>
                <w:rFonts w:eastAsia="Calibri" w:cs="Arial"/>
                <w:szCs w:val="20"/>
                <w:lang w:eastAsia="en-GB"/>
              </w:rPr>
            </w:pPr>
            <w:r w:rsidRPr="00C20DF1">
              <w:rPr>
                <w:rFonts w:eastAsia="Calibri" w:cs="Arial"/>
                <w:szCs w:val="20"/>
                <w:lang w:eastAsia="en-GB"/>
              </w:rPr>
              <w:t>Forthcoming regional frameworks</w:t>
            </w:r>
            <w:r w:rsidRPr="00C20DF1">
              <w:rPr>
                <w:rFonts w:eastAsia="Calibri" w:cs="Arial"/>
                <w:szCs w:val="20"/>
                <w:vertAlign w:val="superscript"/>
                <w:lang w:eastAsia="en-GB"/>
              </w:rPr>
              <w:footnoteReference w:id="31"/>
            </w:r>
          </w:p>
        </w:tc>
        <w:tc>
          <w:tcPr>
            <w:tcW w:w="1842" w:type="dxa"/>
            <w:hideMark/>
          </w:tcPr>
          <w:p w:rsidR="00FF5C1B" w:rsidRPr="00C20DF1" w:rsidRDefault="00FF5C1B" w:rsidP="00586487">
            <w:pPr>
              <w:rPr>
                <w:rFonts w:eastAsia="Calibri" w:cs="Arial"/>
                <w:szCs w:val="20"/>
                <w:lang w:eastAsia="en-GB"/>
              </w:rPr>
            </w:pPr>
            <w:r w:rsidRPr="00C20DF1">
              <w:rPr>
                <w:rFonts w:cs="Arial"/>
                <w:szCs w:val="20"/>
                <w:lang w:eastAsia="en-GB"/>
              </w:rPr>
              <w:t>2004 Agreement on co-operation</w:t>
            </w:r>
            <w:r w:rsidRPr="00C20DF1">
              <w:rPr>
                <w:rFonts w:cs="Arial"/>
                <w:b/>
                <w:szCs w:val="20"/>
                <w:lang w:eastAsia="en-GB"/>
              </w:rPr>
              <w:t xml:space="preserve"> </w:t>
            </w:r>
            <w:r w:rsidRPr="00C20DF1">
              <w:rPr>
                <w:rFonts w:cs="Arial"/>
                <w:szCs w:val="20"/>
                <w:lang w:eastAsia="en-GB"/>
              </w:rPr>
              <w:t>between PACE and the Parliament of Kazakhstan</w:t>
            </w:r>
            <w:r w:rsidRPr="00C20DF1">
              <w:rPr>
                <w:rFonts w:cs="Arial"/>
                <w:b/>
                <w:szCs w:val="20"/>
                <w:lang w:eastAsia="en-GB"/>
              </w:rPr>
              <w:t xml:space="preserve"> </w:t>
            </w:r>
          </w:p>
        </w:tc>
        <w:tc>
          <w:tcPr>
            <w:tcW w:w="1704" w:type="dxa"/>
            <w:gridSpan w:val="2"/>
            <w:hideMark/>
          </w:tcPr>
          <w:p w:rsidR="00FF5C1B" w:rsidRPr="00C20DF1" w:rsidRDefault="00FF5C1B" w:rsidP="00586487">
            <w:pPr>
              <w:rPr>
                <w:rFonts w:eastAsia="Calibri" w:cs="Arial"/>
                <w:szCs w:val="20"/>
                <w:lang w:eastAsia="en-GB"/>
              </w:rPr>
            </w:pPr>
          </w:p>
        </w:tc>
      </w:tr>
      <w:tr w:rsidR="00FF5C1B" w:rsidRPr="00C20DF1" w:rsidTr="00FF5C1B">
        <w:tc>
          <w:tcPr>
            <w:tcW w:w="2431" w:type="dxa"/>
            <w:hideMark/>
          </w:tcPr>
          <w:p w:rsidR="00FF5C1B" w:rsidRPr="00C20DF1" w:rsidRDefault="00FF5C1B" w:rsidP="00586487">
            <w:pPr>
              <w:rPr>
                <w:rFonts w:eastAsia="Calibri" w:cs="Arial"/>
                <w:szCs w:val="20"/>
                <w:lang w:eastAsia="en-GB"/>
              </w:rPr>
            </w:pPr>
            <w:r w:rsidRPr="00C20DF1">
              <w:rPr>
                <w:rFonts w:cs="Arial"/>
                <w:b/>
                <w:szCs w:val="20"/>
                <w:lang w:eastAsia="fr-FR"/>
              </w:rPr>
              <w:t>KYRGYZ REPUBLIC</w:t>
            </w:r>
          </w:p>
        </w:tc>
        <w:tc>
          <w:tcPr>
            <w:tcW w:w="1701" w:type="dxa"/>
            <w:hideMark/>
          </w:tcPr>
          <w:p w:rsidR="00FF5C1B" w:rsidRPr="00C20DF1" w:rsidRDefault="00FF5C1B" w:rsidP="00586487">
            <w:pPr>
              <w:rPr>
                <w:rFonts w:cs="Arial"/>
                <w:b/>
                <w:szCs w:val="20"/>
                <w:lang w:val="en-US" w:eastAsia="en-GB"/>
              </w:rPr>
            </w:pPr>
            <w:r w:rsidRPr="00C20DF1">
              <w:rPr>
                <w:rFonts w:cs="Arial"/>
                <w:szCs w:val="20"/>
                <w:lang w:eastAsia="en-GB"/>
              </w:rPr>
              <w:t>Neighbourhood Co-operation Priorities 2015 – 2017, extended until 2019</w:t>
            </w:r>
            <w:r w:rsidRPr="00C20DF1">
              <w:rPr>
                <w:rFonts w:cs="Arial"/>
                <w:b/>
                <w:szCs w:val="20"/>
                <w:lang w:val="en-US" w:eastAsia="en-GB"/>
              </w:rPr>
              <w:t xml:space="preserve"> </w:t>
            </w:r>
          </w:p>
          <w:bookmarkStart w:id="12" w:name="_ML_000000000009_VALID"/>
          <w:p w:rsidR="00FF5C1B" w:rsidRPr="00040BCB" w:rsidRDefault="00040BCB" w:rsidP="00586487">
            <w:pPr>
              <w:rPr>
                <w:rFonts w:cs="Arial"/>
                <w:szCs w:val="20"/>
                <w:lang w:val="en-US" w:eastAsia="en-GB"/>
              </w:rPr>
            </w:pPr>
            <w:r w:rsidRPr="00040BCB">
              <w:rPr>
                <w:rFonts w:cs="Arial"/>
                <w:szCs w:val="20"/>
                <w:lang w:val="en-US" w:eastAsia="en-GB"/>
              </w:rPr>
              <w:fldChar w:fldCharType="begin"/>
            </w:r>
            <w:r w:rsidRPr="00040BCB">
              <w:rPr>
                <w:rFonts w:cs="Arial"/>
                <w:szCs w:val="20"/>
                <w:lang w:val="en-US" w:eastAsia="en-GB"/>
              </w:rPr>
              <w:instrText xml:space="preserve"> HYPERLINK "https://search.coe.int/cm/Pages/result_details.aspx?Reference=GR-EXT(2018)13" \o "Kyrgyz Republic: Neighbourhood Co-operation Priorities 2015 – 2017, extended until 2019: Progress Review Report (1 August 2016 – 31 July 2018) - Document prepared by the Office of the Directorate General for Programmes" </w:instrText>
            </w:r>
            <w:r w:rsidRPr="00040BCB">
              <w:rPr>
                <w:rFonts w:cs="Arial"/>
                <w:szCs w:val="20"/>
                <w:lang w:val="en-US" w:eastAsia="en-GB"/>
              </w:rPr>
            </w:r>
            <w:r w:rsidRPr="00040BCB">
              <w:rPr>
                <w:rFonts w:cs="Arial"/>
                <w:szCs w:val="20"/>
                <w:lang w:val="en-US" w:eastAsia="en-GB"/>
              </w:rPr>
              <w:fldChar w:fldCharType="separate"/>
            </w:r>
            <w:bookmarkEnd w:id="12"/>
            <w:r w:rsidRPr="00040BCB">
              <w:rPr>
                <w:rStyle w:val="Hyperlink"/>
                <w:rFonts w:cs="Arial"/>
                <w:szCs w:val="20"/>
                <w:lang w:val="en-US" w:eastAsia="en-GB"/>
              </w:rPr>
              <w:t>GR-</w:t>
            </w:r>
            <w:proofErr w:type="gramStart"/>
            <w:r w:rsidRPr="00040BCB">
              <w:rPr>
                <w:rStyle w:val="Hyperlink"/>
                <w:rFonts w:cs="Arial"/>
                <w:szCs w:val="20"/>
                <w:lang w:val="en-US" w:eastAsia="en-GB"/>
              </w:rPr>
              <w:t>EXT(</w:t>
            </w:r>
            <w:proofErr w:type="gramEnd"/>
            <w:r w:rsidRPr="00040BCB">
              <w:rPr>
                <w:rStyle w:val="Hyperlink"/>
                <w:rFonts w:cs="Arial"/>
                <w:szCs w:val="20"/>
                <w:lang w:val="en-US" w:eastAsia="en-GB"/>
              </w:rPr>
              <w:t>2018)13</w:t>
            </w:r>
            <w:r w:rsidRPr="00040BCB">
              <w:rPr>
                <w:rFonts w:cs="Arial"/>
                <w:szCs w:val="20"/>
                <w:lang w:val="en-US" w:eastAsia="en-GB"/>
              </w:rPr>
              <w:fldChar w:fldCharType="end"/>
            </w:r>
          </w:p>
          <w:p w:rsidR="00FF5C1B" w:rsidRPr="00C20DF1" w:rsidRDefault="00FF5C1B" w:rsidP="00586487">
            <w:pPr>
              <w:rPr>
                <w:rFonts w:eastAsia="Calibri" w:cs="Arial"/>
                <w:szCs w:val="20"/>
                <w:lang w:eastAsia="en-GB"/>
              </w:rPr>
            </w:pPr>
          </w:p>
        </w:tc>
        <w:tc>
          <w:tcPr>
            <w:tcW w:w="2072" w:type="dxa"/>
            <w:hideMark/>
          </w:tcPr>
          <w:p w:rsidR="00FF5C1B" w:rsidRPr="00C20DF1" w:rsidRDefault="00FF5C1B" w:rsidP="00586487">
            <w:pPr>
              <w:rPr>
                <w:rFonts w:eastAsia="Calibri" w:cs="Arial"/>
                <w:szCs w:val="20"/>
                <w:lang w:eastAsia="en-GB"/>
              </w:rPr>
            </w:pPr>
            <w:r w:rsidRPr="00C20DF1">
              <w:rPr>
                <w:rFonts w:eastAsia="Calibri" w:cs="Arial"/>
                <w:szCs w:val="20"/>
                <w:lang w:eastAsia="en-GB"/>
              </w:rPr>
              <w:t xml:space="preserve">Forthcoming regional frameworks </w:t>
            </w:r>
          </w:p>
        </w:tc>
        <w:tc>
          <w:tcPr>
            <w:tcW w:w="1842" w:type="dxa"/>
            <w:hideMark/>
          </w:tcPr>
          <w:p w:rsidR="00FF5C1B" w:rsidRPr="00C20DF1" w:rsidRDefault="00FF5C1B" w:rsidP="00586487">
            <w:pPr>
              <w:rPr>
                <w:rFonts w:eastAsia="Calibri" w:cs="Arial"/>
                <w:szCs w:val="20"/>
                <w:lang w:eastAsia="en-GB"/>
              </w:rPr>
            </w:pPr>
            <w:r w:rsidRPr="00C20DF1">
              <w:rPr>
                <w:rFonts w:eastAsia="Calibri" w:cs="Arial"/>
                <w:szCs w:val="20"/>
                <w:lang w:eastAsia="en-GB"/>
              </w:rPr>
              <w:t>Parliament granted Partner for Democracy status in 2014</w:t>
            </w:r>
          </w:p>
        </w:tc>
        <w:tc>
          <w:tcPr>
            <w:tcW w:w="1704" w:type="dxa"/>
            <w:gridSpan w:val="2"/>
            <w:hideMark/>
          </w:tcPr>
          <w:p w:rsidR="00FF5C1B" w:rsidRPr="00C20DF1" w:rsidRDefault="00FF5C1B" w:rsidP="00586487">
            <w:pPr>
              <w:rPr>
                <w:rFonts w:eastAsia="Calibri" w:cs="Arial"/>
                <w:szCs w:val="20"/>
                <w:lang w:eastAsia="en-GB"/>
              </w:rPr>
            </w:pPr>
          </w:p>
        </w:tc>
      </w:tr>
      <w:tr w:rsidR="00FF5C1B" w:rsidRPr="00C20DF1" w:rsidTr="00FF5C1B">
        <w:tc>
          <w:tcPr>
            <w:tcW w:w="2431" w:type="dxa"/>
          </w:tcPr>
          <w:p w:rsidR="00FF5C1B" w:rsidRPr="00C20DF1" w:rsidRDefault="00FF5C1B" w:rsidP="00586487">
            <w:pPr>
              <w:rPr>
                <w:rFonts w:cs="Arial"/>
                <w:b/>
                <w:szCs w:val="20"/>
                <w:lang w:eastAsia="fr-FR"/>
              </w:rPr>
            </w:pPr>
            <w:r w:rsidRPr="00C20DF1">
              <w:rPr>
                <w:rFonts w:cs="Arial"/>
                <w:b/>
                <w:szCs w:val="20"/>
                <w:lang w:eastAsia="fr-FR"/>
              </w:rPr>
              <w:t>TAJIKISTAN, TURKMENISTAN,</w:t>
            </w:r>
          </w:p>
          <w:p w:rsidR="00FF5C1B" w:rsidRPr="00C20DF1" w:rsidRDefault="00FF5C1B" w:rsidP="00586487">
            <w:pPr>
              <w:rPr>
                <w:rFonts w:cs="Arial"/>
                <w:b/>
                <w:szCs w:val="20"/>
                <w:lang w:eastAsia="fr-FR"/>
              </w:rPr>
            </w:pPr>
            <w:r w:rsidRPr="00C20DF1">
              <w:rPr>
                <w:rFonts w:cs="Arial"/>
                <w:b/>
                <w:szCs w:val="20"/>
                <w:lang w:eastAsia="fr-FR"/>
              </w:rPr>
              <w:t>UZBEKISTAN</w:t>
            </w:r>
          </w:p>
          <w:p w:rsidR="00FF5C1B" w:rsidRPr="00C20DF1" w:rsidRDefault="00FF5C1B" w:rsidP="00586487">
            <w:pPr>
              <w:rPr>
                <w:rFonts w:cs="Arial"/>
                <w:b/>
                <w:szCs w:val="20"/>
                <w:lang w:eastAsia="fr-FR"/>
              </w:rPr>
            </w:pPr>
          </w:p>
        </w:tc>
        <w:tc>
          <w:tcPr>
            <w:tcW w:w="1701" w:type="dxa"/>
            <w:hideMark/>
          </w:tcPr>
          <w:p w:rsidR="00FF5C1B" w:rsidRPr="00C20DF1" w:rsidRDefault="00FF5C1B" w:rsidP="00586487">
            <w:pPr>
              <w:rPr>
                <w:rFonts w:eastAsia="Calibri" w:cs="Arial"/>
                <w:szCs w:val="20"/>
                <w:lang w:eastAsia="en-GB"/>
              </w:rPr>
            </w:pPr>
          </w:p>
        </w:tc>
        <w:tc>
          <w:tcPr>
            <w:tcW w:w="2072" w:type="dxa"/>
            <w:hideMark/>
          </w:tcPr>
          <w:p w:rsidR="00FF5C1B" w:rsidRPr="00C20DF1" w:rsidRDefault="00FF5C1B" w:rsidP="00586487">
            <w:pPr>
              <w:rPr>
                <w:rFonts w:eastAsia="Calibri" w:cs="Arial"/>
                <w:szCs w:val="20"/>
                <w:lang w:eastAsia="en-GB"/>
              </w:rPr>
            </w:pPr>
            <w:r w:rsidRPr="00C20DF1">
              <w:rPr>
                <w:rFonts w:eastAsia="Calibri" w:cs="Arial"/>
                <w:szCs w:val="20"/>
                <w:lang w:eastAsia="en-GB"/>
              </w:rPr>
              <w:t xml:space="preserve">Forthcoming regional frameworks </w:t>
            </w:r>
          </w:p>
        </w:tc>
        <w:tc>
          <w:tcPr>
            <w:tcW w:w="1842" w:type="dxa"/>
            <w:hideMark/>
          </w:tcPr>
          <w:p w:rsidR="00FF5C1B" w:rsidRPr="00C20DF1" w:rsidRDefault="00FF5C1B" w:rsidP="00586487">
            <w:pPr>
              <w:rPr>
                <w:rFonts w:eastAsia="Calibri" w:cs="Arial"/>
                <w:szCs w:val="20"/>
                <w:lang w:eastAsia="en-GB"/>
              </w:rPr>
            </w:pPr>
          </w:p>
        </w:tc>
        <w:tc>
          <w:tcPr>
            <w:tcW w:w="1704" w:type="dxa"/>
            <w:gridSpan w:val="2"/>
            <w:hideMark/>
          </w:tcPr>
          <w:p w:rsidR="00FF5C1B" w:rsidRPr="00C20DF1" w:rsidRDefault="00FF5C1B" w:rsidP="00586487">
            <w:pPr>
              <w:rPr>
                <w:rFonts w:eastAsia="Calibri" w:cs="Arial"/>
                <w:szCs w:val="20"/>
                <w:lang w:eastAsia="en-GB"/>
              </w:rPr>
            </w:pPr>
          </w:p>
        </w:tc>
      </w:tr>
    </w:tbl>
    <w:p w:rsidR="00C20DF1" w:rsidRPr="00C20DF1" w:rsidRDefault="00C20DF1" w:rsidP="00C20DF1">
      <w:pPr>
        <w:rPr>
          <w:rFonts w:cs="Arial"/>
          <w:szCs w:val="20"/>
        </w:rPr>
      </w:pPr>
    </w:p>
    <w:p w:rsidR="00C20DF1" w:rsidRPr="00C20DF1" w:rsidRDefault="00C20DF1" w:rsidP="00C20DF1">
      <w:pPr>
        <w:pBdr>
          <w:top w:val="nil"/>
          <w:left w:val="nil"/>
          <w:bottom w:val="nil"/>
          <w:right w:val="nil"/>
          <w:between w:val="nil"/>
          <w:bar w:val="nil"/>
        </w:pBdr>
        <w:rPr>
          <w:rFonts w:cs="Arial"/>
          <w:szCs w:val="20"/>
        </w:rPr>
      </w:pPr>
    </w:p>
    <w:p w:rsidR="00C20DF1" w:rsidRPr="00C20DF1" w:rsidRDefault="00C20DF1" w:rsidP="00C20DF1">
      <w:pPr>
        <w:jc w:val="both"/>
        <w:rPr>
          <w:rFonts w:cs="Arial"/>
          <w:szCs w:val="20"/>
        </w:rPr>
      </w:pPr>
    </w:p>
    <w:p w:rsidR="00C20DF1" w:rsidRPr="00C20DF1" w:rsidRDefault="00C20DF1" w:rsidP="00C20DF1">
      <w:pPr>
        <w:pBdr>
          <w:top w:val="nil"/>
          <w:left w:val="nil"/>
          <w:bottom w:val="nil"/>
          <w:right w:val="nil"/>
          <w:between w:val="nil"/>
          <w:bar w:val="nil"/>
        </w:pBdr>
        <w:outlineLvl w:val="1"/>
        <w:rPr>
          <w:rFonts w:eastAsia="Times New Roman" w:cs="Arial"/>
          <w:b/>
          <w:smallCaps/>
          <w:spacing w:val="5"/>
          <w:szCs w:val="20"/>
          <w:u w:color="000000"/>
          <w:lang w:eastAsia="en-GB"/>
        </w:rPr>
      </w:pPr>
    </w:p>
    <w:p w:rsidR="0040027C" w:rsidRPr="00A12DEC" w:rsidRDefault="0040027C" w:rsidP="0037200F">
      <w:pPr>
        <w:rPr>
          <w:rFonts w:eastAsia="Times New Roman"/>
          <w:szCs w:val="24"/>
        </w:rPr>
      </w:pPr>
    </w:p>
    <w:p w:rsidR="00E54322" w:rsidRDefault="00E54322">
      <w:pPr>
        <w:rPr>
          <w:rFonts w:eastAsia="Times New Roman"/>
          <w:szCs w:val="24"/>
        </w:rPr>
      </w:pPr>
    </w:p>
    <w:p w:rsidR="00FE16E3" w:rsidRDefault="00FE16E3">
      <w:pPr>
        <w:rPr>
          <w:rFonts w:eastAsia="Times New Roman"/>
          <w:szCs w:val="24"/>
        </w:rPr>
      </w:pPr>
    </w:p>
    <w:p w:rsidR="0040027C" w:rsidRPr="00A12DEC" w:rsidRDefault="0040027C" w:rsidP="0037200F">
      <w:pPr>
        <w:rPr>
          <w:rFonts w:eastAsia="Times New Roman"/>
          <w:szCs w:val="24"/>
        </w:rPr>
      </w:pPr>
    </w:p>
    <w:sectPr w:rsidR="0040027C" w:rsidRPr="00A12DEC" w:rsidSect="00A37E36">
      <w:headerReference w:type="even" r:id="rId9"/>
      <w:headerReference w:type="default" r:id="rId10"/>
      <w:footerReference w:type="default" r:id="rId11"/>
      <w:headerReference w:type="first" r:id="rId12"/>
      <w:footerReference w:type="first" r:id="rId13"/>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508" w:rsidRDefault="00DD0508" w:rsidP="00FD6043">
      <w:r>
        <w:separator/>
      </w:r>
    </w:p>
  </w:endnote>
  <w:endnote w:type="continuationSeparator" w:id="0">
    <w:p w:rsidR="00DD0508" w:rsidRDefault="00DD0508"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7FB" w:rsidRPr="002F3006" w:rsidRDefault="002447FB"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7FB" w:rsidRPr="00113EB0" w:rsidRDefault="002447FB"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508" w:rsidRDefault="00DD0508" w:rsidP="00FD6043">
      <w:r>
        <w:separator/>
      </w:r>
    </w:p>
  </w:footnote>
  <w:footnote w:type="continuationSeparator" w:id="0">
    <w:p w:rsidR="00DD0508" w:rsidRDefault="00DD0508" w:rsidP="00FD6043">
      <w:r>
        <w:continuationSeparator/>
      </w:r>
    </w:p>
  </w:footnote>
  <w:footnote w:id="1">
    <w:p w:rsidR="00715B16" w:rsidRPr="00C20DF1" w:rsidRDefault="00715B16" w:rsidP="00715B16">
      <w:pPr>
        <w:pStyle w:val="FootnoteText"/>
        <w:rPr>
          <w:rFonts w:cs="Arial"/>
          <w:szCs w:val="16"/>
        </w:rPr>
      </w:pPr>
      <w:r>
        <w:rPr>
          <w:rFonts w:cs="Arial"/>
          <w:szCs w:val="16"/>
        </w:rPr>
        <w:t xml:space="preserve">* </w:t>
      </w:r>
      <w:r w:rsidRPr="00715B16">
        <w:rPr>
          <w:rFonts w:cs="Arial"/>
          <w:szCs w:val="16"/>
        </w:rPr>
        <w:t xml:space="preserve">This designation shall not be construed as recognition of a State of Palestine and is without prejudice to the individual positions of Council of Europe member </w:t>
      </w:r>
      <w:r>
        <w:rPr>
          <w:rFonts w:cs="Arial"/>
          <w:szCs w:val="16"/>
        </w:rPr>
        <w:t>S</w:t>
      </w:r>
      <w:r w:rsidRPr="00715B16">
        <w:rPr>
          <w:rFonts w:cs="Arial"/>
          <w:szCs w:val="16"/>
        </w:rPr>
        <w:t>tates on this issue.</w:t>
      </w:r>
    </w:p>
  </w:footnote>
  <w:footnote w:id="2">
    <w:p w:rsidR="002447FB" w:rsidRPr="00C20DF1" w:rsidRDefault="002447FB" w:rsidP="00C20DF1">
      <w:pPr>
        <w:pStyle w:val="NormalWeb"/>
        <w:rPr>
          <w:rFonts w:ascii="Arial" w:hAnsi="Arial" w:cs="Arial"/>
          <w:sz w:val="16"/>
          <w:szCs w:val="16"/>
        </w:rPr>
      </w:pPr>
      <w:r w:rsidRPr="00C20DF1">
        <w:rPr>
          <w:rStyle w:val="FootnoteReference"/>
          <w:rFonts w:ascii="Arial" w:hAnsi="Arial" w:cs="Arial"/>
          <w:sz w:val="16"/>
          <w:szCs w:val="16"/>
        </w:rPr>
        <w:footnoteRef/>
      </w:r>
      <w:r w:rsidRPr="00C20DF1">
        <w:rPr>
          <w:rFonts w:ascii="Arial" w:hAnsi="Arial" w:cs="Arial"/>
          <w:sz w:val="16"/>
          <w:szCs w:val="16"/>
        </w:rPr>
        <w:t xml:space="preserve"> </w:t>
      </w:r>
      <w:bookmarkStart w:id="1" w:name="_ML_000000000010_VALID"/>
      <w:r w:rsidR="00040BCB" w:rsidRPr="00040BCB">
        <w:rPr>
          <w:rFonts w:ascii="Arial" w:hAnsi="Arial" w:cs="Arial"/>
          <w:sz w:val="16"/>
          <w:szCs w:val="16"/>
        </w:rPr>
        <w:fldChar w:fldCharType="begin"/>
      </w:r>
      <w:r w:rsidR="00040BCB" w:rsidRPr="00040BCB">
        <w:rPr>
          <w:rFonts w:ascii="Arial" w:hAnsi="Arial" w:cs="Arial"/>
          <w:sz w:val="16"/>
          <w:szCs w:val="16"/>
        </w:rPr>
        <w:instrText xml:space="preserve"> HYPERLINK "https://search.coe.int/cm/Pages/result_details.aspx?Reference=CM(2017)27-final" \o "127th Session of the Committee of Ministers (Nicosia, 19 May 2017) - Report on the implementation of the Council of Europe Policy towards neighbouring regions" </w:instrText>
      </w:r>
      <w:r w:rsidR="00040BCB" w:rsidRPr="00040BCB">
        <w:rPr>
          <w:rFonts w:ascii="Arial" w:hAnsi="Arial" w:cs="Arial"/>
          <w:sz w:val="16"/>
          <w:szCs w:val="16"/>
        </w:rPr>
      </w:r>
      <w:r w:rsidR="00040BCB" w:rsidRPr="00040BCB">
        <w:rPr>
          <w:rFonts w:ascii="Arial" w:hAnsi="Arial" w:cs="Arial"/>
          <w:sz w:val="16"/>
          <w:szCs w:val="16"/>
        </w:rPr>
        <w:fldChar w:fldCharType="separate"/>
      </w:r>
      <w:bookmarkEnd w:id="1"/>
      <w:r w:rsidR="00040BCB" w:rsidRPr="00040BCB">
        <w:rPr>
          <w:rStyle w:val="Hyperlink"/>
          <w:rFonts w:ascii="Arial" w:hAnsi="Arial" w:cs="Arial"/>
          <w:sz w:val="16"/>
          <w:szCs w:val="16"/>
        </w:rPr>
        <w:t>CM(2017)27-final</w:t>
      </w:r>
      <w:r w:rsidR="00040BCB" w:rsidRPr="00040BCB">
        <w:rPr>
          <w:rFonts w:ascii="Arial" w:hAnsi="Arial" w:cs="Arial"/>
          <w:sz w:val="16"/>
          <w:szCs w:val="16"/>
        </w:rPr>
        <w:fldChar w:fldCharType="end"/>
      </w:r>
      <w:r w:rsidRPr="00C20DF1">
        <w:rPr>
          <w:rFonts w:ascii="Arial" w:hAnsi="Arial" w:cs="Arial"/>
          <w:sz w:val="16"/>
          <w:szCs w:val="16"/>
        </w:rPr>
        <w:t xml:space="preserve"> 127</w:t>
      </w:r>
      <w:r w:rsidRPr="00B15FE9">
        <w:rPr>
          <w:rFonts w:ascii="Arial" w:hAnsi="Arial" w:cs="Arial"/>
          <w:sz w:val="16"/>
          <w:szCs w:val="16"/>
          <w:vertAlign w:val="superscript"/>
        </w:rPr>
        <w:t>th</w:t>
      </w:r>
      <w:r w:rsidR="00B15FE9">
        <w:rPr>
          <w:rFonts w:ascii="Arial" w:hAnsi="Arial" w:cs="Arial"/>
          <w:sz w:val="16"/>
          <w:szCs w:val="16"/>
        </w:rPr>
        <w:t xml:space="preserve"> </w:t>
      </w:r>
      <w:r w:rsidRPr="00C20DF1">
        <w:rPr>
          <w:rFonts w:ascii="Arial" w:hAnsi="Arial" w:cs="Arial"/>
          <w:sz w:val="16"/>
          <w:szCs w:val="16"/>
        </w:rPr>
        <w:t xml:space="preserve">Session of the Committee of Ministers (Nicosia, 19 May 2017) - Report on the implementation of the Council of Europe Policy towards neighbouring regions, 12 May 2017 </w:t>
      </w:r>
      <w:hyperlink r:id="rId1" w:history="1">
        <w:r w:rsidRPr="00C20DF1">
          <w:rPr>
            <w:rStyle w:val="Hyperlink"/>
            <w:rFonts w:ascii="Arial" w:hAnsi="Arial" w:cs="Arial"/>
            <w:sz w:val="16"/>
            <w:szCs w:val="16"/>
          </w:rPr>
          <w:t>https://search.coe.int/cm/Pages/result_details.aspx?ObjectId=0900001680712371</w:t>
        </w:r>
      </w:hyperlink>
    </w:p>
  </w:footnote>
  <w:footnote w:id="3">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w:t>
      </w:r>
      <w:bookmarkStart w:id="2" w:name="_ML_000000000011_VALID"/>
      <w:r w:rsidR="00040BCB" w:rsidRPr="00040BCB">
        <w:rPr>
          <w:rFonts w:cs="Arial"/>
          <w:szCs w:val="16"/>
        </w:rPr>
        <w:fldChar w:fldCharType="begin"/>
      </w:r>
      <w:r w:rsidR="00040BCB" w:rsidRPr="00040BCB">
        <w:rPr>
          <w:rFonts w:cs="Arial"/>
          <w:szCs w:val="16"/>
        </w:rPr>
        <w:instrText xml:space="preserve"> HYPERLINK "https://search.coe.int/cm/Pages/result_details.aspx?Reference=CM/Del/Dec(2017)127/4" \o "127th Session of the Committee of Ministers (Nicosia, 19 May 2017) - 4. Council of Europe policy towards neighbouring regions" </w:instrText>
      </w:r>
      <w:r w:rsidR="00040BCB" w:rsidRPr="00040BCB">
        <w:rPr>
          <w:rFonts w:cs="Arial"/>
          <w:szCs w:val="16"/>
        </w:rPr>
      </w:r>
      <w:r w:rsidR="00040BCB" w:rsidRPr="00040BCB">
        <w:rPr>
          <w:rFonts w:cs="Arial"/>
          <w:szCs w:val="16"/>
        </w:rPr>
        <w:fldChar w:fldCharType="separate"/>
      </w:r>
      <w:bookmarkEnd w:id="2"/>
      <w:r w:rsidR="00040BCB" w:rsidRPr="00040BCB">
        <w:rPr>
          <w:rStyle w:val="Hyperlink"/>
          <w:rFonts w:cs="Arial"/>
          <w:szCs w:val="16"/>
        </w:rPr>
        <w:t>CM/Del/</w:t>
      </w:r>
      <w:proofErr w:type="gramStart"/>
      <w:r w:rsidR="00040BCB" w:rsidRPr="00040BCB">
        <w:rPr>
          <w:rStyle w:val="Hyperlink"/>
          <w:rFonts w:cs="Arial"/>
          <w:szCs w:val="16"/>
        </w:rPr>
        <w:t>Dec(</w:t>
      </w:r>
      <w:proofErr w:type="gramEnd"/>
      <w:r w:rsidR="00040BCB" w:rsidRPr="00040BCB">
        <w:rPr>
          <w:rStyle w:val="Hyperlink"/>
          <w:rFonts w:cs="Arial"/>
          <w:szCs w:val="16"/>
        </w:rPr>
        <w:t>2017)127/4</w:t>
      </w:r>
      <w:r w:rsidR="00040BCB" w:rsidRPr="00040BCB">
        <w:rPr>
          <w:rFonts w:cs="Arial"/>
          <w:szCs w:val="16"/>
        </w:rPr>
        <w:fldChar w:fldCharType="end"/>
      </w:r>
      <w:r w:rsidRPr="00C20DF1">
        <w:rPr>
          <w:rFonts w:cs="Arial"/>
          <w:szCs w:val="16"/>
        </w:rPr>
        <w:t>, 19 May 2017.</w:t>
      </w:r>
    </w:p>
  </w:footnote>
  <w:footnote w:id="4">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w:t>
      </w:r>
      <w:bookmarkStart w:id="3" w:name="_ML_000000000012_VALID"/>
      <w:r w:rsidR="00040BCB" w:rsidRPr="00040BCB">
        <w:rPr>
          <w:rFonts w:cs="Arial"/>
          <w:szCs w:val="16"/>
        </w:rPr>
        <w:fldChar w:fldCharType="begin"/>
      </w:r>
      <w:r w:rsidR="00040BCB" w:rsidRPr="00040BCB">
        <w:rPr>
          <w:rFonts w:cs="Arial"/>
          <w:szCs w:val="16"/>
        </w:rPr>
        <w:instrText xml:space="preserve"> HYPERLINK "https://search.coe.int/cm/Pages/result_details.aspx?Reference=SG/Inf(2017)29" \o "Policy of the Council of Europe towards neighbouring regions – Post-2017 co-operation framework" </w:instrText>
      </w:r>
      <w:r w:rsidR="00040BCB" w:rsidRPr="00040BCB">
        <w:rPr>
          <w:rFonts w:cs="Arial"/>
          <w:szCs w:val="16"/>
        </w:rPr>
      </w:r>
      <w:r w:rsidR="00040BCB" w:rsidRPr="00040BCB">
        <w:rPr>
          <w:rFonts w:cs="Arial"/>
          <w:szCs w:val="16"/>
        </w:rPr>
        <w:fldChar w:fldCharType="separate"/>
      </w:r>
      <w:bookmarkEnd w:id="3"/>
      <w:r w:rsidR="00040BCB" w:rsidRPr="00040BCB">
        <w:rPr>
          <w:rStyle w:val="Hyperlink"/>
          <w:rFonts w:cs="Arial"/>
          <w:szCs w:val="16"/>
        </w:rPr>
        <w:t>SG/Inf(2017)29</w:t>
      </w:r>
      <w:r w:rsidR="00040BCB" w:rsidRPr="00040BCB">
        <w:rPr>
          <w:rFonts w:cs="Arial"/>
          <w:szCs w:val="16"/>
        </w:rPr>
        <w:fldChar w:fldCharType="end"/>
      </w:r>
      <w:r w:rsidRPr="00C20DF1">
        <w:rPr>
          <w:rFonts w:cs="Arial"/>
          <w:szCs w:val="16"/>
        </w:rPr>
        <w:t xml:space="preserve">  </w:t>
      </w:r>
      <w:hyperlink r:id="rId2" w:history="1">
        <w:r w:rsidRPr="00C20DF1">
          <w:rPr>
            <w:rStyle w:val="Hyperlink"/>
            <w:rFonts w:cs="Arial"/>
            <w:szCs w:val="16"/>
          </w:rPr>
          <w:t>https://rm.coe.int/policy-of-the-council-of-europe-towards-neighbouring-regions-post-2017/168075ac60</w:t>
        </w:r>
      </w:hyperlink>
    </w:p>
  </w:footnote>
  <w:footnote w:id="5">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w:t>
      </w:r>
      <w:hyperlink r:id="rId3" w:history="1">
        <w:r w:rsidRPr="00C20DF1">
          <w:rPr>
            <w:rStyle w:val="Hyperlink"/>
            <w:rFonts w:cs="Arial"/>
            <w:szCs w:val="16"/>
          </w:rPr>
          <w:t>https://search.coe.int/cm/Pages/result_details.aspx?ObjectId=0900001680766d58</w:t>
        </w:r>
      </w:hyperlink>
    </w:p>
  </w:footnote>
  <w:footnote w:id="6">
    <w:p w:rsidR="002447FB" w:rsidRPr="00C20DF1" w:rsidRDefault="002447FB" w:rsidP="00C20DF1">
      <w:pPr>
        <w:pStyle w:val="NormalWeb"/>
        <w:rPr>
          <w:rFonts w:ascii="Arial" w:hAnsi="Arial" w:cs="Arial"/>
          <w:sz w:val="16"/>
          <w:szCs w:val="16"/>
        </w:rPr>
      </w:pPr>
      <w:r w:rsidRPr="00C20DF1">
        <w:rPr>
          <w:rStyle w:val="FootnoteReference"/>
          <w:rFonts w:ascii="Arial" w:hAnsi="Arial" w:cs="Arial"/>
          <w:sz w:val="16"/>
          <w:szCs w:val="16"/>
        </w:rPr>
        <w:footnoteRef/>
      </w:r>
      <w:r w:rsidRPr="00C20DF1">
        <w:rPr>
          <w:rFonts w:ascii="Arial" w:hAnsi="Arial" w:cs="Arial"/>
          <w:sz w:val="16"/>
          <w:szCs w:val="16"/>
        </w:rPr>
        <w:t xml:space="preserve"> </w:t>
      </w:r>
      <w:hyperlink r:id="rId4" w:history="1">
        <w:r w:rsidRPr="00C20DF1">
          <w:rPr>
            <w:rStyle w:val="Hyperlink"/>
            <w:rFonts w:ascii="Arial" w:hAnsi="Arial" w:cs="Arial"/>
            <w:sz w:val="16"/>
            <w:szCs w:val="16"/>
          </w:rPr>
          <w:t>https://search.coe.int/cm/pages/result_details.aspx?objectid=0900001680791bed</w:t>
        </w:r>
      </w:hyperlink>
    </w:p>
  </w:footnote>
  <w:footnote w:id="7">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w:t>
      </w:r>
      <w:hyperlink r:id="rId5" w:history="1">
        <w:r w:rsidRPr="00C20DF1">
          <w:rPr>
            <w:rStyle w:val="Hyperlink"/>
            <w:rFonts w:cs="Arial"/>
            <w:szCs w:val="16"/>
          </w:rPr>
          <w:t>https://search.coe.int/cm/Pages/result_details.aspx?ObjectId=09000016808d45a3</w:t>
        </w:r>
      </w:hyperlink>
    </w:p>
  </w:footnote>
  <w:footnote w:id="8">
    <w:p w:rsidR="002447FB" w:rsidRPr="00C20DF1" w:rsidRDefault="002447FB" w:rsidP="00C20DF1">
      <w:pPr>
        <w:pStyle w:val="NormalWeb"/>
        <w:rPr>
          <w:rFonts w:ascii="Arial" w:hAnsi="Arial" w:cs="Arial"/>
          <w:sz w:val="16"/>
          <w:szCs w:val="16"/>
        </w:rPr>
      </w:pPr>
      <w:r w:rsidRPr="00C20DF1">
        <w:rPr>
          <w:rStyle w:val="FootnoteReference"/>
          <w:rFonts w:ascii="Arial" w:hAnsi="Arial" w:cs="Arial"/>
          <w:sz w:val="16"/>
          <w:szCs w:val="16"/>
        </w:rPr>
        <w:footnoteRef/>
      </w:r>
      <w:r w:rsidRPr="00C20DF1">
        <w:rPr>
          <w:rFonts w:ascii="Arial" w:hAnsi="Arial" w:cs="Arial"/>
          <w:sz w:val="16"/>
          <w:szCs w:val="16"/>
        </w:rPr>
        <w:t xml:space="preserve"> </w:t>
      </w:r>
      <w:hyperlink r:id="rId6" w:history="1">
        <w:r w:rsidRPr="00C20DF1">
          <w:rPr>
            <w:rStyle w:val="Hyperlink"/>
            <w:rFonts w:ascii="Arial" w:hAnsi="Arial" w:cs="Arial"/>
            <w:sz w:val="16"/>
            <w:szCs w:val="16"/>
          </w:rPr>
          <w:t>https://search.coe.int/cm/Pages/result_details.aspx?ObjectID=09000016808e6d14</w:t>
        </w:r>
      </w:hyperlink>
    </w:p>
  </w:footnote>
  <w:footnote w:id="9">
    <w:p w:rsidR="00CF6BF9" w:rsidRPr="00CF6BF9" w:rsidRDefault="00CF6BF9">
      <w:pPr>
        <w:pStyle w:val="FootnoteText"/>
      </w:pPr>
      <w:r>
        <w:rPr>
          <w:rStyle w:val="FootnoteReference"/>
        </w:rPr>
        <w:footnoteRef/>
      </w:r>
      <w:r>
        <w:t xml:space="preserve"> [to be completed]</w:t>
      </w:r>
    </w:p>
  </w:footnote>
  <w:footnote w:id="10">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w:t>
      </w:r>
      <w:hyperlink r:id="rId7" w:history="1">
        <w:r w:rsidRPr="00C20DF1">
          <w:rPr>
            <w:rStyle w:val="Hyperlink"/>
            <w:rFonts w:cs="Arial"/>
            <w:szCs w:val="16"/>
          </w:rPr>
          <w:t>https://search.coe.int/cm/Pages/result_details.aspx?ObjectID=09000016808e6d16</w:t>
        </w:r>
      </w:hyperlink>
    </w:p>
  </w:footnote>
  <w:footnote w:id="11">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w:t>
      </w:r>
      <w:bookmarkStart w:id="5" w:name="_ML_000000000013_VALID"/>
      <w:r w:rsidR="00040BCB" w:rsidRPr="00040BCB">
        <w:rPr>
          <w:rFonts w:cs="Arial"/>
          <w:szCs w:val="16"/>
        </w:rPr>
        <w:fldChar w:fldCharType="begin"/>
      </w:r>
      <w:r w:rsidR="00040BCB" w:rsidRPr="00040BCB">
        <w:rPr>
          <w:rFonts w:cs="Arial"/>
          <w:szCs w:val="16"/>
        </w:rPr>
        <w:instrText xml:space="preserve"> HYPERLINK "https://search.coe.int/cm/Pages/result_details.aspx?Reference=GR-EXT(2018)15" \o "Council of Europe Neighbourhood Co-operation Priorities with Palestine (2016-2018) - Progress report - Document prepared by the Office of the Directorate General for Programmes and the Directorate of external relations" </w:instrText>
      </w:r>
      <w:r w:rsidR="00040BCB" w:rsidRPr="00040BCB">
        <w:rPr>
          <w:rFonts w:cs="Arial"/>
          <w:szCs w:val="16"/>
        </w:rPr>
      </w:r>
      <w:r w:rsidR="00040BCB" w:rsidRPr="00040BCB">
        <w:rPr>
          <w:rFonts w:cs="Arial"/>
          <w:szCs w:val="16"/>
        </w:rPr>
        <w:fldChar w:fldCharType="separate"/>
      </w:r>
      <w:bookmarkEnd w:id="5"/>
      <w:r w:rsidR="00040BCB" w:rsidRPr="00040BCB">
        <w:rPr>
          <w:rStyle w:val="Hyperlink"/>
          <w:rFonts w:cs="Arial"/>
          <w:szCs w:val="16"/>
        </w:rPr>
        <w:t>GR-</w:t>
      </w:r>
      <w:proofErr w:type="gramStart"/>
      <w:r w:rsidR="00040BCB" w:rsidRPr="00040BCB">
        <w:rPr>
          <w:rStyle w:val="Hyperlink"/>
          <w:rFonts w:cs="Arial"/>
          <w:szCs w:val="16"/>
        </w:rPr>
        <w:t>EXT(</w:t>
      </w:r>
      <w:proofErr w:type="gramEnd"/>
      <w:r w:rsidR="00040BCB" w:rsidRPr="00040BCB">
        <w:rPr>
          <w:rStyle w:val="Hyperlink"/>
          <w:rFonts w:cs="Arial"/>
          <w:szCs w:val="16"/>
        </w:rPr>
        <w:t>2018)15</w:t>
      </w:r>
      <w:r w:rsidR="00040BCB" w:rsidRPr="00040BCB">
        <w:rPr>
          <w:rFonts w:cs="Arial"/>
          <w:szCs w:val="16"/>
        </w:rPr>
        <w:fldChar w:fldCharType="end"/>
      </w:r>
    </w:p>
  </w:footnote>
  <w:footnote w:id="12">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w:t>
      </w:r>
      <w:r w:rsidRPr="00541C91">
        <w:rPr>
          <w:rFonts w:cs="Arial"/>
          <w:szCs w:val="16"/>
        </w:rPr>
        <w:t>https://search.coe.int/cm/pages/result_details.aspx?ObjectId=09000016808f</w:t>
      </w:r>
      <w:r w:rsidR="00040BCB" w:rsidRPr="00040BCB">
        <w:rPr>
          <w:rFonts w:cs="Arial"/>
          <w:szCs w:val="16"/>
        </w:rPr>
        <w:t>dd87</w:t>
      </w:r>
    </w:p>
  </w:footnote>
  <w:footnote w:id="13">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 South Programme I “Strengthening Democratic Reform in the Southern Neighbourhood”;</w:t>
      </w:r>
      <w:r w:rsidR="000E3C94">
        <w:rPr>
          <w:rFonts w:cs="Arial"/>
          <w:szCs w:val="16"/>
        </w:rPr>
        <w:t xml:space="preserve"> </w:t>
      </w:r>
      <w:r w:rsidRPr="00C20DF1">
        <w:rPr>
          <w:rFonts w:cs="Arial"/>
          <w:szCs w:val="16"/>
        </w:rPr>
        <w:t>Total budget: €4,8 million (UE: 100%); January 2012 - December 2014.</w:t>
      </w:r>
    </w:p>
    <w:p w:rsidR="002447FB" w:rsidRPr="00C20DF1" w:rsidRDefault="002447FB" w:rsidP="00C20DF1">
      <w:pPr>
        <w:pStyle w:val="FootnoteText"/>
        <w:rPr>
          <w:rFonts w:cs="Arial"/>
          <w:szCs w:val="16"/>
        </w:rPr>
      </w:pPr>
      <w:r w:rsidRPr="00C20DF1">
        <w:rPr>
          <w:rFonts w:cs="Arial"/>
          <w:szCs w:val="16"/>
        </w:rPr>
        <w:t>- South Programme II “Towards Strengthened Democratic Governance in the Southern Mediterranean”; Total budget: €7,37 million (UE: 94,98% CoE: 5,02%); January 2015 - February 2018.</w:t>
      </w:r>
    </w:p>
    <w:p w:rsidR="002447FB" w:rsidRPr="00C20DF1" w:rsidRDefault="002447FB" w:rsidP="00C20DF1">
      <w:pPr>
        <w:pStyle w:val="FootnoteText"/>
        <w:rPr>
          <w:rFonts w:cs="Arial"/>
          <w:szCs w:val="16"/>
        </w:rPr>
      </w:pPr>
      <w:r w:rsidRPr="00C20DF1">
        <w:rPr>
          <w:rFonts w:cs="Arial"/>
          <w:szCs w:val="16"/>
        </w:rPr>
        <w:t>- South Programme III “Ensuring Sustainable Democratic Governance and Human Rights in the Southern Mediterranean”; Total budget: €3,334 million (UE: 89,98% CoE: 10,02%); March 2018 - February 2020.</w:t>
      </w:r>
    </w:p>
  </w:footnote>
  <w:footnote w:id="14">
    <w:p w:rsidR="002447FB" w:rsidRPr="003B6950" w:rsidRDefault="002447FB" w:rsidP="00C20DF1">
      <w:pPr>
        <w:pStyle w:val="FootnoteText"/>
        <w:rPr>
          <w:rFonts w:cs="Arial"/>
          <w:szCs w:val="16"/>
          <w:lang w:val="fr-FR"/>
        </w:rPr>
      </w:pPr>
      <w:r w:rsidRPr="00C20DF1">
        <w:rPr>
          <w:rStyle w:val="FootnoteReference"/>
          <w:rFonts w:cs="Arial"/>
          <w:szCs w:val="16"/>
        </w:rPr>
        <w:footnoteRef/>
      </w:r>
      <w:r w:rsidRPr="003B6950">
        <w:rPr>
          <w:rFonts w:cs="Arial"/>
          <w:szCs w:val="16"/>
          <w:lang w:val="fr-FR"/>
        </w:rPr>
        <w:t xml:space="preserve"> </w:t>
      </w:r>
      <w:r w:rsidR="00040BCB" w:rsidRPr="00040BCB">
        <w:rPr>
          <w:rStyle w:val="Hyperlink"/>
          <w:rFonts w:cs="Arial"/>
          <w:szCs w:val="16"/>
          <w:lang w:val="fr-FR"/>
        </w:rPr>
        <w:t>DER/</w:t>
      </w:r>
      <w:proofErr w:type="spellStart"/>
      <w:proofErr w:type="gramStart"/>
      <w:r w:rsidR="00040BCB" w:rsidRPr="00040BCB">
        <w:rPr>
          <w:rStyle w:val="Hyperlink"/>
          <w:rFonts w:cs="Arial"/>
          <w:szCs w:val="16"/>
          <w:lang w:val="fr-FR"/>
        </w:rPr>
        <w:t>Inf</w:t>
      </w:r>
      <w:proofErr w:type="spellEnd"/>
      <w:r w:rsidR="00040BCB" w:rsidRPr="00040BCB">
        <w:rPr>
          <w:rStyle w:val="Hyperlink"/>
          <w:rFonts w:cs="Arial"/>
          <w:szCs w:val="16"/>
          <w:lang w:val="fr-FR"/>
        </w:rPr>
        <w:t>(</w:t>
      </w:r>
      <w:proofErr w:type="gramEnd"/>
      <w:r w:rsidR="00040BCB" w:rsidRPr="00040BCB">
        <w:rPr>
          <w:rStyle w:val="Hyperlink"/>
          <w:rFonts w:cs="Arial"/>
          <w:szCs w:val="16"/>
          <w:lang w:val="fr-FR"/>
        </w:rPr>
        <w:t>2017)2</w:t>
      </w:r>
    </w:p>
  </w:footnote>
  <w:footnote w:id="15">
    <w:p w:rsidR="002447FB" w:rsidRPr="003B6950" w:rsidRDefault="002447FB" w:rsidP="00C20DF1">
      <w:pPr>
        <w:pStyle w:val="FootnoteText"/>
        <w:rPr>
          <w:rFonts w:cs="Arial"/>
          <w:szCs w:val="16"/>
          <w:lang w:val="fr-FR"/>
        </w:rPr>
      </w:pPr>
      <w:r w:rsidRPr="00C20DF1">
        <w:rPr>
          <w:rStyle w:val="FootnoteReference"/>
          <w:rFonts w:cs="Arial"/>
          <w:szCs w:val="16"/>
        </w:rPr>
        <w:footnoteRef/>
      </w:r>
      <w:r w:rsidRPr="003B6950">
        <w:rPr>
          <w:rFonts w:cs="Arial"/>
          <w:szCs w:val="16"/>
          <w:lang w:val="fr-FR"/>
        </w:rPr>
        <w:t xml:space="preserve"> </w:t>
      </w:r>
      <w:hyperlink r:id="rId8" w:history="1">
        <w:r w:rsidRPr="003B6950">
          <w:rPr>
            <w:rStyle w:val="Hyperlink"/>
            <w:rFonts w:cs="Arial"/>
            <w:szCs w:val="16"/>
            <w:lang w:val="fr-FR"/>
          </w:rPr>
          <w:t>https://search.coe.int/cm/Pages/result_details.aspx?ObjectId=0900001680766d55</w:t>
        </w:r>
      </w:hyperlink>
    </w:p>
    <w:p w:rsidR="002447FB" w:rsidRPr="003B6950" w:rsidRDefault="00DD0508" w:rsidP="00C20DF1">
      <w:pPr>
        <w:pStyle w:val="NormalWeb"/>
        <w:rPr>
          <w:rFonts w:ascii="Arial" w:hAnsi="Arial" w:cs="Arial"/>
          <w:sz w:val="16"/>
          <w:szCs w:val="16"/>
          <w:lang w:val="fr-FR"/>
        </w:rPr>
      </w:pPr>
      <w:hyperlink r:id="rId9" w:history="1">
        <w:r w:rsidR="002447FB" w:rsidRPr="003B6950">
          <w:rPr>
            <w:rStyle w:val="Hyperlink"/>
            <w:rFonts w:ascii="Arial" w:hAnsi="Arial" w:cs="Arial"/>
            <w:sz w:val="16"/>
            <w:szCs w:val="16"/>
            <w:lang w:val="fr-FR"/>
          </w:rPr>
          <w:t>https://search.coe.int/cm/Pages/result_details.aspx?ObjectId=0900001680766d58</w:t>
        </w:r>
      </w:hyperlink>
    </w:p>
  </w:footnote>
  <w:footnote w:id="16">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w:t>
      </w:r>
      <w:bookmarkStart w:id="6" w:name="_ML_000000000016_VALID"/>
      <w:r w:rsidR="00040BCB" w:rsidRPr="00040BCB">
        <w:rPr>
          <w:rFonts w:cs="Arial"/>
          <w:szCs w:val="16"/>
        </w:rPr>
        <w:fldChar w:fldCharType="begin"/>
      </w:r>
      <w:r w:rsidR="00040BCB" w:rsidRPr="00040BCB">
        <w:rPr>
          <w:rFonts w:cs="Arial"/>
          <w:szCs w:val="16"/>
        </w:rPr>
        <w:instrText xml:space="preserve"> HYPERLINK "https://search.coe.int/cm/Pages/result_details.aspx?Reference=SG/Inf(2017)29" \o "Policy of the Council of Europe towards neighbouring regions – Post-2017 co-operation framework" </w:instrText>
      </w:r>
      <w:r w:rsidR="00040BCB" w:rsidRPr="00040BCB">
        <w:rPr>
          <w:rFonts w:cs="Arial"/>
          <w:szCs w:val="16"/>
        </w:rPr>
      </w:r>
      <w:r w:rsidR="00040BCB" w:rsidRPr="00040BCB">
        <w:rPr>
          <w:rFonts w:cs="Arial"/>
          <w:szCs w:val="16"/>
        </w:rPr>
        <w:fldChar w:fldCharType="separate"/>
      </w:r>
      <w:bookmarkEnd w:id="6"/>
      <w:r w:rsidR="00040BCB" w:rsidRPr="00040BCB">
        <w:rPr>
          <w:rStyle w:val="Hyperlink"/>
          <w:rFonts w:cs="Arial"/>
          <w:szCs w:val="16"/>
        </w:rPr>
        <w:t>SG/Inf(2017)29</w:t>
      </w:r>
      <w:r w:rsidR="00040BCB" w:rsidRPr="00040BCB">
        <w:rPr>
          <w:rFonts w:cs="Arial"/>
          <w:szCs w:val="16"/>
        </w:rPr>
        <w:fldChar w:fldCharType="end"/>
      </w:r>
      <w:r w:rsidRPr="00C20DF1">
        <w:rPr>
          <w:rFonts w:cs="Arial"/>
          <w:szCs w:val="16"/>
        </w:rPr>
        <w:t xml:space="preserve">  </w:t>
      </w:r>
      <w:hyperlink r:id="rId10" w:history="1">
        <w:r w:rsidRPr="00C20DF1">
          <w:rPr>
            <w:rStyle w:val="Hyperlink"/>
            <w:rFonts w:cs="Arial"/>
            <w:szCs w:val="16"/>
          </w:rPr>
          <w:t>https://rm.coe.int/policy-of-the-council-of-europe-towards-neighbouring-regions-post-2017/168075ac60</w:t>
        </w:r>
      </w:hyperlink>
    </w:p>
  </w:footnote>
  <w:footnote w:id="17">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 South Programme I “Strengthening Democratic Reform in the Southern Neighbourhood” – Total budget: €4,8 million (UE: 100%); January 2012 - December 2014.</w:t>
      </w:r>
    </w:p>
    <w:p w:rsidR="002447FB" w:rsidRPr="00C20DF1" w:rsidRDefault="002447FB" w:rsidP="00C20DF1">
      <w:pPr>
        <w:pStyle w:val="FootnoteText"/>
        <w:rPr>
          <w:rFonts w:cs="Arial"/>
          <w:szCs w:val="16"/>
        </w:rPr>
      </w:pPr>
      <w:r w:rsidRPr="00C20DF1">
        <w:rPr>
          <w:rFonts w:cs="Arial"/>
          <w:szCs w:val="16"/>
        </w:rPr>
        <w:t>- South Programme II “Towards Strengthened Democratic Governance in the Southern Mediterranean” – Total budget: €7,37 million (UE: 94,98% CoE: 5,02%); January 2015 - February 2018.</w:t>
      </w:r>
    </w:p>
    <w:p w:rsidR="002447FB" w:rsidRPr="00C20DF1" w:rsidRDefault="002447FB" w:rsidP="00C20DF1">
      <w:pPr>
        <w:pStyle w:val="FootnoteText"/>
        <w:rPr>
          <w:rFonts w:cs="Arial"/>
          <w:szCs w:val="16"/>
        </w:rPr>
      </w:pPr>
      <w:r w:rsidRPr="00C20DF1">
        <w:rPr>
          <w:rFonts w:cs="Arial"/>
          <w:szCs w:val="16"/>
        </w:rPr>
        <w:t>- South Programme III “Ensuring Sustainable Democratic Governance and Human Rights in the Southern Mediterranean” – Total budget: €3,334 million (UE: 89,98% CoE: 10,02%); March 2018 - February 2020.</w:t>
      </w:r>
    </w:p>
  </w:footnote>
  <w:footnote w:id="18">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w:t>
      </w:r>
      <w:proofErr w:type="spellStart"/>
      <w:r w:rsidRPr="00C20DF1">
        <w:rPr>
          <w:rFonts w:cs="Arial"/>
          <w:szCs w:val="16"/>
        </w:rPr>
        <w:t>CyberSouth</w:t>
      </w:r>
      <w:proofErr w:type="spellEnd"/>
      <w:r w:rsidRPr="00C20DF1">
        <w:rPr>
          <w:rFonts w:cs="Arial"/>
          <w:szCs w:val="16"/>
        </w:rPr>
        <w:t xml:space="preserve"> “Co-operation on cybercrime in the Southern Neighbourhood Region (priority areas: Algeria, Jordan, Lebanon, Morocco and Tunisia)” – Total budget: €3,350 million; July 2017 – June 2020.</w:t>
      </w:r>
    </w:p>
  </w:footnote>
  <w:footnote w:id="19">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Youth Co-operation Programme of the North-South Centre “Euro-Arab and Mediterranean Youth co-operation” – Total budget: €330,914; June 2015 – December 2017. Youth Cooperation Programme of the North-South Centre “Euro-Mediterranean Youth Co-operation” – Total budget: €261 327; January 2018 – December 2019.</w:t>
      </w:r>
    </w:p>
  </w:footnote>
  <w:footnote w:id="20">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North-South Process for the Empowerment of Women II – Total budget: 349 297€; May 2015 – December 2017.</w:t>
      </w:r>
    </w:p>
    <w:p w:rsidR="002447FB" w:rsidRPr="00C20DF1" w:rsidRDefault="002447FB" w:rsidP="00C20DF1">
      <w:pPr>
        <w:pStyle w:val="FootnoteText"/>
        <w:rPr>
          <w:rFonts w:cs="Arial"/>
          <w:szCs w:val="16"/>
        </w:rPr>
      </w:pPr>
      <w:r w:rsidRPr="00C20DF1">
        <w:rPr>
          <w:rFonts w:cs="Arial"/>
          <w:szCs w:val="16"/>
        </w:rPr>
        <w:t>NSPEW “North-South Process for the Empowerment of Women” – Total budget: €244 044,53; January 2018 – December 2019.</w:t>
      </w:r>
    </w:p>
  </w:footnote>
  <w:footnote w:id="21">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GLACY “Global Action on Cybercrime” – Total budget: €3,35 million; November 2013 – October 2016.</w:t>
      </w:r>
    </w:p>
    <w:p w:rsidR="002447FB" w:rsidRPr="00C20DF1" w:rsidRDefault="002447FB" w:rsidP="00C20DF1">
      <w:pPr>
        <w:pStyle w:val="FootnoteText"/>
        <w:rPr>
          <w:rFonts w:cs="Arial"/>
          <w:szCs w:val="16"/>
        </w:rPr>
      </w:pPr>
      <w:r w:rsidRPr="00C20DF1">
        <w:rPr>
          <w:rFonts w:cs="Arial"/>
          <w:szCs w:val="16"/>
        </w:rPr>
        <w:t>GLACY+ “Global Action on Cybercrime Extended” – Total budget: €13,350 million; March 2016 – February 2021.</w:t>
      </w:r>
    </w:p>
    <w:p w:rsidR="002447FB" w:rsidRPr="00C20DF1" w:rsidRDefault="002447FB" w:rsidP="00C20DF1">
      <w:pPr>
        <w:pStyle w:val="FootnoteText"/>
        <w:rPr>
          <w:rFonts w:cs="Arial"/>
          <w:szCs w:val="16"/>
        </w:rPr>
      </w:pPr>
      <w:r w:rsidRPr="00C20DF1">
        <w:rPr>
          <w:rFonts w:cs="Arial"/>
          <w:szCs w:val="16"/>
        </w:rPr>
        <w:t>Total amount 2013-2021: €16,70 million covering multiple countries in Africa, Asia/Pacific and Latin America.</w:t>
      </w:r>
    </w:p>
  </w:footnote>
  <w:footnote w:id="22">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Approximate amounts 2015-2017: € 1,645 million, Approximate amounts 2018-2021 (Norway, Monaco): €2,413 million</w:t>
      </w:r>
    </w:p>
  </w:footnote>
  <w:footnote w:id="23">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Programme to support the justice sector reform – “Improving the functioning of justice in Morocco using the tools of the CEPEJ” – Total Budget: €1,7 million; January 2016 - June 2018.</w:t>
      </w:r>
    </w:p>
  </w:footnote>
  <w:footnote w:id="24">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Approximate amounts 2015-2017: € 1,553 million Approximate amounts 2018-2021 (Norway, Monaco): €1,037 million.</w:t>
      </w:r>
    </w:p>
  </w:footnote>
  <w:footnote w:id="25">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AP-JUST “Improving the Functioning, Performance and Access to Justice in Tunisia”– Total budget: €5 million; January 2019 – December 2021. </w:t>
      </w:r>
    </w:p>
  </w:footnote>
  <w:footnote w:id="26">
    <w:p w:rsidR="002447FB" w:rsidRPr="00C20DF1" w:rsidRDefault="002447FB" w:rsidP="00C20DF1">
      <w:pPr>
        <w:pStyle w:val="FootnoteText"/>
        <w:rPr>
          <w:rFonts w:cs="Arial"/>
          <w:szCs w:val="16"/>
        </w:rPr>
      </w:pPr>
      <w:r w:rsidRPr="00C20DF1">
        <w:rPr>
          <w:rStyle w:val="FootnoteReference"/>
          <w:rFonts w:cs="Arial"/>
          <w:szCs w:val="16"/>
        </w:rPr>
        <w:footnoteRef/>
      </w:r>
      <w:r w:rsidRPr="00C20DF1">
        <w:rPr>
          <w:rFonts w:cs="Arial"/>
          <w:szCs w:val="16"/>
        </w:rPr>
        <w:t xml:space="preserve"> PAII-T “Project to Support Independent Bodies in Tunisia” – Total budget: €5,556 million; January 2019 – December 2021. </w:t>
      </w:r>
    </w:p>
  </w:footnote>
  <w:footnote w:id="27">
    <w:p w:rsidR="00FF5C1B" w:rsidRPr="00C20DF1" w:rsidRDefault="00FF5C1B" w:rsidP="00FF5C1B">
      <w:pPr>
        <w:pStyle w:val="FootnoteText"/>
        <w:rPr>
          <w:rFonts w:cs="Arial"/>
          <w:szCs w:val="16"/>
        </w:rPr>
      </w:pPr>
      <w:r w:rsidRPr="00C20DF1">
        <w:rPr>
          <w:rStyle w:val="FootnoteReference"/>
          <w:rFonts w:cs="Arial"/>
          <w:szCs w:val="16"/>
        </w:rPr>
        <w:footnoteRef/>
      </w:r>
      <w:r w:rsidRPr="00C20DF1">
        <w:rPr>
          <w:rFonts w:cs="Arial"/>
          <w:szCs w:val="16"/>
        </w:rPr>
        <w:t xml:space="preserve"> For the fight against violence towards women and for children’s rights in Jordan; 2015-2017: €50 000.</w:t>
      </w:r>
    </w:p>
  </w:footnote>
  <w:footnote w:id="28">
    <w:p w:rsidR="00FF5C1B" w:rsidRPr="00C20DF1" w:rsidRDefault="00FF5C1B" w:rsidP="00FF5C1B">
      <w:pPr>
        <w:pStyle w:val="FootnoteText"/>
        <w:rPr>
          <w:rFonts w:cs="Arial"/>
          <w:szCs w:val="16"/>
        </w:rPr>
      </w:pPr>
      <w:r w:rsidRPr="00C20DF1">
        <w:rPr>
          <w:rStyle w:val="FootnoteReference"/>
          <w:rFonts w:cs="Arial"/>
          <w:szCs w:val="16"/>
        </w:rPr>
        <w:footnoteRef/>
      </w:r>
      <w:r w:rsidRPr="00C20DF1">
        <w:rPr>
          <w:rFonts w:cs="Arial"/>
          <w:szCs w:val="16"/>
        </w:rPr>
        <w:t xml:space="preserve"> Support to the Jordanian authorities in improving the quality and efficiency of the Jordanian justice system – Total budget: €500 000; July 2013 – May 2015.</w:t>
      </w:r>
    </w:p>
  </w:footnote>
  <w:footnote w:id="29">
    <w:p w:rsidR="00FF5C1B" w:rsidRPr="00C20DF1" w:rsidRDefault="00FF5C1B" w:rsidP="00FF5C1B">
      <w:pPr>
        <w:pStyle w:val="FootnoteText"/>
        <w:rPr>
          <w:rFonts w:cs="Arial"/>
          <w:szCs w:val="16"/>
        </w:rPr>
      </w:pPr>
      <w:r w:rsidRPr="00C20DF1">
        <w:rPr>
          <w:rStyle w:val="FootnoteReference"/>
          <w:rFonts w:cs="Arial"/>
          <w:szCs w:val="16"/>
        </w:rPr>
        <w:footnoteRef/>
      </w:r>
      <w:r w:rsidRPr="00C20DF1">
        <w:rPr>
          <w:rFonts w:cs="Arial"/>
          <w:szCs w:val="16"/>
        </w:rPr>
        <w:t xml:space="preserve"> For the fight against violence towards women:</w:t>
      </w:r>
      <w:r>
        <w:rPr>
          <w:rFonts w:cs="Arial"/>
          <w:szCs w:val="16"/>
        </w:rPr>
        <w:t xml:space="preserve"> </w:t>
      </w:r>
      <w:r w:rsidRPr="00C20DF1">
        <w:rPr>
          <w:rFonts w:cs="Arial"/>
          <w:szCs w:val="16"/>
        </w:rPr>
        <w:t>January-December 2019:</w:t>
      </w:r>
      <w:r>
        <w:rPr>
          <w:rFonts w:cs="Arial"/>
          <w:szCs w:val="16"/>
        </w:rPr>
        <w:t xml:space="preserve"> </w:t>
      </w:r>
      <w:r w:rsidRPr="00C20DF1">
        <w:rPr>
          <w:rFonts w:cs="Arial"/>
          <w:szCs w:val="16"/>
        </w:rPr>
        <w:t>€40</w:t>
      </w:r>
      <w:r>
        <w:rPr>
          <w:rFonts w:cs="Arial"/>
          <w:szCs w:val="16"/>
        </w:rPr>
        <w:t> </w:t>
      </w:r>
      <w:r w:rsidRPr="00C20DF1">
        <w:rPr>
          <w:rFonts w:cs="Arial"/>
          <w:szCs w:val="16"/>
        </w:rPr>
        <w:t>000</w:t>
      </w:r>
      <w:r>
        <w:rPr>
          <w:rFonts w:cs="Arial"/>
          <w:szCs w:val="16"/>
        </w:rPr>
        <w:t>.</w:t>
      </w:r>
    </w:p>
  </w:footnote>
  <w:footnote w:id="30">
    <w:p w:rsidR="00FF5C1B" w:rsidRPr="00C20DF1" w:rsidRDefault="00FF5C1B" w:rsidP="00FF5C1B">
      <w:pPr>
        <w:pStyle w:val="FootnoteText"/>
        <w:rPr>
          <w:rFonts w:cs="Arial"/>
          <w:szCs w:val="16"/>
        </w:rPr>
      </w:pPr>
      <w:r w:rsidRPr="00C20DF1">
        <w:rPr>
          <w:rStyle w:val="FootnoteReference"/>
          <w:rFonts w:cs="Arial"/>
          <w:szCs w:val="16"/>
        </w:rPr>
        <w:footnoteRef/>
      </w:r>
      <w:r w:rsidRPr="00C20DF1">
        <w:rPr>
          <w:rFonts w:cs="Arial"/>
          <w:szCs w:val="16"/>
        </w:rPr>
        <w:t xml:space="preserve"> Following a decision of the EU, co-operation with Syria was suspended in 2012.</w:t>
      </w:r>
    </w:p>
  </w:footnote>
  <w:footnote w:id="31">
    <w:p w:rsidR="00FF5C1B" w:rsidRPr="00F23038" w:rsidRDefault="00FF5C1B" w:rsidP="00FF5C1B">
      <w:pPr>
        <w:pStyle w:val="FootnoteText"/>
        <w:rPr>
          <w:rFonts w:cs="Arial"/>
          <w:szCs w:val="16"/>
        </w:rPr>
      </w:pPr>
      <w:r w:rsidRPr="00F23038">
        <w:rPr>
          <w:rStyle w:val="FootnoteReference"/>
          <w:rFonts w:cs="Arial"/>
          <w:szCs w:val="16"/>
        </w:rPr>
        <w:footnoteRef/>
      </w:r>
      <w:r w:rsidRPr="00F23038">
        <w:rPr>
          <w:rFonts w:cs="Arial"/>
          <w:szCs w:val="16"/>
        </w:rPr>
        <w:t xml:space="preserve"> Under negotiation with the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7FB" w:rsidRPr="00E54322" w:rsidRDefault="002447FB" w:rsidP="00E54322">
    <w:pPr>
      <w:pStyle w:val="Header"/>
    </w:pPr>
    <w:proofErr w:type="gramStart"/>
    <w:r w:rsidRPr="00E54322">
      <w:t>CM(</w:t>
    </w:r>
    <w:proofErr w:type="gramEnd"/>
    <w:r w:rsidRPr="00E54322">
      <w:t>201</w:t>
    </w:r>
    <w:r>
      <w:t>9</w:t>
    </w:r>
    <w:r w:rsidRPr="00E54322">
      <w:t>)</w:t>
    </w:r>
    <w:r>
      <w:t>50-</w:t>
    </w:r>
    <w:r w:rsidR="00B15FE9">
      <w:t>final</w:t>
    </w:r>
    <w:r w:rsidRPr="00E54322">
      <w:tab/>
    </w:r>
    <w:r w:rsidRPr="00E54322">
      <w:fldChar w:fldCharType="begin"/>
    </w:r>
    <w:r w:rsidRPr="00E54322">
      <w:instrText xml:space="preserve"> PAGE  \* Arabic  \* MERGEFORMAT </w:instrText>
    </w:r>
    <w:r w:rsidRPr="00E54322">
      <w:fldChar w:fldCharType="separate"/>
    </w:r>
    <w:r w:rsidR="00501096">
      <w:rPr>
        <w:noProof/>
      </w:rPr>
      <w:t>8</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7FB" w:rsidRPr="00E54322" w:rsidRDefault="002447FB" w:rsidP="00E54322">
    <w:pPr>
      <w:pStyle w:val="Header"/>
    </w:pPr>
    <w:r w:rsidRPr="00E54322">
      <w:tab/>
    </w:r>
    <w:r w:rsidRPr="00E54322">
      <w:fldChar w:fldCharType="begin"/>
    </w:r>
    <w:r w:rsidRPr="00E54322">
      <w:instrText xml:space="preserve"> PAGE  \* Arabic  \* MERGEFORMAT </w:instrText>
    </w:r>
    <w:r w:rsidRPr="00E54322">
      <w:fldChar w:fldCharType="separate"/>
    </w:r>
    <w:r w:rsidR="00501096">
      <w:rPr>
        <w:noProof/>
      </w:rPr>
      <w:t>9</w:t>
    </w:r>
    <w:r w:rsidRPr="00E54322">
      <w:fldChar w:fldCharType="end"/>
    </w:r>
    <w:r w:rsidRPr="00E54322">
      <w:tab/>
    </w:r>
    <w:proofErr w:type="gramStart"/>
    <w:r w:rsidRPr="00E54322">
      <w:t>CM(</w:t>
    </w:r>
    <w:proofErr w:type="gramEnd"/>
    <w:r w:rsidRPr="00E54322">
      <w:t>201</w:t>
    </w:r>
    <w:r>
      <w:t>9</w:t>
    </w:r>
    <w:r w:rsidRPr="00E54322">
      <w:t>)</w:t>
    </w:r>
    <w:r>
      <w:t>50-</w:t>
    </w:r>
    <w:r w:rsidR="00B15FE9">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7FB" w:rsidRDefault="002447FB" w:rsidP="00123CDD">
    <w:pPr>
      <w:pStyle w:val="Header"/>
      <w:spacing w:after="2280"/>
    </w:pPr>
    <w:r>
      <w:rPr>
        <w:noProof/>
        <w:lang w:eastAsia="en-GB"/>
      </w:rPr>
      <w:drawing>
        <wp:anchor distT="0" distB="0" distL="114300" distR="114300" simplePos="0" relativeHeight="251657728" behindDoc="1" locked="0" layoutInCell="0" allowOverlap="0" wp14:anchorId="40842262" wp14:editId="2827E29E">
          <wp:simplePos x="0" y="0"/>
          <wp:positionH relativeFrom="page">
            <wp:posOffset>307818</wp:posOffset>
          </wp:positionH>
          <wp:positionV relativeFrom="page">
            <wp:posOffset>22064</wp:posOffset>
          </wp:positionV>
          <wp:extent cx="7581900" cy="10716601"/>
          <wp:effectExtent l="0" t="0" r="0" b="254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07166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E7BCD"/>
    <w:multiLevelType w:val="hybridMultilevel"/>
    <w:tmpl w:val="7DC6B404"/>
    <w:lvl w:ilvl="0" w:tplc="979851D8">
      <w:start w:val="6"/>
      <w:numFmt w:val="bullet"/>
      <w:lvlText w:val="-"/>
      <w:lvlJc w:val="left"/>
      <w:pPr>
        <w:ind w:left="5547" w:hanging="360"/>
      </w:pPr>
      <w:rPr>
        <w:rFonts w:ascii="Arial" w:hAnsi="Arial" w:hint="default"/>
        <w:b w:val="0"/>
        <w:i w:val="0"/>
        <w:sz w:val="20"/>
      </w:rPr>
    </w:lvl>
    <w:lvl w:ilvl="1" w:tplc="08090003">
      <w:start w:val="1"/>
      <w:numFmt w:val="bullet"/>
      <w:lvlText w:val="o"/>
      <w:lvlJc w:val="left"/>
      <w:pPr>
        <w:ind w:left="6267" w:hanging="360"/>
      </w:pPr>
      <w:rPr>
        <w:rFonts w:ascii="Courier New" w:hAnsi="Courier New" w:cs="Courier New" w:hint="default"/>
      </w:rPr>
    </w:lvl>
    <w:lvl w:ilvl="2" w:tplc="08090005" w:tentative="1">
      <w:start w:val="1"/>
      <w:numFmt w:val="bullet"/>
      <w:lvlText w:val=""/>
      <w:lvlJc w:val="left"/>
      <w:pPr>
        <w:ind w:left="6987" w:hanging="360"/>
      </w:pPr>
      <w:rPr>
        <w:rFonts w:ascii="Wingdings" w:hAnsi="Wingdings" w:hint="default"/>
      </w:rPr>
    </w:lvl>
    <w:lvl w:ilvl="3" w:tplc="08090001" w:tentative="1">
      <w:start w:val="1"/>
      <w:numFmt w:val="bullet"/>
      <w:lvlText w:val=""/>
      <w:lvlJc w:val="left"/>
      <w:pPr>
        <w:ind w:left="7707" w:hanging="360"/>
      </w:pPr>
      <w:rPr>
        <w:rFonts w:ascii="Symbol" w:hAnsi="Symbol" w:hint="default"/>
      </w:rPr>
    </w:lvl>
    <w:lvl w:ilvl="4" w:tplc="08090003" w:tentative="1">
      <w:start w:val="1"/>
      <w:numFmt w:val="bullet"/>
      <w:lvlText w:val="o"/>
      <w:lvlJc w:val="left"/>
      <w:pPr>
        <w:ind w:left="8427" w:hanging="360"/>
      </w:pPr>
      <w:rPr>
        <w:rFonts w:ascii="Courier New" w:hAnsi="Courier New" w:cs="Courier New" w:hint="default"/>
      </w:rPr>
    </w:lvl>
    <w:lvl w:ilvl="5" w:tplc="08090005" w:tentative="1">
      <w:start w:val="1"/>
      <w:numFmt w:val="bullet"/>
      <w:lvlText w:val=""/>
      <w:lvlJc w:val="left"/>
      <w:pPr>
        <w:ind w:left="9147" w:hanging="360"/>
      </w:pPr>
      <w:rPr>
        <w:rFonts w:ascii="Wingdings" w:hAnsi="Wingdings" w:hint="default"/>
      </w:rPr>
    </w:lvl>
    <w:lvl w:ilvl="6" w:tplc="08090001" w:tentative="1">
      <w:start w:val="1"/>
      <w:numFmt w:val="bullet"/>
      <w:lvlText w:val=""/>
      <w:lvlJc w:val="left"/>
      <w:pPr>
        <w:ind w:left="9867" w:hanging="360"/>
      </w:pPr>
      <w:rPr>
        <w:rFonts w:ascii="Symbol" w:hAnsi="Symbol" w:hint="default"/>
      </w:rPr>
    </w:lvl>
    <w:lvl w:ilvl="7" w:tplc="08090003" w:tentative="1">
      <w:start w:val="1"/>
      <w:numFmt w:val="bullet"/>
      <w:lvlText w:val="o"/>
      <w:lvlJc w:val="left"/>
      <w:pPr>
        <w:ind w:left="10587" w:hanging="360"/>
      </w:pPr>
      <w:rPr>
        <w:rFonts w:ascii="Courier New" w:hAnsi="Courier New" w:cs="Courier New" w:hint="default"/>
      </w:rPr>
    </w:lvl>
    <w:lvl w:ilvl="8" w:tplc="08090005" w:tentative="1">
      <w:start w:val="1"/>
      <w:numFmt w:val="bullet"/>
      <w:lvlText w:val=""/>
      <w:lvlJc w:val="left"/>
      <w:pPr>
        <w:ind w:left="11307" w:hanging="360"/>
      </w:pPr>
      <w:rPr>
        <w:rFonts w:ascii="Wingdings" w:hAnsi="Wingdings" w:hint="default"/>
      </w:rPr>
    </w:lvl>
  </w:abstractNum>
  <w:abstractNum w:abstractNumId="1" w15:restartNumberingAfterBreak="0">
    <w:nsid w:val="6C373B48"/>
    <w:multiLevelType w:val="hybridMultilevel"/>
    <w:tmpl w:val="D3389B82"/>
    <w:lvl w:ilvl="0" w:tplc="0409000B">
      <w:start w:val="1"/>
      <w:numFmt w:val="bullet"/>
      <w:lvlText w:val=""/>
      <w:lvlJc w:val="left"/>
      <w:pPr>
        <w:ind w:left="5547" w:hanging="360"/>
      </w:pPr>
      <w:rPr>
        <w:rFonts w:ascii="Wingdings" w:hAnsi="Wingdings" w:hint="default"/>
      </w:rPr>
    </w:lvl>
    <w:lvl w:ilvl="1" w:tplc="08090003">
      <w:start w:val="1"/>
      <w:numFmt w:val="bullet"/>
      <w:lvlText w:val="o"/>
      <w:lvlJc w:val="left"/>
      <w:pPr>
        <w:ind w:left="6267" w:hanging="360"/>
      </w:pPr>
      <w:rPr>
        <w:rFonts w:ascii="Courier New" w:hAnsi="Courier New" w:cs="Courier New" w:hint="default"/>
      </w:rPr>
    </w:lvl>
    <w:lvl w:ilvl="2" w:tplc="08090005" w:tentative="1">
      <w:start w:val="1"/>
      <w:numFmt w:val="bullet"/>
      <w:lvlText w:val=""/>
      <w:lvlJc w:val="left"/>
      <w:pPr>
        <w:ind w:left="6987" w:hanging="360"/>
      </w:pPr>
      <w:rPr>
        <w:rFonts w:ascii="Wingdings" w:hAnsi="Wingdings" w:hint="default"/>
      </w:rPr>
    </w:lvl>
    <w:lvl w:ilvl="3" w:tplc="08090001" w:tentative="1">
      <w:start w:val="1"/>
      <w:numFmt w:val="bullet"/>
      <w:lvlText w:val=""/>
      <w:lvlJc w:val="left"/>
      <w:pPr>
        <w:ind w:left="7707" w:hanging="360"/>
      </w:pPr>
      <w:rPr>
        <w:rFonts w:ascii="Symbol" w:hAnsi="Symbol" w:hint="default"/>
      </w:rPr>
    </w:lvl>
    <w:lvl w:ilvl="4" w:tplc="08090003" w:tentative="1">
      <w:start w:val="1"/>
      <w:numFmt w:val="bullet"/>
      <w:lvlText w:val="o"/>
      <w:lvlJc w:val="left"/>
      <w:pPr>
        <w:ind w:left="8427" w:hanging="360"/>
      </w:pPr>
      <w:rPr>
        <w:rFonts w:ascii="Courier New" w:hAnsi="Courier New" w:cs="Courier New" w:hint="default"/>
      </w:rPr>
    </w:lvl>
    <w:lvl w:ilvl="5" w:tplc="08090005" w:tentative="1">
      <w:start w:val="1"/>
      <w:numFmt w:val="bullet"/>
      <w:lvlText w:val=""/>
      <w:lvlJc w:val="left"/>
      <w:pPr>
        <w:ind w:left="9147" w:hanging="360"/>
      </w:pPr>
      <w:rPr>
        <w:rFonts w:ascii="Wingdings" w:hAnsi="Wingdings" w:hint="default"/>
      </w:rPr>
    </w:lvl>
    <w:lvl w:ilvl="6" w:tplc="08090001" w:tentative="1">
      <w:start w:val="1"/>
      <w:numFmt w:val="bullet"/>
      <w:lvlText w:val=""/>
      <w:lvlJc w:val="left"/>
      <w:pPr>
        <w:ind w:left="9867" w:hanging="360"/>
      </w:pPr>
      <w:rPr>
        <w:rFonts w:ascii="Symbol" w:hAnsi="Symbol" w:hint="default"/>
      </w:rPr>
    </w:lvl>
    <w:lvl w:ilvl="7" w:tplc="08090003" w:tentative="1">
      <w:start w:val="1"/>
      <w:numFmt w:val="bullet"/>
      <w:lvlText w:val="o"/>
      <w:lvlJc w:val="left"/>
      <w:pPr>
        <w:ind w:left="10587" w:hanging="360"/>
      </w:pPr>
      <w:rPr>
        <w:rFonts w:ascii="Courier New" w:hAnsi="Courier New" w:cs="Courier New" w:hint="default"/>
      </w:rPr>
    </w:lvl>
    <w:lvl w:ilvl="8" w:tplc="08090005" w:tentative="1">
      <w:start w:val="1"/>
      <w:numFmt w:val="bullet"/>
      <w:lvlText w:val=""/>
      <w:lvlJc w:val="left"/>
      <w:pPr>
        <w:ind w:left="11307" w:hanging="360"/>
      </w:pPr>
      <w:rPr>
        <w:rFonts w:ascii="Wingdings" w:hAnsi="Wingdings" w:hint="default"/>
      </w:rPr>
    </w:lvl>
  </w:abstractNum>
  <w:abstractNum w:abstractNumId="2" w15:restartNumberingAfterBreak="0">
    <w:nsid w:val="750F7FDE"/>
    <w:multiLevelType w:val="multilevel"/>
    <w:tmpl w:val="AC060E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4BA"/>
    <w:rsid w:val="000060A9"/>
    <w:rsid w:val="0001238D"/>
    <w:rsid w:val="00035FDF"/>
    <w:rsid w:val="00040BCB"/>
    <w:rsid w:val="00051EFA"/>
    <w:rsid w:val="0005640E"/>
    <w:rsid w:val="00071EA7"/>
    <w:rsid w:val="00072CBD"/>
    <w:rsid w:val="00082CEE"/>
    <w:rsid w:val="000A307B"/>
    <w:rsid w:val="000A6E16"/>
    <w:rsid w:val="000C52A6"/>
    <w:rsid w:val="000E1E78"/>
    <w:rsid w:val="000E3C94"/>
    <w:rsid w:val="000E50A4"/>
    <w:rsid w:val="000F0031"/>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74019"/>
    <w:rsid w:val="00181ED9"/>
    <w:rsid w:val="00183B77"/>
    <w:rsid w:val="001A6076"/>
    <w:rsid w:val="001B6615"/>
    <w:rsid w:val="001B7E0B"/>
    <w:rsid w:val="001C376D"/>
    <w:rsid w:val="001E7C29"/>
    <w:rsid w:val="001F297D"/>
    <w:rsid w:val="001F4F04"/>
    <w:rsid w:val="00214299"/>
    <w:rsid w:val="002250DD"/>
    <w:rsid w:val="0023437D"/>
    <w:rsid w:val="00242ABB"/>
    <w:rsid w:val="002447FB"/>
    <w:rsid w:val="00251353"/>
    <w:rsid w:val="00262B36"/>
    <w:rsid w:val="00265917"/>
    <w:rsid w:val="002660DB"/>
    <w:rsid w:val="002861FB"/>
    <w:rsid w:val="00293EE6"/>
    <w:rsid w:val="002973AB"/>
    <w:rsid w:val="002C0872"/>
    <w:rsid w:val="002C20BA"/>
    <w:rsid w:val="002C43B5"/>
    <w:rsid w:val="002C4704"/>
    <w:rsid w:val="002D0655"/>
    <w:rsid w:val="002D11B8"/>
    <w:rsid w:val="002D5F41"/>
    <w:rsid w:val="002E4089"/>
    <w:rsid w:val="002F3006"/>
    <w:rsid w:val="002F405C"/>
    <w:rsid w:val="002F6BB7"/>
    <w:rsid w:val="00303712"/>
    <w:rsid w:val="003354C4"/>
    <w:rsid w:val="00335CAF"/>
    <w:rsid w:val="003364D1"/>
    <w:rsid w:val="00367884"/>
    <w:rsid w:val="00371F6C"/>
    <w:rsid w:val="0037200F"/>
    <w:rsid w:val="00373957"/>
    <w:rsid w:val="00381C50"/>
    <w:rsid w:val="00385587"/>
    <w:rsid w:val="00392D1D"/>
    <w:rsid w:val="003A5509"/>
    <w:rsid w:val="003B2C8C"/>
    <w:rsid w:val="003B345B"/>
    <w:rsid w:val="003B6950"/>
    <w:rsid w:val="003D3B17"/>
    <w:rsid w:val="003D48AE"/>
    <w:rsid w:val="003D6AC2"/>
    <w:rsid w:val="003F3D4B"/>
    <w:rsid w:val="0040027C"/>
    <w:rsid w:val="00400868"/>
    <w:rsid w:val="004054AC"/>
    <w:rsid w:val="004256CB"/>
    <w:rsid w:val="004329B7"/>
    <w:rsid w:val="0044116F"/>
    <w:rsid w:val="00443709"/>
    <w:rsid w:val="00447D22"/>
    <w:rsid w:val="004553F6"/>
    <w:rsid w:val="00480D8B"/>
    <w:rsid w:val="00482D08"/>
    <w:rsid w:val="004A37E1"/>
    <w:rsid w:val="004B6499"/>
    <w:rsid w:val="004C0C2F"/>
    <w:rsid w:val="004C11B3"/>
    <w:rsid w:val="004E6D2A"/>
    <w:rsid w:val="00501096"/>
    <w:rsid w:val="0050115D"/>
    <w:rsid w:val="0054041B"/>
    <w:rsid w:val="00541C91"/>
    <w:rsid w:val="00550B6C"/>
    <w:rsid w:val="00574663"/>
    <w:rsid w:val="005B1FA1"/>
    <w:rsid w:val="005B3604"/>
    <w:rsid w:val="005C73BB"/>
    <w:rsid w:val="005D7CDF"/>
    <w:rsid w:val="005F093B"/>
    <w:rsid w:val="005F3DC6"/>
    <w:rsid w:val="00614982"/>
    <w:rsid w:val="00621A7B"/>
    <w:rsid w:val="00631491"/>
    <w:rsid w:val="00643231"/>
    <w:rsid w:val="00643C3F"/>
    <w:rsid w:val="00644AD3"/>
    <w:rsid w:val="006455FA"/>
    <w:rsid w:val="00660638"/>
    <w:rsid w:val="00667682"/>
    <w:rsid w:val="00667FB1"/>
    <w:rsid w:val="00671684"/>
    <w:rsid w:val="00671EA2"/>
    <w:rsid w:val="006827E4"/>
    <w:rsid w:val="006908C5"/>
    <w:rsid w:val="006F0318"/>
    <w:rsid w:val="006F6B48"/>
    <w:rsid w:val="00712E65"/>
    <w:rsid w:val="007150DE"/>
    <w:rsid w:val="00715B16"/>
    <w:rsid w:val="00721866"/>
    <w:rsid w:val="00735569"/>
    <w:rsid w:val="007541C7"/>
    <w:rsid w:val="00761627"/>
    <w:rsid w:val="00773CFE"/>
    <w:rsid w:val="00780B1B"/>
    <w:rsid w:val="007A543D"/>
    <w:rsid w:val="007B3DD0"/>
    <w:rsid w:val="007C0AD1"/>
    <w:rsid w:val="007D7B20"/>
    <w:rsid w:val="007E168C"/>
    <w:rsid w:val="007F6C36"/>
    <w:rsid w:val="00800A19"/>
    <w:rsid w:val="008042E6"/>
    <w:rsid w:val="00805F04"/>
    <w:rsid w:val="00810D5A"/>
    <w:rsid w:val="00812C01"/>
    <w:rsid w:val="00814AA2"/>
    <w:rsid w:val="0082394F"/>
    <w:rsid w:val="00853C90"/>
    <w:rsid w:val="008575F2"/>
    <w:rsid w:val="00857F73"/>
    <w:rsid w:val="0087380A"/>
    <w:rsid w:val="00877E5C"/>
    <w:rsid w:val="008B07D4"/>
    <w:rsid w:val="008C12CC"/>
    <w:rsid w:val="008C164D"/>
    <w:rsid w:val="008E382C"/>
    <w:rsid w:val="00916BF5"/>
    <w:rsid w:val="009215B8"/>
    <w:rsid w:val="00923554"/>
    <w:rsid w:val="009270C4"/>
    <w:rsid w:val="00940F14"/>
    <w:rsid w:val="009432D0"/>
    <w:rsid w:val="00950D67"/>
    <w:rsid w:val="009527D7"/>
    <w:rsid w:val="00955512"/>
    <w:rsid w:val="00963414"/>
    <w:rsid w:val="00963962"/>
    <w:rsid w:val="009725F7"/>
    <w:rsid w:val="00974C41"/>
    <w:rsid w:val="009B3AB7"/>
    <w:rsid w:val="009C5258"/>
    <w:rsid w:val="009D28F3"/>
    <w:rsid w:val="009E3FA5"/>
    <w:rsid w:val="00A12DEC"/>
    <w:rsid w:val="00A22D53"/>
    <w:rsid w:val="00A37E36"/>
    <w:rsid w:val="00A474E5"/>
    <w:rsid w:val="00A574BA"/>
    <w:rsid w:val="00A77517"/>
    <w:rsid w:val="00A842D4"/>
    <w:rsid w:val="00A93CA3"/>
    <w:rsid w:val="00AB6552"/>
    <w:rsid w:val="00AB67F8"/>
    <w:rsid w:val="00AB7727"/>
    <w:rsid w:val="00AC30A2"/>
    <w:rsid w:val="00AC73AA"/>
    <w:rsid w:val="00AE76B8"/>
    <w:rsid w:val="00B06133"/>
    <w:rsid w:val="00B129D8"/>
    <w:rsid w:val="00B142BA"/>
    <w:rsid w:val="00B15FE9"/>
    <w:rsid w:val="00B227AE"/>
    <w:rsid w:val="00B41B03"/>
    <w:rsid w:val="00B41EC3"/>
    <w:rsid w:val="00B60AEB"/>
    <w:rsid w:val="00B63F08"/>
    <w:rsid w:val="00B736B2"/>
    <w:rsid w:val="00B77F2F"/>
    <w:rsid w:val="00B81BAC"/>
    <w:rsid w:val="00B849E0"/>
    <w:rsid w:val="00B85530"/>
    <w:rsid w:val="00B90246"/>
    <w:rsid w:val="00B920E4"/>
    <w:rsid w:val="00BA79A3"/>
    <w:rsid w:val="00BB7DCE"/>
    <w:rsid w:val="00BD25C0"/>
    <w:rsid w:val="00BF78B3"/>
    <w:rsid w:val="00C049EE"/>
    <w:rsid w:val="00C109FD"/>
    <w:rsid w:val="00C14C2C"/>
    <w:rsid w:val="00C20DF1"/>
    <w:rsid w:val="00C409C2"/>
    <w:rsid w:val="00C502C4"/>
    <w:rsid w:val="00C74E6F"/>
    <w:rsid w:val="00C8348A"/>
    <w:rsid w:val="00C92F89"/>
    <w:rsid w:val="00CC39DC"/>
    <w:rsid w:val="00CC56D9"/>
    <w:rsid w:val="00CC7A3A"/>
    <w:rsid w:val="00CE1FF8"/>
    <w:rsid w:val="00CE4890"/>
    <w:rsid w:val="00CE6FD2"/>
    <w:rsid w:val="00CF4543"/>
    <w:rsid w:val="00CF6BF9"/>
    <w:rsid w:val="00D0182E"/>
    <w:rsid w:val="00D0265B"/>
    <w:rsid w:val="00D24A57"/>
    <w:rsid w:val="00D53526"/>
    <w:rsid w:val="00D554E6"/>
    <w:rsid w:val="00D70628"/>
    <w:rsid w:val="00D7456B"/>
    <w:rsid w:val="00DA7643"/>
    <w:rsid w:val="00DB029C"/>
    <w:rsid w:val="00DB07BC"/>
    <w:rsid w:val="00DB577C"/>
    <w:rsid w:val="00DC162E"/>
    <w:rsid w:val="00DC4A39"/>
    <w:rsid w:val="00DD0508"/>
    <w:rsid w:val="00DE0A21"/>
    <w:rsid w:val="00DF6796"/>
    <w:rsid w:val="00E125C6"/>
    <w:rsid w:val="00E15639"/>
    <w:rsid w:val="00E173B5"/>
    <w:rsid w:val="00E24C57"/>
    <w:rsid w:val="00E457C3"/>
    <w:rsid w:val="00E475F9"/>
    <w:rsid w:val="00E50974"/>
    <w:rsid w:val="00E54322"/>
    <w:rsid w:val="00E86611"/>
    <w:rsid w:val="00E940BF"/>
    <w:rsid w:val="00EA643A"/>
    <w:rsid w:val="00EE34E3"/>
    <w:rsid w:val="00F01885"/>
    <w:rsid w:val="00F168A4"/>
    <w:rsid w:val="00F2380B"/>
    <w:rsid w:val="00F24713"/>
    <w:rsid w:val="00F40699"/>
    <w:rsid w:val="00F433D6"/>
    <w:rsid w:val="00F47477"/>
    <w:rsid w:val="00F61D34"/>
    <w:rsid w:val="00F76BBD"/>
    <w:rsid w:val="00F9084D"/>
    <w:rsid w:val="00F96689"/>
    <w:rsid w:val="00F97F30"/>
    <w:rsid w:val="00FA4CAE"/>
    <w:rsid w:val="00FB2CBD"/>
    <w:rsid w:val="00FD6043"/>
    <w:rsid w:val="00FE16E3"/>
    <w:rsid w:val="00FF2641"/>
    <w:rsid w:val="00FF3BAB"/>
    <w:rsid w:val="00FF5C1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DE00CE-FF85-4381-9D03-14E0F990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 BVI fnr,BVI fnr, BVI fnr Car Car,BVI fnr Car, BVI fnr Car Car Car Car, BVI fnr Car Car Car Car Char,BVI fnr Car1 Char Знак,BVI fnr Char1 Car Char Car Char Знак,BVI fnr Car1 Char Car Char Car Char Знак,Footnotes refss,callout,fr"/>
    <w:link w:val="BVIfnrCar1Char"/>
    <w:uiPriority w:val="99"/>
    <w:unhideWhenUsed/>
    <w:qFormat/>
    <w:rsid w:val="00853C90"/>
    <w:rPr>
      <w:vertAlign w:val="superscript"/>
    </w:rPr>
  </w:style>
  <w:style w:type="paragraph" w:styleId="NormalWeb">
    <w:name w:val="Normal (Web)"/>
    <w:basedOn w:val="Normal"/>
    <w:uiPriority w:val="99"/>
    <w:semiHidden/>
    <w:unhideWhenUsed/>
    <w:rsid w:val="00C20DF1"/>
    <w:rPr>
      <w:rFonts w:ascii="Times New Roman" w:hAnsi="Times New Roman"/>
      <w:sz w:val="24"/>
      <w:szCs w:val="24"/>
    </w:rPr>
  </w:style>
  <w:style w:type="paragraph" w:customStyle="1" w:styleId="BVIfnrCar1Char">
    <w:name w:val="BVI fnr Car1 Char"/>
    <w:aliases w:val="BVI fnr Char1 Car Char Car Char,BVI fnr Car1 Char Car Char Car Char,BVI fnr Char Car Char Car Char Car Char,BVI fnr Car Car Char Car Char Car Char Car Char, BVI fnr Char Car Char Car Char Car Char Char,callou"/>
    <w:basedOn w:val="Normal"/>
    <w:link w:val="FootnoteReference"/>
    <w:uiPriority w:val="99"/>
    <w:rsid w:val="00C20DF1"/>
    <w:pPr>
      <w:spacing w:after="160" w:line="240" w:lineRule="exact"/>
      <w:jc w:val="both"/>
    </w:pPr>
    <w:rPr>
      <w:rFonts w:ascii="Calibri" w:hAnsi="Calibri"/>
      <w:szCs w:val="20"/>
      <w:vertAlign w:val="superscript"/>
      <w:lang w:eastAsia="en-GB"/>
    </w:rPr>
  </w:style>
  <w:style w:type="table" w:customStyle="1" w:styleId="TableGrid2">
    <w:name w:val="Table Grid2"/>
    <w:basedOn w:val="TableNormal"/>
    <w:next w:val="TableGrid"/>
    <w:rsid w:val="00C20DF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C94"/>
    <w:pPr>
      <w:ind w:left="720"/>
      <w:contextualSpacing/>
    </w:pPr>
  </w:style>
  <w:style w:type="character" w:customStyle="1" w:styleId="UnresolvedMention1">
    <w:name w:val="Unresolved Mention1"/>
    <w:basedOn w:val="DefaultParagraphFont"/>
    <w:uiPriority w:val="99"/>
    <w:semiHidden/>
    <w:unhideWhenUsed/>
    <w:rsid w:val="00DB07BC"/>
    <w:rPr>
      <w:color w:val="605E5C"/>
      <w:shd w:val="clear" w:color="auto" w:fill="E1DFDD"/>
    </w:rPr>
  </w:style>
  <w:style w:type="character" w:styleId="UnresolvedMention">
    <w:name w:val="Unresolved Mention"/>
    <w:basedOn w:val="DefaultParagraphFont"/>
    <w:uiPriority w:val="99"/>
    <w:semiHidden/>
    <w:unhideWhenUsed/>
    <w:rsid w:val="00040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4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D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earch.coe.int/cm/Pages/result_details.aspx?ObjectId=0900001680766d55" TargetMode="External"/><Relationship Id="rId3" Type="http://schemas.openxmlformats.org/officeDocument/2006/relationships/hyperlink" Target="https://search.coe.int/cm/Pages/result_details.aspx?ObjectId=0900001680766d58" TargetMode="External"/><Relationship Id="rId7" Type="http://schemas.openxmlformats.org/officeDocument/2006/relationships/hyperlink" Target="https://search.coe.int/cm/Pages/result_details.aspx?ObjectID=09000016808e6d16" TargetMode="External"/><Relationship Id="rId2" Type="http://schemas.openxmlformats.org/officeDocument/2006/relationships/hyperlink" Target="https://rm.coe.int/policy-of-the-council-of-europe-towards-neighbouring-regions-post-2017/168075ac60" TargetMode="External"/><Relationship Id="rId1" Type="http://schemas.openxmlformats.org/officeDocument/2006/relationships/hyperlink" Target="https://search.coe.int/cm/Pages/result_details.aspx?ObjectId=0900001680712371" TargetMode="External"/><Relationship Id="rId6" Type="http://schemas.openxmlformats.org/officeDocument/2006/relationships/hyperlink" Target="https://search.coe.int/cm/Pages/result_details.aspx?ObjectID=09000016808e6d14" TargetMode="External"/><Relationship Id="rId5" Type="http://schemas.openxmlformats.org/officeDocument/2006/relationships/hyperlink" Target="https://search.coe.int/cm/Pages/result_details.aspx?ObjectId=09000016808d45a3" TargetMode="External"/><Relationship Id="rId10" Type="http://schemas.openxmlformats.org/officeDocument/2006/relationships/hyperlink" Target="https://rm.coe.int/policy-of-the-council-of-europe-towards-neighbouring-regions-post-2017/168075ac60" TargetMode="External"/><Relationship Id="rId4" Type="http://schemas.openxmlformats.org/officeDocument/2006/relationships/hyperlink" Target="https://search.coe.int/cm/pages/result_details.aspx?objectid=0900001680791bed" TargetMode="External"/><Relationship Id="rId9" Type="http://schemas.openxmlformats.org/officeDocument/2006/relationships/hyperlink" Target="https://search.coe.int/cm/Pages/result_details.aspx?ObjectId=0900001680766d5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C66DD2A-099B-4F81-B13F-1272AEAE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3975</Words>
  <Characters>21863</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25787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GODARD Caroline</dc:creator>
  <cp:lastModifiedBy>HATTERSLEY Christine</cp:lastModifiedBy>
  <cp:revision>3</cp:revision>
  <cp:lastPrinted>2019-03-05T16:19:00Z</cp:lastPrinted>
  <dcterms:created xsi:type="dcterms:W3CDTF">2019-04-30T15:11:00Z</dcterms:created>
  <dcterms:modified xsi:type="dcterms:W3CDTF">2019-04-30T15:29:00Z</dcterms:modified>
</cp:coreProperties>
</file>