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vertAnchor="page" w:horzAnchor="margin" w:tblpY="2229"/>
        <w:tblW w:w="5000" w:type="pct"/>
        <w:tblBorders>
          <w:bottom w:val="single" w:sz="4" w:space="0" w:color="auto"/>
        </w:tblBorders>
        <w:tblCellMar>
          <w:top w:w="113" w:type="dxa"/>
          <w:left w:w="0" w:type="dxa"/>
          <w:bottom w:w="113" w:type="dxa"/>
          <w:right w:w="0" w:type="dxa"/>
        </w:tblCellMar>
        <w:tblLook w:val="04A0" w:firstRow="1" w:lastRow="0" w:firstColumn="1" w:lastColumn="0" w:noHBand="0" w:noVBand="1"/>
      </w:tblPr>
      <w:tblGrid>
        <w:gridCol w:w="2388"/>
        <w:gridCol w:w="2389"/>
        <w:gridCol w:w="2389"/>
        <w:gridCol w:w="2389"/>
      </w:tblGrid>
      <w:tr w:rsidR="00E475F9" w:rsidRPr="00F96689" w:rsidTr="00E54322">
        <w:trPr>
          <w:trHeight w:val="737"/>
        </w:trPr>
        <w:tc>
          <w:tcPr>
            <w:tcW w:w="1250" w:type="pct"/>
            <w:shd w:val="clear" w:color="auto" w:fill="auto"/>
            <w:vAlign w:val="center"/>
          </w:tcPr>
          <w:p w:rsidR="002D11B8" w:rsidRPr="00B920E4" w:rsidRDefault="003D6AC2" w:rsidP="00E54322">
            <w:pPr>
              <w:widowControl w:val="0"/>
              <w:autoSpaceDE w:val="0"/>
              <w:autoSpaceDN w:val="0"/>
              <w:adjustRightInd w:val="0"/>
              <w:rPr>
                <w:rFonts w:ascii="Arial Narrow" w:hAnsi="Arial Narrow" w:cs="Calibri"/>
                <w:szCs w:val="20"/>
              </w:rPr>
            </w:pPr>
            <w:r w:rsidRPr="003D6AC2">
              <w:rPr>
                <w:rFonts w:ascii="Arial Narrow" w:hAnsi="Arial Narrow" w:cs="Calibri"/>
                <w:b/>
                <w:bCs/>
                <w:szCs w:val="20"/>
              </w:rPr>
              <w:t>MINISTERS’ DEPUTIES</w:t>
            </w:r>
          </w:p>
        </w:tc>
        <w:tc>
          <w:tcPr>
            <w:tcW w:w="1250" w:type="pct"/>
            <w:shd w:val="clear" w:color="auto" w:fill="auto"/>
            <w:vAlign w:val="center"/>
          </w:tcPr>
          <w:p w:rsidR="002D11B8" w:rsidRPr="009C5258" w:rsidRDefault="003D6AC2" w:rsidP="00E54322">
            <w:pPr>
              <w:ind w:left="-108"/>
              <w:jc w:val="center"/>
              <w:rPr>
                <w:rFonts w:ascii="Arial Narrow" w:hAnsi="Arial Narrow" w:cs="Arial"/>
                <w:szCs w:val="20"/>
              </w:rPr>
            </w:pPr>
            <w:r w:rsidRPr="003D6AC2">
              <w:rPr>
                <w:rFonts w:ascii="Arial Narrow" w:hAnsi="Arial Narrow" w:cs="Calibri"/>
                <w:szCs w:val="20"/>
              </w:rPr>
              <w:t>CM Documents</w:t>
            </w:r>
          </w:p>
        </w:tc>
        <w:tc>
          <w:tcPr>
            <w:tcW w:w="1250" w:type="pct"/>
            <w:shd w:val="clear" w:color="auto" w:fill="auto"/>
            <w:vAlign w:val="center"/>
          </w:tcPr>
          <w:p w:rsidR="002D11B8" w:rsidRPr="00D71A90" w:rsidRDefault="00D71A90" w:rsidP="00FE16E3">
            <w:pPr>
              <w:ind w:left="-40"/>
              <w:jc w:val="center"/>
              <w:rPr>
                <w:rFonts w:ascii="Arial Narrow" w:hAnsi="Arial Narrow" w:cs="Arial"/>
                <w:b/>
                <w:sz w:val="24"/>
                <w:szCs w:val="24"/>
              </w:rPr>
            </w:pPr>
            <w:proofErr w:type="gramStart"/>
            <w:r w:rsidRPr="00D71A90">
              <w:rPr>
                <w:rFonts w:ascii="Arial Narrow" w:hAnsi="Arial Narrow" w:cs="Calibri"/>
                <w:b/>
                <w:sz w:val="24"/>
                <w:szCs w:val="24"/>
              </w:rPr>
              <w:t>CM(</w:t>
            </w:r>
            <w:proofErr w:type="gramEnd"/>
            <w:r w:rsidRPr="00D71A90">
              <w:rPr>
                <w:rFonts w:ascii="Arial Narrow" w:hAnsi="Arial Narrow" w:cs="Calibri"/>
                <w:b/>
                <w:sz w:val="24"/>
                <w:szCs w:val="24"/>
              </w:rPr>
              <w:t>2019)67-addfi</w:t>
            </w:r>
            <w:bookmarkStart w:id="0" w:name="_GoBack"/>
            <w:bookmarkEnd w:id="0"/>
            <w:r w:rsidRPr="00D71A90">
              <w:rPr>
                <w:rFonts w:ascii="Arial Narrow" w:hAnsi="Arial Narrow" w:cs="Calibri"/>
                <w:b/>
                <w:sz w:val="24"/>
                <w:szCs w:val="24"/>
              </w:rPr>
              <w:t>nal</w:t>
            </w:r>
          </w:p>
        </w:tc>
        <w:tc>
          <w:tcPr>
            <w:tcW w:w="1250" w:type="pct"/>
            <w:shd w:val="clear" w:color="auto" w:fill="auto"/>
            <w:vAlign w:val="center"/>
          </w:tcPr>
          <w:p w:rsidR="002D11B8" w:rsidRPr="00F96689" w:rsidRDefault="00196B4D" w:rsidP="00FE16E3">
            <w:pPr>
              <w:jc w:val="right"/>
              <w:rPr>
                <w:rFonts w:ascii="Arial Narrow" w:hAnsi="Arial Narrow" w:cs="Arial"/>
                <w:sz w:val="16"/>
                <w:szCs w:val="16"/>
              </w:rPr>
            </w:pPr>
            <w:r>
              <w:rPr>
                <w:rFonts w:ascii="Arial Narrow" w:hAnsi="Arial Narrow" w:cs="Calibri"/>
                <w:sz w:val="16"/>
                <w:szCs w:val="16"/>
              </w:rPr>
              <w:t>30</w:t>
            </w:r>
            <w:r w:rsidR="001533C2">
              <w:rPr>
                <w:rFonts w:ascii="Arial Narrow" w:hAnsi="Arial Narrow" w:cs="Calibri"/>
                <w:sz w:val="16"/>
                <w:szCs w:val="16"/>
              </w:rPr>
              <w:t xml:space="preserve"> April</w:t>
            </w:r>
            <w:r w:rsidR="002D11B8" w:rsidRPr="00F96689">
              <w:rPr>
                <w:rFonts w:ascii="Arial Narrow" w:hAnsi="Arial Narrow" w:cs="Calibri"/>
                <w:sz w:val="16"/>
                <w:szCs w:val="16"/>
              </w:rPr>
              <w:t xml:space="preserve"> 201</w:t>
            </w:r>
            <w:r w:rsidR="00FE16E3">
              <w:rPr>
                <w:rFonts w:ascii="Arial Narrow" w:hAnsi="Arial Narrow" w:cs="Calibri"/>
                <w:sz w:val="16"/>
                <w:szCs w:val="16"/>
              </w:rPr>
              <w:t>9</w:t>
            </w:r>
          </w:p>
        </w:tc>
      </w:tr>
    </w:tbl>
    <w:p w:rsidR="00D554E6" w:rsidRPr="00F96689" w:rsidRDefault="00D554E6" w:rsidP="000F4CF2">
      <w:pPr>
        <w:framePr w:hSpace="141" w:wrap="around" w:vAnchor="text" w:hAnchor="page" w:x="1630" w:y="231"/>
        <w:rPr>
          <w:rFonts w:cs="Arial"/>
          <w:sz w:val="2"/>
          <w:szCs w:val="2"/>
        </w:rPr>
      </w:pPr>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9555"/>
      </w:tblGrid>
      <w:tr w:rsidR="00E24C57" w:rsidRPr="00A12DEC" w:rsidTr="00E54322">
        <w:tc>
          <w:tcPr>
            <w:tcW w:w="9399" w:type="dxa"/>
            <w:shd w:val="clear" w:color="auto" w:fill="auto"/>
            <w:tcMar>
              <w:top w:w="227" w:type="dxa"/>
              <w:bottom w:w="227" w:type="dxa"/>
            </w:tcMar>
            <w:vAlign w:val="center"/>
          </w:tcPr>
          <w:p w:rsidR="00B50788" w:rsidRPr="002F1231" w:rsidRDefault="00B50788" w:rsidP="00B50788">
            <w:pPr>
              <w:widowControl w:val="0"/>
              <w:autoSpaceDE w:val="0"/>
              <w:autoSpaceDN w:val="0"/>
              <w:adjustRightInd w:val="0"/>
              <w:rPr>
                <w:rFonts w:ascii="Arial Narrow" w:hAnsi="Arial Narrow" w:cs="Calibri"/>
                <w:b/>
                <w:bCs/>
                <w:sz w:val="32"/>
                <w:szCs w:val="32"/>
              </w:rPr>
            </w:pPr>
            <w:r w:rsidRPr="002F1231">
              <w:rPr>
                <w:rFonts w:ascii="Arial Narrow" w:hAnsi="Arial Narrow" w:cs="Calibri"/>
                <w:b/>
                <w:bCs/>
                <w:sz w:val="32"/>
                <w:szCs w:val="32"/>
              </w:rPr>
              <w:t>12</w:t>
            </w:r>
            <w:r>
              <w:rPr>
                <w:rFonts w:ascii="Arial Narrow" w:hAnsi="Arial Narrow" w:cs="Calibri"/>
                <w:b/>
                <w:bCs/>
                <w:sz w:val="32"/>
                <w:szCs w:val="32"/>
              </w:rPr>
              <w:t>9</w:t>
            </w:r>
            <w:r w:rsidRPr="002F1231">
              <w:rPr>
                <w:rFonts w:ascii="Arial Narrow" w:hAnsi="Arial Narrow" w:cs="Calibri"/>
                <w:b/>
                <w:bCs/>
                <w:sz w:val="32"/>
                <w:szCs w:val="32"/>
                <w:vertAlign w:val="superscript"/>
              </w:rPr>
              <w:t>th</w:t>
            </w:r>
            <w:r w:rsidRPr="002F1231">
              <w:rPr>
                <w:rFonts w:ascii="Arial Narrow" w:hAnsi="Arial Narrow" w:cs="Calibri"/>
                <w:b/>
                <w:bCs/>
                <w:sz w:val="32"/>
                <w:szCs w:val="32"/>
              </w:rPr>
              <w:t xml:space="preserve"> Session of the Committee of Ministers</w:t>
            </w:r>
          </w:p>
          <w:p w:rsidR="00B50788" w:rsidRPr="002F1231" w:rsidRDefault="00B50788" w:rsidP="00B50788">
            <w:pPr>
              <w:widowControl w:val="0"/>
              <w:autoSpaceDE w:val="0"/>
              <w:autoSpaceDN w:val="0"/>
              <w:adjustRightInd w:val="0"/>
              <w:rPr>
                <w:rFonts w:ascii="Arial Narrow" w:hAnsi="Arial Narrow" w:cs="Calibri"/>
                <w:b/>
                <w:bCs/>
                <w:sz w:val="32"/>
                <w:szCs w:val="32"/>
              </w:rPr>
            </w:pPr>
            <w:r w:rsidRPr="002F1231">
              <w:rPr>
                <w:rFonts w:ascii="Arial Narrow" w:hAnsi="Arial Narrow" w:cs="Calibri"/>
                <w:b/>
                <w:bCs/>
                <w:sz w:val="32"/>
                <w:szCs w:val="32"/>
              </w:rPr>
              <w:t>(</w:t>
            </w:r>
            <w:r>
              <w:rPr>
                <w:rFonts w:ascii="Arial Narrow" w:hAnsi="Arial Narrow" w:cs="Calibri"/>
                <w:b/>
                <w:bCs/>
                <w:sz w:val="32"/>
                <w:szCs w:val="32"/>
              </w:rPr>
              <w:t>Helsinki</w:t>
            </w:r>
            <w:r w:rsidRPr="002F1231">
              <w:rPr>
                <w:rFonts w:ascii="Arial Narrow" w:hAnsi="Arial Narrow" w:cs="Calibri"/>
                <w:b/>
                <w:bCs/>
                <w:sz w:val="32"/>
                <w:szCs w:val="32"/>
              </w:rPr>
              <w:t xml:space="preserve">, </w:t>
            </w:r>
            <w:r>
              <w:rPr>
                <w:rFonts w:ascii="Arial Narrow" w:hAnsi="Arial Narrow" w:cs="Calibri"/>
                <w:b/>
                <w:bCs/>
                <w:sz w:val="32"/>
                <w:szCs w:val="32"/>
              </w:rPr>
              <w:t>16-</w:t>
            </w:r>
            <w:r w:rsidRPr="002F1231">
              <w:rPr>
                <w:rFonts w:ascii="Arial Narrow" w:hAnsi="Arial Narrow" w:cs="Calibri"/>
                <w:b/>
                <w:bCs/>
                <w:sz w:val="32"/>
                <w:szCs w:val="32"/>
              </w:rPr>
              <w:t>1</w:t>
            </w:r>
            <w:r>
              <w:rPr>
                <w:rFonts w:ascii="Arial Narrow" w:hAnsi="Arial Narrow" w:cs="Calibri"/>
                <w:b/>
                <w:bCs/>
                <w:sz w:val="32"/>
                <w:szCs w:val="32"/>
              </w:rPr>
              <w:t>7</w:t>
            </w:r>
            <w:r w:rsidRPr="002F1231">
              <w:rPr>
                <w:rFonts w:ascii="Arial Narrow" w:hAnsi="Arial Narrow" w:cs="Calibri"/>
                <w:b/>
                <w:bCs/>
                <w:sz w:val="32"/>
                <w:szCs w:val="32"/>
              </w:rPr>
              <w:t xml:space="preserve"> May 201</w:t>
            </w:r>
            <w:r>
              <w:rPr>
                <w:rFonts w:ascii="Arial Narrow" w:hAnsi="Arial Narrow" w:cs="Calibri"/>
                <w:b/>
                <w:bCs/>
                <w:sz w:val="32"/>
                <w:szCs w:val="32"/>
              </w:rPr>
              <w:t>9</w:t>
            </w:r>
            <w:r w:rsidRPr="002F1231">
              <w:rPr>
                <w:rFonts w:ascii="Arial Narrow" w:hAnsi="Arial Narrow" w:cs="Calibri"/>
                <w:b/>
                <w:bCs/>
                <w:sz w:val="32"/>
                <w:szCs w:val="32"/>
              </w:rPr>
              <w:t>)</w:t>
            </w:r>
          </w:p>
          <w:p w:rsidR="00B50788" w:rsidRDefault="00B50788" w:rsidP="00E54322">
            <w:pPr>
              <w:rPr>
                <w:rFonts w:ascii="Arial Narrow" w:hAnsi="Arial Narrow" w:cs="Calibri"/>
                <w:sz w:val="22"/>
              </w:rPr>
            </w:pPr>
          </w:p>
          <w:p w:rsidR="00E457C3" w:rsidRPr="00B50788" w:rsidRDefault="00B953AA" w:rsidP="00FE16E3">
            <w:pPr>
              <w:rPr>
                <w:rFonts w:ascii="Arial Narrow" w:hAnsi="Arial Narrow" w:cs="Calibri"/>
                <w:b/>
                <w:sz w:val="28"/>
                <w:szCs w:val="28"/>
              </w:rPr>
            </w:pPr>
            <w:r w:rsidRPr="00B50788">
              <w:rPr>
                <w:rFonts w:ascii="Arial Narrow" w:hAnsi="Arial Narrow" w:cs="Calibri"/>
                <w:b/>
                <w:sz w:val="28"/>
                <w:szCs w:val="28"/>
              </w:rPr>
              <w:t>Joint Programmes between the Council of Europe and the European Union in 2018 – Information document</w:t>
            </w:r>
          </w:p>
        </w:tc>
      </w:tr>
    </w:tbl>
    <w:p w:rsidR="00E54322" w:rsidRDefault="00E54322" w:rsidP="0037200F">
      <w:pPr>
        <w:rPr>
          <w:rFonts w:eastAsia="Times New Roman"/>
          <w:szCs w:val="24"/>
        </w:rPr>
      </w:pPr>
      <w:r>
        <w:rPr>
          <w:rFonts w:eastAsia="Times New Roman"/>
          <w:szCs w:val="24"/>
        </w:rPr>
        <w:t xml:space="preserve"> </w:t>
      </w:r>
    </w:p>
    <w:p w:rsidR="00032312" w:rsidRPr="00032312" w:rsidRDefault="00032312" w:rsidP="00032312">
      <w:pPr>
        <w:numPr>
          <w:ilvl w:val="0"/>
          <w:numId w:val="1"/>
        </w:numPr>
        <w:ind w:left="709" w:hanging="709"/>
        <w:rPr>
          <w:rFonts w:cs="Arial"/>
          <w:b/>
          <w:szCs w:val="20"/>
        </w:rPr>
      </w:pPr>
      <w:r w:rsidRPr="00032312">
        <w:rPr>
          <w:rFonts w:cs="Arial"/>
          <w:b/>
          <w:szCs w:val="20"/>
        </w:rPr>
        <w:t>GENERAL DEVELOPMENTS</w:t>
      </w:r>
    </w:p>
    <w:p w:rsidR="00032312" w:rsidRPr="00032312" w:rsidRDefault="00032312" w:rsidP="00032312">
      <w:pPr>
        <w:tabs>
          <w:tab w:val="left" w:pos="0"/>
        </w:tabs>
        <w:jc w:val="both"/>
        <w:rPr>
          <w:rFonts w:eastAsiaTheme="minorHAnsi" w:cs="Arial"/>
          <w:szCs w:val="20"/>
        </w:rPr>
      </w:pPr>
    </w:p>
    <w:p w:rsidR="00032312" w:rsidRPr="00032312" w:rsidRDefault="00032312" w:rsidP="00032312">
      <w:pPr>
        <w:numPr>
          <w:ilvl w:val="0"/>
          <w:numId w:val="2"/>
        </w:numPr>
        <w:ind w:left="0" w:firstLine="0"/>
        <w:contextualSpacing/>
        <w:rPr>
          <w:rFonts w:eastAsiaTheme="minorHAnsi" w:cs="Arial"/>
          <w:szCs w:val="20"/>
        </w:rPr>
      </w:pPr>
      <w:r w:rsidRPr="00032312">
        <w:rPr>
          <w:rFonts w:eastAsiaTheme="minorHAnsi" w:cs="Arial"/>
          <w:szCs w:val="20"/>
        </w:rPr>
        <w:t xml:space="preserve">Pursuing their common goals with regard to the promotion of democratic values, respect for human rights and the rule of law in Europe and beyond, the Council of Europe (CoE) and the European Union (EU) continued to strengthen their co-operation through Joint Programmes (JP). </w:t>
      </w:r>
    </w:p>
    <w:p w:rsidR="00032312" w:rsidRPr="00032312" w:rsidRDefault="00032312" w:rsidP="00032312">
      <w:pPr>
        <w:contextualSpacing/>
        <w:rPr>
          <w:rFonts w:eastAsiaTheme="minorHAnsi" w:cs="Arial"/>
          <w:szCs w:val="20"/>
        </w:rPr>
      </w:pPr>
    </w:p>
    <w:p w:rsidR="00032312" w:rsidRPr="00032312" w:rsidRDefault="00032312" w:rsidP="00032312">
      <w:pPr>
        <w:numPr>
          <w:ilvl w:val="0"/>
          <w:numId w:val="2"/>
        </w:numPr>
        <w:ind w:left="0" w:firstLine="0"/>
        <w:contextualSpacing/>
        <w:rPr>
          <w:rFonts w:eastAsia="Times New Roman" w:cs="Arial"/>
          <w:szCs w:val="20"/>
          <w:lang w:eastAsia="fr-FR"/>
        </w:rPr>
      </w:pPr>
      <w:r w:rsidRPr="00032312">
        <w:rPr>
          <w:rFonts w:eastAsia="Times New Roman" w:cs="Arial"/>
          <w:szCs w:val="20"/>
          <w:lang w:eastAsia="fr-FR"/>
        </w:rPr>
        <w:t>In terms of on-going programmes, 2018 was a stable year due the new level of quality in JP co-operation achieved as a consequence of the 2014 Statement of Intent, which was the key to increasing the volume of co-operation whilst reducing the number of contracts (statistical analysis is presented in Section</w:t>
      </w:r>
      <w:r>
        <w:rPr>
          <w:rFonts w:eastAsia="Times New Roman" w:cs="Arial"/>
          <w:szCs w:val="20"/>
          <w:lang w:eastAsia="fr-FR"/>
        </w:rPr>
        <w:t> </w:t>
      </w:r>
      <w:r w:rsidRPr="00032312">
        <w:rPr>
          <w:rFonts w:eastAsia="Times New Roman" w:cs="Arial"/>
          <w:szCs w:val="20"/>
          <w:lang w:eastAsia="fr-FR"/>
        </w:rPr>
        <w:t xml:space="preserve">II). Co-operation thus becomes more predictable and entails less contractual work. </w:t>
      </w:r>
    </w:p>
    <w:p w:rsidR="00032312" w:rsidRPr="00032312" w:rsidRDefault="00032312" w:rsidP="00032312">
      <w:pPr>
        <w:rPr>
          <w:rFonts w:eastAsia="Times New Roman" w:cs="Arial"/>
          <w:szCs w:val="20"/>
          <w:lang w:eastAsia="fr-FR"/>
        </w:rPr>
      </w:pPr>
    </w:p>
    <w:p w:rsidR="00032312" w:rsidRPr="00032312" w:rsidRDefault="00032312" w:rsidP="00032312">
      <w:pPr>
        <w:numPr>
          <w:ilvl w:val="0"/>
          <w:numId w:val="2"/>
        </w:numPr>
        <w:ind w:left="0" w:firstLine="0"/>
        <w:contextualSpacing/>
        <w:rPr>
          <w:rFonts w:eastAsia="Times New Roman" w:cs="Arial"/>
          <w:szCs w:val="20"/>
          <w:lang w:eastAsia="fr-FR"/>
        </w:rPr>
      </w:pPr>
      <w:r w:rsidRPr="00032312">
        <w:rPr>
          <w:rFonts w:eastAsia="Times New Roman" w:cs="Arial"/>
          <w:szCs w:val="20"/>
          <w:lang w:eastAsia="fr-FR"/>
        </w:rPr>
        <w:t>This resulted in the operation of three large-scale multiannual multi-country programmes (Partnership for Good Governance, Horizontal Facility and South Programme), which are implemented</w:t>
      </w:r>
      <w:r w:rsidRPr="00032312">
        <w:rPr>
          <w:rFonts w:eastAsiaTheme="minorHAnsi" w:cs="Arial"/>
          <w:szCs w:val="20"/>
        </w:rPr>
        <w:t xml:space="preserve"> in the EU Eastern Partnership area, the EU Enlargement region and the Southern Neighbourhood respectively. </w:t>
      </w:r>
      <w:r w:rsidRPr="00032312">
        <w:rPr>
          <w:rFonts w:eastAsia="Times New Roman" w:cs="Arial"/>
          <w:szCs w:val="20"/>
          <w:lang w:eastAsia="fr-FR"/>
        </w:rPr>
        <w:t>These programmes (also known as “regional programmatic facilities”) have largely dominated the co-operation landscape in their specific regions.</w:t>
      </w:r>
      <w:r>
        <w:rPr>
          <w:rFonts w:eastAsia="Times New Roman" w:cs="Arial"/>
          <w:szCs w:val="20"/>
          <w:lang w:eastAsia="fr-FR"/>
        </w:rPr>
        <w:t xml:space="preserve"> </w:t>
      </w:r>
      <w:r w:rsidRPr="00032312">
        <w:rPr>
          <w:rFonts w:eastAsia="Times New Roman" w:cs="Arial"/>
          <w:szCs w:val="20"/>
          <w:lang w:eastAsia="fr-FR"/>
        </w:rPr>
        <w:t>They are complemented by thematic regional or country-specific programmes. Particular</w:t>
      </w:r>
      <w:r w:rsidRPr="00032312">
        <w:rPr>
          <w:rFonts w:eastAsiaTheme="minorHAnsi" w:cs="Arial"/>
          <w:szCs w:val="20"/>
        </w:rPr>
        <w:t xml:space="preserve"> importance is given to effective co-ordination among the key stakeholders </w:t>
      </w:r>
      <w:r w:rsidRPr="00032312">
        <w:rPr>
          <w:rFonts w:eastAsia="Times New Roman" w:cs="Arial"/>
          <w:szCs w:val="20"/>
          <w:lang w:eastAsia="fr-FR"/>
        </w:rPr>
        <w:t>of these complex programmes</w:t>
      </w:r>
      <w:r w:rsidRPr="00032312">
        <w:rPr>
          <w:rFonts w:eastAsiaTheme="minorHAnsi" w:cs="Arial"/>
          <w:szCs w:val="20"/>
        </w:rPr>
        <w:t xml:space="preserve"> in order to ensure efficient implementation, while allowing flexibility in response to emerging needs and contributing to ownership and sustainability. Constant information exchange and synergies have been ensured between stakeholders, in particular with the relevant EU</w:t>
      </w:r>
      <w:r w:rsidRPr="00032312">
        <w:rPr>
          <w:rFonts w:eastAsiaTheme="minorHAnsi" w:cs="Arial"/>
          <w:b/>
          <w:szCs w:val="20"/>
        </w:rPr>
        <w:t xml:space="preserve"> </w:t>
      </w:r>
      <w:r w:rsidRPr="00032312">
        <w:rPr>
          <w:rFonts w:eastAsiaTheme="minorHAnsi" w:cs="Arial"/>
          <w:szCs w:val="20"/>
        </w:rPr>
        <w:t xml:space="preserve">Delegations, and co-ordination with other international actors has been secured. </w:t>
      </w:r>
    </w:p>
    <w:p w:rsidR="00032312" w:rsidRPr="00032312" w:rsidRDefault="00032312" w:rsidP="00032312">
      <w:pPr>
        <w:contextualSpacing/>
        <w:rPr>
          <w:rFonts w:eastAsia="Times New Roman" w:cs="Arial"/>
          <w:szCs w:val="20"/>
          <w:lang w:eastAsia="fr-FR"/>
        </w:rPr>
      </w:pPr>
    </w:p>
    <w:p w:rsidR="00032312" w:rsidRPr="00032312" w:rsidRDefault="00032312" w:rsidP="00032312">
      <w:pPr>
        <w:numPr>
          <w:ilvl w:val="0"/>
          <w:numId w:val="2"/>
        </w:numPr>
        <w:ind w:left="0" w:firstLine="0"/>
        <w:contextualSpacing/>
        <w:rPr>
          <w:rFonts w:eastAsia="Times New Roman" w:cs="Arial"/>
          <w:szCs w:val="20"/>
          <w:lang w:eastAsia="fr-FR"/>
        </w:rPr>
      </w:pPr>
      <w:r w:rsidRPr="00032312">
        <w:rPr>
          <w:rFonts w:eastAsiaTheme="minorHAnsi" w:cs="Arial"/>
          <w:szCs w:val="20"/>
        </w:rPr>
        <w:t>T</w:t>
      </w:r>
      <w:r w:rsidRPr="00032312">
        <w:rPr>
          <w:rFonts w:eastAsiaTheme="minorHAnsi" w:cs="Arial"/>
          <w:bCs/>
          <w:iCs/>
          <w:szCs w:val="20"/>
        </w:rPr>
        <w:t xml:space="preserve">he positive effects of these facilities have been acknowledged and their subsequent phases have been prepared, building on the results of previous interventions </w:t>
      </w:r>
      <w:r w:rsidRPr="00032312">
        <w:rPr>
          <w:rFonts w:eastAsiaTheme="minorHAnsi" w:cs="Arial"/>
          <w:szCs w:val="20"/>
        </w:rPr>
        <w:t>(main achievements of facilities’ implementation are presented in Section III)</w:t>
      </w:r>
      <w:r w:rsidRPr="00032312">
        <w:rPr>
          <w:rFonts w:eastAsia="Times New Roman" w:cs="Arial"/>
          <w:szCs w:val="20"/>
          <w:lang w:eastAsia="fr-FR"/>
        </w:rPr>
        <w:t>.</w:t>
      </w:r>
    </w:p>
    <w:p w:rsidR="00032312" w:rsidRPr="00032312" w:rsidRDefault="00032312" w:rsidP="00032312">
      <w:pPr>
        <w:contextualSpacing/>
        <w:rPr>
          <w:rFonts w:eastAsia="Times New Roman" w:cs="Arial"/>
          <w:szCs w:val="20"/>
          <w:lang w:eastAsia="fr-FR"/>
        </w:rPr>
      </w:pPr>
    </w:p>
    <w:p w:rsidR="00032312" w:rsidRPr="00032312" w:rsidRDefault="00032312" w:rsidP="00032312">
      <w:pPr>
        <w:numPr>
          <w:ilvl w:val="0"/>
          <w:numId w:val="2"/>
        </w:numPr>
        <w:ind w:left="0" w:firstLine="0"/>
        <w:contextualSpacing/>
        <w:rPr>
          <w:rFonts w:eastAsia="Times New Roman" w:cs="Arial"/>
          <w:szCs w:val="20"/>
          <w:lang w:eastAsia="fr-FR"/>
        </w:rPr>
      </w:pPr>
      <w:r w:rsidRPr="00032312">
        <w:rPr>
          <w:rFonts w:eastAsia="Times New Roman" w:cs="Arial"/>
          <w:szCs w:val="20"/>
          <w:lang w:eastAsia="fr-FR"/>
        </w:rPr>
        <w:t>An emerging trend to be reported was the appearance, in 2018, of the facilities’ spinoffs in the form of sizable country-specific programmes. This reflects the dynamics of adjustment between consolidated core programmatic regional frameworks and individual country-based programmes to ensure in-depth interventions in specific areas.</w:t>
      </w:r>
      <w:r>
        <w:rPr>
          <w:rFonts w:eastAsia="Times New Roman" w:cs="Arial"/>
          <w:szCs w:val="20"/>
          <w:lang w:eastAsia="fr-FR"/>
        </w:rPr>
        <w:t xml:space="preserve"> </w:t>
      </w:r>
      <w:r w:rsidRPr="00032312">
        <w:rPr>
          <w:rFonts w:eastAsia="Times New Roman" w:cs="Arial"/>
          <w:szCs w:val="20"/>
          <w:lang w:eastAsia="fr-FR"/>
        </w:rPr>
        <w:t xml:space="preserve">The trend was perceptible in particular in the EU Eastern Partnership Area (where negotiations on new multi-strand programme in Ukraine have started) and in the Southern Neighbourhood (where negotiations on two new large programmes in Tunisia were concluded before the end of 2018; for more information, see Section III).   </w:t>
      </w:r>
    </w:p>
    <w:p w:rsidR="00032312" w:rsidRPr="00032312" w:rsidRDefault="00032312" w:rsidP="00032312">
      <w:pPr>
        <w:contextualSpacing/>
        <w:rPr>
          <w:rFonts w:eastAsia="Times New Roman" w:cs="Arial"/>
          <w:szCs w:val="20"/>
          <w:lang w:eastAsia="fr-FR"/>
        </w:rPr>
      </w:pPr>
    </w:p>
    <w:p w:rsidR="00032312" w:rsidRPr="00032312" w:rsidRDefault="00032312" w:rsidP="00032312">
      <w:pPr>
        <w:numPr>
          <w:ilvl w:val="0"/>
          <w:numId w:val="2"/>
        </w:numPr>
        <w:ind w:left="0" w:firstLine="0"/>
        <w:contextualSpacing/>
        <w:rPr>
          <w:rFonts w:eastAsia="Times New Roman" w:cs="Arial"/>
          <w:szCs w:val="20"/>
          <w:lang w:eastAsia="fr-FR"/>
        </w:rPr>
      </w:pPr>
      <w:r w:rsidRPr="00032312">
        <w:rPr>
          <w:rFonts w:eastAsia="Times New Roman" w:cs="Arial"/>
          <w:szCs w:val="20"/>
          <w:lang w:eastAsia="fr-FR"/>
        </w:rPr>
        <w:t>Therefore, one of the highlights of JP co-operation to report for 2018 is the reinforcement of new programme negotiations.</w:t>
      </w:r>
      <w:r>
        <w:rPr>
          <w:rFonts w:eastAsia="Times New Roman" w:cs="Arial"/>
          <w:szCs w:val="20"/>
          <w:lang w:eastAsia="fr-FR"/>
        </w:rPr>
        <w:t xml:space="preserve"> </w:t>
      </w:r>
      <w:r w:rsidRPr="00032312">
        <w:rPr>
          <w:rFonts w:eastAsia="Times New Roman" w:cs="Arial"/>
          <w:szCs w:val="20"/>
          <w:lang w:eastAsia="fr-FR"/>
        </w:rPr>
        <w:t xml:space="preserve">The following developments are also particularly noteworthy: </w:t>
      </w:r>
    </w:p>
    <w:p w:rsidR="00032312" w:rsidRPr="00032312" w:rsidRDefault="00032312" w:rsidP="00032312">
      <w:pPr>
        <w:contextualSpacing/>
        <w:rPr>
          <w:rFonts w:eastAsia="Times New Roman" w:cs="Arial"/>
          <w:szCs w:val="20"/>
          <w:lang w:eastAsia="fr-FR"/>
        </w:rPr>
      </w:pPr>
    </w:p>
    <w:p w:rsidR="00032312" w:rsidRPr="00032312" w:rsidRDefault="00032312" w:rsidP="00032312">
      <w:pPr>
        <w:numPr>
          <w:ilvl w:val="0"/>
          <w:numId w:val="15"/>
        </w:numPr>
        <w:ind w:left="0" w:firstLine="0"/>
        <w:contextualSpacing/>
        <w:rPr>
          <w:rFonts w:eastAsia="Times New Roman" w:cs="Arial"/>
          <w:szCs w:val="20"/>
          <w:lang w:eastAsia="fr-FR"/>
        </w:rPr>
      </w:pPr>
      <w:r w:rsidRPr="00032312">
        <w:rPr>
          <w:rFonts w:eastAsia="Times New Roman" w:cs="Arial"/>
          <w:szCs w:val="20"/>
          <w:lang w:eastAsia="fr-FR"/>
        </w:rPr>
        <w:t xml:space="preserve">acceleration of negotiations on programme proposals for Turkey (three new programmes were signed and launched in 2018, for more information, see Section III); </w:t>
      </w:r>
      <w:r w:rsidRPr="00032312">
        <w:rPr>
          <w:rFonts w:eastAsia="Times New Roman" w:cs="Arial"/>
          <w:szCs w:val="20"/>
          <w:lang w:eastAsia="fr-FR"/>
        </w:rPr>
        <w:br/>
      </w:r>
    </w:p>
    <w:p w:rsidR="00EB7007" w:rsidRDefault="00EB7007">
      <w:pPr>
        <w:rPr>
          <w:rFonts w:cs="Arial"/>
          <w:szCs w:val="20"/>
        </w:rPr>
      </w:pPr>
      <w:r>
        <w:rPr>
          <w:rFonts w:cs="Arial"/>
          <w:szCs w:val="20"/>
        </w:rPr>
        <w:br w:type="page"/>
      </w:r>
    </w:p>
    <w:p w:rsidR="00032312" w:rsidRPr="00032312" w:rsidRDefault="00820FE6" w:rsidP="00032312">
      <w:pPr>
        <w:numPr>
          <w:ilvl w:val="0"/>
          <w:numId w:val="15"/>
        </w:numPr>
        <w:ind w:left="0" w:firstLine="0"/>
        <w:rPr>
          <w:rFonts w:cs="Arial"/>
          <w:szCs w:val="20"/>
        </w:rPr>
      </w:pPr>
      <w:r>
        <w:rPr>
          <w:rFonts w:cs="Arial"/>
          <w:szCs w:val="20"/>
        </w:rPr>
        <w:lastRenderedPageBreak/>
        <w:t>c</w:t>
      </w:r>
      <w:r w:rsidR="00032312" w:rsidRPr="00032312">
        <w:rPr>
          <w:rFonts w:cs="Arial"/>
          <w:szCs w:val="20"/>
        </w:rPr>
        <w:t>onclusion of negotiations and launch of the project “</w:t>
      </w:r>
      <w:r w:rsidR="00032312" w:rsidRPr="00032312">
        <w:rPr>
          <w:rFonts w:eastAsia="Times New Roman" w:cs="Arial"/>
          <w:color w:val="000000"/>
          <w:szCs w:val="20"/>
          <w:lang w:eastAsia="fr-FR"/>
        </w:rPr>
        <w:t>Co-operation in the implementation of the</w:t>
      </w:r>
      <w:r w:rsidR="00032312" w:rsidRPr="00032312">
        <w:rPr>
          <w:rFonts w:cs="Arial"/>
          <w:szCs w:val="20"/>
        </w:rPr>
        <w:t xml:space="preserve"> </w:t>
      </w:r>
      <w:r w:rsidR="00032312" w:rsidRPr="00032312">
        <w:rPr>
          <w:rFonts w:eastAsia="Times New Roman" w:cs="Arial"/>
          <w:color w:val="000000"/>
          <w:szCs w:val="20"/>
          <w:lang w:eastAsia="fr-FR"/>
        </w:rPr>
        <w:t xml:space="preserve">Russian Federation National Action Strategy for Women”, the first JP in the Russian Federation since the end of 2015. </w:t>
      </w:r>
      <w:r w:rsidR="00032312" w:rsidRPr="00032312">
        <w:rPr>
          <w:rFonts w:cs="Arial"/>
          <w:szCs w:val="20"/>
        </w:rPr>
        <w:t>The Programme was presented at the “Women’s Forum</w:t>
      </w:r>
      <w:r w:rsidR="00EE361F">
        <w:rPr>
          <w:rFonts w:cs="Arial"/>
          <w:szCs w:val="20"/>
        </w:rPr>
        <w:t>”</w:t>
      </w:r>
      <w:r w:rsidR="00032312" w:rsidRPr="00032312">
        <w:rPr>
          <w:rFonts w:cs="Arial"/>
          <w:szCs w:val="20"/>
        </w:rPr>
        <w:t xml:space="preserve"> organised by the Federation Council of the Russian Federation and the Inter-Parliamentary Assembly of the </w:t>
      </w:r>
      <w:r w:rsidR="00032312" w:rsidRPr="00032312">
        <w:rPr>
          <w:rFonts w:cs="Arial"/>
          <w:color w:val="222222"/>
          <w:szCs w:val="20"/>
        </w:rPr>
        <w:t xml:space="preserve">Commonwealth of Independent States </w:t>
      </w:r>
      <w:r w:rsidR="00032312" w:rsidRPr="00032312">
        <w:rPr>
          <w:rFonts w:cs="Arial"/>
          <w:szCs w:val="20"/>
        </w:rPr>
        <w:t xml:space="preserve">in September 2018 in Saint Petersburg. </w:t>
      </w:r>
      <w:r w:rsidR="00032312" w:rsidRPr="00032312">
        <w:rPr>
          <w:rFonts w:cs="Arial"/>
          <w:szCs w:val="20"/>
          <w:lang w:eastAsia="fr-FR"/>
        </w:rPr>
        <w:t xml:space="preserve">The Programme will contribute to promoting women’s participation in public and political decision-making and to prevent and combat violence against women in line with the CoE </w:t>
      </w:r>
      <w:hyperlink r:id="rId8" w:history="1">
        <w:r w:rsidR="00032312" w:rsidRPr="00032312">
          <w:rPr>
            <w:rFonts w:cs="Arial"/>
            <w:szCs w:val="20"/>
          </w:rPr>
          <w:t>Gender Equality Strategy 2018-2023</w:t>
        </w:r>
      </w:hyperlink>
      <w:r w:rsidR="00032312" w:rsidRPr="00032312">
        <w:rPr>
          <w:rFonts w:cs="Arial"/>
          <w:szCs w:val="20"/>
        </w:rPr>
        <w:t>;</w:t>
      </w:r>
    </w:p>
    <w:p w:rsidR="00032312" w:rsidRPr="00032312" w:rsidRDefault="00032312" w:rsidP="00032312">
      <w:pPr>
        <w:rPr>
          <w:rFonts w:cs="Arial"/>
          <w:szCs w:val="20"/>
        </w:rPr>
      </w:pPr>
    </w:p>
    <w:p w:rsidR="00032312" w:rsidRPr="00032312" w:rsidRDefault="00032312" w:rsidP="00032312">
      <w:pPr>
        <w:numPr>
          <w:ilvl w:val="0"/>
          <w:numId w:val="15"/>
        </w:numPr>
        <w:ind w:left="0" w:firstLine="0"/>
        <w:contextualSpacing/>
        <w:rPr>
          <w:rFonts w:eastAsia="Times New Roman" w:cs="Arial"/>
          <w:szCs w:val="20"/>
          <w:lang w:eastAsia="fr-FR"/>
        </w:rPr>
      </w:pPr>
      <w:r w:rsidRPr="00032312">
        <w:rPr>
          <w:rFonts w:eastAsia="Times New Roman" w:cs="Arial"/>
          <w:szCs w:val="20"/>
          <w:lang w:eastAsia="fr-FR"/>
        </w:rPr>
        <w:t xml:space="preserve">launch of negotiations on a large multi-strand programme for Central Asia in the area of Rule of Law (for more information, see Section III); </w:t>
      </w:r>
    </w:p>
    <w:p w:rsidR="00032312" w:rsidRPr="00032312" w:rsidRDefault="00032312" w:rsidP="00032312">
      <w:pPr>
        <w:contextualSpacing/>
        <w:rPr>
          <w:rFonts w:eastAsia="Times New Roman" w:cs="Arial"/>
          <w:szCs w:val="20"/>
          <w:lang w:eastAsia="fr-FR"/>
        </w:rPr>
      </w:pPr>
    </w:p>
    <w:p w:rsidR="00032312" w:rsidRPr="00032312" w:rsidRDefault="00032312" w:rsidP="00032312">
      <w:pPr>
        <w:numPr>
          <w:ilvl w:val="0"/>
          <w:numId w:val="15"/>
        </w:numPr>
        <w:ind w:left="0" w:firstLine="0"/>
        <w:contextualSpacing/>
        <w:rPr>
          <w:rFonts w:eastAsia="Times New Roman" w:cs="Arial"/>
          <w:szCs w:val="20"/>
          <w:lang w:eastAsia="fr-FR"/>
        </w:rPr>
      </w:pPr>
      <w:r w:rsidRPr="00032312">
        <w:rPr>
          <w:rFonts w:eastAsia="Times New Roman" w:cs="Arial"/>
          <w:szCs w:val="20"/>
          <w:lang w:eastAsia="fr-FR"/>
        </w:rPr>
        <w:t xml:space="preserve">increased co-operation with the European Commission’s Structural Reform Support Service (SRSS), whose mandate is </w:t>
      </w:r>
      <w:r w:rsidRPr="00032312">
        <w:rPr>
          <w:rFonts w:cs="Arial"/>
          <w:szCs w:val="20"/>
        </w:rPr>
        <w:t xml:space="preserve">to assist EU Member States in strengthening their capacity to implement administrative and structural reforms. </w:t>
      </w:r>
      <w:r w:rsidRPr="00032312">
        <w:rPr>
          <w:rFonts w:eastAsia="Times New Roman" w:cs="Arial"/>
          <w:szCs w:val="20"/>
          <w:lang w:eastAsia="fr-FR"/>
        </w:rPr>
        <w:t xml:space="preserve">In 2018, the co-operation with SRSS was boosted both by individual projects (three projects were signed and three more were being contracted) and, more importantly, by the principle agreement to elaborate a structured co-operation framework, which would allow better planning and predictability. This development is particularly significant as it illustrates an increasingly acknowledged relevance of CoE expertise to the reform agenda of CoE member States which are also members of the EU. For now, co-operation with SRSS comprises small to medium-scale country-specific technical assistance projects, upon request by the EU member State concerned. It currently covers such areas of CoE expertise as efficiency and modernisation of justice, local governance and children rights. </w:t>
      </w:r>
    </w:p>
    <w:p w:rsidR="00032312" w:rsidRPr="00032312" w:rsidRDefault="00032312" w:rsidP="00032312">
      <w:pPr>
        <w:contextualSpacing/>
        <w:rPr>
          <w:rFonts w:eastAsia="Times New Roman" w:cs="Arial"/>
          <w:szCs w:val="20"/>
          <w:lang w:eastAsia="fr-FR"/>
        </w:rPr>
      </w:pPr>
    </w:p>
    <w:p w:rsidR="00032312" w:rsidRPr="00032312" w:rsidRDefault="00032312" w:rsidP="00032312">
      <w:pPr>
        <w:numPr>
          <w:ilvl w:val="0"/>
          <w:numId w:val="2"/>
        </w:numPr>
        <w:ind w:left="0" w:firstLine="0"/>
        <w:contextualSpacing/>
        <w:rPr>
          <w:rFonts w:eastAsia="Times New Roman" w:cs="Arial"/>
          <w:szCs w:val="20"/>
          <w:lang w:eastAsia="fr-FR"/>
        </w:rPr>
      </w:pPr>
      <w:r w:rsidRPr="00032312">
        <w:rPr>
          <w:rFonts w:eastAsiaTheme="minorHAnsi" w:cs="Arial"/>
          <w:szCs w:val="20"/>
        </w:rPr>
        <w:t>In 2018, the CoE continued the large-scale upgrade of its project management capability. The CoE Project Management Methodology (PMM) was further developed and relevant trainings were provided to a large number of staff on a variety of issues. The transversal dimensions were further strengthened, in particular with regard to the human rights approach, gender mainstreaming</w:t>
      </w:r>
      <w:r w:rsidRPr="00032312">
        <w:rPr>
          <w:rFonts w:eastAsiaTheme="minorHAnsi" w:cs="Arial"/>
          <w:szCs w:val="20"/>
          <w:vertAlign w:val="superscript"/>
        </w:rPr>
        <w:footnoteReference w:id="1"/>
      </w:r>
      <w:r w:rsidRPr="00032312">
        <w:rPr>
          <w:rFonts w:eastAsiaTheme="minorHAnsi" w:cs="Arial"/>
          <w:szCs w:val="20"/>
        </w:rPr>
        <w:t xml:space="preserve"> and support to the UN 2030 Agenda for Sustainable Development.</w:t>
      </w:r>
      <w:r w:rsidRPr="00032312">
        <w:rPr>
          <w:rFonts w:eastAsiaTheme="minorHAnsi" w:cs="Arial"/>
          <w:color w:val="000000"/>
          <w:szCs w:val="20"/>
        </w:rPr>
        <w:t xml:space="preserve"> The </w:t>
      </w:r>
      <w:hyperlink r:id="rId9" w:history="1">
        <w:r w:rsidRPr="00EE361F">
          <w:rPr>
            <w:rFonts w:eastAsiaTheme="minorHAnsi" w:cs="Arial"/>
            <w:i/>
            <w:iCs/>
            <w:szCs w:val="20"/>
          </w:rPr>
          <w:t>CoE Gender Equality Strategy 2018-2023</w:t>
        </w:r>
      </w:hyperlink>
      <w:r w:rsidRPr="00EE361F">
        <w:rPr>
          <w:rFonts w:eastAsiaTheme="minorHAnsi" w:cs="Arial"/>
          <w:szCs w:val="20"/>
        </w:rPr>
        <w:t xml:space="preserve"> and </w:t>
      </w:r>
      <w:hyperlink r:id="rId10" w:history="1">
        <w:r w:rsidRPr="00EE361F">
          <w:rPr>
            <w:rFonts w:eastAsiaTheme="minorHAnsi" w:cs="Arial"/>
            <w:i/>
            <w:iCs/>
            <w:szCs w:val="20"/>
          </w:rPr>
          <w:t>Gender Mainstreaming Toolkit for Co-operation Projects</w:t>
        </w:r>
      </w:hyperlink>
      <w:r w:rsidRPr="00EE361F">
        <w:rPr>
          <w:rFonts w:eastAsiaTheme="minorHAnsi" w:cs="Arial"/>
          <w:szCs w:val="20"/>
        </w:rPr>
        <w:t xml:space="preserve"> in 2018 </w:t>
      </w:r>
      <w:r w:rsidRPr="00032312">
        <w:rPr>
          <w:rFonts w:eastAsiaTheme="minorHAnsi" w:cs="Arial"/>
          <w:color w:val="000000"/>
          <w:szCs w:val="20"/>
        </w:rPr>
        <w:t xml:space="preserve">helped to take the gender dimension into account at all stages of co-operation activities, both in the Organisation and by national partners and beneficiaries. </w:t>
      </w:r>
    </w:p>
    <w:p w:rsidR="00032312" w:rsidRPr="00032312" w:rsidRDefault="00032312" w:rsidP="00032312">
      <w:pPr>
        <w:rPr>
          <w:rFonts w:cs="Arial"/>
          <w:b/>
          <w:szCs w:val="20"/>
        </w:rPr>
      </w:pPr>
    </w:p>
    <w:p w:rsidR="00032312" w:rsidRPr="00032312" w:rsidRDefault="00032312" w:rsidP="00032312">
      <w:pPr>
        <w:rPr>
          <w:rFonts w:cs="Arial"/>
          <w:b/>
          <w:szCs w:val="20"/>
        </w:rPr>
      </w:pPr>
      <w:r w:rsidRPr="00032312">
        <w:rPr>
          <w:rFonts w:cs="Arial"/>
          <w:b/>
          <w:szCs w:val="20"/>
        </w:rPr>
        <w:t xml:space="preserve">II. </w:t>
      </w:r>
      <w:r w:rsidRPr="00032312">
        <w:rPr>
          <w:rFonts w:cs="Arial"/>
          <w:b/>
          <w:szCs w:val="20"/>
        </w:rPr>
        <w:tab/>
        <w:t xml:space="preserve">STATISTICAL ANALYSIS </w:t>
      </w:r>
    </w:p>
    <w:p w:rsidR="00032312" w:rsidRPr="00032312" w:rsidRDefault="00032312" w:rsidP="00032312">
      <w:pPr>
        <w:rPr>
          <w:rFonts w:cs="Arial"/>
          <w:szCs w:val="20"/>
        </w:rPr>
      </w:pPr>
    </w:p>
    <w:p w:rsidR="00032312" w:rsidRPr="00032312" w:rsidRDefault="00032312" w:rsidP="00032312">
      <w:pPr>
        <w:numPr>
          <w:ilvl w:val="0"/>
          <w:numId w:val="2"/>
        </w:numPr>
        <w:ind w:left="0" w:firstLine="0"/>
        <w:rPr>
          <w:rFonts w:cs="Arial"/>
          <w:szCs w:val="20"/>
        </w:rPr>
      </w:pPr>
      <w:r w:rsidRPr="00032312">
        <w:rPr>
          <w:rFonts w:cs="Arial"/>
          <w:szCs w:val="20"/>
        </w:rPr>
        <w:t xml:space="preserve">Fifty-two Joints Programmes were in operation in 2018, with the </w:t>
      </w:r>
      <w:r w:rsidRPr="00032312">
        <w:rPr>
          <w:rFonts w:cs="Arial"/>
          <w:b/>
          <w:szCs w:val="20"/>
        </w:rPr>
        <w:t>Cumulative</w:t>
      </w:r>
      <w:r w:rsidRPr="00032312">
        <w:rPr>
          <w:rFonts w:cs="Arial"/>
          <w:szCs w:val="20"/>
        </w:rPr>
        <w:t xml:space="preserve"> </w:t>
      </w:r>
      <w:r w:rsidRPr="00032312">
        <w:rPr>
          <w:rFonts w:cs="Arial"/>
          <w:b/>
          <w:szCs w:val="20"/>
        </w:rPr>
        <w:t xml:space="preserve">Budgetary Envelope </w:t>
      </w:r>
      <w:r w:rsidRPr="00032312">
        <w:rPr>
          <w:rFonts w:cs="Arial"/>
          <w:szCs w:val="20"/>
        </w:rPr>
        <w:t>(CBE)</w:t>
      </w:r>
      <w:r w:rsidRPr="00032312">
        <w:rPr>
          <w:rFonts w:cs="Arial"/>
          <w:szCs w:val="20"/>
          <w:vertAlign w:val="superscript"/>
        </w:rPr>
        <w:footnoteReference w:id="2"/>
      </w:r>
      <w:r w:rsidRPr="00032312">
        <w:rPr>
          <w:rFonts w:cs="Arial"/>
          <w:szCs w:val="20"/>
        </w:rPr>
        <w:t xml:space="preserve"> amounting to </w:t>
      </w:r>
      <w:r w:rsidRPr="00032312">
        <w:rPr>
          <w:rFonts w:cs="Arial"/>
          <w:b/>
          <w:szCs w:val="20"/>
        </w:rPr>
        <w:t xml:space="preserve">€154.8 million </w:t>
      </w:r>
      <w:r w:rsidRPr="00032312">
        <w:rPr>
          <w:rFonts w:cs="Arial"/>
          <w:szCs w:val="20"/>
        </w:rPr>
        <w:t xml:space="preserve">and </w:t>
      </w:r>
      <w:r w:rsidRPr="00032312">
        <w:rPr>
          <w:rFonts w:cs="Arial"/>
          <w:b/>
          <w:szCs w:val="20"/>
        </w:rPr>
        <w:t xml:space="preserve">Annual Budgetary Envelope </w:t>
      </w:r>
      <w:r w:rsidRPr="00032312">
        <w:rPr>
          <w:rFonts w:cs="Arial"/>
          <w:szCs w:val="20"/>
        </w:rPr>
        <w:t>(ABE prorated)</w:t>
      </w:r>
      <w:r w:rsidRPr="00032312">
        <w:rPr>
          <w:rFonts w:cs="Arial"/>
          <w:szCs w:val="20"/>
          <w:vertAlign w:val="superscript"/>
        </w:rPr>
        <w:footnoteReference w:id="3"/>
      </w:r>
      <w:r w:rsidRPr="00032312">
        <w:rPr>
          <w:rFonts w:cs="Arial"/>
          <w:szCs w:val="20"/>
        </w:rPr>
        <w:t xml:space="preserve"> equalling </w:t>
      </w:r>
      <w:r w:rsidRPr="00032312">
        <w:rPr>
          <w:rFonts w:cs="Arial"/>
          <w:b/>
          <w:bCs/>
          <w:szCs w:val="20"/>
        </w:rPr>
        <w:t>€42</w:t>
      </w:r>
      <w:r w:rsidR="00AD2DD8">
        <w:rPr>
          <w:rFonts w:cs="Arial"/>
          <w:b/>
          <w:bCs/>
          <w:szCs w:val="20"/>
        </w:rPr>
        <w:t> </w:t>
      </w:r>
      <w:r w:rsidRPr="00032312">
        <w:rPr>
          <w:rFonts w:cs="Arial"/>
          <w:b/>
          <w:bCs/>
          <w:szCs w:val="20"/>
        </w:rPr>
        <w:t xml:space="preserve">million </w:t>
      </w:r>
      <w:r w:rsidRPr="00032312">
        <w:rPr>
          <w:rFonts w:cs="Arial"/>
          <w:bCs/>
          <w:szCs w:val="20"/>
        </w:rPr>
        <w:t xml:space="preserve">(the list of programmes is presented in Appendix I). </w:t>
      </w:r>
      <w:r w:rsidRPr="00032312">
        <w:rPr>
          <w:rFonts w:cs="Arial"/>
          <w:szCs w:val="20"/>
        </w:rPr>
        <w:t>The aggregated EU-CoE co-financing ratio corresponded to 84.9% against 15.1%</w:t>
      </w:r>
      <w:r w:rsidRPr="00032312">
        <w:rPr>
          <w:rFonts w:cs="Arial"/>
          <w:bCs/>
          <w:szCs w:val="20"/>
        </w:rPr>
        <w:t>.</w:t>
      </w:r>
      <w:r w:rsidRPr="00032312">
        <w:rPr>
          <w:rFonts w:cs="Arial"/>
          <w:szCs w:val="20"/>
        </w:rPr>
        <w:t xml:space="preserve"> The </w:t>
      </w:r>
      <w:r w:rsidRPr="00032312">
        <w:rPr>
          <w:rFonts w:cs="Arial"/>
          <w:b/>
          <w:szCs w:val="20"/>
        </w:rPr>
        <w:t>Annual Receipts</w:t>
      </w:r>
      <w:r w:rsidRPr="00032312">
        <w:rPr>
          <w:rFonts w:cs="Arial"/>
          <w:szCs w:val="20"/>
        </w:rPr>
        <w:t xml:space="preserve"> under JPs registered between 1 January and 31 December 2018 amounted to </w:t>
      </w:r>
      <w:r w:rsidRPr="00032312">
        <w:rPr>
          <w:rFonts w:cs="Arial"/>
          <w:b/>
          <w:szCs w:val="20"/>
        </w:rPr>
        <w:t>€27 million</w:t>
      </w:r>
      <w:r w:rsidRPr="00032312">
        <w:rPr>
          <w:rFonts w:cs="Arial"/>
          <w:szCs w:val="20"/>
        </w:rPr>
        <w:t>, representing 47% of the total annual receipts from all extra-budgetary contributions. The EU remains the largest external donor to CoE co-operation activities.</w:t>
      </w:r>
      <w:r>
        <w:rPr>
          <w:rFonts w:cs="Arial"/>
          <w:szCs w:val="20"/>
        </w:rPr>
        <w:t xml:space="preserve"> </w:t>
      </w:r>
      <w:r w:rsidRPr="00032312">
        <w:rPr>
          <w:rFonts w:cs="Arial"/>
          <w:szCs w:val="20"/>
        </w:rPr>
        <w:t xml:space="preserve">In addition to the traditional JP co-operation, the EU made voluntary contributions of </w:t>
      </w:r>
      <w:r w:rsidRPr="00032312">
        <w:rPr>
          <w:rFonts w:cs="Arial"/>
          <w:bCs/>
          <w:szCs w:val="20"/>
        </w:rPr>
        <w:t>€</w:t>
      </w:r>
      <w:r w:rsidRPr="00032312">
        <w:rPr>
          <w:rFonts w:cs="Arial"/>
          <w:szCs w:val="20"/>
        </w:rPr>
        <w:t>2.2 million.</w:t>
      </w:r>
    </w:p>
    <w:p w:rsidR="00032312" w:rsidRPr="00032312" w:rsidRDefault="00032312" w:rsidP="00032312">
      <w:pPr>
        <w:rPr>
          <w:rFonts w:cs="Arial"/>
          <w:szCs w:val="20"/>
        </w:rPr>
      </w:pPr>
      <w:r w:rsidRPr="00032312" w:rsidDel="00972A63">
        <w:rPr>
          <w:rFonts w:cs="Arial"/>
          <w:szCs w:val="20"/>
        </w:rPr>
        <w:t xml:space="preserve"> </w:t>
      </w:r>
    </w:p>
    <w:p w:rsidR="00032312" w:rsidRPr="00032312" w:rsidRDefault="00032312" w:rsidP="00032312">
      <w:pPr>
        <w:numPr>
          <w:ilvl w:val="0"/>
          <w:numId w:val="2"/>
        </w:numPr>
        <w:ind w:left="0" w:firstLine="0"/>
        <w:rPr>
          <w:rFonts w:cs="Arial"/>
          <w:szCs w:val="20"/>
        </w:rPr>
      </w:pPr>
      <w:r w:rsidRPr="00032312">
        <w:rPr>
          <w:rFonts w:cs="Arial"/>
          <w:szCs w:val="20"/>
        </w:rPr>
        <w:t xml:space="preserve">Twenty-two </w:t>
      </w:r>
      <w:r w:rsidRPr="00032312">
        <w:rPr>
          <w:rFonts w:cs="Arial"/>
          <w:b/>
          <w:szCs w:val="20"/>
        </w:rPr>
        <w:t>new JPs</w:t>
      </w:r>
      <w:r w:rsidRPr="00032312">
        <w:rPr>
          <w:rFonts w:cs="Arial"/>
          <w:szCs w:val="20"/>
        </w:rPr>
        <w:t xml:space="preserve">, totalling </w:t>
      </w:r>
      <w:r w:rsidRPr="00032312">
        <w:rPr>
          <w:rFonts w:cs="Arial"/>
          <w:b/>
          <w:bCs/>
          <w:szCs w:val="20"/>
        </w:rPr>
        <w:t>€54.6 million</w:t>
      </w:r>
      <w:r w:rsidRPr="00032312">
        <w:rPr>
          <w:rFonts w:cs="Arial"/>
          <w:bCs/>
          <w:szCs w:val="20"/>
        </w:rPr>
        <w:t xml:space="preserve"> have seen their negotiation completed in 2018</w:t>
      </w:r>
      <w:r w:rsidR="00820FE6">
        <w:rPr>
          <w:rFonts w:cs="Arial"/>
          <w:bCs/>
          <w:szCs w:val="20"/>
        </w:rPr>
        <w:t xml:space="preserve"> which</w:t>
      </w:r>
      <w:r w:rsidRPr="00032312">
        <w:rPr>
          <w:rFonts w:cs="Arial"/>
          <w:bCs/>
          <w:szCs w:val="20"/>
        </w:rPr>
        <w:t xml:space="preserve"> is a record figure, compared to </w:t>
      </w:r>
      <w:r w:rsidR="00820FE6">
        <w:rPr>
          <w:rFonts w:cs="Arial"/>
          <w:bCs/>
          <w:szCs w:val="20"/>
        </w:rPr>
        <w:t>previous</w:t>
      </w:r>
      <w:r w:rsidRPr="00032312">
        <w:rPr>
          <w:rFonts w:cs="Arial"/>
          <w:bCs/>
          <w:szCs w:val="20"/>
        </w:rPr>
        <w:t xml:space="preserve"> years. It should be noted that bulk of this financial envelope corresponds to the programmes contracted at the end of 2018 with start of implementation in 2019 </w:t>
      </w:r>
      <w:r w:rsidRPr="00032312">
        <w:rPr>
          <w:rFonts w:cs="Arial"/>
          <w:szCs w:val="20"/>
        </w:rPr>
        <w:t>(list of corresponding programmes is presented in Appendix II)</w:t>
      </w:r>
      <w:r w:rsidRPr="00032312">
        <w:rPr>
          <w:rFonts w:cs="Arial"/>
          <w:bCs/>
          <w:szCs w:val="20"/>
        </w:rPr>
        <w:t>. Hence, the record volume of newly contracted programmes has not affected other statistical parameters of 2018 in any significant way</w:t>
      </w:r>
      <w:r w:rsidR="00AD2DD8">
        <w:rPr>
          <w:rFonts w:cs="Arial"/>
          <w:bCs/>
          <w:szCs w:val="20"/>
        </w:rPr>
        <w:t>.</w:t>
      </w:r>
      <w:r w:rsidRPr="00032312">
        <w:rPr>
          <w:rFonts w:cs="Arial"/>
          <w:szCs w:val="20"/>
          <w:vertAlign w:val="superscript"/>
        </w:rPr>
        <w:footnoteReference w:id="4"/>
      </w:r>
      <w:r w:rsidRPr="00032312">
        <w:rPr>
          <w:rFonts w:cs="Arial"/>
          <w:szCs w:val="20"/>
        </w:rPr>
        <w:t xml:space="preserve"> </w:t>
      </w:r>
    </w:p>
    <w:p w:rsidR="00032312" w:rsidRPr="00032312" w:rsidRDefault="00032312" w:rsidP="00032312">
      <w:pPr>
        <w:rPr>
          <w:rFonts w:eastAsia="Times New Roman" w:cs="Arial"/>
          <w:szCs w:val="20"/>
          <w:lang w:eastAsia="fr-FR"/>
        </w:rPr>
      </w:pPr>
    </w:p>
    <w:p w:rsidR="00EB7007" w:rsidRDefault="00EB7007">
      <w:pPr>
        <w:rPr>
          <w:rFonts w:cs="Arial"/>
          <w:szCs w:val="20"/>
        </w:rPr>
      </w:pPr>
      <w:r>
        <w:rPr>
          <w:rFonts w:cs="Arial"/>
          <w:szCs w:val="20"/>
        </w:rPr>
        <w:br w:type="page"/>
      </w:r>
    </w:p>
    <w:p w:rsidR="00032312" w:rsidRPr="00032312" w:rsidRDefault="00032312" w:rsidP="00032312">
      <w:pPr>
        <w:numPr>
          <w:ilvl w:val="0"/>
          <w:numId w:val="2"/>
        </w:numPr>
        <w:ind w:left="0" w:firstLine="0"/>
        <w:rPr>
          <w:rFonts w:cs="Arial"/>
          <w:szCs w:val="20"/>
        </w:rPr>
      </w:pPr>
      <w:r w:rsidRPr="00032312">
        <w:rPr>
          <w:rFonts w:cs="Arial"/>
          <w:szCs w:val="20"/>
        </w:rPr>
        <w:lastRenderedPageBreak/>
        <w:t>Overall, the financial volume of JP co-operation remained stable.</w:t>
      </w:r>
      <w:r>
        <w:rPr>
          <w:rFonts w:cs="Arial"/>
          <w:szCs w:val="20"/>
        </w:rPr>
        <w:t xml:space="preserve"> </w:t>
      </w:r>
      <w:r w:rsidRPr="00032312">
        <w:rPr>
          <w:rFonts w:cs="Arial"/>
          <w:szCs w:val="20"/>
        </w:rPr>
        <w:t xml:space="preserve">The drop in Annual Receipts can be attributed to the absorption level of on-going programmes and payment schedules. </w:t>
      </w:r>
    </w:p>
    <w:p w:rsidR="00032312" w:rsidRPr="00032312" w:rsidRDefault="00032312" w:rsidP="00032312">
      <w:pPr>
        <w:rPr>
          <w:rFonts w:cs="Arial"/>
          <w:szCs w:val="20"/>
        </w:rPr>
      </w:pPr>
    </w:p>
    <w:p w:rsidR="00032312" w:rsidRPr="00032312" w:rsidRDefault="00032312" w:rsidP="00032312">
      <w:pPr>
        <w:numPr>
          <w:ilvl w:val="0"/>
          <w:numId w:val="2"/>
        </w:numPr>
        <w:ind w:left="0" w:firstLine="0"/>
        <w:rPr>
          <w:rFonts w:eastAsia="Times New Roman" w:cs="Arial"/>
          <w:szCs w:val="20"/>
        </w:rPr>
      </w:pPr>
      <w:r w:rsidRPr="00032312">
        <w:rPr>
          <w:rFonts w:cs="Arial"/>
          <w:szCs w:val="20"/>
        </w:rPr>
        <w:t xml:space="preserve">The charts below show the evolution of the global financial volume, the annual pro-rated envelope and the EU shares, over the last decade.  </w:t>
      </w:r>
    </w:p>
    <w:p w:rsidR="00032312" w:rsidRPr="00032312" w:rsidRDefault="00032312" w:rsidP="00032312">
      <w:pPr>
        <w:rPr>
          <w:rFonts w:eastAsia="Times New Roman" w:cs="Arial"/>
          <w:szCs w:val="20"/>
        </w:rPr>
      </w:pPr>
    </w:p>
    <w:p w:rsidR="00032312" w:rsidRPr="00032312" w:rsidRDefault="00032312" w:rsidP="00032312">
      <w:pPr>
        <w:rPr>
          <w:rFonts w:eastAsia="Times New Roman" w:cs="Arial"/>
          <w:szCs w:val="20"/>
        </w:rPr>
      </w:pPr>
    </w:p>
    <w:p w:rsidR="00032312" w:rsidRPr="00032312" w:rsidRDefault="00032312" w:rsidP="00032312">
      <w:pPr>
        <w:rPr>
          <w:rFonts w:eastAsia="Times New Roman" w:cs="Arial"/>
          <w:szCs w:val="20"/>
        </w:rPr>
      </w:pPr>
      <w:r w:rsidRPr="00032312">
        <w:rPr>
          <w:rFonts w:cs="Arial"/>
          <w:noProof/>
          <w:szCs w:val="20"/>
          <w:lang w:eastAsia="en-GB"/>
        </w:rPr>
        <w:drawing>
          <wp:inline distT="0" distB="0" distL="0" distR="0" wp14:anchorId="12DD9036" wp14:editId="58F219E5">
            <wp:extent cx="5943600" cy="3668400"/>
            <wp:effectExtent l="0" t="0" r="0" b="8255"/>
            <wp:docPr id="4" name="Chart 4">
              <a:extLst xmlns:a="http://schemas.openxmlformats.org/drawingml/2006/main">
                <a:ext uri="{FF2B5EF4-FFF2-40B4-BE49-F238E27FC236}">
                  <a16:creationId xmlns:a16="http://schemas.microsoft.com/office/drawing/2014/main" id="{33CF5A87-9128-4396-A216-CEAEEFF38D7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32312" w:rsidRPr="00032312" w:rsidRDefault="00032312" w:rsidP="00032312">
      <w:pPr>
        <w:rPr>
          <w:rFonts w:eastAsia="Times New Roman" w:cs="Arial"/>
          <w:szCs w:val="20"/>
        </w:rPr>
      </w:pPr>
    </w:p>
    <w:p w:rsidR="00032312" w:rsidRPr="00032312" w:rsidRDefault="00032312" w:rsidP="00032312">
      <w:pPr>
        <w:rPr>
          <w:rFonts w:eastAsia="Times New Roman" w:cs="Arial"/>
          <w:szCs w:val="20"/>
        </w:rPr>
      </w:pPr>
    </w:p>
    <w:p w:rsidR="00032312" w:rsidRPr="00032312" w:rsidRDefault="00032312" w:rsidP="00032312">
      <w:pPr>
        <w:rPr>
          <w:rFonts w:eastAsia="Times New Roman" w:cs="Arial"/>
          <w:szCs w:val="20"/>
        </w:rPr>
      </w:pPr>
    </w:p>
    <w:p w:rsidR="00032312" w:rsidRPr="00032312" w:rsidRDefault="00032312" w:rsidP="00032312">
      <w:pPr>
        <w:rPr>
          <w:rFonts w:eastAsia="Times New Roman" w:cs="Arial"/>
          <w:szCs w:val="20"/>
        </w:rPr>
      </w:pPr>
      <w:r w:rsidRPr="00032312">
        <w:rPr>
          <w:rFonts w:cs="Arial"/>
          <w:noProof/>
          <w:szCs w:val="20"/>
          <w:lang w:eastAsia="en-GB"/>
        </w:rPr>
        <w:drawing>
          <wp:inline distT="0" distB="0" distL="0" distR="0" wp14:anchorId="5AD83B75" wp14:editId="346DEC78">
            <wp:extent cx="5943600" cy="3668395"/>
            <wp:effectExtent l="0" t="0" r="0" b="8255"/>
            <wp:docPr id="11" name="Chart 11">
              <a:extLst xmlns:a="http://schemas.openxmlformats.org/drawingml/2006/main">
                <a:ext uri="{FF2B5EF4-FFF2-40B4-BE49-F238E27FC236}">
                  <a16:creationId xmlns:a16="http://schemas.microsoft.com/office/drawing/2014/main" id="{C5333A0D-9AAB-42EA-AF95-97C7F538B4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32312" w:rsidRPr="00032312" w:rsidRDefault="00032312" w:rsidP="00032312">
      <w:pPr>
        <w:rPr>
          <w:rFonts w:eastAsia="Times New Roman" w:cs="Arial"/>
          <w:szCs w:val="20"/>
        </w:rPr>
      </w:pPr>
    </w:p>
    <w:p w:rsidR="00032312" w:rsidRPr="00032312" w:rsidRDefault="00032312" w:rsidP="00032312">
      <w:pPr>
        <w:rPr>
          <w:rFonts w:eastAsia="Times New Roman" w:cs="Arial"/>
          <w:szCs w:val="20"/>
        </w:rPr>
      </w:pPr>
    </w:p>
    <w:p w:rsidR="00032312" w:rsidRPr="00032312" w:rsidRDefault="00032312" w:rsidP="00032312">
      <w:pPr>
        <w:rPr>
          <w:rFonts w:eastAsia="Times New Roman" w:cs="Arial"/>
          <w:szCs w:val="20"/>
        </w:rPr>
      </w:pPr>
    </w:p>
    <w:p w:rsidR="00032312" w:rsidRPr="00032312" w:rsidRDefault="00032312" w:rsidP="00032312">
      <w:pPr>
        <w:rPr>
          <w:rFonts w:eastAsia="Times New Roman" w:cs="Arial"/>
          <w:szCs w:val="20"/>
        </w:rPr>
      </w:pPr>
    </w:p>
    <w:p w:rsidR="00032312" w:rsidRPr="00032312" w:rsidRDefault="00032312" w:rsidP="00032312">
      <w:pPr>
        <w:rPr>
          <w:rFonts w:eastAsia="Times New Roman" w:cs="Arial"/>
          <w:szCs w:val="20"/>
        </w:rPr>
      </w:pPr>
    </w:p>
    <w:p w:rsidR="00032312" w:rsidRPr="00032312" w:rsidRDefault="00032312" w:rsidP="00032312">
      <w:pPr>
        <w:rPr>
          <w:rFonts w:eastAsia="Times New Roman" w:cs="Arial"/>
          <w:szCs w:val="20"/>
        </w:rPr>
      </w:pPr>
    </w:p>
    <w:p w:rsidR="00EE361F" w:rsidRPr="00032312" w:rsidRDefault="00032312" w:rsidP="00032312">
      <w:pPr>
        <w:rPr>
          <w:rFonts w:eastAsia="Times New Roman" w:cs="Arial"/>
          <w:szCs w:val="20"/>
        </w:rPr>
      </w:pPr>
      <w:r w:rsidRPr="00032312">
        <w:rPr>
          <w:rFonts w:cs="Arial"/>
          <w:noProof/>
          <w:szCs w:val="20"/>
          <w:lang w:eastAsia="en-GB"/>
        </w:rPr>
        <w:drawing>
          <wp:anchor distT="0" distB="0" distL="114300" distR="114300" simplePos="0" relativeHeight="251653632" behindDoc="0" locked="0" layoutInCell="1" allowOverlap="1" wp14:anchorId="78157FD2" wp14:editId="6BD59F63">
            <wp:simplePos x="0" y="0"/>
            <wp:positionH relativeFrom="margin">
              <wp:posOffset>71120</wp:posOffset>
            </wp:positionH>
            <wp:positionV relativeFrom="margin">
              <wp:posOffset>5715</wp:posOffset>
            </wp:positionV>
            <wp:extent cx="5985510" cy="4171315"/>
            <wp:effectExtent l="0" t="0" r="15240" b="635"/>
            <wp:wrapSquare wrapText="bothSides"/>
            <wp:docPr id="3" name="Chart 3">
              <a:extLst xmlns:a="http://schemas.openxmlformats.org/drawingml/2006/main">
                <a:ext uri="{FF2B5EF4-FFF2-40B4-BE49-F238E27FC236}">
                  <a16:creationId xmlns:a16="http://schemas.microsoft.com/office/drawing/2014/main" id="{32125BC5-055E-4747-97B7-BEA08B04A1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032312">
        <w:rPr>
          <w:rFonts w:eastAsia="Times New Roman" w:cs="Arial"/>
          <w:szCs w:val="20"/>
        </w:rPr>
        <w:tab/>
      </w:r>
    </w:p>
    <w:p w:rsidR="00032312" w:rsidRPr="00032312" w:rsidRDefault="00032312" w:rsidP="00032312">
      <w:pPr>
        <w:numPr>
          <w:ilvl w:val="0"/>
          <w:numId w:val="2"/>
        </w:numPr>
        <w:ind w:left="0" w:firstLine="0"/>
        <w:rPr>
          <w:rFonts w:cs="Arial"/>
          <w:strike/>
          <w:szCs w:val="20"/>
        </w:rPr>
      </w:pPr>
      <w:r w:rsidRPr="00032312">
        <w:rPr>
          <w:rFonts w:cs="Arial"/>
          <w:b/>
          <w:szCs w:val="20"/>
        </w:rPr>
        <w:t xml:space="preserve">Geographical distribution: </w:t>
      </w:r>
      <w:r w:rsidRPr="00032312">
        <w:rPr>
          <w:rFonts w:cs="Arial"/>
          <w:szCs w:val="20"/>
        </w:rPr>
        <w:t xml:space="preserve"> </w:t>
      </w:r>
    </w:p>
    <w:p w:rsidR="00032312" w:rsidRPr="00032312" w:rsidRDefault="00032312" w:rsidP="00032312">
      <w:pPr>
        <w:rPr>
          <w:rFonts w:cs="Arial"/>
          <w:strike/>
          <w:szCs w:val="20"/>
        </w:rPr>
      </w:pPr>
    </w:p>
    <w:p w:rsidR="00032312" w:rsidRPr="00032312" w:rsidRDefault="00032312" w:rsidP="00032312">
      <w:pPr>
        <w:numPr>
          <w:ilvl w:val="0"/>
          <w:numId w:val="9"/>
        </w:numPr>
        <w:ind w:left="0" w:firstLine="0"/>
        <w:rPr>
          <w:rFonts w:eastAsia="Times New Roman" w:cs="Arial"/>
          <w:strike/>
          <w:szCs w:val="20"/>
          <w:lang w:eastAsia="fr-FR"/>
        </w:rPr>
      </w:pPr>
      <w:r w:rsidRPr="00032312">
        <w:rPr>
          <w:rFonts w:eastAsia="Times New Roman" w:cs="Arial"/>
          <w:szCs w:val="20"/>
          <w:lang w:eastAsia="fr-FR"/>
        </w:rPr>
        <w:t xml:space="preserve">In line with a long-standing trend, the bulk of the JP co-operation and assistance (67.4% of CBE 2018) continued to be channelled to </w:t>
      </w:r>
      <w:r w:rsidRPr="00032312">
        <w:rPr>
          <w:rFonts w:eastAsia="Times New Roman" w:cs="Arial"/>
          <w:b/>
          <w:szCs w:val="20"/>
          <w:lang w:eastAsia="fr-FR"/>
        </w:rPr>
        <w:t xml:space="preserve">South-East Europe, Turkey, Eastern Europe and the South Caucasus. </w:t>
      </w:r>
      <w:r w:rsidRPr="00032312">
        <w:rPr>
          <w:rFonts w:eastAsia="Times New Roman" w:cs="Arial"/>
          <w:szCs w:val="20"/>
          <w:lang w:eastAsia="fr-FR"/>
        </w:rPr>
        <w:t>In both the Western Balkans and the Eastern Partnership (</w:t>
      </w:r>
      <w:proofErr w:type="spellStart"/>
      <w:r w:rsidRPr="00032312">
        <w:rPr>
          <w:rFonts w:eastAsia="Times New Roman" w:cs="Arial"/>
          <w:szCs w:val="20"/>
          <w:lang w:eastAsia="fr-FR"/>
        </w:rPr>
        <w:t>EaP</w:t>
      </w:r>
      <w:proofErr w:type="spellEnd"/>
      <w:r w:rsidRPr="00032312">
        <w:rPr>
          <w:rFonts w:eastAsia="Times New Roman" w:cs="Arial"/>
          <w:szCs w:val="20"/>
          <w:lang w:eastAsia="fr-FR"/>
        </w:rPr>
        <w:t>), the EU-</w:t>
      </w:r>
      <w:proofErr w:type="spellStart"/>
      <w:r w:rsidRPr="00032312">
        <w:rPr>
          <w:rFonts w:eastAsia="Times New Roman" w:cs="Arial"/>
          <w:szCs w:val="20"/>
          <w:lang w:eastAsia="fr-FR"/>
        </w:rPr>
        <w:t>CoE</w:t>
      </w:r>
      <w:proofErr w:type="spellEnd"/>
      <w:r w:rsidRPr="00032312">
        <w:rPr>
          <w:rFonts w:eastAsia="Times New Roman" w:cs="Arial"/>
          <w:szCs w:val="20"/>
          <w:lang w:eastAsia="fr-FR"/>
        </w:rPr>
        <w:t xml:space="preserve"> geographical facilities became the main vehicle of JP co-operation.</w:t>
      </w:r>
      <w:r>
        <w:rPr>
          <w:rFonts w:eastAsia="Times New Roman" w:cs="Arial"/>
          <w:szCs w:val="20"/>
          <w:lang w:eastAsia="fr-FR"/>
        </w:rPr>
        <w:t xml:space="preserve"> </w:t>
      </w:r>
      <w:r w:rsidRPr="00032312">
        <w:rPr>
          <w:rFonts w:eastAsia="Times New Roman" w:cs="Arial"/>
          <w:szCs w:val="20"/>
          <w:lang w:eastAsia="fr-FR"/>
        </w:rPr>
        <w:t>In South-East Europe, the geographical facility was complemented by three sizable regional programmes, addressing freedom of expression/freedom of media (JUFREX), Roma inclusion</w:t>
      </w:r>
      <w:r w:rsidR="00C91045">
        <w:rPr>
          <w:rFonts w:eastAsia="Times New Roman" w:cs="Arial"/>
          <w:szCs w:val="20"/>
          <w:lang w:eastAsia="fr-FR"/>
        </w:rPr>
        <w:t>*</w:t>
      </w:r>
      <w:r w:rsidRPr="00032312">
        <w:rPr>
          <w:rFonts w:eastAsia="Times New Roman" w:cs="Arial"/>
          <w:szCs w:val="20"/>
          <w:lang w:eastAsia="fr-FR"/>
        </w:rPr>
        <w:t xml:space="preserve"> (ROMACTED) and cybercrime (</w:t>
      </w:r>
      <w:proofErr w:type="spellStart"/>
      <w:r w:rsidRPr="00032312">
        <w:rPr>
          <w:rFonts w:eastAsia="Times New Roman" w:cs="Arial"/>
          <w:szCs w:val="20"/>
          <w:lang w:eastAsia="fr-FR"/>
        </w:rPr>
        <w:t>iPROCEEDS</w:t>
      </w:r>
      <w:proofErr w:type="spellEnd"/>
      <w:r w:rsidRPr="00032312">
        <w:rPr>
          <w:rFonts w:eastAsia="Times New Roman" w:cs="Arial"/>
          <w:szCs w:val="20"/>
          <w:lang w:eastAsia="fr-FR"/>
        </w:rPr>
        <w:t>). Two country-specific programmes were signed (one in Azerbaijan in the field of penitentiary reform and another one in Serbia on human resources management in local self-government) and negotiations on a new multi-strand programme in Ukraine are to be reported.</w:t>
      </w:r>
      <w:r>
        <w:rPr>
          <w:rFonts w:eastAsia="Times New Roman" w:cs="Arial"/>
          <w:szCs w:val="20"/>
          <w:lang w:eastAsia="fr-FR"/>
        </w:rPr>
        <w:t xml:space="preserve"> </w:t>
      </w:r>
      <w:r w:rsidRPr="00032312">
        <w:rPr>
          <w:rFonts w:eastAsia="Times New Roman" w:cs="Arial"/>
          <w:szCs w:val="20"/>
          <w:lang w:eastAsia="fr-FR"/>
        </w:rPr>
        <w:t>However, overall, individual country-specific JPs remain a relatively marginal phenomenon in both regions.</w:t>
      </w:r>
      <w:r>
        <w:rPr>
          <w:rFonts w:eastAsia="Times New Roman" w:cs="Arial"/>
          <w:szCs w:val="20"/>
          <w:lang w:eastAsia="fr-FR"/>
        </w:rPr>
        <w:t xml:space="preserve"> </w:t>
      </w:r>
      <w:r w:rsidRPr="00032312">
        <w:rPr>
          <w:rFonts w:eastAsia="Times New Roman" w:cs="Arial"/>
          <w:szCs w:val="20"/>
          <w:lang w:eastAsia="fr-FR"/>
        </w:rPr>
        <w:t>Turkey is covered by the EU pre-accession financial instrument and benefits predominantly from country-specific JPs.</w:t>
      </w:r>
    </w:p>
    <w:p w:rsidR="00032312" w:rsidRPr="00032312" w:rsidRDefault="00032312" w:rsidP="00032312">
      <w:pPr>
        <w:rPr>
          <w:rFonts w:eastAsia="Times New Roman" w:cs="Arial"/>
          <w:strike/>
          <w:szCs w:val="20"/>
          <w:lang w:eastAsia="fr-FR"/>
        </w:rPr>
      </w:pPr>
    </w:p>
    <w:p w:rsidR="00032312" w:rsidRPr="00032312" w:rsidRDefault="00032312" w:rsidP="00032312">
      <w:pPr>
        <w:numPr>
          <w:ilvl w:val="0"/>
          <w:numId w:val="9"/>
        </w:numPr>
        <w:ind w:left="0" w:firstLine="0"/>
        <w:rPr>
          <w:rFonts w:eastAsia="Times New Roman" w:cs="Arial"/>
          <w:strike/>
          <w:szCs w:val="20"/>
          <w:lang w:eastAsia="fr-FR"/>
        </w:rPr>
      </w:pPr>
      <w:r w:rsidRPr="00032312">
        <w:rPr>
          <w:rFonts w:eastAsia="Times New Roman" w:cs="Arial"/>
          <w:szCs w:val="20"/>
          <w:lang w:eastAsia="fr-FR"/>
        </w:rPr>
        <w:t>JP co-operation with non-member States continued to increase (12.3% of CBE 2018) in the context of the CoE Policy towards neighbouring regions.</w:t>
      </w:r>
      <w:r>
        <w:rPr>
          <w:rFonts w:eastAsia="Times New Roman" w:cs="Arial"/>
          <w:szCs w:val="20"/>
          <w:lang w:eastAsia="fr-FR"/>
        </w:rPr>
        <w:t xml:space="preserve"> </w:t>
      </w:r>
      <w:r w:rsidRPr="00032312">
        <w:rPr>
          <w:rFonts w:eastAsia="Times New Roman" w:cs="Arial"/>
          <w:szCs w:val="20"/>
          <w:lang w:eastAsia="fr-FR"/>
        </w:rPr>
        <w:t xml:space="preserve">In the </w:t>
      </w:r>
      <w:r w:rsidRPr="00032312">
        <w:rPr>
          <w:rFonts w:eastAsia="Times New Roman" w:cs="Arial"/>
          <w:b/>
          <w:szCs w:val="20"/>
          <w:lang w:eastAsia="fr-FR"/>
        </w:rPr>
        <w:t>South Neighbourhood</w:t>
      </w:r>
      <w:r w:rsidRPr="00032312">
        <w:rPr>
          <w:rFonts w:eastAsia="Times New Roman" w:cs="Arial"/>
          <w:szCs w:val="20"/>
          <w:lang w:eastAsia="fr-FR"/>
        </w:rPr>
        <w:t xml:space="preserve">, along with the </w:t>
      </w:r>
      <w:r w:rsidRPr="00032312">
        <w:rPr>
          <w:rFonts w:eastAsia="Times New Roman" w:cs="Arial"/>
          <w:bCs/>
          <w:szCs w:val="20"/>
          <w:lang w:eastAsia="fr-FR"/>
        </w:rPr>
        <w:t>South Programme III,</w:t>
      </w:r>
      <w:r w:rsidRPr="00032312">
        <w:rPr>
          <w:rFonts w:eastAsia="Times New Roman" w:cs="Arial"/>
          <w:szCs w:val="20"/>
          <w:lang w:eastAsia="fr-FR"/>
        </w:rPr>
        <w:t xml:space="preserve"> launched in March 2018, and the regional programme to reinforce the national capacities against cybercrime (</w:t>
      </w:r>
      <w:proofErr w:type="spellStart"/>
      <w:r w:rsidRPr="00032312">
        <w:rPr>
          <w:rFonts w:eastAsia="Times New Roman" w:cs="Arial"/>
          <w:szCs w:val="20"/>
          <w:lang w:eastAsia="fr-FR"/>
        </w:rPr>
        <w:t>Cybercrime@South</w:t>
      </w:r>
      <w:proofErr w:type="spellEnd"/>
      <w:r w:rsidRPr="00032312">
        <w:rPr>
          <w:rFonts w:eastAsia="Times New Roman" w:cs="Arial"/>
          <w:szCs w:val="20"/>
          <w:lang w:eastAsia="fr-FR"/>
        </w:rPr>
        <w:t>), two new sizable JPs for Tunisia were signed at the end of 2018, in support for national judicial system and</w:t>
      </w:r>
      <w:r>
        <w:rPr>
          <w:rFonts w:eastAsia="Times New Roman" w:cs="Arial"/>
          <w:szCs w:val="20"/>
          <w:lang w:eastAsia="fr-FR"/>
        </w:rPr>
        <w:t xml:space="preserve"> </w:t>
      </w:r>
      <w:r w:rsidRPr="00032312">
        <w:rPr>
          <w:rFonts w:eastAsia="Times New Roman" w:cs="Arial"/>
          <w:szCs w:val="20"/>
          <w:lang w:eastAsia="fr-FR"/>
        </w:rPr>
        <w:t xml:space="preserve">independent constitutional bodies. The global volume of programmes in support for reforms in </w:t>
      </w:r>
      <w:r w:rsidRPr="00032312">
        <w:rPr>
          <w:rFonts w:eastAsia="Times New Roman" w:cs="Arial"/>
          <w:b/>
          <w:szCs w:val="20"/>
          <w:lang w:eastAsia="fr-FR"/>
        </w:rPr>
        <w:t xml:space="preserve">Central Asia </w:t>
      </w:r>
      <w:r w:rsidRPr="00032312">
        <w:rPr>
          <w:rFonts w:eastAsia="Times New Roman" w:cs="Arial"/>
          <w:szCs w:val="20"/>
          <w:lang w:eastAsia="fr-FR"/>
        </w:rPr>
        <w:t xml:space="preserve">remained stable, with on-going programmes heading to completion. Negotiations on a new Rule of Law programme for Central Asia have advanced.  </w:t>
      </w:r>
    </w:p>
    <w:p w:rsidR="00032312" w:rsidRPr="00032312" w:rsidRDefault="00032312" w:rsidP="00032312">
      <w:pPr>
        <w:rPr>
          <w:rFonts w:eastAsia="Times New Roman" w:cs="Arial"/>
          <w:strike/>
          <w:szCs w:val="20"/>
          <w:lang w:eastAsia="fr-FR"/>
        </w:rPr>
      </w:pPr>
    </w:p>
    <w:p w:rsidR="00C57544" w:rsidRDefault="00C57544">
      <w:pPr>
        <w:rPr>
          <w:rFonts w:cs="Arial"/>
          <w:szCs w:val="20"/>
        </w:rPr>
      </w:pPr>
    </w:p>
    <w:p w:rsidR="00C57544" w:rsidRDefault="00C57544">
      <w:pPr>
        <w:rPr>
          <w:rFonts w:cs="Arial"/>
          <w:szCs w:val="20"/>
        </w:rPr>
      </w:pPr>
    </w:p>
    <w:p w:rsidR="00C57544" w:rsidRDefault="00C57544">
      <w:pPr>
        <w:rPr>
          <w:rFonts w:cs="Arial"/>
          <w:szCs w:val="20"/>
        </w:rPr>
      </w:pPr>
    </w:p>
    <w:p w:rsidR="00C57544" w:rsidRDefault="00C57544">
      <w:pPr>
        <w:rPr>
          <w:rFonts w:cs="Arial"/>
          <w:szCs w:val="20"/>
        </w:rPr>
      </w:pPr>
    </w:p>
    <w:p w:rsidR="00C57544" w:rsidRDefault="00C57544">
      <w:pPr>
        <w:rPr>
          <w:rFonts w:cs="Arial"/>
          <w:szCs w:val="20"/>
        </w:rPr>
      </w:pPr>
    </w:p>
    <w:p w:rsidR="00C57544" w:rsidRDefault="00C57544">
      <w:pPr>
        <w:rPr>
          <w:rFonts w:cs="Arial"/>
          <w:szCs w:val="20"/>
        </w:rPr>
      </w:pPr>
    </w:p>
    <w:p w:rsidR="00C57544" w:rsidRDefault="00C57544">
      <w:pPr>
        <w:rPr>
          <w:rFonts w:cs="Arial"/>
          <w:szCs w:val="20"/>
        </w:rPr>
      </w:pPr>
    </w:p>
    <w:p w:rsidR="00C57544" w:rsidRDefault="00C57544">
      <w:pPr>
        <w:rPr>
          <w:rFonts w:cs="Arial"/>
          <w:szCs w:val="20"/>
        </w:rPr>
      </w:pPr>
    </w:p>
    <w:p w:rsidR="00C57544" w:rsidRDefault="00C57544">
      <w:pPr>
        <w:rPr>
          <w:rFonts w:cs="Arial"/>
          <w:szCs w:val="20"/>
        </w:rPr>
      </w:pPr>
    </w:p>
    <w:p w:rsidR="00C57544" w:rsidRDefault="00C57544">
      <w:pPr>
        <w:rPr>
          <w:rFonts w:cs="Arial"/>
          <w:szCs w:val="20"/>
        </w:rPr>
      </w:pPr>
      <w:r w:rsidRPr="00C57544">
        <w:rPr>
          <w:sz w:val="16"/>
          <w:szCs w:val="16"/>
        </w:rPr>
        <w:t>* The term “Roma and Travellers” is used at the Council of Europe to encompass the wide diversity of the groups covered by the work of the Council of Europe in this field: on the one hand a) Roma, Sinti/</w:t>
      </w:r>
      <w:proofErr w:type="spellStart"/>
      <w:r w:rsidRPr="00C57544">
        <w:rPr>
          <w:sz w:val="16"/>
          <w:szCs w:val="16"/>
        </w:rPr>
        <w:t>Manush</w:t>
      </w:r>
      <w:proofErr w:type="spellEnd"/>
      <w:r w:rsidRPr="00C57544">
        <w:rPr>
          <w:sz w:val="16"/>
          <w:szCs w:val="16"/>
        </w:rPr>
        <w:t xml:space="preserve">, </w:t>
      </w:r>
      <w:proofErr w:type="spellStart"/>
      <w:r w:rsidRPr="00C57544">
        <w:rPr>
          <w:sz w:val="16"/>
          <w:szCs w:val="16"/>
        </w:rPr>
        <w:t>Calé</w:t>
      </w:r>
      <w:proofErr w:type="spellEnd"/>
      <w:r w:rsidRPr="00C57544">
        <w:rPr>
          <w:sz w:val="16"/>
          <w:szCs w:val="16"/>
        </w:rPr>
        <w:t xml:space="preserve">, </w:t>
      </w:r>
      <w:proofErr w:type="spellStart"/>
      <w:r w:rsidRPr="00C57544">
        <w:rPr>
          <w:sz w:val="16"/>
          <w:szCs w:val="16"/>
        </w:rPr>
        <w:t>Kaale</w:t>
      </w:r>
      <w:proofErr w:type="spellEnd"/>
      <w:r w:rsidRPr="00C57544">
        <w:rPr>
          <w:sz w:val="16"/>
          <w:szCs w:val="16"/>
        </w:rPr>
        <w:t xml:space="preserve">, </w:t>
      </w:r>
      <w:proofErr w:type="spellStart"/>
      <w:r w:rsidRPr="00C57544">
        <w:rPr>
          <w:sz w:val="16"/>
          <w:szCs w:val="16"/>
        </w:rPr>
        <w:t>Romanichals</w:t>
      </w:r>
      <w:proofErr w:type="spellEnd"/>
      <w:r w:rsidRPr="00C57544">
        <w:rPr>
          <w:sz w:val="16"/>
          <w:szCs w:val="16"/>
        </w:rPr>
        <w:t xml:space="preserve">, </w:t>
      </w:r>
      <w:proofErr w:type="spellStart"/>
      <w:r w:rsidRPr="00C57544">
        <w:rPr>
          <w:sz w:val="16"/>
          <w:szCs w:val="16"/>
        </w:rPr>
        <w:t>Boyash</w:t>
      </w:r>
      <w:proofErr w:type="spellEnd"/>
      <w:r w:rsidRPr="00C57544">
        <w:rPr>
          <w:sz w:val="16"/>
          <w:szCs w:val="16"/>
        </w:rPr>
        <w:t>/</w:t>
      </w:r>
      <w:proofErr w:type="spellStart"/>
      <w:r w:rsidRPr="00C57544">
        <w:rPr>
          <w:sz w:val="16"/>
          <w:szCs w:val="16"/>
        </w:rPr>
        <w:t>Rudari</w:t>
      </w:r>
      <w:proofErr w:type="spellEnd"/>
      <w:r w:rsidRPr="00C57544">
        <w:rPr>
          <w:sz w:val="16"/>
          <w:szCs w:val="16"/>
        </w:rPr>
        <w:t xml:space="preserve">; b) Balkan Egyptians (Egyptians and </w:t>
      </w:r>
      <w:proofErr w:type="spellStart"/>
      <w:r w:rsidRPr="00C57544">
        <w:rPr>
          <w:sz w:val="16"/>
          <w:szCs w:val="16"/>
        </w:rPr>
        <w:t>Ashkali</w:t>
      </w:r>
      <w:proofErr w:type="spellEnd"/>
      <w:r w:rsidRPr="00C57544">
        <w:rPr>
          <w:sz w:val="16"/>
          <w:szCs w:val="16"/>
        </w:rPr>
        <w:t xml:space="preserve">); c) Eastern groups (Dom, Lom and </w:t>
      </w:r>
      <w:proofErr w:type="spellStart"/>
      <w:r w:rsidRPr="00C57544">
        <w:rPr>
          <w:sz w:val="16"/>
          <w:szCs w:val="16"/>
        </w:rPr>
        <w:t>Abdal</w:t>
      </w:r>
      <w:proofErr w:type="spellEnd"/>
      <w:r w:rsidRPr="00C57544">
        <w:rPr>
          <w:sz w:val="16"/>
          <w:szCs w:val="16"/>
        </w:rPr>
        <w:t xml:space="preserve">); and, on the other hand, groups such as Travellers, </w:t>
      </w:r>
      <w:proofErr w:type="spellStart"/>
      <w:r w:rsidRPr="00C57544">
        <w:rPr>
          <w:sz w:val="16"/>
          <w:szCs w:val="16"/>
        </w:rPr>
        <w:t>Yenish</w:t>
      </w:r>
      <w:proofErr w:type="spellEnd"/>
      <w:r w:rsidRPr="00C57544">
        <w:rPr>
          <w:sz w:val="16"/>
          <w:szCs w:val="16"/>
        </w:rPr>
        <w:t>, and the populations designated under the administrative term “Gens du voyage”, as well as persons who identify themselves as Gypsies. The present is an explanatory footnote, not a definition of Roma and/or Travellers.</w:t>
      </w:r>
      <w:r>
        <w:rPr>
          <w:rFonts w:cs="Arial"/>
          <w:szCs w:val="20"/>
        </w:rPr>
        <w:br w:type="page"/>
      </w:r>
    </w:p>
    <w:p w:rsidR="00032312" w:rsidRPr="00032312" w:rsidRDefault="00032312" w:rsidP="00032312">
      <w:pPr>
        <w:numPr>
          <w:ilvl w:val="0"/>
          <w:numId w:val="9"/>
        </w:numPr>
        <w:ind w:left="0" w:firstLine="0"/>
        <w:rPr>
          <w:rFonts w:eastAsia="Times New Roman" w:cs="Arial"/>
          <w:strike/>
          <w:szCs w:val="20"/>
          <w:lang w:eastAsia="fr-FR"/>
        </w:rPr>
      </w:pPr>
      <w:r w:rsidRPr="00032312">
        <w:rPr>
          <w:rFonts w:cs="Arial"/>
          <w:szCs w:val="20"/>
        </w:rPr>
        <w:lastRenderedPageBreak/>
        <w:t>The financial volume of JPs targeted at</w:t>
      </w:r>
      <w:r w:rsidRPr="00032312">
        <w:rPr>
          <w:rFonts w:cs="Arial"/>
          <w:b/>
          <w:szCs w:val="20"/>
        </w:rPr>
        <w:t xml:space="preserve"> EU member States </w:t>
      </w:r>
      <w:r w:rsidRPr="00032312">
        <w:rPr>
          <w:rFonts w:cs="Arial"/>
          <w:szCs w:val="20"/>
        </w:rPr>
        <w:t xml:space="preserve">also continued to increase (8.1% of CBE 2018). This co-operation includes </w:t>
      </w:r>
      <w:r w:rsidRPr="00032312">
        <w:rPr>
          <w:rFonts w:cs="Arial"/>
          <w:i/>
          <w:szCs w:val="20"/>
        </w:rPr>
        <w:t>inter alia</w:t>
      </w:r>
      <w:r w:rsidRPr="00032312">
        <w:rPr>
          <w:rFonts w:cs="Arial"/>
          <w:szCs w:val="20"/>
        </w:rPr>
        <w:t xml:space="preserve"> the “HELP in EU” programme, the HELP-based “Radicalisation Prevention” programme, programmes supporting Roma inclusion</w:t>
      </w:r>
      <w:r w:rsidR="00C57544">
        <w:rPr>
          <w:rFonts w:cs="Arial"/>
          <w:szCs w:val="20"/>
        </w:rPr>
        <w:t>*</w:t>
      </w:r>
      <w:r w:rsidRPr="00032312">
        <w:rPr>
          <w:rFonts w:cs="Arial"/>
          <w:szCs w:val="20"/>
        </w:rPr>
        <w:t xml:space="preserve"> (JUSTROM, ROMACT, Inclusive Schools), as well as several country-specific projects (in partnership with SRSS) which support modernisation and efficiency of justice, children rights and local governance. Building on the existing co-operation with SRSS, a more structured co-operation framework is being developed and is expected to be launched in 2019. In addition, the EU Member States have also been involved in a number of </w:t>
      </w:r>
      <w:r w:rsidRPr="00032312">
        <w:rPr>
          <w:rFonts w:cs="Arial"/>
          <w:b/>
          <w:szCs w:val="20"/>
        </w:rPr>
        <w:t xml:space="preserve">thematic multilateral programmes </w:t>
      </w:r>
      <w:r w:rsidRPr="00032312">
        <w:rPr>
          <w:rFonts w:cs="Arial"/>
          <w:szCs w:val="20"/>
        </w:rPr>
        <w:t xml:space="preserve">(such as, the programme “Intercultural Learning Exchange through Global Education, Networking and Dialogue”, managed by the North-South Centre), the global volume of which has slightly decreased (12.2% of CBE 2018). </w:t>
      </w:r>
    </w:p>
    <w:p w:rsidR="00032312" w:rsidRPr="00032312" w:rsidRDefault="00032312" w:rsidP="00032312">
      <w:pPr>
        <w:rPr>
          <w:rFonts w:cs="Arial"/>
          <w:szCs w:val="20"/>
        </w:rPr>
      </w:pPr>
    </w:p>
    <w:p w:rsidR="00032312" w:rsidRPr="00032312" w:rsidRDefault="00032312" w:rsidP="00032312">
      <w:pPr>
        <w:numPr>
          <w:ilvl w:val="0"/>
          <w:numId w:val="2"/>
        </w:numPr>
        <w:ind w:left="0" w:firstLine="0"/>
        <w:rPr>
          <w:rFonts w:cs="Arial"/>
          <w:szCs w:val="20"/>
        </w:rPr>
      </w:pPr>
      <w:r w:rsidRPr="00032312">
        <w:rPr>
          <w:rFonts w:cs="Arial"/>
          <w:szCs w:val="20"/>
        </w:rPr>
        <w:t xml:space="preserve">The chart below shows the geographical distribution of JPs in 2018.  </w:t>
      </w:r>
    </w:p>
    <w:p w:rsidR="00032312" w:rsidRPr="00032312" w:rsidRDefault="00032312" w:rsidP="00032312">
      <w:pPr>
        <w:jc w:val="center"/>
        <w:rPr>
          <w:rFonts w:cs="Arial"/>
          <w:szCs w:val="20"/>
        </w:rPr>
      </w:pPr>
    </w:p>
    <w:p w:rsidR="00032312" w:rsidRPr="00032312" w:rsidRDefault="00032312" w:rsidP="00032312">
      <w:pPr>
        <w:jc w:val="center"/>
        <w:rPr>
          <w:rFonts w:cs="Arial"/>
          <w:szCs w:val="20"/>
        </w:rPr>
      </w:pPr>
      <w:r w:rsidRPr="00032312">
        <w:rPr>
          <w:rFonts w:cs="Arial"/>
          <w:noProof/>
          <w:szCs w:val="20"/>
          <w:lang w:eastAsia="en-GB"/>
        </w:rPr>
        <w:drawing>
          <wp:anchor distT="0" distB="0" distL="114300" distR="114300" simplePos="0" relativeHeight="251656704" behindDoc="0" locked="0" layoutInCell="1" allowOverlap="1" wp14:anchorId="7D507BCB" wp14:editId="13AA0B11">
            <wp:simplePos x="0" y="0"/>
            <wp:positionH relativeFrom="column">
              <wp:posOffset>-3175</wp:posOffset>
            </wp:positionH>
            <wp:positionV relativeFrom="paragraph">
              <wp:posOffset>1905</wp:posOffset>
            </wp:positionV>
            <wp:extent cx="6067425" cy="4648200"/>
            <wp:effectExtent l="0" t="0" r="9525" b="0"/>
            <wp:wrapSquare wrapText="bothSides"/>
            <wp:docPr id="12" name="Chart 12">
              <a:extLst xmlns:a="http://schemas.openxmlformats.org/drawingml/2006/main">
                <a:ext uri="{FF2B5EF4-FFF2-40B4-BE49-F238E27FC236}">
                  <a16:creationId xmlns:a16="http://schemas.microsoft.com/office/drawing/2014/main" id="{3D62169B-36F3-4184-9D6B-B6C84220C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032312" w:rsidRPr="00032312" w:rsidRDefault="00032312" w:rsidP="00032312">
      <w:pPr>
        <w:jc w:val="center"/>
        <w:rPr>
          <w:rFonts w:cs="Arial"/>
          <w:szCs w:val="20"/>
        </w:rPr>
      </w:pPr>
    </w:p>
    <w:p w:rsidR="00032312" w:rsidRPr="00032312" w:rsidRDefault="00032312" w:rsidP="00032312">
      <w:pPr>
        <w:numPr>
          <w:ilvl w:val="0"/>
          <w:numId w:val="2"/>
        </w:numPr>
        <w:ind w:left="0" w:firstLine="0"/>
        <w:contextualSpacing/>
        <w:rPr>
          <w:rFonts w:cs="Arial"/>
          <w:szCs w:val="20"/>
        </w:rPr>
      </w:pPr>
      <w:r w:rsidRPr="00032312">
        <w:rPr>
          <w:rFonts w:cs="Arial"/>
          <w:b/>
          <w:szCs w:val="20"/>
        </w:rPr>
        <w:t xml:space="preserve">In terms of thematic distribution </w:t>
      </w:r>
      <w:r w:rsidRPr="00032312">
        <w:rPr>
          <w:rFonts w:cs="Arial"/>
          <w:szCs w:val="20"/>
        </w:rPr>
        <w:t>(thematic distribution within programmatic facilities included),</w:t>
      </w:r>
      <w:r w:rsidRPr="00032312">
        <w:rPr>
          <w:rFonts w:cs="Arial"/>
          <w:b/>
          <w:szCs w:val="20"/>
        </w:rPr>
        <w:t xml:space="preserve"> </w:t>
      </w:r>
      <w:r w:rsidRPr="00032312">
        <w:rPr>
          <w:rFonts w:cs="Arial"/>
          <w:szCs w:val="20"/>
        </w:rPr>
        <w:t>the trends of the last year remained unchanged</w:t>
      </w:r>
      <w:r w:rsidRPr="00032312">
        <w:rPr>
          <w:rFonts w:cs="Arial"/>
          <w:b/>
          <w:szCs w:val="20"/>
        </w:rPr>
        <w:t xml:space="preserve">:  </w:t>
      </w:r>
    </w:p>
    <w:p w:rsidR="00032312" w:rsidRPr="00032312" w:rsidRDefault="00032312" w:rsidP="00032312">
      <w:pPr>
        <w:contextualSpacing/>
        <w:rPr>
          <w:rFonts w:cs="Arial"/>
          <w:b/>
          <w:szCs w:val="20"/>
        </w:rPr>
      </w:pPr>
    </w:p>
    <w:p w:rsidR="00032312" w:rsidRPr="00032312" w:rsidRDefault="00032312" w:rsidP="00032312">
      <w:pPr>
        <w:numPr>
          <w:ilvl w:val="0"/>
          <w:numId w:val="3"/>
        </w:numPr>
        <w:ind w:left="0" w:firstLine="0"/>
        <w:contextualSpacing/>
        <w:rPr>
          <w:rFonts w:eastAsia="Times New Roman" w:cs="Arial"/>
          <w:szCs w:val="20"/>
          <w:lang w:eastAsia="fr-FR"/>
        </w:rPr>
      </w:pPr>
      <w:r w:rsidRPr="00032312">
        <w:rPr>
          <w:rFonts w:eastAsia="Times New Roman" w:cs="Arial"/>
          <w:b/>
          <w:szCs w:val="20"/>
          <w:lang w:eastAsia="fr-FR"/>
        </w:rPr>
        <w:t xml:space="preserve">Programmes of the Rule of Law </w:t>
      </w:r>
      <w:r w:rsidRPr="00032312">
        <w:rPr>
          <w:rFonts w:eastAsia="Times New Roman" w:cs="Arial"/>
          <w:szCs w:val="20"/>
          <w:lang w:eastAsia="fr-FR"/>
        </w:rPr>
        <w:t xml:space="preserve">pillar continued to prevail in number and volume, accounting for 55% of CBE 2018. This category covered a wide range of thematic sectors of the Rule of Law pillar, including anti-corruption/ anti-money-laundering, fight against cybercrime, judicial and penitentiary reforms, assistance activities of the Venice Commission, information society/internet governance and integrity in sports.   </w:t>
      </w:r>
    </w:p>
    <w:p w:rsidR="00032312" w:rsidRPr="00032312" w:rsidRDefault="00032312" w:rsidP="00032312">
      <w:pPr>
        <w:tabs>
          <w:tab w:val="left" w:pos="709"/>
        </w:tabs>
        <w:rPr>
          <w:rFonts w:cs="Arial"/>
          <w:szCs w:val="20"/>
        </w:rPr>
      </w:pPr>
    </w:p>
    <w:p w:rsidR="00032312" w:rsidRPr="00032312" w:rsidRDefault="00032312" w:rsidP="00032312">
      <w:pPr>
        <w:numPr>
          <w:ilvl w:val="0"/>
          <w:numId w:val="3"/>
        </w:numPr>
        <w:tabs>
          <w:tab w:val="left" w:pos="709"/>
        </w:tabs>
        <w:ind w:left="0" w:firstLine="0"/>
        <w:rPr>
          <w:rFonts w:cs="Arial"/>
          <w:b/>
          <w:szCs w:val="20"/>
        </w:rPr>
      </w:pPr>
      <w:r w:rsidRPr="00032312">
        <w:rPr>
          <w:rFonts w:cs="Arial"/>
          <w:szCs w:val="20"/>
        </w:rPr>
        <w:t>The share of</w:t>
      </w:r>
      <w:r w:rsidRPr="00032312">
        <w:rPr>
          <w:rFonts w:cs="Arial"/>
          <w:b/>
          <w:szCs w:val="20"/>
        </w:rPr>
        <w:t xml:space="preserve"> the Human Rights</w:t>
      </w:r>
      <w:r w:rsidRPr="00032312">
        <w:rPr>
          <w:rFonts w:cs="Arial"/>
          <w:szCs w:val="20"/>
        </w:rPr>
        <w:t xml:space="preserve"> pillar’s programmes remained stable, equalling 26% of CBE 2018. About two thirds of funding in this category was channelled into enhancing the effectiveness of the ECHR system at national and European level; the remainder was attributed to programmes in the field of Roma</w:t>
      </w:r>
      <w:r w:rsidR="00C57544">
        <w:rPr>
          <w:rFonts w:cs="Arial"/>
          <w:szCs w:val="20"/>
        </w:rPr>
        <w:t>*</w:t>
      </w:r>
      <w:r w:rsidRPr="00032312">
        <w:rPr>
          <w:rFonts w:cs="Arial"/>
          <w:szCs w:val="20"/>
        </w:rPr>
        <w:t xml:space="preserve"> inclusion, equality, anti-discrimination, national minorities’ rights and children rights.  </w:t>
      </w:r>
    </w:p>
    <w:p w:rsidR="00032312" w:rsidRPr="00032312" w:rsidRDefault="00032312" w:rsidP="00032312">
      <w:pPr>
        <w:tabs>
          <w:tab w:val="left" w:pos="709"/>
        </w:tabs>
        <w:rPr>
          <w:rFonts w:cs="Arial"/>
          <w:b/>
          <w:szCs w:val="20"/>
        </w:rPr>
      </w:pPr>
    </w:p>
    <w:p w:rsidR="00032312" w:rsidRPr="00032312" w:rsidRDefault="00032312" w:rsidP="00032312">
      <w:pPr>
        <w:numPr>
          <w:ilvl w:val="0"/>
          <w:numId w:val="3"/>
        </w:numPr>
        <w:tabs>
          <w:tab w:val="left" w:pos="709"/>
        </w:tabs>
        <w:ind w:left="0" w:firstLine="0"/>
        <w:rPr>
          <w:rFonts w:cs="Arial"/>
          <w:b/>
          <w:szCs w:val="20"/>
        </w:rPr>
      </w:pPr>
      <w:r w:rsidRPr="00032312">
        <w:rPr>
          <w:rFonts w:cs="Arial"/>
          <w:szCs w:val="20"/>
        </w:rPr>
        <w:t xml:space="preserve">The share of the </w:t>
      </w:r>
      <w:r w:rsidRPr="00032312">
        <w:rPr>
          <w:rFonts w:cs="Arial"/>
          <w:b/>
          <w:szCs w:val="20"/>
        </w:rPr>
        <w:t>Democracy</w:t>
      </w:r>
      <w:r w:rsidRPr="00032312">
        <w:rPr>
          <w:rFonts w:cs="Arial"/>
          <w:szCs w:val="20"/>
        </w:rPr>
        <w:t xml:space="preserve"> pillar’s programmes</w:t>
      </w:r>
      <w:r w:rsidRPr="00032312">
        <w:rPr>
          <w:rFonts w:cs="Arial"/>
          <w:b/>
          <w:szCs w:val="20"/>
        </w:rPr>
        <w:t xml:space="preserve"> </w:t>
      </w:r>
      <w:r w:rsidRPr="00032312">
        <w:rPr>
          <w:rFonts w:cs="Arial"/>
          <w:szCs w:val="20"/>
        </w:rPr>
        <w:t>increased to 19% of CBE 2018, as a consequence of successful fund-raising efforts in 2017-2018.</w:t>
      </w:r>
      <w:r>
        <w:rPr>
          <w:rFonts w:cs="Arial"/>
          <w:szCs w:val="20"/>
        </w:rPr>
        <w:t xml:space="preserve"> </w:t>
      </w:r>
      <w:r w:rsidRPr="00032312">
        <w:rPr>
          <w:rFonts w:cs="Arial"/>
          <w:szCs w:val="20"/>
        </w:rPr>
        <w:t xml:space="preserve">The bulk of Democracy programmes fall under Education for Democracy and Democratic Governance. </w:t>
      </w:r>
    </w:p>
    <w:p w:rsidR="00032312" w:rsidRDefault="00032312">
      <w:pPr>
        <w:rPr>
          <w:rFonts w:cs="Arial"/>
          <w:szCs w:val="20"/>
        </w:rPr>
      </w:pPr>
    </w:p>
    <w:p w:rsidR="00032312" w:rsidRPr="00032312" w:rsidRDefault="00032312" w:rsidP="00032312">
      <w:pPr>
        <w:numPr>
          <w:ilvl w:val="0"/>
          <w:numId w:val="2"/>
        </w:numPr>
        <w:ind w:left="0" w:firstLine="0"/>
        <w:contextualSpacing/>
        <w:rPr>
          <w:rFonts w:cs="Arial"/>
          <w:szCs w:val="20"/>
        </w:rPr>
      </w:pPr>
      <w:r w:rsidRPr="00032312">
        <w:rPr>
          <w:rFonts w:cs="Arial"/>
          <w:szCs w:val="20"/>
        </w:rPr>
        <w:lastRenderedPageBreak/>
        <w:t xml:space="preserve">The chart below shows the thematic distribution of JPs in 2018: </w:t>
      </w:r>
    </w:p>
    <w:p w:rsidR="00032312" w:rsidRPr="00032312" w:rsidRDefault="00032312" w:rsidP="00032312">
      <w:pPr>
        <w:tabs>
          <w:tab w:val="left" w:pos="709"/>
        </w:tabs>
        <w:contextualSpacing/>
        <w:rPr>
          <w:rFonts w:cs="Arial"/>
          <w:szCs w:val="20"/>
        </w:rPr>
      </w:pPr>
    </w:p>
    <w:p w:rsidR="00032312" w:rsidRDefault="00032312" w:rsidP="00032312">
      <w:pPr>
        <w:keepNext/>
        <w:keepLines/>
        <w:rPr>
          <w:rFonts w:cs="Arial"/>
          <w:szCs w:val="20"/>
        </w:rPr>
      </w:pPr>
      <w:r>
        <w:rPr>
          <w:rFonts w:cs="Arial"/>
          <w:noProof/>
          <w:szCs w:val="20"/>
          <w:lang w:eastAsia="en-GB"/>
        </w:rPr>
        <w:drawing>
          <wp:inline distT="0" distB="0" distL="0" distR="0" wp14:anchorId="5C40C00C">
            <wp:extent cx="5426075" cy="3066415"/>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6075" cy="3066415"/>
                    </a:xfrm>
                    <a:prstGeom prst="rect">
                      <a:avLst/>
                    </a:prstGeom>
                    <a:noFill/>
                  </pic:spPr>
                </pic:pic>
              </a:graphicData>
            </a:graphic>
          </wp:inline>
        </w:drawing>
      </w:r>
    </w:p>
    <w:p w:rsidR="00032312" w:rsidRDefault="00032312" w:rsidP="00032312">
      <w:pPr>
        <w:keepNext/>
        <w:keepLines/>
        <w:rPr>
          <w:rFonts w:cs="Arial"/>
          <w:szCs w:val="20"/>
        </w:rPr>
      </w:pPr>
    </w:p>
    <w:p w:rsidR="00EE361F" w:rsidRDefault="00EE361F" w:rsidP="00032312">
      <w:pPr>
        <w:keepNext/>
        <w:keepLines/>
        <w:rPr>
          <w:rFonts w:cs="Arial"/>
          <w:szCs w:val="20"/>
        </w:rPr>
      </w:pPr>
    </w:p>
    <w:p w:rsidR="00032312" w:rsidRPr="00032312" w:rsidRDefault="00032312" w:rsidP="00032312">
      <w:pPr>
        <w:numPr>
          <w:ilvl w:val="0"/>
          <w:numId w:val="2"/>
        </w:numPr>
        <w:tabs>
          <w:tab w:val="left" w:pos="709"/>
        </w:tabs>
        <w:ind w:left="0" w:firstLine="0"/>
        <w:rPr>
          <w:rFonts w:cs="Arial"/>
          <w:szCs w:val="20"/>
        </w:rPr>
      </w:pPr>
      <w:r w:rsidRPr="00032312">
        <w:rPr>
          <w:rFonts w:cs="Arial"/>
          <w:szCs w:val="20"/>
        </w:rPr>
        <w:t xml:space="preserve">In terms of </w:t>
      </w:r>
      <w:r w:rsidRPr="00032312">
        <w:rPr>
          <w:rFonts w:cs="Arial"/>
          <w:b/>
          <w:szCs w:val="20"/>
        </w:rPr>
        <w:t xml:space="preserve">funding instruments, </w:t>
      </w:r>
      <w:r w:rsidRPr="00032312">
        <w:rPr>
          <w:rFonts w:cs="Arial"/>
          <w:szCs w:val="20"/>
        </w:rPr>
        <w:t xml:space="preserve">the bulk of JP co-operation is funded through the EU instruments of external action (with high preponderance of the Instrument of Pre-accession and the European Neighbourhood Instrument (74.7% of CBE 2018)). A number of other funding programmes and instruments were involved, none exceeding 10% individually.  </w:t>
      </w:r>
    </w:p>
    <w:p w:rsidR="00032312" w:rsidRPr="00032312" w:rsidRDefault="00032312" w:rsidP="00032312">
      <w:pPr>
        <w:rPr>
          <w:rFonts w:eastAsia="Times New Roman" w:cs="Arial"/>
          <w:b/>
          <w:szCs w:val="20"/>
          <w:lang w:eastAsia="fr-FR"/>
        </w:rPr>
      </w:pPr>
    </w:p>
    <w:p w:rsidR="00032312" w:rsidRPr="00032312" w:rsidRDefault="00032312" w:rsidP="00032312">
      <w:pPr>
        <w:rPr>
          <w:rFonts w:cs="Arial"/>
          <w:b/>
          <w:szCs w:val="20"/>
        </w:rPr>
      </w:pPr>
      <w:r w:rsidRPr="00032312">
        <w:rPr>
          <w:rFonts w:cs="Arial"/>
          <w:b/>
          <w:szCs w:val="20"/>
        </w:rPr>
        <w:t xml:space="preserve">III. </w:t>
      </w:r>
      <w:r w:rsidRPr="00032312">
        <w:rPr>
          <w:rFonts w:cs="Arial"/>
          <w:b/>
          <w:szCs w:val="20"/>
        </w:rPr>
        <w:tab/>
        <w:t xml:space="preserve">ACHIEVEMENTS OF JOINT PROGRAMME CO-OPERATION </w:t>
      </w:r>
    </w:p>
    <w:p w:rsidR="00032312" w:rsidRPr="00032312" w:rsidRDefault="00032312" w:rsidP="00032312">
      <w:pPr>
        <w:rPr>
          <w:rFonts w:eastAsia="Times New Roman" w:cs="Arial"/>
          <w:b/>
          <w:szCs w:val="20"/>
          <w:lang w:eastAsia="fr-FR"/>
        </w:rPr>
      </w:pPr>
    </w:p>
    <w:p w:rsidR="00032312" w:rsidRPr="00032312" w:rsidRDefault="00032312" w:rsidP="00032312">
      <w:pPr>
        <w:numPr>
          <w:ilvl w:val="0"/>
          <w:numId w:val="2"/>
        </w:numPr>
        <w:ind w:left="0" w:firstLine="0"/>
        <w:rPr>
          <w:rFonts w:eastAsia="Times New Roman" w:cs="Arial"/>
          <w:color w:val="000000" w:themeColor="text1"/>
          <w:szCs w:val="20"/>
          <w:lang w:eastAsia="fr-FR"/>
        </w:rPr>
      </w:pPr>
      <w:r w:rsidRPr="00032312">
        <w:rPr>
          <w:rFonts w:eastAsia="Times New Roman" w:cs="Arial"/>
          <w:color w:val="000000" w:themeColor="text1"/>
          <w:szCs w:val="20"/>
          <w:lang w:eastAsia="fr-FR"/>
        </w:rPr>
        <w:t xml:space="preserve">This section presents, in brief, the achievements of JP co-operation, with a particular focus on the Programmatic Facilities and the programmes in EU member States, in Turkey and in Central Asia. </w:t>
      </w:r>
    </w:p>
    <w:p w:rsidR="00032312" w:rsidRPr="00032312" w:rsidRDefault="00032312" w:rsidP="00032312">
      <w:pPr>
        <w:rPr>
          <w:rFonts w:eastAsia="Times New Roman" w:cs="Arial"/>
          <w:color w:val="000000" w:themeColor="text1"/>
          <w:szCs w:val="20"/>
          <w:lang w:eastAsia="fr-FR"/>
        </w:rPr>
      </w:pPr>
    </w:p>
    <w:p w:rsidR="00032312" w:rsidRPr="00032312" w:rsidRDefault="00032312" w:rsidP="00032312">
      <w:pPr>
        <w:numPr>
          <w:ilvl w:val="0"/>
          <w:numId w:val="2"/>
        </w:numPr>
        <w:ind w:left="0" w:firstLine="0"/>
        <w:rPr>
          <w:rFonts w:eastAsia="Times New Roman" w:cs="Arial"/>
          <w:color w:val="000000" w:themeColor="text1"/>
          <w:szCs w:val="20"/>
          <w:lang w:eastAsia="fr-FR"/>
        </w:rPr>
      </w:pPr>
      <w:r w:rsidRPr="00032312">
        <w:rPr>
          <w:rFonts w:eastAsia="Times New Roman" w:cs="Arial"/>
          <w:color w:val="000000" w:themeColor="text1"/>
          <w:szCs w:val="20"/>
          <w:lang w:eastAsia="fr-FR"/>
        </w:rPr>
        <w:t>Following the 2014 Statement of Intent on co-operation between the European Commission and the CoE, implementation of strategic co-operation frameworks has continued</w:t>
      </w:r>
      <w:r w:rsidRPr="00032312">
        <w:rPr>
          <w:rFonts w:eastAsia="Times New Roman" w:cs="Arial"/>
          <w:szCs w:val="20"/>
          <w:lang w:eastAsia="fr-FR"/>
        </w:rPr>
        <w:t xml:space="preserve"> through Regional Programmatic Facilities</w:t>
      </w:r>
      <w:r w:rsidRPr="00032312">
        <w:rPr>
          <w:rFonts w:eastAsia="Times New Roman" w:cs="Arial"/>
          <w:color w:val="000000" w:themeColor="text1"/>
          <w:szCs w:val="20"/>
          <w:lang w:eastAsia="fr-FR"/>
        </w:rPr>
        <w:t xml:space="preserve">, covering the EU Enlargement Region, the Eastern Partnership and Southern Mediterranean countries. These partnerships, aimed at ensuring predictable and flexible long-term engagement through reinforced upstream co-ordination on assistance to partner countries, have allowed for a result-oriented focus and led to measurable achievements. </w:t>
      </w:r>
    </w:p>
    <w:p w:rsidR="00032312" w:rsidRPr="00032312" w:rsidRDefault="00032312" w:rsidP="00032312">
      <w:pPr>
        <w:rPr>
          <w:rFonts w:eastAsia="Times New Roman" w:cs="Arial"/>
          <w:color w:val="000000" w:themeColor="text1"/>
          <w:szCs w:val="20"/>
          <w:lang w:eastAsia="fr-FR"/>
        </w:rPr>
      </w:pPr>
    </w:p>
    <w:p w:rsidR="00032312" w:rsidRPr="00032312" w:rsidRDefault="00032312" w:rsidP="00032312">
      <w:pPr>
        <w:numPr>
          <w:ilvl w:val="0"/>
          <w:numId w:val="2"/>
        </w:numPr>
        <w:ind w:left="0" w:firstLine="0"/>
        <w:rPr>
          <w:rFonts w:eastAsia="Times New Roman" w:cs="Arial"/>
          <w:b/>
          <w:szCs w:val="20"/>
          <w:lang w:eastAsia="fr-FR"/>
        </w:rPr>
      </w:pPr>
      <w:r w:rsidRPr="00032312">
        <w:rPr>
          <w:rFonts w:eastAsia="Times New Roman" w:cs="Arial"/>
          <w:b/>
          <w:szCs w:val="20"/>
          <w:lang w:eastAsia="fr-FR"/>
        </w:rPr>
        <w:t>Horizontal Facility for the Western Balkans and Turkey (“Horizontal Facility”):</w:t>
      </w:r>
    </w:p>
    <w:p w:rsidR="00032312" w:rsidRPr="00032312" w:rsidRDefault="00032312" w:rsidP="00032312">
      <w:pPr>
        <w:rPr>
          <w:rFonts w:eastAsia="Times New Roman" w:cs="Arial"/>
          <w:szCs w:val="20"/>
          <w:lang w:eastAsia="fr-FR"/>
        </w:rPr>
      </w:pPr>
    </w:p>
    <w:p w:rsidR="00032312" w:rsidRPr="00032312" w:rsidRDefault="00032312" w:rsidP="00032312">
      <w:pPr>
        <w:numPr>
          <w:ilvl w:val="0"/>
          <w:numId w:val="3"/>
        </w:numPr>
        <w:ind w:left="0" w:firstLine="0"/>
        <w:rPr>
          <w:rFonts w:eastAsia="Times New Roman" w:cs="Arial"/>
          <w:b/>
          <w:bCs/>
          <w:szCs w:val="20"/>
          <w:lang w:eastAsia="fr-FR"/>
        </w:rPr>
      </w:pPr>
      <w:r w:rsidRPr="00032312">
        <w:rPr>
          <w:rFonts w:eastAsia="Times New Roman" w:cs="Arial"/>
          <w:szCs w:val="20"/>
          <w:lang w:eastAsia="fr-FR"/>
        </w:rPr>
        <w:t>The Horizontal Facility for the Western Balkans and Turkey (€25 million</w:t>
      </w:r>
      <w:r w:rsidR="003A0B33">
        <w:rPr>
          <w:rFonts w:eastAsia="Times New Roman" w:cs="Arial"/>
          <w:szCs w:val="20"/>
          <w:lang w:eastAsia="fr-FR"/>
        </w:rPr>
        <w:t>,</w:t>
      </w:r>
      <w:r w:rsidRPr="00032312">
        <w:rPr>
          <w:rFonts w:eastAsia="Times New Roman" w:cs="Arial"/>
          <w:szCs w:val="20"/>
          <w:vertAlign w:val="superscript"/>
          <w:lang w:eastAsia="fr-FR"/>
        </w:rPr>
        <w:footnoteReference w:id="5"/>
      </w:r>
      <w:r w:rsidRPr="00032312">
        <w:rPr>
          <w:rFonts w:eastAsia="Times New Roman" w:cs="Arial"/>
          <w:szCs w:val="20"/>
          <w:lang w:eastAsia="fr-FR"/>
        </w:rPr>
        <w:t xml:space="preserve"> implementation period: May 2016 - May 2019) covers such areas as justice, fight against corruption, organised crime and economic crime, anti-discrimination and protection of the rights of vulnerable groups and trafficking in human beings, linked to relevant EU accession priorities. The Horizontal Facility is a flexible co-operation tool with a multi-</w:t>
      </w:r>
      <w:r w:rsidR="00B23C19" w:rsidRPr="00032312">
        <w:rPr>
          <w:rFonts w:eastAsia="Times New Roman" w:cs="Arial"/>
          <w:szCs w:val="20"/>
          <w:lang w:eastAsia="fr-FR"/>
        </w:rPr>
        <w:t>stakeholder’s</w:t>
      </w:r>
      <w:r w:rsidRPr="00032312">
        <w:rPr>
          <w:rFonts w:eastAsia="Times New Roman" w:cs="Arial"/>
          <w:szCs w:val="20"/>
          <w:lang w:eastAsia="fr-FR"/>
        </w:rPr>
        <w:t xml:space="preserve"> approach, which provides programmatic support to beneficiaries in addressing the recommendations of CoE monitoring bodies in the areas mentioned above.</w:t>
      </w:r>
      <w:r>
        <w:rPr>
          <w:rFonts w:eastAsia="Times New Roman" w:cs="Arial"/>
          <w:szCs w:val="20"/>
          <w:lang w:eastAsia="fr-FR"/>
        </w:rPr>
        <w:t xml:space="preserve"> </w:t>
      </w:r>
      <w:r w:rsidRPr="00032312">
        <w:rPr>
          <w:rFonts w:eastAsia="Times New Roman" w:cs="Arial"/>
          <w:szCs w:val="20"/>
          <w:lang w:eastAsia="fr-FR"/>
        </w:rPr>
        <w:t>A non-exhaustive list of the results which have been achieved so far includes:</w:t>
      </w:r>
    </w:p>
    <w:p w:rsidR="00032312" w:rsidRPr="00032312" w:rsidRDefault="00032312" w:rsidP="00032312">
      <w:pPr>
        <w:rPr>
          <w:rFonts w:cs="Arial"/>
          <w:szCs w:val="20"/>
        </w:rPr>
      </w:pPr>
    </w:p>
    <w:p w:rsidR="00BE7EEE" w:rsidRDefault="00032312" w:rsidP="00032312">
      <w:pPr>
        <w:numPr>
          <w:ilvl w:val="0"/>
          <w:numId w:val="3"/>
        </w:numPr>
        <w:ind w:left="0" w:firstLine="0"/>
        <w:rPr>
          <w:rFonts w:eastAsia="Times New Roman" w:cs="Arial"/>
          <w:szCs w:val="20"/>
          <w:lang w:eastAsia="fr-FR"/>
        </w:rPr>
      </w:pPr>
      <w:r w:rsidRPr="00032312">
        <w:rPr>
          <w:rFonts w:eastAsia="Times New Roman" w:cs="Arial"/>
          <w:b/>
          <w:szCs w:val="20"/>
          <w:lang w:eastAsia="fr-FR"/>
        </w:rPr>
        <w:t>In the field of prisons and police,</w:t>
      </w:r>
      <w:r w:rsidRPr="00032312">
        <w:rPr>
          <w:rFonts w:eastAsia="Times New Roman" w:cs="Arial"/>
          <w:szCs w:val="20"/>
          <w:lang w:eastAsia="fr-FR"/>
        </w:rPr>
        <w:t xml:space="preserve"> support provided to national reforms has resulted in the adoption, in October 2018, of all laws providing for the setting-up of an independent oversight mechanism in North Macedonia. In Kosovo</w:t>
      </w:r>
      <w:r w:rsidR="00C57544">
        <w:rPr>
          <w:rFonts w:eastAsia="Times New Roman" w:cs="Arial"/>
          <w:szCs w:val="20"/>
          <w:lang w:eastAsia="fr-FR"/>
        </w:rPr>
        <w:t>*</w:t>
      </w:r>
      <w:r w:rsidRPr="00032312">
        <w:rPr>
          <w:rFonts w:eastAsia="Times New Roman" w:cs="Arial"/>
          <w:szCs w:val="20"/>
          <w:lang w:eastAsia="fr-FR"/>
        </w:rPr>
        <w:t xml:space="preserve">*, standard operating procedures on the provision of health care in prisons </w:t>
      </w:r>
    </w:p>
    <w:p w:rsidR="00BE7EEE" w:rsidRDefault="00BE7EEE">
      <w:pPr>
        <w:rPr>
          <w:rFonts w:eastAsia="Times New Roman" w:cs="Arial"/>
          <w:szCs w:val="20"/>
          <w:lang w:eastAsia="fr-FR"/>
        </w:rPr>
      </w:pPr>
      <w:r>
        <w:rPr>
          <w:rFonts w:eastAsia="Times New Roman" w:cs="Arial"/>
          <w:szCs w:val="20"/>
          <w:lang w:eastAsia="fr-FR"/>
        </w:rPr>
        <w:br w:type="page"/>
      </w:r>
    </w:p>
    <w:p w:rsidR="00032312" w:rsidRPr="00032312" w:rsidRDefault="00032312" w:rsidP="00BE7EEE">
      <w:pPr>
        <w:rPr>
          <w:rFonts w:eastAsia="Times New Roman" w:cs="Arial"/>
          <w:szCs w:val="20"/>
          <w:lang w:eastAsia="fr-FR"/>
        </w:rPr>
      </w:pPr>
      <w:r w:rsidRPr="00032312">
        <w:rPr>
          <w:rFonts w:eastAsia="Times New Roman" w:cs="Arial"/>
          <w:szCs w:val="20"/>
          <w:lang w:eastAsia="fr-FR"/>
        </w:rPr>
        <w:lastRenderedPageBreak/>
        <w:t xml:space="preserve">were improved, including training for staff; implementation of these improved procedures is underway, contributing to better healthcare protection in prisons. </w:t>
      </w:r>
    </w:p>
    <w:p w:rsidR="00032312" w:rsidRPr="00032312" w:rsidRDefault="00032312" w:rsidP="00032312">
      <w:pPr>
        <w:rPr>
          <w:rFonts w:eastAsia="Times New Roman" w:cs="Arial"/>
          <w:szCs w:val="20"/>
          <w:lang w:eastAsia="fr-FR"/>
        </w:rPr>
      </w:pPr>
    </w:p>
    <w:p w:rsidR="00032312" w:rsidRPr="00032312" w:rsidRDefault="00032312" w:rsidP="00032312">
      <w:pPr>
        <w:numPr>
          <w:ilvl w:val="0"/>
          <w:numId w:val="3"/>
        </w:numPr>
        <w:ind w:left="0" w:firstLine="0"/>
        <w:rPr>
          <w:rFonts w:eastAsia="Times New Roman" w:cs="Arial"/>
          <w:szCs w:val="20"/>
          <w:lang w:eastAsia="fr-FR"/>
        </w:rPr>
      </w:pPr>
      <w:bookmarkStart w:id="1" w:name="_Hlk4164013"/>
      <w:r w:rsidRPr="00032312">
        <w:rPr>
          <w:rFonts w:eastAsia="Times New Roman" w:cs="Arial"/>
          <w:b/>
          <w:szCs w:val="20"/>
          <w:lang w:eastAsia="fr-FR"/>
        </w:rPr>
        <w:t>In the field of the judiciary,</w:t>
      </w:r>
      <w:r w:rsidRPr="00032312">
        <w:rPr>
          <w:rFonts w:eastAsia="Times New Roman" w:cs="Arial"/>
          <w:szCs w:val="20"/>
          <w:lang w:eastAsia="fr-FR"/>
        </w:rPr>
        <w:t xml:space="preserve"> work with the Constitutional Court in North Macedonia contributed to changes in its practice concerning the holding of public hearings in cases related to freedom of expression in line with the European Convention on Human Rights (ECHR). In Montenegro, in 2018, the Constitutional Court issued an important judgment finding violations of principles of effective investigation in a case of ill-treatment which demonstrated a high level of “ownership” of Montenegrin judges of European standards and the European Court of Human Rights (ECtHR) case-law. In Albania, the State Advocate Law was amended on 22 November 2018, reinforcing domestic capacity to effectively execute ECtHR judgments and thus bring Albanian legislation closer to the European standards. Support to Montenegro for developing an effective system for the evaluation of judges’ performance continued with around 15% of judges having been evaluated so far. </w:t>
      </w:r>
    </w:p>
    <w:p w:rsidR="00032312" w:rsidRPr="00032312" w:rsidRDefault="00032312" w:rsidP="00032312">
      <w:pPr>
        <w:rPr>
          <w:rFonts w:cs="Arial"/>
          <w:szCs w:val="20"/>
        </w:rPr>
      </w:pPr>
    </w:p>
    <w:p w:rsidR="00032312" w:rsidRPr="00032312" w:rsidRDefault="00032312" w:rsidP="00032312">
      <w:pPr>
        <w:numPr>
          <w:ilvl w:val="0"/>
          <w:numId w:val="3"/>
        </w:numPr>
        <w:ind w:left="0" w:firstLine="0"/>
        <w:rPr>
          <w:rFonts w:eastAsia="Times New Roman" w:cs="Arial"/>
          <w:szCs w:val="20"/>
          <w:lang w:eastAsia="fr-FR"/>
        </w:rPr>
      </w:pPr>
      <w:r w:rsidRPr="00032312">
        <w:rPr>
          <w:rFonts w:eastAsia="Times New Roman" w:cs="Arial"/>
          <w:szCs w:val="20"/>
          <w:lang w:eastAsia="fr-FR"/>
        </w:rPr>
        <w:t xml:space="preserve">Actions undertaken in the areas of </w:t>
      </w:r>
      <w:r w:rsidRPr="00032312">
        <w:rPr>
          <w:rFonts w:eastAsia="Times New Roman" w:cs="Arial"/>
          <w:b/>
          <w:szCs w:val="20"/>
          <w:lang w:eastAsia="fr-FR"/>
        </w:rPr>
        <w:t xml:space="preserve">fight against corruption, money-laundering and the financing of terrorism </w:t>
      </w:r>
      <w:r w:rsidRPr="00032312">
        <w:rPr>
          <w:rFonts w:eastAsia="Times New Roman" w:cs="Arial"/>
          <w:szCs w:val="20"/>
          <w:lang w:eastAsia="fr-FR"/>
        </w:rPr>
        <w:t xml:space="preserve">have also led to concrete results. For example, in Montenegro, monitoring political and electoral campaign funding was improved through a newly developed methodology applied by the Agency for the Prevention of Corruption during the local elections in 2018. The methodology helps detect and process irregularities in electoral campaign funding, thus making the monitoring more efficient. </w:t>
      </w:r>
    </w:p>
    <w:p w:rsidR="00032312" w:rsidRPr="00032312" w:rsidRDefault="00032312" w:rsidP="00032312">
      <w:pPr>
        <w:rPr>
          <w:rFonts w:eastAsia="Times New Roman" w:cs="Arial"/>
          <w:b/>
          <w:bCs/>
          <w:szCs w:val="20"/>
          <w:lang w:eastAsia="fr-FR"/>
        </w:rPr>
      </w:pPr>
      <w:r w:rsidRPr="00032312">
        <w:rPr>
          <w:rFonts w:eastAsia="Times New Roman" w:cs="Arial"/>
          <w:szCs w:val="20"/>
          <w:lang w:eastAsia="fr-FR"/>
        </w:rPr>
        <w:t> </w:t>
      </w:r>
    </w:p>
    <w:p w:rsidR="00032312" w:rsidRPr="00032312" w:rsidRDefault="00032312" w:rsidP="00032312">
      <w:pPr>
        <w:numPr>
          <w:ilvl w:val="0"/>
          <w:numId w:val="13"/>
        </w:numPr>
        <w:ind w:left="0" w:firstLine="0"/>
        <w:rPr>
          <w:rFonts w:eastAsia="Times New Roman" w:cs="Arial"/>
          <w:szCs w:val="20"/>
        </w:rPr>
      </w:pPr>
      <w:r w:rsidRPr="00032312">
        <w:rPr>
          <w:rFonts w:eastAsia="Times New Roman" w:cs="Arial"/>
          <w:szCs w:val="20"/>
          <w:lang w:eastAsia="fr-FR"/>
        </w:rPr>
        <w:t xml:space="preserve">Support provided in the fields of </w:t>
      </w:r>
      <w:r w:rsidRPr="00032312">
        <w:rPr>
          <w:rFonts w:eastAsia="Times New Roman" w:cs="Arial"/>
          <w:b/>
          <w:szCs w:val="20"/>
          <w:lang w:eastAsia="fr-FR"/>
        </w:rPr>
        <w:t>anti-discrimination and the protection of the rights of vulnerable groups</w:t>
      </w:r>
      <w:r w:rsidRPr="00032312">
        <w:rPr>
          <w:rFonts w:eastAsia="Times New Roman" w:cs="Arial"/>
          <w:szCs w:val="20"/>
          <w:lang w:eastAsia="fr-FR"/>
        </w:rPr>
        <w:t xml:space="preserve"> in Bosnia and Herzegovina has achieved a progress through facilitating dialogue between the Ombudsman Institution and more than 50 public institutions at central, regional and municipal level, resulting in enhanced implementation of the Institution’s recommendations. In Albania, attitudes towards bullying in schools have improved as direct impact of campaigning.</w:t>
      </w:r>
      <w:r>
        <w:rPr>
          <w:rFonts w:eastAsia="Times New Roman" w:cs="Arial"/>
          <w:szCs w:val="20"/>
          <w:lang w:eastAsia="fr-FR"/>
        </w:rPr>
        <w:t xml:space="preserve"> </w:t>
      </w:r>
      <w:r w:rsidRPr="00032312">
        <w:rPr>
          <w:rFonts w:eastAsia="Times New Roman" w:cs="Arial"/>
          <w:szCs w:val="20"/>
          <w:lang w:eastAsia="fr-FR"/>
        </w:rPr>
        <w:t>While 21 November was declared “</w:t>
      </w:r>
      <w:r w:rsidRPr="00032312">
        <w:rPr>
          <w:rFonts w:eastAsia="Times New Roman" w:cs="Arial"/>
          <w:szCs w:val="20"/>
        </w:rPr>
        <w:t>anti-bullying day”, pilot schools developed specific action plans and started their implementation during the 2018/2019 school year. Efforts were made to better monitor and to improve the referral systems regarding cases of bullying at school.</w:t>
      </w:r>
    </w:p>
    <w:p w:rsidR="00032312" w:rsidRPr="00032312" w:rsidRDefault="00032312" w:rsidP="00032312">
      <w:pPr>
        <w:rPr>
          <w:rFonts w:cs="Arial"/>
          <w:b/>
          <w:bCs/>
          <w:szCs w:val="20"/>
          <w:lang w:eastAsia="fr-FR"/>
        </w:rPr>
      </w:pPr>
    </w:p>
    <w:p w:rsidR="00032312" w:rsidRPr="00032312" w:rsidRDefault="00032312" w:rsidP="00032312">
      <w:pPr>
        <w:numPr>
          <w:ilvl w:val="0"/>
          <w:numId w:val="3"/>
        </w:numPr>
        <w:ind w:left="0" w:firstLine="0"/>
        <w:rPr>
          <w:rFonts w:eastAsia="Times New Roman" w:cs="Arial"/>
          <w:szCs w:val="20"/>
          <w:lang w:eastAsia="fr-FR"/>
        </w:rPr>
      </w:pPr>
      <w:r w:rsidRPr="00032312">
        <w:rPr>
          <w:rFonts w:eastAsia="Times New Roman" w:cs="Arial"/>
          <w:szCs w:val="20"/>
          <w:lang w:eastAsia="fr-FR"/>
        </w:rPr>
        <w:t xml:space="preserve">In the area of </w:t>
      </w:r>
      <w:r w:rsidRPr="00032312">
        <w:rPr>
          <w:rFonts w:eastAsia="Times New Roman" w:cs="Arial"/>
          <w:b/>
          <w:szCs w:val="20"/>
          <w:lang w:eastAsia="fr-FR"/>
        </w:rPr>
        <w:t>trafficking in human beings</w:t>
      </w:r>
      <w:r w:rsidRPr="00032312">
        <w:rPr>
          <w:rFonts w:eastAsia="Times New Roman" w:cs="Arial"/>
          <w:szCs w:val="20"/>
          <w:lang w:eastAsia="fr-FR"/>
        </w:rPr>
        <w:t>, 40% of the labour inspectors in Serbia were trained in human trafficking issues. In North Macedonia, steps were taken towards establishing a State compensation Fund accessible to victims of human trafficking. The establishment of such a fund was included in the Strategy for the Justice Sector Reform and the Action Plan 2019 of the Ministry of Justice.</w:t>
      </w:r>
    </w:p>
    <w:p w:rsidR="00032312" w:rsidRPr="00032312" w:rsidRDefault="00032312" w:rsidP="00032312">
      <w:pPr>
        <w:rPr>
          <w:rFonts w:cs="Arial"/>
          <w:b/>
          <w:bCs/>
          <w:szCs w:val="20"/>
        </w:rPr>
      </w:pPr>
    </w:p>
    <w:p w:rsidR="00032312" w:rsidRPr="00032312" w:rsidRDefault="00032312" w:rsidP="00032312">
      <w:pPr>
        <w:numPr>
          <w:ilvl w:val="0"/>
          <w:numId w:val="3"/>
        </w:numPr>
        <w:ind w:left="0" w:firstLine="0"/>
        <w:rPr>
          <w:rFonts w:eastAsia="Times New Roman" w:cs="Arial"/>
          <w:b/>
          <w:bCs/>
          <w:szCs w:val="20"/>
          <w:lang w:eastAsia="fr-FR"/>
        </w:rPr>
      </w:pPr>
      <w:r w:rsidRPr="00032312">
        <w:rPr>
          <w:rFonts w:eastAsia="Times New Roman" w:cs="Arial"/>
          <w:szCs w:val="20"/>
          <w:lang w:eastAsia="fr-FR"/>
        </w:rPr>
        <w:t xml:space="preserve">Through the </w:t>
      </w:r>
      <w:r w:rsidRPr="00032312">
        <w:rPr>
          <w:rFonts w:eastAsia="Times New Roman" w:cs="Arial"/>
          <w:b/>
          <w:szCs w:val="20"/>
          <w:lang w:eastAsia="fr-FR"/>
        </w:rPr>
        <w:t>Expertise Co-ordination Mechanism</w:t>
      </w:r>
      <w:r w:rsidRPr="00032312">
        <w:rPr>
          <w:rFonts w:eastAsia="Times New Roman" w:cs="Arial"/>
          <w:szCs w:val="20"/>
          <w:lang w:eastAsia="fr-FR"/>
        </w:rPr>
        <w:t xml:space="preserve"> (ECM) of the Horizontal Facility, which is also available for Turkey, the CoE provides ad-hoc legal expertise and policy advice upon request. In 2018, through the ECM, assistance was provided in particular to Albania, Bosnia and Herzegovina, Kosovo</w:t>
      </w:r>
      <w:r w:rsidR="00820FE6">
        <w:rPr>
          <w:rFonts w:eastAsia="Times New Roman" w:cs="Arial"/>
          <w:szCs w:val="20"/>
          <w:lang w:eastAsia="fr-FR"/>
        </w:rPr>
        <w:t>**</w:t>
      </w:r>
      <w:r w:rsidRPr="00032312">
        <w:rPr>
          <w:rFonts w:eastAsia="Times New Roman" w:cs="Arial"/>
          <w:szCs w:val="20"/>
          <w:lang w:eastAsia="fr-FR"/>
        </w:rPr>
        <w:t>, Montenegro, North Macedonia and Serbia in the areas of constitutional reform, justice reform, electoral processes, political parties financing, anti-discrimination and freedom of media.</w:t>
      </w:r>
    </w:p>
    <w:p w:rsidR="00032312" w:rsidRPr="00032312" w:rsidRDefault="00032312" w:rsidP="00032312">
      <w:pPr>
        <w:rPr>
          <w:rFonts w:eastAsia="Times New Roman" w:cs="Arial"/>
          <w:b/>
          <w:bCs/>
          <w:szCs w:val="20"/>
          <w:lang w:eastAsia="fr-FR"/>
        </w:rPr>
      </w:pPr>
    </w:p>
    <w:p w:rsidR="00032312" w:rsidRPr="00032312" w:rsidRDefault="00032312" w:rsidP="00032312">
      <w:pPr>
        <w:numPr>
          <w:ilvl w:val="0"/>
          <w:numId w:val="3"/>
        </w:numPr>
        <w:ind w:left="0" w:firstLine="0"/>
        <w:rPr>
          <w:rFonts w:eastAsia="Times New Roman" w:cs="Arial"/>
          <w:b/>
          <w:bCs/>
          <w:szCs w:val="20"/>
          <w:lang w:eastAsia="fr-FR"/>
        </w:rPr>
      </w:pPr>
      <w:r w:rsidRPr="00032312">
        <w:rPr>
          <w:rFonts w:eastAsia="Times New Roman" w:cs="Arial"/>
          <w:szCs w:val="20"/>
          <w:lang w:eastAsia="fr-FR"/>
        </w:rPr>
        <w:t>Negotiations of the second phase of the Horizontal Facility (€41 million</w:t>
      </w:r>
      <w:bookmarkEnd w:id="1"/>
      <w:r>
        <w:rPr>
          <w:rFonts w:eastAsia="Times New Roman" w:cs="Arial"/>
          <w:szCs w:val="20"/>
          <w:lang w:eastAsia="fr-FR"/>
        </w:rPr>
        <w:t>,</w:t>
      </w:r>
      <w:r w:rsidRPr="00032312">
        <w:rPr>
          <w:rFonts w:eastAsia="Times New Roman" w:cs="Arial"/>
          <w:szCs w:val="20"/>
          <w:vertAlign w:val="superscript"/>
          <w:lang w:eastAsia="fr-FR"/>
        </w:rPr>
        <w:footnoteReference w:id="6"/>
      </w:r>
      <w:r w:rsidRPr="00032312">
        <w:rPr>
          <w:rFonts w:eastAsia="Times New Roman" w:cs="Arial"/>
          <w:szCs w:val="20"/>
          <w:lang w:eastAsia="fr-FR"/>
        </w:rPr>
        <w:t xml:space="preserve"> from May 2019 to May 2022) are well advanced. It will build on actions conducted during the first phase to further support the sustainability of results. The scope will be enlarged to include freedom of expression and freedom of media in continuity of the current JP “Reinforcing Judicial Expertise on Freedom of Expression and the Media in South-East Europe” (JUFREX). The regional dimension of the Horizontal Facility will be further strengthened by linking it to the EU Regional Strategy for Western Balkans.</w:t>
      </w:r>
    </w:p>
    <w:p w:rsidR="00032312" w:rsidRPr="00032312" w:rsidRDefault="00032312" w:rsidP="00032312">
      <w:pPr>
        <w:rPr>
          <w:rFonts w:eastAsia="Times New Roman" w:cs="Arial"/>
          <w:smallCaps/>
          <w:szCs w:val="20"/>
          <w:lang w:eastAsia="fr-FR"/>
        </w:rPr>
      </w:pPr>
    </w:p>
    <w:p w:rsidR="00032312" w:rsidRPr="00032312" w:rsidRDefault="00032312" w:rsidP="00032312">
      <w:pPr>
        <w:numPr>
          <w:ilvl w:val="0"/>
          <w:numId w:val="2"/>
        </w:numPr>
        <w:ind w:left="0" w:firstLine="0"/>
        <w:rPr>
          <w:rFonts w:eastAsia="Times New Roman" w:cs="Arial"/>
          <w:b/>
          <w:smallCaps/>
          <w:szCs w:val="20"/>
          <w:lang w:eastAsia="fr-FR"/>
        </w:rPr>
      </w:pPr>
      <w:r w:rsidRPr="00032312">
        <w:rPr>
          <w:rFonts w:eastAsia="Times New Roman" w:cs="Arial"/>
          <w:b/>
          <w:szCs w:val="20"/>
          <w:lang w:eastAsia="fr-FR"/>
        </w:rPr>
        <w:t>Partnership for Good Governance (PGG)</w:t>
      </w:r>
      <w:r w:rsidRPr="00032312">
        <w:rPr>
          <w:rFonts w:eastAsia="Times New Roman" w:cs="Arial"/>
          <w:b/>
          <w:szCs w:val="20"/>
          <w:vertAlign w:val="superscript"/>
          <w:lang w:eastAsia="fr-FR"/>
        </w:rPr>
        <w:footnoteReference w:id="7"/>
      </w:r>
      <w:r w:rsidRPr="00032312">
        <w:rPr>
          <w:rFonts w:eastAsia="Times New Roman" w:cs="Arial"/>
          <w:b/>
          <w:szCs w:val="20"/>
          <w:lang w:eastAsia="fr-FR"/>
        </w:rPr>
        <w:t xml:space="preserve">: </w:t>
      </w:r>
    </w:p>
    <w:p w:rsidR="00032312" w:rsidRPr="00032312" w:rsidRDefault="00032312" w:rsidP="00032312">
      <w:pPr>
        <w:rPr>
          <w:rFonts w:cs="Arial"/>
          <w:b/>
          <w:caps/>
          <w:szCs w:val="20"/>
        </w:rPr>
      </w:pPr>
    </w:p>
    <w:p w:rsidR="00BE7EEE" w:rsidRDefault="00032312" w:rsidP="00EB7007">
      <w:pPr>
        <w:numPr>
          <w:ilvl w:val="0"/>
          <w:numId w:val="3"/>
        </w:numPr>
        <w:ind w:left="0" w:firstLine="0"/>
        <w:rPr>
          <w:rFonts w:cs="Arial"/>
          <w:szCs w:val="20"/>
        </w:rPr>
      </w:pPr>
      <w:r w:rsidRPr="00032312">
        <w:rPr>
          <w:rFonts w:eastAsia="Times New Roman" w:cs="Arial"/>
          <w:szCs w:val="20"/>
          <w:lang w:eastAsia="fr-FR"/>
        </w:rPr>
        <w:t xml:space="preserve">In the countries of the </w:t>
      </w:r>
      <w:proofErr w:type="spellStart"/>
      <w:r w:rsidRPr="00032312">
        <w:rPr>
          <w:rFonts w:eastAsia="Times New Roman" w:cs="Arial"/>
          <w:szCs w:val="20"/>
          <w:lang w:eastAsia="fr-FR"/>
        </w:rPr>
        <w:t>EaP</w:t>
      </w:r>
      <w:proofErr w:type="spellEnd"/>
      <w:r w:rsidRPr="00032312">
        <w:rPr>
          <w:rFonts w:eastAsia="Times New Roman" w:cs="Arial"/>
          <w:szCs w:val="20"/>
          <w:lang w:eastAsia="fr-FR"/>
        </w:rPr>
        <w:t xml:space="preserve">, co-operation continued through the “Partnership </w:t>
      </w:r>
      <w:r w:rsidRPr="00032312">
        <w:rPr>
          <w:rFonts w:cs="Arial"/>
          <w:szCs w:val="20"/>
        </w:rPr>
        <w:t>for Good Governance” (PGG). PGG phase I 2015-2017, extended to 2018 (total €36 million</w:t>
      </w:r>
      <w:r w:rsidRPr="00032312">
        <w:rPr>
          <w:rFonts w:cs="Arial"/>
          <w:szCs w:val="20"/>
          <w:vertAlign w:val="superscript"/>
        </w:rPr>
        <w:footnoteReference w:id="8"/>
      </w:r>
      <w:r w:rsidRPr="00032312">
        <w:rPr>
          <w:rFonts w:cs="Arial"/>
          <w:szCs w:val="20"/>
        </w:rPr>
        <w:t>), has been completed. The independent result-oriented monitoring (ROM) report, commissioned by the EU,</w:t>
      </w:r>
      <w:r w:rsidRPr="00032312">
        <w:rPr>
          <w:rFonts w:cs="Arial"/>
          <w:szCs w:val="20"/>
          <w:vertAlign w:val="superscript"/>
        </w:rPr>
        <w:t xml:space="preserve"> </w:t>
      </w:r>
      <w:r w:rsidRPr="00032312">
        <w:rPr>
          <w:rFonts w:cs="Arial"/>
          <w:szCs w:val="20"/>
        </w:rPr>
        <w:t xml:space="preserve">underlined that the assistance delivered under the phase I of PGG was highly relevant, effective and sustainable. Regarding </w:t>
      </w:r>
    </w:p>
    <w:p w:rsidR="00BE7EEE" w:rsidRDefault="00BE7EEE">
      <w:pPr>
        <w:rPr>
          <w:rFonts w:cs="Arial"/>
          <w:szCs w:val="20"/>
        </w:rPr>
      </w:pPr>
      <w:r>
        <w:rPr>
          <w:rFonts w:cs="Arial"/>
          <w:szCs w:val="20"/>
        </w:rPr>
        <w:br w:type="page"/>
      </w:r>
    </w:p>
    <w:p w:rsidR="00032312" w:rsidRPr="00BE7EEE" w:rsidRDefault="00032312" w:rsidP="00BE7EEE">
      <w:pPr>
        <w:rPr>
          <w:rFonts w:cs="Arial"/>
          <w:szCs w:val="20"/>
        </w:rPr>
      </w:pPr>
      <w:r w:rsidRPr="00032312">
        <w:rPr>
          <w:rFonts w:cs="Arial"/>
          <w:szCs w:val="20"/>
        </w:rPr>
        <w:lastRenderedPageBreak/>
        <w:t>relevance, the ROM report based its assessment on consultation processes and stakeholders’ feedback</w:t>
      </w:r>
      <w:r>
        <w:rPr>
          <w:rFonts w:cs="Arial"/>
          <w:szCs w:val="20"/>
        </w:rPr>
        <w:t>,</w:t>
      </w:r>
      <w:r w:rsidRPr="00032312">
        <w:rPr>
          <w:rFonts w:cs="Arial"/>
          <w:szCs w:val="20"/>
          <w:vertAlign w:val="superscript"/>
        </w:rPr>
        <w:footnoteReference w:id="9"/>
      </w:r>
      <w:r w:rsidRPr="00032312">
        <w:rPr>
          <w:rFonts w:cs="Arial"/>
          <w:szCs w:val="20"/>
        </w:rPr>
        <w:t xml:space="preserve"> and further noted that the CoE had demonstrated flexibility by adapting to emerging needs. Concerning </w:t>
      </w:r>
      <w:r w:rsidRPr="00BE7EEE">
        <w:rPr>
          <w:rFonts w:cs="Arial"/>
          <w:szCs w:val="20"/>
        </w:rPr>
        <w:t xml:space="preserve">effectiveness, the report praised the quality of experts involved in the projects. Sustainability was considered as “quite high” across the programme under all themes and in all the countries involved. </w:t>
      </w:r>
    </w:p>
    <w:p w:rsidR="00032312" w:rsidRPr="00032312" w:rsidRDefault="00032312" w:rsidP="00032312">
      <w:pPr>
        <w:autoSpaceDE w:val="0"/>
        <w:autoSpaceDN w:val="0"/>
        <w:contextualSpacing/>
        <w:rPr>
          <w:rFonts w:eastAsia="Times New Roman" w:cs="Arial"/>
          <w:szCs w:val="20"/>
          <w:lang w:eastAsia="fr-FR"/>
        </w:rPr>
      </w:pPr>
    </w:p>
    <w:p w:rsidR="00032312" w:rsidRPr="00032312" w:rsidRDefault="00032312" w:rsidP="00032312">
      <w:pPr>
        <w:numPr>
          <w:ilvl w:val="0"/>
          <w:numId w:val="3"/>
        </w:numPr>
        <w:ind w:left="0" w:firstLine="0"/>
        <w:contextualSpacing/>
        <w:rPr>
          <w:rFonts w:eastAsia="Times New Roman" w:cs="Arial"/>
          <w:szCs w:val="20"/>
          <w:lang w:eastAsia="fr-FR"/>
        </w:rPr>
      </w:pPr>
      <w:r w:rsidRPr="00032312">
        <w:rPr>
          <w:rFonts w:eastAsia="Times New Roman" w:cs="Arial"/>
          <w:szCs w:val="20"/>
          <w:lang w:eastAsia="fr-FR"/>
        </w:rPr>
        <w:t xml:space="preserve">The work undertaken </w:t>
      </w:r>
      <w:r w:rsidRPr="00032312">
        <w:rPr>
          <w:rFonts w:eastAsia="Times New Roman" w:cs="Arial"/>
          <w:szCs w:val="20"/>
          <w:lang w:eastAsia="ru-RU"/>
        </w:rPr>
        <w:t>under PGG</w:t>
      </w:r>
      <w:r w:rsidRPr="00032312">
        <w:rPr>
          <w:rFonts w:eastAsia="Times New Roman" w:cs="Arial"/>
          <w:szCs w:val="20"/>
          <w:lang w:eastAsia="fr-FR"/>
        </w:rPr>
        <w:t xml:space="preserve"> I resulted in 26</w:t>
      </w:r>
      <w:r w:rsidRPr="00032312">
        <w:rPr>
          <w:rFonts w:eastAsia="Times New Roman" w:cs="Arial"/>
          <w:szCs w:val="20"/>
          <w:lang w:eastAsia="ru-RU"/>
        </w:rPr>
        <w:t xml:space="preserve"> laws, strategy papers and opinions reviewed or adopted. For example, </w:t>
      </w:r>
      <w:r w:rsidRPr="00032312">
        <w:rPr>
          <w:rFonts w:eastAsia="Times New Roman" w:cs="Arial"/>
          <w:szCs w:val="20"/>
          <w:lang w:eastAsia="fr-FR"/>
        </w:rPr>
        <w:t>following the recommendations provided by the Venice Commission, amendments to the Electoral Codes were adopted in Armenia and Georgia. The amendments concerned shortcomings with regard to the number of voters, representing an important step forward for holding elections respecting the principle of equal suffrage.</w:t>
      </w:r>
    </w:p>
    <w:p w:rsidR="00032312" w:rsidRPr="00032312" w:rsidRDefault="00032312" w:rsidP="00032312">
      <w:pPr>
        <w:contextualSpacing/>
        <w:rPr>
          <w:rFonts w:eastAsia="Times New Roman" w:cs="Arial"/>
          <w:szCs w:val="20"/>
          <w:lang w:eastAsia="fr-FR"/>
        </w:rPr>
      </w:pPr>
    </w:p>
    <w:p w:rsidR="00032312" w:rsidRPr="00032312" w:rsidRDefault="00032312" w:rsidP="00032312">
      <w:pPr>
        <w:numPr>
          <w:ilvl w:val="0"/>
          <w:numId w:val="3"/>
        </w:numPr>
        <w:ind w:left="0" w:firstLine="0"/>
        <w:contextualSpacing/>
        <w:rPr>
          <w:rFonts w:eastAsia="Times New Roman" w:cs="Arial"/>
          <w:szCs w:val="20"/>
          <w:lang w:eastAsia="fr-FR"/>
        </w:rPr>
      </w:pPr>
      <w:r w:rsidRPr="00032312">
        <w:rPr>
          <w:rFonts w:eastAsia="Times New Roman" w:cs="Arial"/>
          <w:szCs w:val="20"/>
          <w:lang w:eastAsia="fr-FR"/>
        </w:rPr>
        <w:t xml:space="preserve">The PGG contributed to promoting and implementing the principles of the CoE Convention on preventing and combating violence against women and domestic violence (Istanbul Convention). During the first phase of the PGG, Armenia and the Republic of Moldova signed, and Georgia ratified, the Istanbul Convention.  </w:t>
      </w:r>
    </w:p>
    <w:p w:rsidR="00032312" w:rsidRPr="00032312" w:rsidRDefault="00032312" w:rsidP="00032312">
      <w:pPr>
        <w:rPr>
          <w:rFonts w:eastAsia="Times New Roman" w:cs="Arial"/>
          <w:szCs w:val="20"/>
          <w:lang w:eastAsia="fr-FR"/>
        </w:rPr>
      </w:pPr>
    </w:p>
    <w:p w:rsidR="00032312" w:rsidRPr="00032312" w:rsidRDefault="00032312" w:rsidP="00032312">
      <w:pPr>
        <w:numPr>
          <w:ilvl w:val="0"/>
          <w:numId w:val="12"/>
        </w:numPr>
        <w:ind w:left="0" w:firstLine="0"/>
        <w:contextualSpacing/>
        <w:rPr>
          <w:rFonts w:eastAsia="Times New Roman" w:cs="Arial"/>
          <w:szCs w:val="20"/>
          <w:lang w:eastAsia="fr-FR"/>
        </w:rPr>
      </w:pPr>
      <w:r w:rsidRPr="00032312">
        <w:rPr>
          <w:rFonts w:eastAsia="Times New Roman" w:cs="Arial"/>
          <w:bCs/>
          <w:iCs/>
          <w:szCs w:val="20"/>
          <w:lang w:eastAsia="fr-FR"/>
        </w:rPr>
        <w:t xml:space="preserve">PGG activities supported establishing and </w:t>
      </w:r>
      <w:r w:rsidRPr="00032312">
        <w:rPr>
          <w:rFonts w:eastAsia="Times New Roman" w:cs="Arial"/>
          <w:szCs w:val="20"/>
          <w:lang w:eastAsia="fr-FR"/>
        </w:rPr>
        <w:t xml:space="preserve">reinforcing the capacities of national institutions, in particular the penitentiary administration. In Ukraine, the Code of Ethics for Prison Staff was developed and adopted by the Minister of Justice; 90% of prison governors went through the relevant trainings to implement the Code of Ethics in practice. </w:t>
      </w:r>
      <w:r w:rsidRPr="00032312">
        <w:rPr>
          <w:rFonts w:eastAsiaTheme="minorEastAsia" w:cs="Arial"/>
          <w:kern w:val="24"/>
          <w:szCs w:val="20"/>
          <w:lang w:eastAsia="fr-FR"/>
        </w:rPr>
        <w:t>In Georgia,</w:t>
      </w:r>
      <w:r w:rsidRPr="00032312">
        <w:rPr>
          <w:rFonts w:eastAsia="Times New Roman" w:cs="Arial"/>
          <w:szCs w:val="20"/>
          <w:lang w:eastAsia="fr-FR"/>
        </w:rPr>
        <w:t xml:space="preserve"> healthcare quality control in prisons was introduced and healthcare management improved.</w:t>
      </w:r>
      <w:r>
        <w:rPr>
          <w:rFonts w:eastAsia="Times New Roman" w:cs="Arial"/>
          <w:szCs w:val="20"/>
          <w:lang w:eastAsia="fr-FR"/>
        </w:rPr>
        <w:t xml:space="preserve"> </w:t>
      </w:r>
      <w:r w:rsidRPr="00032312">
        <w:rPr>
          <w:rFonts w:eastAsia="Times New Roman" w:cs="Arial"/>
          <w:szCs w:val="20"/>
          <w:lang w:eastAsia="fr-FR"/>
        </w:rPr>
        <w:t>This in turn resulted in a considerable improvement in the quality of healthcare provided to prisoners.</w:t>
      </w:r>
    </w:p>
    <w:p w:rsidR="00032312" w:rsidRPr="00032312" w:rsidRDefault="00032312" w:rsidP="00032312">
      <w:pPr>
        <w:contextualSpacing/>
        <w:rPr>
          <w:rFonts w:eastAsia="Times New Roman" w:cs="Arial"/>
          <w:szCs w:val="20"/>
          <w:lang w:eastAsia="fr-FR"/>
        </w:rPr>
      </w:pPr>
    </w:p>
    <w:p w:rsidR="00032312" w:rsidRPr="00032312" w:rsidRDefault="00032312" w:rsidP="00032312">
      <w:pPr>
        <w:numPr>
          <w:ilvl w:val="0"/>
          <w:numId w:val="3"/>
        </w:numPr>
        <w:ind w:left="0" w:firstLine="0"/>
        <w:rPr>
          <w:rFonts w:cs="Arial"/>
          <w:szCs w:val="20"/>
        </w:rPr>
      </w:pPr>
      <w:r w:rsidRPr="00032312">
        <w:rPr>
          <w:rFonts w:eastAsia="Times New Roman" w:cs="Arial"/>
          <w:szCs w:val="20"/>
          <w:lang w:eastAsia="fr-FR"/>
        </w:rPr>
        <w:t>In the field of the judiciary, good progress was observed in the improvement of court management in the Republic of Moldova. For example, the clearance rate was improved by 100% and disposition time for all types of cases was considerably shortened.</w:t>
      </w:r>
      <w:r>
        <w:rPr>
          <w:rFonts w:eastAsia="Times New Roman" w:cs="Arial"/>
          <w:szCs w:val="20"/>
          <w:lang w:eastAsia="fr-FR"/>
        </w:rPr>
        <w:t xml:space="preserve"> </w:t>
      </w:r>
      <w:r w:rsidRPr="00032312">
        <w:rPr>
          <w:rFonts w:eastAsia="Times New Roman" w:cs="Arial"/>
          <w:szCs w:val="20"/>
          <w:lang w:eastAsia="fr-FR"/>
        </w:rPr>
        <w:t xml:space="preserve">Important progress was also visible in the area of </w:t>
      </w:r>
      <w:r w:rsidRPr="00032312">
        <w:rPr>
          <w:rFonts w:cs="Arial"/>
          <w:szCs w:val="20"/>
        </w:rPr>
        <w:t xml:space="preserve">fight against cybercrime where the requests for international Mutual Legal Assistance via 24/7 points increased by 10 times. </w:t>
      </w:r>
    </w:p>
    <w:p w:rsidR="00032312" w:rsidRPr="00032312" w:rsidRDefault="00032312" w:rsidP="00032312">
      <w:pPr>
        <w:rPr>
          <w:rFonts w:cs="Arial"/>
          <w:szCs w:val="20"/>
        </w:rPr>
      </w:pPr>
    </w:p>
    <w:p w:rsidR="00032312" w:rsidRPr="00032312" w:rsidRDefault="00032312" w:rsidP="00032312">
      <w:pPr>
        <w:numPr>
          <w:ilvl w:val="0"/>
          <w:numId w:val="3"/>
        </w:numPr>
        <w:ind w:left="0" w:firstLine="0"/>
        <w:rPr>
          <w:rFonts w:eastAsiaTheme="minorEastAsia" w:cs="Arial"/>
          <w:iCs/>
          <w:kern w:val="24"/>
          <w:szCs w:val="20"/>
          <w:lang w:eastAsia="fr-FR"/>
        </w:rPr>
      </w:pPr>
      <w:r w:rsidRPr="00032312">
        <w:rPr>
          <w:rFonts w:eastAsiaTheme="minorEastAsia" w:cs="Arial"/>
          <w:iCs/>
          <w:kern w:val="24"/>
          <w:szCs w:val="20"/>
          <w:lang w:eastAsia="fr-FR"/>
        </w:rPr>
        <w:t>Overall, around 900 interventions were carried out under PGG phase I, reaching more than 21</w:t>
      </w:r>
      <w:r w:rsidR="00942C41">
        <w:rPr>
          <w:rFonts w:eastAsiaTheme="minorEastAsia" w:cs="Arial"/>
          <w:iCs/>
          <w:kern w:val="24"/>
          <w:szCs w:val="20"/>
          <w:lang w:eastAsia="fr-FR"/>
        </w:rPr>
        <w:t>.</w:t>
      </w:r>
      <w:r w:rsidRPr="00032312">
        <w:rPr>
          <w:rFonts w:eastAsiaTheme="minorEastAsia" w:cs="Arial"/>
          <w:iCs/>
          <w:kern w:val="24"/>
          <w:szCs w:val="20"/>
          <w:lang w:eastAsia="fr-FR"/>
        </w:rPr>
        <w:t>0</w:t>
      </w:r>
      <w:r w:rsidRPr="00032312">
        <w:rPr>
          <w:rFonts w:eastAsia="Times New Roman" w:cs="Arial"/>
          <w:szCs w:val="20"/>
          <w:lang w:eastAsia="ru-RU"/>
        </w:rPr>
        <w:t>00 participants, including around 6 500</w:t>
      </w:r>
      <w:r w:rsidRPr="00032312">
        <w:rPr>
          <w:rFonts w:eastAsiaTheme="minorEastAsia" w:cs="Arial"/>
          <w:iCs/>
          <w:kern w:val="24"/>
          <w:szCs w:val="20"/>
          <w:lang w:eastAsia="fr-FR"/>
        </w:rPr>
        <w:t xml:space="preserve"> representatives of legal professions targeted by specific training activities. </w:t>
      </w:r>
    </w:p>
    <w:p w:rsidR="00032312" w:rsidRPr="00032312" w:rsidRDefault="00032312" w:rsidP="00032312">
      <w:pPr>
        <w:rPr>
          <w:rFonts w:eastAsia="Times New Roman" w:cs="Arial"/>
          <w:szCs w:val="20"/>
        </w:rPr>
      </w:pPr>
    </w:p>
    <w:p w:rsidR="00032312" w:rsidRPr="00032312" w:rsidRDefault="00032312" w:rsidP="00032312">
      <w:pPr>
        <w:numPr>
          <w:ilvl w:val="0"/>
          <w:numId w:val="3"/>
        </w:numPr>
        <w:ind w:left="0" w:firstLine="0"/>
        <w:rPr>
          <w:rFonts w:eastAsia="Times New Roman" w:cs="Arial"/>
          <w:szCs w:val="20"/>
          <w:lang w:eastAsia="fr-FR"/>
        </w:rPr>
      </w:pPr>
      <w:r w:rsidRPr="00032312">
        <w:rPr>
          <w:rFonts w:eastAsia="Times New Roman" w:cs="Arial"/>
          <w:szCs w:val="20"/>
          <w:lang w:eastAsia="fr-FR"/>
        </w:rPr>
        <w:t xml:space="preserve">The PGG phase II 2019-2021 has been launched from 1 January 2019 (total </w:t>
      </w:r>
      <w:r w:rsidRPr="00032312">
        <w:rPr>
          <w:rFonts w:eastAsia="Times New Roman" w:cs="Arial"/>
          <w:iCs/>
          <w:szCs w:val="20"/>
        </w:rPr>
        <w:t>€</w:t>
      </w:r>
      <w:r w:rsidRPr="00032312">
        <w:rPr>
          <w:rFonts w:eastAsia="Times New Roman" w:cs="Arial"/>
          <w:szCs w:val="20"/>
          <w:lang w:eastAsia="fr-FR"/>
        </w:rPr>
        <w:t>17.5 million</w:t>
      </w:r>
      <w:r w:rsidRPr="00032312">
        <w:rPr>
          <w:rFonts w:eastAsia="Times New Roman" w:cs="Arial"/>
          <w:szCs w:val="20"/>
          <w:vertAlign w:val="superscript"/>
          <w:lang w:eastAsia="fr-FR"/>
        </w:rPr>
        <w:footnoteReference w:id="10"/>
      </w:r>
      <w:r w:rsidRPr="00032312">
        <w:rPr>
          <w:rFonts w:eastAsia="Times New Roman" w:cs="Arial"/>
          <w:szCs w:val="20"/>
          <w:lang w:eastAsia="fr-FR"/>
        </w:rPr>
        <w:t>) and mainly focuses on judicial reform and fight against corruption, with a view to supporting the achievement of EU 2020 Deliverables.</w:t>
      </w:r>
    </w:p>
    <w:p w:rsidR="00032312" w:rsidRPr="00032312" w:rsidRDefault="00032312" w:rsidP="00032312">
      <w:pPr>
        <w:rPr>
          <w:rFonts w:eastAsia="Times New Roman" w:cs="Arial"/>
          <w:b/>
          <w:szCs w:val="20"/>
          <w:lang w:eastAsia="fr-FR"/>
        </w:rPr>
      </w:pPr>
    </w:p>
    <w:p w:rsidR="00032312" w:rsidRPr="00032312" w:rsidRDefault="00032312" w:rsidP="00032312">
      <w:pPr>
        <w:numPr>
          <w:ilvl w:val="0"/>
          <w:numId w:val="2"/>
        </w:numPr>
        <w:ind w:left="0" w:firstLine="0"/>
        <w:rPr>
          <w:rFonts w:eastAsia="Times New Roman" w:cs="Arial"/>
          <w:b/>
          <w:szCs w:val="20"/>
          <w:lang w:eastAsia="fr-FR"/>
        </w:rPr>
      </w:pPr>
      <w:r w:rsidRPr="00032312">
        <w:rPr>
          <w:rFonts w:eastAsia="Times New Roman" w:cs="Arial"/>
          <w:b/>
          <w:szCs w:val="20"/>
          <w:lang w:eastAsia="fr-FR"/>
        </w:rPr>
        <w:t>Ensuring Sustainable Democratic Governance and Human rights in the Southern Mediterranean (South Programme):</w:t>
      </w:r>
    </w:p>
    <w:p w:rsidR="00032312" w:rsidRPr="00032312" w:rsidRDefault="00032312" w:rsidP="00032312">
      <w:pPr>
        <w:rPr>
          <w:rFonts w:eastAsia="Times New Roman" w:cs="Arial"/>
          <w:b/>
          <w:szCs w:val="20"/>
          <w:lang w:eastAsia="fr-FR"/>
        </w:rPr>
      </w:pPr>
    </w:p>
    <w:p w:rsidR="00032312" w:rsidRPr="00032312" w:rsidRDefault="00032312" w:rsidP="00032312">
      <w:pPr>
        <w:numPr>
          <w:ilvl w:val="0"/>
          <w:numId w:val="3"/>
        </w:numPr>
        <w:ind w:left="0" w:firstLine="0"/>
        <w:rPr>
          <w:rFonts w:eastAsia="Times New Roman" w:cs="Arial"/>
          <w:szCs w:val="20"/>
          <w:lang w:eastAsia="fr-FR"/>
        </w:rPr>
      </w:pPr>
      <w:r w:rsidRPr="00032312">
        <w:rPr>
          <w:rFonts w:eastAsia="Times New Roman" w:cs="Arial"/>
          <w:szCs w:val="20"/>
          <w:lang w:eastAsia="fr-FR"/>
        </w:rPr>
        <w:t>The EU/CoE JP “Towards Strengthened Democratic Governance in the Southern Mediterranean” (South Programme II, 2015-2017 – extended until the end of February 2018, total</w:t>
      </w:r>
      <w:r>
        <w:rPr>
          <w:rFonts w:eastAsia="Times New Roman" w:cs="Arial"/>
          <w:szCs w:val="20"/>
          <w:lang w:eastAsia="fr-FR"/>
        </w:rPr>
        <w:t xml:space="preserve"> </w:t>
      </w:r>
      <w:r w:rsidRPr="00032312">
        <w:rPr>
          <w:rFonts w:eastAsia="Times New Roman" w:cs="Arial"/>
          <w:szCs w:val="20"/>
          <w:lang w:eastAsia="fr-FR"/>
        </w:rPr>
        <w:t>€7.37 million</w:t>
      </w:r>
      <w:r w:rsidRPr="00032312">
        <w:rPr>
          <w:rFonts w:eastAsia="Times New Roman" w:cs="Arial"/>
          <w:szCs w:val="20"/>
          <w:vertAlign w:val="superscript"/>
          <w:lang w:eastAsia="fr-FR"/>
        </w:rPr>
        <w:footnoteReference w:id="11"/>
      </w:r>
      <w:r w:rsidRPr="00032312">
        <w:rPr>
          <w:rFonts w:eastAsia="Times New Roman" w:cs="Arial"/>
          <w:szCs w:val="20"/>
          <w:lang w:eastAsia="fr-FR"/>
        </w:rPr>
        <w:t>) was finalised after a successful implementation. In the wake of this, phase III of the JP was launched in March 2018 (“Ensuring Sustainable Democratic Governance and Human rights in the Southern Mediterranean”- South Programme III, 2018-2020, €3.33 million</w:t>
      </w:r>
      <w:r>
        <w:rPr>
          <w:rFonts w:eastAsia="Times New Roman" w:cs="Arial"/>
          <w:szCs w:val="20"/>
          <w:lang w:eastAsia="fr-FR"/>
        </w:rPr>
        <w:t>,</w:t>
      </w:r>
      <w:r w:rsidRPr="00032312">
        <w:rPr>
          <w:rFonts w:eastAsia="Times New Roman" w:cs="Arial"/>
          <w:szCs w:val="20"/>
          <w:vertAlign w:val="superscript"/>
          <w:lang w:eastAsia="fr-FR"/>
        </w:rPr>
        <w:footnoteReference w:id="12"/>
      </w:r>
      <w:r w:rsidRPr="00032312">
        <w:rPr>
          <w:rFonts w:eastAsia="Times New Roman" w:cs="Arial"/>
          <w:szCs w:val="20"/>
          <w:lang w:eastAsia="fr-FR"/>
        </w:rPr>
        <w:t xml:space="preserve"> with the possibility to conclude country-specific projects to complement the facility). The Programme is open to Algeria, Egypt, Israel, Jordan, Lebanon, Libya, Morocco, Palestine</w:t>
      </w:r>
      <w:r w:rsidR="00C57544">
        <w:rPr>
          <w:rFonts w:eastAsia="Times New Roman" w:cs="Arial"/>
          <w:szCs w:val="20"/>
          <w:lang w:eastAsia="fr-FR"/>
        </w:rPr>
        <w:t>*</w:t>
      </w:r>
      <w:r w:rsidRPr="00032312">
        <w:rPr>
          <w:rFonts w:eastAsia="Times New Roman" w:cs="Arial"/>
          <w:szCs w:val="20"/>
          <w:lang w:eastAsia="fr-FR"/>
        </w:rPr>
        <w:t>**, and Tunisia. Aimed at further consolidating the process of creating a common legal space between Europe and the Southern Mediterranean, it also offers capacity building and networking opportunities in the region. As a transversal priority, the programme aims at contributing to the fight against violence against women and domestic violence, using relevant Council of Europe standards, tools and mechanisms.</w:t>
      </w:r>
    </w:p>
    <w:p w:rsidR="00032312" w:rsidRPr="00032312" w:rsidRDefault="00032312" w:rsidP="00032312">
      <w:pPr>
        <w:rPr>
          <w:rFonts w:cs="Arial"/>
          <w:szCs w:val="20"/>
        </w:rPr>
      </w:pPr>
    </w:p>
    <w:p w:rsidR="00032312" w:rsidRPr="00032312" w:rsidRDefault="00032312" w:rsidP="00032312">
      <w:pPr>
        <w:numPr>
          <w:ilvl w:val="0"/>
          <w:numId w:val="3"/>
        </w:numPr>
        <w:ind w:left="0" w:firstLine="0"/>
        <w:rPr>
          <w:rFonts w:eastAsia="Times New Roman" w:cs="Arial"/>
          <w:szCs w:val="20"/>
          <w:lang w:eastAsia="fr-FR"/>
        </w:rPr>
      </w:pPr>
      <w:r w:rsidRPr="00032312">
        <w:rPr>
          <w:rFonts w:eastAsia="Times New Roman" w:cs="Arial"/>
          <w:szCs w:val="20"/>
          <w:lang w:eastAsia="fr-FR"/>
        </w:rPr>
        <w:t>In 2018, the South Programme III continued promoting European and international standards, especially through the progressive creation of a common legal space between the Southern Mediterranean and Europe. It supported the Southern Mediterranean beneficiaries in developing relevant legal frameworks. It also strengthened the capacities of national institutions and organisations, through networking opportunities at the regional level and tailor-made training programmes.</w:t>
      </w:r>
    </w:p>
    <w:p w:rsidR="00032312" w:rsidRPr="00032312" w:rsidRDefault="00032312" w:rsidP="00032312">
      <w:pPr>
        <w:rPr>
          <w:rFonts w:eastAsia="Times New Roman" w:cs="Arial"/>
          <w:szCs w:val="20"/>
          <w:lang w:eastAsia="fr-FR"/>
        </w:rPr>
      </w:pPr>
    </w:p>
    <w:p w:rsidR="00032312" w:rsidRPr="00032312" w:rsidRDefault="00032312" w:rsidP="00032312">
      <w:pPr>
        <w:numPr>
          <w:ilvl w:val="0"/>
          <w:numId w:val="3"/>
        </w:numPr>
        <w:ind w:left="0" w:firstLine="0"/>
        <w:rPr>
          <w:rFonts w:eastAsia="Times New Roman" w:cs="Arial"/>
          <w:szCs w:val="20"/>
          <w:lang w:eastAsia="fr-FR"/>
        </w:rPr>
      </w:pPr>
      <w:r w:rsidRPr="00032312">
        <w:rPr>
          <w:rFonts w:eastAsia="Times New Roman" w:cs="Arial"/>
          <w:szCs w:val="20"/>
          <w:lang w:eastAsia="fr-FR"/>
        </w:rPr>
        <w:lastRenderedPageBreak/>
        <w:t>Significant achievements are highlighted in the gradual accession of partner countries to CoE conventions and Partial Agreements. In 2018, Tunisia was invited to accede to the CoE Convention on Cybercrime (Budapest Convention), the CoE Convention on the counterfeiting of medical products and similar crimes involving threats to public health (</w:t>
      </w:r>
      <w:proofErr w:type="spellStart"/>
      <w:r w:rsidRPr="00032312">
        <w:rPr>
          <w:rFonts w:eastAsia="Times New Roman" w:cs="Arial"/>
          <w:szCs w:val="20"/>
          <w:lang w:eastAsia="fr-FR"/>
        </w:rPr>
        <w:t>Medicrime</w:t>
      </w:r>
      <w:proofErr w:type="spellEnd"/>
      <w:r w:rsidRPr="00032312">
        <w:rPr>
          <w:rFonts w:eastAsia="Times New Roman" w:cs="Arial"/>
          <w:szCs w:val="20"/>
          <w:lang w:eastAsia="fr-FR"/>
        </w:rPr>
        <w:t xml:space="preserve"> Convention) and the Council of Europe Convention on Action against Trafficking in Human Beings</w:t>
      </w:r>
      <w:r>
        <w:rPr>
          <w:rFonts w:eastAsia="Times New Roman" w:cs="Arial"/>
          <w:szCs w:val="20"/>
          <w:lang w:eastAsia="fr-FR"/>
        </w:rPr>
        <w:t>.</w:t>
      </w:r>
      <w:r w:rsidRPr="00032312">
        <w:rPr>
          <w:rFonts w:eastAsia="Times New Roman" w:cs="Arial"/>
          <w:szCs w:val="20"/>
          <w:vertAlign w:val="superscript"/>
          <w:lang w:eastAsia="fr-FR"/>
        </w:rPr>
        <w:footnoteReference w:id="13"/>
      </w:r>
      <w:r w:rsidRPr="00032312">
        <w:rPr>
          <w:rFonts w:eastAsia="Times New Roman" w:cs="Arial"/>
          <w:szCs w:val="20"/>
          <w:lang w:eastAsia="fr-FR"/>
        </w:rPr>
        <w:t xml:space="preserve"> Morocco has deposited the instruments of accession to the Budapest Convention on Cybercrime and its Additional Protocol.  </w:t>
      </w:r>
      <w:r w:rsidRPr="00032312">
        <w:rPr>
          <w:rFonts w:eastAsia="Times New Roman" w:cs="Arial"/>
          <w:b/>
          <w:szCs w:val="20"/>
          <w:lang w:eastAsia="fr-FR"/>
        </w:rPr>
        <w:t xml:space="preserve"> </w:t>
      </w:r>
    </w:p>
    <w:p w:rsidR="00032312" w:rsidRPr="00032312" w:rsidRDefault="00032312" w:rsidP="00032312">
      <w:pPr>
        <w:rPr>
          <w:rFonts w:cs="Arial"/>
          <w:szCs w:val="20"/>
        </w:rPr>
      </w:pPr>
    </w:p>
    <w:p w:rsidR="00032312" w:rsidRPr="00032312" w:rsidRDefault="00032312" w:rsidP="00032312">
      <w:pPr>
        <w:rPr>
          <w:rFonts w:cs="Arial"/>
          <w:szCs w:val="20"/>
        </w:rPr>
      </w:pPr>
      <w:r w:rsidRPr="00032312">
        <w:rPr>
          <w:rFonts w:cs="Arial"/>
          <w:szCs w:val="20"/>
        </w:rPr>
        <w:t xml:space="preserve">-    </w:t>
      </w:r>
      <w:r>
        <w:rPr>
          <w:rFonts w:cs="Arial"/>
          <w:szCs w:val="20"/>
        </w:rPr>
        <w:tab/>
      </w:r>
      <w:r w:rsidRPr="00032312">
        <w:rPr>
          <w:rFonts w:cs="Arial"/>
          <w:szCs w:val="20"/>
        </w:rPr>
        <w:t>The ability of the Tunisian National Authority for the Prevention of Torture to comply with European and international standards and to perform its National Preventive Mechanism role effectively, when conducting preventive visits to prisons, was enhanced through the delivery of comprehensive training sessions.</w:t>
      </w:r>
    </w:p>
    <w:p w:rsidR="00032312" w:rsidRPr="00032312" w:rsidRDefault="00032312" w:rsidP="00032312">
      <w:pPr>
        <w:rPr>
          <w:rFonts w:cs="Arial"/>
          <w:szCs w:val="20"/>
        </w:rPr>
      </w:pPr>
    </w:p>
    <w:p w:rsidR="00032312" w:rsidRPr="00032312" w:rsidRDefault="00032312" w:rsidP="00032312">
      <w:pPr>
        <w:rPr>
          <w:rFonts w:cs="Arial"/>
          <w:szCs w:val="20"/>
        </w:rPr>
      </w:pPr>
      <w:r w:rsidRPr="00032312">
        <w:rPr>
          <w:rFonts w:cs="Arial"/>
          <w:szCs w:val="20"/>
        </w:rPr>
        <w:t xml:space="preserve">-    </w:t>
      </w:r>
      <w:r w:rsidRPr="00032312">
        <w:rPr>
          <w:rFonts w:cs="Arial"/>
          <w:szCs w:val="20"/>
        </w:rPr>
        <w:tab/>
        <w:t xml:space="preserve">At the regional level, co-operation and networking among parliamentarians were further strengthened in the field of gender equality and violence against women, gradually increasing awareness through exchanges on common issues in these fields between peers. </w:t>
      </w:r>
    </w:p>
    <w:p w:rsidR="00032312" w:rsidRPr="00032312" w:rsidRDefault="00032312" w:rsidP="00032312">
      <w:pPr>
        <w:rPr>
          <w:rFonts w:cs="Arial"/>
          <w:szCs w:val="20"/>
        </w:rPr>
      </w:pPr>
    </w:p>
    <w:p w:rsidR="00032312" w:rsidRPr="00032312" w:rsidRDefault="00032312" w:rsidP="00032312">
      <w:pPr>
        <w:rPr>
          <w:rFonts w:cs="Arial"/>
          <w:szCs w:val="20"/>
        </w:rPr>
      </w:pPr>
      <w:r w:rsidRPr="00032312">
        <w:rPr>
          <w:rFonts w:cs="Arial"/>
          <w:szCs w:val="20"/>
        </w:rPr>
        <w:t xml:space="preserve">-    </w:t>
      </w:r>
      <w:r w:rsidRPr="00032312">
        <w:rPr>
          <w:rFonts w:cs="Arial"/>
          <w:szCs w:val="20"/>
        </w:rPr>
        <w:tab/>
        <w:t xml:space="preserve">The Venice Commission continues to be a key partner in accompanying the reforms under way in the region. Tunisia requested an opinion on the draft law on the organisation of political parties and their funding.  </w:t>
      </w:r>
    </w:p>
    <w:p w:rsidR="00032312" w:rsidRPr="00032312" w:rsidRDefault="00032312" w:rsidP="00032312">
      <w:pPr>
        <w:rPr>
          <w:rFonts w:cs="Arial"/>
          <w:szCs w:val="20"/>
        </w:rPr>
      </w:pPr>
    </w:p>
    <w:p w:rsidR="00032312" w:rsidRPr="00032312" w:rsidRDefault="00032312" w:rsidP="00032312">
      <w:pPr>
        <w:numPr>
          <w:ilvl w:val="0"/>
          <w:numId w:val="3"/>
        </w:numPr>
        <w:ind w:left="0" w:firstLine="0"/>
        <w:rPr>
          <w:rFonts w:eastAsia="Times New Roman" w:cs="Arial"/>
          <w:szCs w:val="20"/>
          <w:lang w:eastAsia="fr-FR"/>
        </w:rPr>
      </w:pPr>
      <w:r w:rsidRPr="00032312">
        <w:rPr>
          <w:rFonts w:eastAsia="Times New Roman" w:cs="Arial"/>
          <w:szCs w:val="20"/>
          <w:lang w:eastAsia="fr-FR"/>
        </w:rPr>
        <w:t xml:space="preserve">The implementation of the South Programme paved the way for the contracting, at the end 2018, of two new JPs for Tunisia (“Improving the functioning, performance and access to justice” and “Project to support independent bodies”; 2019-2021; aggregated total €10.6 million).  </w:t>
      </w:r>
    </w:p>
    <w:p w:rsidR="00032312" w:rsidRPr="00032312" w:rsidRDefault="00032312" w:rsidP="00032312">
      <w:pPr>
        <w:rPr>
          <w:rFonts w:eastAsia="Times New Roman" w:cs="Arial"/>
          <w:szCs w:val="20"/>
          <w:lang w:eastAsia="fr-FR"/>
        </w:rPr>
      </w:pPr>
    </w:p>
    <w:p w:rsidR="00032312" w:rsidRPr="00032312" w:rsidRDefault="00032312" w:rsidP="00032312">
      <w:pPr>
        <w:numPr>
          <w:ilvl w:val="0"/>
          <w:numId w:val="2"/>
        </w:numPr>
        <w:ind w:left="0" w:firstLine="0"/>
        <w:rPr>
          <w:rFonts w:eastAsia="Times New Roman" w:cs="Arial"/>
          <w:b/>
          <w:szCs w:val="20"/>
          <w:lang w:eastAsia="fr-FR"/>
        </w:rPr>
      </w:pPr>
      <w:r w:rsidRPr="00032312">
        <w:rPr>
          <w:rFonts w:eastAsia="Times New Roman" w:cs="Arial"/>
          <w:b/>
          <w:szCs w:val="20"/>
          <w:lang w:eastAsia="fr-FR"/>
        </w:rPr>
        <w:t xml:space="preserve">Joint Programmes in EU member States: </w:t>
      </w:r>
    </w:p>
    <w:p w:rsidR="00032312" w:rsidRPr="00032312" w:rsidRDefault="00032312" w:rsidP="00032312">
      <w:pPr>
        <w:autoSpaceDE w:val="0"/>
        <w:autoSpaceDN w:val="0"/>
        <w:adjustRightInd w:val="0"/>
        <w:rPr>
          <w:rFonts w:cs="Arial"/>
          <w:color w:val="000000"/>
          <w:szCs w:val="20"/>
          <w:lang w:eastAsia="en-GB"/>
        </w:rPr>
      </w:pPr>
      <w:bookmarkStart w:id="2" w:name="_Hlk4064675"/>
    </w:p>
    <w:bookmarkEnd w:id="2"/>
    <w:p w:rsidR="00032312" w:rsidRPr="00032312" w:rsidRDefault="00032312" w:rsidP="00032312">
      <w:pPr>
        <w:numPr>
          <w:ilvl w:val="0"/>
          <w:numId w:val="3"/>
        </w:numPr>
        <w:autoSpaceDE w:val="0"/>
        <w:autoSpaceDN w:val="0"/>
        <w:adjustRightInd w:val="0"/>
        <w:ind w:left="0" w:firstLine="0"/>
        <w:rPr>
          <w:rFonts w:cs="Arial"/>
          <w:szCs w:val="20"/>
          <w:lang w:eastAsia="en-GB"/>
        </w:rPr>
      </w:pPr>
      <w:r w:rsidRPr="00032312">
        <w:rPr>
          <w:rFonts w:cs="Arial"/>
          <w:szCs w:val="20"/>
          <w:lang w:eastAsia="en-GB"/>
        </w:rPr>
        <w:t xml:space="preserve">Two programmes based on CoE HELP (Human Rights Education for Legal Professionals) training methodology and related e-learning platform/courses are notable examples of co-operation in EU member States, namely ‘EU-CoE HELP in the EU’ and ‘EU-CoE HELP Radicalisation Prevention’ (aggregated total €1.7 million). </w:t>
      </w:r>
    </w:p>
    <w:p w:rsidR="00032312" w:rsidRPr="00032312" w:rsidRDefault="00032312" w:rsidP="00032312">
      <w:pPr>
        <w:autoSpaceDE w:val="0"/>
        <w:autoSpaceDN w:val="0"/>
        <w:adjustRightInd w:val="0"/>
        <w:rPr>
          <w:rFonts w:cs="Arial"/>
          <w:szCs w:val="20"/>
          <w:lang w:eastAsia="en-GB"/>
        </w:rPr>
      </w:pPr>
    </w:p>
    <w:p w:rsidR="00032312" w:rsidRPr="00032312" w:rsidRDefault="00032312" w:rsidP="00032312">
      <w:pPr>
        <w:tabs>
          <w:tab w:val="left" w:pos="0"/>
        </w:tabs>
        <w:autoSpaceDE w:val="0"/>
        <w:autoSpaceDN w:val="0"/>
        <w:adjustRightInd w:val="0"/>
        <w:rPr>
          <w:rFonts w:cs="Arial"/>
          <w:szCs w:val="20"/>
          <w:lang w:eastAsia="en-GB"/>
        </w:rPr>
      </w:pPr>
      <w:r w:rsidRPr="00032312">
        <w:rPr>
          <w:rFonts w:cs="Arial"/>
          <w:szCs w:val="20"/>
          <w:lang w:eastAsia="en-GB"/>
        </w:rPr>
        <w:t>-      </w:t>
      </w:r>
      <w:r>
        <w:rPr>
          <w:rFonts w:cs="Arial"/>
          <w:szCs w:val="20"/>
          <w:lang w:eastAsia="en-GB"/>
        </w:rPr>
        <w:tab/>
      </w:r>
      <w:r w:rsidRPr="00032312">
        <w:rPr>
          <w:rFonts w:cs="Arial"/>
          <w:szCs w:val="20"/>
          <w:lang w:eastAsia="en-GB"/>
        </w:rPr>
        <w:t xml:space="preserve">The purpose of the Programme “EU-CoE HELP in the EU” is to enhance, by means of e-learning and cross-border training, the EU legal professionals’ capacities to effectively and coherently apply European fundamental rights standards at the national level. More specifically, the Programme focuses on the creation and adaptation of HELP courses to EU national systems and languages and on the development of knowledge and skills of EU legal professionals on how to articulate the ECHR, the EU Charter on Fundamental Rights and the revised European Social Charter as well as relevant EU and CoE law in their daily work. The Programme also includes training of </w:t>
      </w:r>
      <w:proofErr w:type="gramStart"/>
      <w:r w:rsidRPr="00032312">
        <w:rPr>
          <w:rFonts w:cs="Arial"/>
          <w:szCs w:val="20"/>
          <w:lang w:eastAsia="en-GB"/>
        </w:rPr>
        <w:t>trainers</w:t>
      </w:r>
      <w:proofErr w:type="gramEnd"/>
      <w:r w:rsidRPr="00032312">
        <w:rPr>
          <w:rFonts w:cs="Arial"/>
          <w:szCs w:val="20"/>
          <w:lang w:eastAsia="en-GB"/>
        </w:rPr>
        <w:t xml:space="preserve"> sessions and fosters HELP regional networking among EU judiciary schools and bar councils. The second Programme complements the first one from the specific angle of Radicalisation Prevention, with a focus on countries most affected by radicalisation phenomena, by enabling the development of a dedicated on-line course and by fostering cross-border networking among justice practitioners, targeting also prison and probation officers alongside judges and prosecutors. Two complementary modules are included, on gathering and use of evidence in counter-terrorism cases and on treatment of foreign prisoners (the latter developed jointly with the European Organisation of Prison and Correctional Services).</w:t>
      </w:r>
    </w:p>
    <w:p w:rsidR="00032312" w:rsidRPr="00032312" w:rsidRDefault="00032312" w:rsidP="00032312">
      <w:pPr>
        <w:autoSpaceDE w:val="0"/>
        <w:autoSpaceDN w:val="0"/>
        <w:adjustRightInd w:val="0"/>
        <w:rPr>
          <w:rFonts w:cs="Arial"/>
          <w:szCs w:val="20"/>
          <w:lang w:eastAsia="en-GB"/>
        </w:rPr>
      </w:pPr>
    </w:p>
    <w:p w:rsidR="00032312" w:rsidRPr="00032312" w:rsidRDefault="00032312" w:rsidP="00032312">
      <w:pPr>
        <w:autoSpaceDE w:val="0"/>
        <w:autoSpaceDN w:val="0"/>
        <w:adjustRightInd w:val="0"/>
        <w:rPr>
          <w:rFonts w:cs="Arial"/>
          <w:szCs w:val="20"/>
          <w:lang w:eastAsia="en-GB"/>
        </w:rPr>
      </w:pPr>
      <w:r w:rsidRPr="00032312">
        <w:rPr>
          <w:rFonts w:cs="Arial"/>
          <w:szCs w:val="20"/>
          <w:lang w:eastAsia="en-GB"/>
        </w:rPr>
        <w:t xml:space="preserve">A non-exhaustive list of the Programmes’ results by the end of 2018 includes: </w:t>
      </w:r>
    </w:p>
    <w:p w:rsidR="00032312" w:rsidRPr="00032312" w:rsidRDefault="00032312" w:rsidP="00032312">
      <w:pPr>
        <w:autoSpaceDE w:val="0"/>
        <w:autoSpaceDN w:val="0"/>
        <w:adjustRightInd w:val="0"/>
        <w:rPr>
          <w:rFonts w:cs="Arial"/>
          <w:szCs w:val="20"/>
          <w:lang w:eastAsia="en-GB"/>
        </w:rPr>
      </w:pPr>
      <w:r w:rsidRPr="00032312">
        <w:rPr>
          <w:rFonts w:cs="Arial"/>
          <w:szCs w:val="20"/>
          <w:lang w:eastAsia="en-GB"/>
        </w:rPr>
        <w:t>i)          launch of the course on Data Protection and Privacy Rights at national level and two cross-border launches of the course on Fight against Racism, Xenophobia and Homophobia and Asylum;</w:t>
      </w:r>
    </w:p>
    <w:p w:rsidR="00032312" w:rsidRPr="00032312" w:rsidRDefault="00032312" w:rsidP="00032312">
      <w:pPr>
        <w:autoSpaceDE w:val="0"/>
        <w:autoSpaceDN w:val="0"/>
        <w:adjustRightInd w:val="0"/>
        <w:rPr>
          <w:rFonts w:cs="Arial"/>
          <w:szCs w:val="20"/>
          <w:lang w:eastAsia="en-GB"/>
        </w:rPr>
      </w:pPr>
      <w:r w:rsidRPr="00032312">
        <w:rPr>
          <w:rFonts w:cs="Arial"/>
          <w:szCs w:val="20"/>
          <w:lang w:eastAsia="en-GB"/>
        </w:rPr>
        <w:t xml:space="preserve">ii)         development of three new courses - on Family Law, on Procedural Rights in Criminal Proceedings and Victims’ Rights and on Gathering and Use of Evidence in Terrorism Cases, with subsequent cross-border launching events;  </w:t>
      </w:r>
    </w:p>
    <w:p w:rsidR="00032312" w:rsidRPr="00032312" w:rsidRDefault="00032312" w:rsidP="00032312">
      <w:pPr>
        <w:autoSpaceDE w:val="0"/>
        <w:autoSpaceDN w:val="0"/>
        <w:adjustRightInd w:val="0"/>
        <w:rPr>
          <w:rFonts w:cs="Arial"/>
          <w:szCs w:val="20"/>
          <w:lang w:eastAsia="en-GB"/>
        </w:rPr>
      </w:pPr>
      <w:r w:rsidRPr="00032312">
        <w:rPr>
          <w:rFonts w:cs="Arial"/>
          <w:szCs w:val="20"/>
          <w:lang w:eastAsia="en-GB"/>
        </w:rPr>
        <w:t xml:space="preserve">iii)         on-going development of the course on Radicalisation Prevention, involving renown practitioners and experts; </w:t>
      </w:r>
    </w:p>
    <w:p w:rsidR="00032312" w:rsidRPr="00032312" w:rsidRDefault="00032312" w:rsidP="00032312">
      <w:pPr>
        <w:autoSpaceDE w:val="0"/>
        <w:autoSpaceDN w:val="0"/>
        <w:adjustRightInd w:val="0"/>
        <w:rPr>
          <w:rFonts w:cs="Arial"/>
          <w:szCs w:val="20"/>
          <w:lang w:eastAsia="en-GB"/>
        </w:rPr>
      </w:pPr>
      <w:r w:rsidRPr="00032312">
        <w:rPr>
          <w:rFonts w:cs="Arial"/>
          <w:szCs w:val="20"/>
          <w:lang w:eastAsia="en-GB"/>
        </w:rPr>
        <w:t xml:space="preserve">iv)        translation of CoE Glossaries on human rights for legal professionals into </w:t>
      </w:r>
      <w:proofErr w:type="gramStart"/>
      <w:r w:rsidRPr="00032312">
        <w:rPr>
          <w:rFonts w:cs="Arial"/>
          <w:szCs w:val="20"/>
          <w:lang w:eastAsia="en-GB"/>
        </w:rPr>
        <w:t>a number of</w:t>
      </w:r>
      <w:proofErr w:type="gramEnd"/>
      <w:r w:rsidRPr="00032312">
        <w:rPr>
          <w:rFonts w:cs="Arial"/>
          <w:szCs w:val="20"/>
          <w:lang w:eastAsia="en-GB"/>
        </w:rPr>
        <w:t xml:space="preserve"> European languages, with further publishing on-line; </w:t>
      </w:r>
    </w:p>
    <w:p w:rsidR="00BE7EEE" w:rsidRDefault="00BE7EEE">
      <w:pPr>
        <w:rPr>
          <w:rFonts w:cs="Arial"/>
          <w:szCs w:val="20"/>
          <w:lang w:eastAsia="en-GB"/>
        </w:rPr>
      </w:pPr>
      <w:r>
        <w:rPr>
          <w:rFonts w:cs="Arial"/>
          <w:szCs w:val="20"/>
          <w:lang w:eastAsia="en-GB"/>
        </w:rPr>
        <w:br w:type="page"/>
      </w:r>
    </w:p>
    <w:p w:rsidR="00032312" w:rsidRPr="00032312" w:rsidRDefault="00032312" w:rsidP="00032312">
      <w:pPr>
        <w:autoSpaceDE w:val="0"/>
        <w:autoSpaceDN w:val="0"/>
        <w:adjustRightInd w:val="0"/>
        <w:rPr>
          <w:rFonts w:cs="Arial"/>
          <w:szCs w:val="20"/>
          <w:lang w:eastAsia="en-GB"/>
        </w:rPr>
      </w:pPr>
      <w:r w:rsidRPr="00032312">
        <w:rPr>
          <w:rFonts w:cs="Arial"/>
          <w:szCs w:val="20"/>
          <w:lang w:eastAsia="en-GB"/>
        </w:rPr>
        <w:lastRenderedPageBreak/>
        <w:t xml:space="preserve">v)        eighteen new trainers (judges, prosecutors, members of academia) have successfully completed a training of trainers’ session on the HELP human rights training methodology, enlarging the existing pool of trainers. </w:t>
      </w:r>
    </w:p>
    <w:p w:rsidR="00032312" w:rsidRPr="00032312" w:rsidRDefault="00032312" w:rsidP="00032312">
      <w:pPr>
        <w:rPr>
          <w:rFonts w:eastAsia="Times New Roman" w:cs="Arial"/>
          <w:b/>
          <w:szCs w:val="20"/>
          <w:lang w:eastAsia="fr-FR"/>
        </w:rPr>
      </w:pPr>
    </w:p>
    <w:p w:rsidR="00032312" w:rsidRPr="00032312" w:rsidRDefault="00032312" w:rsidP="00032312">
      <w:pPr>
        <w:numPr>
          <w:ilvl w:val="0"/>
          <w:numId w:val="2"/>
        </w:numPr>
        <w:ind w:left="0" w:firstLine="0"/>
        <w:rPr>
          <w:rFonts w:eastAsia="Times New Roman" w:cs="Arial"/>
          <w:b/>
          <w:szCs w:val="20"/>
          <w:lang w:eastAsia="fr-FR"/>
        </w:rPr>
      </w:pPr>
      <w:r w:rsidRPr="00032312">
        <w:rPr>
          <w:rFonts w:eastAsia="Times New Roman" w:cs="Arial"/>
          <w:b/>
          <w:szCs w:val="20"/>
          <w:lang w:eastAsia="fr-FR"/>
        </w:rPr>
        <w:t xml:space="preserve">Joint Programmes in Turkey: </w:t>
      </w:r>
    </w:p>
    <w:p w:rsidR="00032312" w:rsidRPr="00032312" w:rsidRDefault="00032312" w:rsidP="00032312">
      <w:pPr>
        <w:rPr>
          <w:rFonts w:eastAsia="Times New Roman" w:cs="Arial"/>
          <w:szCs w:val="20"/>
          <w:lang w:eastAsia="fr-FR"/>
        </w:rPr>
      </w:pPr>
    </w:p>
    <w:p w:rsidR="00032312" w:rsidRPr="00032312" w:rsidRDefault="00032312" w:rsidP="00032312">
      <w:pPr>
        <w:numPr>
          <w:ilvl w:val="0"/>
          <w:numId w:val="3"/>
        </w:numPr>
        <w:ind w:left="0" w:firstLine="0"/>
        <w:rPr>
          <w:rFonts w:eastAsia="Times New Roman" w:cs="Arial"/>
          <w:b/>
          <w:szCs w:val="20"/>
          <w:lang w:eastAsia="fr-FR"/>
        </w:rPr>
      </w:pPr>
      <w:r w:rsidRPr="00032312">
        <w:rPr>
          <w:rFonts w:eastAsia="Times New Roman" w:cs="Arial"/>
          <w:szCs w:val="20"/>
          <w:lang w:eastAsia="fr-FR"/>
        </w:rPr>
        <w:t xml:space="preserve">Very good co-operation with Turkey has been developed over the years. Turkey has traditionally been the biggest recipient of Council of Europe/EU country-specific JP support and remained in this position in 2018 (total €17.6 million of on-going programmes). </w:t>
      </w:r>
    </w:p>
    <w:p w:rsidR="00032312" w:rsidRPr="00032312" w:rsidRDefault="00032312" w:rsidP="00032312">
      <w:pPr>
        <w:rPr>
          <w:rFonts w:eastAsia="Times New Roman" w:cs="Arial"/>
          <w:b/>
          <w:szCs w:val="20"/>
          <w:lang w:eastAsia="fr-FR"/>
        </w:rPr>
      </w:pPr>
    </w:p>
    <w:p w:rsidR="00032312" w:rsidRPr="00032312" w:rsidRDefault="00032312" w:rsidP="00032312">
      <w:pPr>
        <w:numPr>
          <w:ilvl w:val="0"/>
          <w:numId w:val="3"/>
        </w:numPr>
        <w:ind w:left="0" w:firstLine="0"/>
        <w:rPr>
          <w:rFonts w:eastAsia="Times New Roman" w:cs="Arial"/>
          <w:szCs w:val="20"/>
          <w:lang w:eastAsia="fr-FR"/>
        </w:rPr>
      </w:pPr>
      <w:r w:rsidRPr="00032312">
        <w:rPr>
          <w:rFonts w:eastAsia="Times New Roman" w:cs="Arial"/>
          <w:szCs w:val="20"/>
          <w:lang w:eastAsia="fr-FR"/>
        </w:rPr>
        <w:t>The Programme “Supporting the Individual Application to the Constitutional Court of Turkey” (SIAC) is well on track to be finalised in September 2019. In its framework, the cascade training programme of judges, prosecutors, and lawyers, has proven particularly useful. Following the training sessions for lawyers organised within the programme, the rate of inadmissibility decisions by the Constitutional Court of Turkey had been reduced from 20% to 5-6%. As of 31 December 2018, the SIAC had trained 1</w:t>
      </w:r>
      <w:r w:rsidR="003A0B33">
        <w:rPr>
          <w:rFonts w:eastAsia="Times New Roman" w:cs="Arial"/>
          <w:szCs w:val="20"/>
          <w:lang w:eastAsia="fr-FR"/>
        </w:rPr>
        <w:t>.</w:t>
      </w:r>
      <w:r w:rsidRPr="00032312">
        <w:rPr>
          <w:rFonts w:eastAsia="Times New Roman" w:cs="Arial"/>
          <w:szCs w:val="20"/>
          <w:lang w:eastAsia="fr-FR"/>
        </w:rPr>
        <w:t>143 judges and prosecutors, as well as 2</w:t>
      </w:r>
      <w:r w:rsidR="003A0B33">
        <w:rPr>
          <w:rFonts w:eastAsia="Times New Roman" w:cs="Arial"/>
          <w:szCs w:val="20"/>
          <w:lang w:eastAsia="fr-FR"/>
        </w:rPr>
        <w:t>.</w:t>
      </w:r>
      <w:r w:rsidRPr="00032312">
        <w:rPr>
          <w:rFonts w:eastAsia="Times New Roman" w:cs="Arial"/>
          <w:szCs w:val="20"/>
          <w:lang w:eastAsia="fr-FR"/>
        </w:rPr>
        <w:t>021 lawyers</w:t>
      </w:r>
      <w:r w:rsidR="00B23C19">
        <w:rPr>
          <w:rFonts w:eastAsia="Times New Roman" w:cs="Arial"/>
          <w:szCs w:val="20"/>
          <w:lang w:eastAsia="fr-FR"/>
        </w:rPr>
        <w:t>.</w:t>
      </w:r>
      <w:r w:rsidRPr="00032312">
        <w:rPr>
          <w:rFonts w:eastAsia="Times New Roman" w:cs="Arial"/>
          <w:szCs w:val="20"/>
          <w:vertAlign w:val="superscript"/>
          <w:lang w:eastAsia="fr-FR"/>
        </w:rPr>
        <w:footnoteReference w:id="14"/>
      </w:r>
      <w:r w:rsidRPr="00032312">
        <w:rPr>
          <w:rFonts w:eastAsia="Times New Roman" w:cs="Arial"/>
          <w:szCs w:val="20"/>
          <w:lang w:eastAsia="fr-FR"/>
        </w:rPr>
        <w:t xml:space="preserve"> In addition, within the programme, the awareness of the newly-established Regional Courts of Appeals has been raised on the ECtHR jurisprudence in particular with regards to the right to liberty and security, the right to a fair trial including the right to a reasoned judgment, and freedom of expression.</w:t>
      </w:r>
    </w:p>
    <w:p w:rsidR="00032312" w:rsidRPr="00032312" w:rsidRDefault="00032312" w:rsidP="00032312">
      <w:pPr>
        <w:rPr>
          <w:rFonts w:cs="Arial"/>
          <w:szCs w:val="20"/>
        </w:rPr>
      </w:pPr>
    </w:p>
    <w:p w:rsidR="00032312" w:rsidRPr="00EB7007" w:rsidRDefault="00032312" w:rsidP="00032312">
      <w:pPr>
        <w:numPr>
          <w:ilvl w:val="0"/>
          <w:numId w:val="3"/>
        </w:numPr>
        <w:ind w:left="0" w:firstLine="0"/>
        <w:rPr>
          <w:rFonts w:eastAsia="Times New Roman" w:cs="Arial"/>
          <w:b/>
          <w:szCs w:val="20"/>
          <w:lang w:eastAsia="fr-FR"/>
        </w:rPr>
      </w:pPr>
      <w:r w:rsidRPr="00032312">
        <w:rPr>
          <w:rFonts w:eastAsia="Times New Roman" w:cs="Arial"/>
          <w:szCs w:val="20"/>
          <w:lang w:eastAsia="fr-FR"/>
        </w:rPr>
        <w:t>Three new JPs were contracted and launched in 2018: two in the field of justice with a focus on bar association</w:t>
      </w:r>
      <w:r w:rsidRPr="00032312">
        <w:rPr>
          <w:rFonts w:eastAsia="Times New Roman" w:cs="Arial"/>
          <w:szCs w:val="20"/>
          <w:vertAlign w:val="superscript"/>
          <w:lang w:eastAsia="fr-FR"/>
        </w:rPr>
        <w:footnoteReference w:id="15"/>
      </w:r>
      <w:r w:rsidRPr="00032312">
        <w:rPr>
          <w:rFonts w:eastAsia="Times New Roman" w:cs="Arial"/>
          <w:szCs w:val="20"/>
          <w:lang w:eastAsia="fr-FR"/>
        </w:rPr>
        <w:t xml:space="preserve"> and on administrative justice and the Council of State</w:t>
      </w:r>
      <w:r w:rsidRPr="00032312">
        <w:rPr>
          <w:rFonts w:eastAsia="Times New Roman" w:cs="Arial"/>
          <w:szCs w:val="20"/>
          <w:vertAlign w:val="superscript"/>
          <w:lang w:eastAsia="fr-FR"/>
        </w:rPr>
        <w:footnoteReference w:id="16"/>
      </w:r>
      <w:r w:rsidRPr="00032312">
        <w:rPr>
          <w:rFonts w:eastAsia="Times New Roman" w:cs="Arial"/>
          <w:szCs w:val="20"/>
          <w:lang w:eastAsia="fr-FR"/>
        </w:rPr>
        <w:t xml:space="preserve"> and one in the field of education</w:t>
      </w:r>
      <w:r>
        <w:rPr>
          <w:rFonts w:eastAsia="Times New Roman" w:cs="Arial"/>
          <w:szCs w:val="20"/>
          <w:lang w:eastAsia="fr-FR"/>
        </w:rPr>
        <w:t>.</w:t>
      </w:r>
      <w:r w:rsidRPr="00032312">
        <w:rPr>
          <w:rFonts w:eastAsia="Times New Roman" w:cs="Arial"/>
          <w:szCs w:val="20"/>
          <w:vertAlign w:val="superscript"/>
          <w:lang w:eastAsia="fr-FR"/>
        </w:rPr>
        <w:footnoteReference w:id="17"/>
      </w:r>
    </w:p>
    <w:p w:rsidR="00EB7007" w:rsidRPr="00032312" w:rsidRDefault="00EB7007" w:rsidP="00EB7007">
      <w:pPr>
        <w:rPr>
          <w:rFonts w:eastAsia="Times New Roman" w:cs="Arial"/>
          <w:b/>
          <w:szCs w:val="20"/>
          <w:lang w:eastAsia="fr-FR"/>
        </w:rPr>
      </w:pPr>
    </w:p>
    <w:p w:rsidR="00032312" w:rsidRPr="00032312" w:rsidRDefault="00032312" w:rsidP="00032312">
      <w:pPr>
        <w:numPr>
          <w:ilvl w:val="0"/>
          <w:numId w:val="2"/>
        </w:numPr>
        <w:ind w:left="0" w:firstLine="0"/>
        <w:rPr>
          <w:rFonts w:eastAsia="Times New Roman" w:cs="Arial"/>
          <w:b/>
          <w:szCs w:val="20"/>
          <w:lang w:eastAsia="fr-FR"/>
        </w:rPr>
      </w:pPr>
      <w:r w:rsidRPr="00032312">
        <w:rPr>
          <w:rFonts w:eastAsia="Times New Roman" w:cs="Arial"/>
          <w:b/>
          <w:szCs w:val="20"/>
          <w:lang w:eastAsia="fr-FR"/>
        </w:rPr>
        <w:t xml:space="preserve">Joint Programmes in Central Asia: </w:t>
      </w:r>
    </w:p>
    <w:p w:rsidR="00032312" w:rsidRPr="00032312" w:rsidRDefault="00032312" w:rsidP="00032312">
      <w:pPr>
        <w:rPr>
          <w:rFonts w:cs="Arial"/>
          <w:b/>
          <w:szCs w:val="20"/>
        </w:rPr>
      </w:pPr>
    </w:p>
    <w:p w:rsidR="00032312" w:rsidRPr="00032312" w:rsidRDefault="00032312" w:rsidP="00032312">
      <w:pPr>
        <w:numPr>
          <w:ilvl w:val="0"/>
          <w:numId w:val="3"/>
        </w:numPr>
        <w:ind w:left="0" w:firstLine="0"/>
        <w:rPr>
          <w:rFonts w:eastAsia="Times New Roman" w:cs="Arial"/>
          <w:szCs w:val="20"/>
          <w:lang w:eastAsia="fr-FR"/>
        </w:rPr>
      </w:pPr>
      <w:r w:rsidRPr="00032312">
        <w:rPr>
          <w:rFonts w:eastAsia="Times New Roman" w:cs="Arial"/>
          <w:szCs w:val="20"/>
          <w:lang w:eastAsia="fr-FR"/>
        </w:rPr>
        <w:t>The JP “Support to the Kazakh authorities in improving the quality and efficiency of the Kazakh justice system”</w:t>
      </w:r>
      <w:r w:rsidRPr="00032312">
        <w:rPr>
          <w:rFonts w:eastAsia="Times New Roman" w:cs="Arial"/>
          <w:szCs w:val="20"/>
          <w:vertAlign w:val="superscript"/>
          <w:lang w:eastAsia="fr-FR"/>
        </w:rPr>
        <w:t xml:space="preserve"> </w:t>
      </w:r>
      <w:r w:rsidRPr="00032312">
        <w:rPr>
          <w:rFonts w:eastAsia="Times New Roman" w:cs="Arial"/>
          <w:szCs w:val="20"/>
          <w:lang w:eastAsia="fr-FR"/>
        </w:rPr>
        <w:t>was completed in July 2018.</w:t>
      </w:r>
      <w:r w:rsidRPr="00032312">
        <w:rPr>
          <w:rFonts w:eastAsia="Times New Roman" w:cs="Arial"/>
          <w:spacing w:val="-2"/>
          <w:szCs w:val="20"/>
          <w:lang w:eastAsia="fr-FR"/>
        </w:rPr>
        <w:t xml:space="preserve"> Legal expertise and recommendations provided to the state authorities for improving the legal framework, institutional capacity and practices, constitute a good basis for the legislative and institutional reform of the judiciary. The training capacities of respective institutions for the judiciary and law-enforcement were enhanced as well as the capacities of the key programme beneficiaries to understand the European human rights system and the CoE standards on prevention of torture and justice. </w:t>
      </w:r>
      <w:r w:rsidRPr="00032312">
        <w:rPr>
          <w:rFonts w:eastAsia="Times New Roman" w:cs="Arial"/>
          <w:szCs w:val="20"/>
          <w:lang w:eastAsia="fr-FR"/>
        </w:rPr>
        <w:t xml:space="preserve">The JP to fight corruption in the Kyrgyz Republic, finalised in July 2018, </w:t>
      </w:r>
      <w:r w:rsidRPr="00032312">
        <w:rPr>
          <w:rFonts w:eastAsia="Times New Roman" w:cs="Arial"/>
          <w:szCs w:val="20"/>
          <w:lang w:eastAsia="en-GB"/>
        </w:rPr>
        <w:t xml:space="preserve">facilitated legislative reforms in the field of anti-corruption, whistle-blower protection, anti-money laundering and mutual legal assistance </w:t>
      </w:r>
      <w:r w:rsidRPr="00032312">
        <w:rPr>
          <w:rFonts w:eastAsia="Times New Roman" w:cs="Arial"/>
          <w:i/>
          <w:szCs w:val="20"/>
          <w:lang w:eastAsia="en-GB"/>
        </w:rPr>
        <w:t>vis-à-vis</w:t>
      </w:r>
      <w:r w:rsidRPr="00032312">
        <w:rPr>
          <w:rFonts w:eastAsia="Times New Roman" w:cs="Arial"/>
          <w:szCs w:val="20"/>
          <w:lang w:eastAsia="en-GB"/>
        </w:rPr>
        <w:t xml:space="preserve"> international and European standards.</w:t>
      </w:r>
      <w:r>
        <w:rPr>
          <w:rFonts w:eastAsia="Times New Roman" w:cs="Arial"/>
          <w:szCs w:val="20"/>
          <w:lang w:eastAsia="en-GB"/>
        </w:rPr>
        <w:t xml:space="preserve"> </w:t>
      </w:r>
      <w:r w:rsidRPr="00032312">
        <w:rPr>
          <w:rFonts w:eastAsia="Times New Roman" w:cs="Arial"/>
          <w:szCs w:val="20"/>
          <w:lang w:eastAsia="fr-FR"/>
        </w:rPr>
        <w:t xml:space="preserve">The JP in the field of elections in the Kyrgyz Republic was extended until April 2019 and its follow-up is envisaged. </w:t>
      </w:r>
    </w:p>
    <w:p w:rsidR="00032312" w:rsidRPr="00032312" w:rsidRDefault="00032312" w:rsidP="00032312">
      <w:pPr>
        <w:rPr>
          <w:rFonts w:eastAsia="Times New Roman" w:cs="Arial"/>
          <w:szCs w:val="20"/>
          <w:lang w:eastAsia="fr-FR"/>
        </w:rPr>
      </w:pPr>
    </w:p>
    <w:p w:rsidR="00032312" w:rsidRPr="00032312" w:rsidRDefault="00032312" w:rsidP="00032312">
      <w:pPr>
        <w:numPr>
          <w:ilvl w:val="0"/>
          <w:numId w:val="3"/>
        </w:numPr>
        <w:ind w:left="0" w:firstLine="0"/>
        <w:rPr>
          <w:rFonts w:eastAsiaTheme="minorHAnsi" w:cs="Arial"/>
          <w:szCs w:val="20"/>
        </w:rPr>
      </w:pPr>
      <w:r w:rsidRPr="00032312">
        <w:rPr>
          <w:rFonts w:eastAsiaTheme="minorHAnsi" w:cs="Arial"/>
          <w:szCs w:val="20"/>
        </w:rPr>
        <w:t>Currently, the CoE is finalising negotiations with the EU on a regional JP in Central Asia (€8.9</w:t>
      </w:r>
      <w:r>
        <w:rPr>
          <w:rFonts w:eastAsiaTheme="minorHAnsi" w:cs="Arial"/>
          <w:szCs w:val="20"/>
        </w:rPr>
        <w:t> </w:t>
      </w:r>
      <w:r w:rsidRPr="00032312">
        <w:rPr>
          <w:rFonts w:eastAsiaTheme="minorHAnsi" w:cs="Arial"/>
          <w:szCs w:val="20"/>
        </w:rPr>
        <w:t xml:space="preserve">million) that will cover such areas as promotion of common legal space and protection of human rights, fight against corruption and good governance. The Central Asian states will also be among the key beneficiaries of another JP that is currently under discussion, namely “Support to reforms of electoral legislation and practice and regional </w:t>
      </w:r>
      <w:r w:rsidR="00820FE6">
        <w:rPr>
          <w:rFonts w:eastAsiaTheme="minorHAnsi" w:cs="Arial"/>
          <w:szCs w:val="20"/>
        </w:rPr>
        <w:t>h</w:t>
      </w:r>
      <w:r w:rsidRPr="00032312">
        <w:rPr>
          <w:rFonts w:eastAsiaTheme="minorHAnsi" w:cs="Arial"/>
          <w:szCs w:val="20"/>
        </w:rPr>
        <w:t xml:space="preserve">uman </w:t>
      </w:r>
      <w:r w:rsidR="00820FE6">
        <w:rPr>
          <w:rFonts w:eastAsiaTheme="minorHAnsi" w:cs="Arial"/>
          <w:szCs w:val="20"/>
        </w:rPr>
        <w:t>r</w:t>
      </w:r>
      <w:r w:rsidRPr="00032312">
        <w:rPr>
          <w:rFonts w:eastAsiaTheme="minorHAnsi" w:cs="Arial"/>
          <w:szCs w:val="20"/>
        </w:rPr>
        <w:t xml:space="preserve">ights instruments and mechanisms in countries of Latin America, Central Asia and Mongolia (€0.5 million).  </w:t>
      </w:r>
    </w:p>
    <w:p w:rsidR="00032312" w:rsidRPr="00032312" w:rsidRDefault="00032312" w:rsidP="00032312">
      <w:pPr>
        <w:rPr>
          <w:rFonts w:eastAsiaTheme="minorHAnsi" w:cs="Arial"/>
          <w:szCs w:val="20"/>
        </w:rPr>
      </w:pPr>
    </w:p>
    <w:p w:rsidR="00032312" w:rsidRPr="00032312" w:rsidRDefault="00032312" w:rsidP="00032312">
      <w:pPr>
        <w:rPr>
          <w:rFonts w:cs="Arial"/>
          <w:b/>
          <w:szCs w:val="20"/>
        </w:rPr>
      </w:pPr>
    </w:p>
    <w:p w:rsidR="00032312" w:rsidRPr="00032312" w:rsidRDefault="00032312" w:rsidP="00032312">
      <w:pPr>
        <w:rPr>
          <w:rFonts w:cs="Arial"/>
          <w:b/>
          <w:szCs w:val="20"/>
        </w:rPr>
      </w:pPr>
    </w:p>
    <w:p w:rsidR="00032312" w:rsidRPr="00032312" w:rsidRDefault="00032312" w:rsidP="00032312">
      <w:pPr>
        <w:rPr>
          <w:rFonts w:cs="Arial"/>
          <w:b/>
          <w:szCs w:val="20"/>
        </w:rPr>
      </w:pPr>
    </w:p>
    <w:p w:rsidR="00032312" w:rsidRPr="00032312" w:rsidRDefault="00032312" w:rsidP="00032312">
      <w:pPr>
        <w:rPr>
          <w:rFonts w:cs="Arial"/>
          <w:b/>
          <w:szCs w:val="20"/>
        </w:rPr>
      </w:pPr>
      <w:r w:rsidRPr="00032312">
        <w:rPr>
          <w:rFonts w:cs="Arial"/>
          <w:b/>
          <w:szCs w:val="20"/>
        </w:rPr>
        <w:t xml:space="preserve">Appendices </w:t>
      </w:r>
    </w:p>
    <w:p w:rsidR="00032312" w:rsidRPr="00032312" w:rsidRDefault="00032312" w:rsidP="00032312">
      <w:pPr>
        <w:rPr>
          <w:rFonts w:cs="Arial"/>
          <w:b/>
          <w:szCs w:val="20"/>
        </w:rPr>
      </w:pPr>
    </w:p>
    <w:p w:rsidR="00032312" w:rsidRPr="00032312" w:rsidRDefault="00032312" w:rsidP="00032312">
      <w:pPr>
        <w:rPr>
          <w:rFonts w:cs="Arial"/>
          <w:b/>
          <w:bCs/>
          <w:szCs w:val="20"/>
        </w:rPr>
      </w:pPr>
      <w:r w:rsidRPr="00032312">
        <w:rPr>
          <w:rFonts w:cs="Arial"/>
          <w:b/>
          <w:bCs/>
          <w:szCs w:val="20"/>
        </w:rPr>
        <w:t>Appendix I. Joint Programmes in operation in 2018</w:t>
      </w:r>
    </w:p>
    <w:p w:rsidR="00032312" w:rsidRPr="00032312" w:rsidRDefault="00032312" w:rsidP="00032312">
      <w:pPr>
        <w:rPr>
          <w:rFonts w:cs="Arial"/>
          <w:b/>
          <w:bCs/>
          <w:szCs w:val="20"/>
        </w:rPr>
      </w:pPr>
    </w:p>
    <w:p w:rsidR="00032312" w:rsidRPr="00032312" w:rsidRDefault="00032312" w:rsidP="00032312">
      <w:pPr>
        <w:rPr>
          <w:rFonts w:cs="Arial"/>
          <w:b/>
          <w:bCs/>
          <w:szCs w:val="20"/>
        </w:rPr>
      </w:pPr>
      <w:r w:rsidRPr="00032312">
        <w:rPr>
          <w:rFonts w:cs="Arial"/>
          <w:b/>
          <w:bCs/>
          <w:szCs w:val="20"/>
        </w:rPr>
        <w:t>Appendix II. Joint Programmes contracted in 2018, starting in 2019</w:t>
      </w:r>
    </w:p>
    <w:p w:rsidR="00032312" w:rsidRPr="00032312" w:rsidRDefault="00032312" w:rsidP="00032312">
      <w:pPr>
        <w:rPr>
          <w:rFonts w:cs="Arial"/>
          <w:b/>
          <w:bCs/>
          <w:szCs w:val="20"/>
        </w:rPr>
      </w:pPr>
    </w:p>
    <w:p w:rsidR="00032312" w:rsidRPr="00032312" w:rsidRDefault="00032312" w:rsidP="00032312">
      <w:pPr>
        <w:jc w:val="both"/>
        <w:rPr>
          <w:rFonts w:cs="Arial"/>
          <w:b/>
          <w:szCs w:val="20"/>
        </w:rPr>
      </w:pPr>
      <w:r w:rsidRPr="00032312">
        <w:rPr>
          <w:rFonts w:cs="Arial"/>
          <w:szCs w:val="20"/>
        </w:rPr>
        <w:br/>
      </w:r>
    </w:p>
    <w:p w:rsidR="00032312" w:rsidRPr="00032312" w:rsidRDefault="00032312" w:rsidP="00032312">
      <w:pPr>
        <w:jc w:val="both"/>
        <w:rPr>
          <w:rFonts w:cs="Arial"/>
          <w:b/>
          <w:szCs w:val="20"/>
        </w:rPr>
      </w:pPr>
      <w:r w:rsidRPr="00032312">
        <w:rPr>
          <w:rFonts w:cs="Arial"/>
          <w:b/>
          <w:szCs w:val="20"/>
        </w:rPr>
        <w:br w:type="page"/>
      </w:r>
    </w:p>
    <w:p w:rsidR="00032312" w:rsidRPr="00032312" w:rsidRDefault="00032312" w:rsidP="00032312">
      <w:pPr>
        <w:rPr>
          <w:rFonts w:cs="Arial"/>
          <w:szCs w:val="20"/>
        </w:rPr>
        <w:sectPr w:rsidR="00032312" w:rsidRPr="00032312" w:rsidSect="00032312">
          <w:headerReference w:type="even" r:id="rId16"/>
          <w:headerReference w:type="default" r:id="rId17"/>
          <w:footerReference w:type="default" r:id="rId18"/>
          <w:headerReference w:type="first" r:id="rId19"/>
          <w:footerReference w:type="first" r:id="rId20"/>
          <w:type w:val="continuous"/>
          <w:pgSz w:w="11907" w:h="16840" w:code="9"/>
          <w:pgMar w:top="992" w:right="1162" w:bottom="709" w:left="1077" w:header="454" w:footer="340" w:gutter="113"/>
          <w:pgNumType w:chapStyle="1"/>
          <w:cols w:space="708"/>
          <w:titlePg/>
          <w:docGrid w:linePitch="299"/>
        </w:sectPr>
      </w:pPr>
    </w:p>
    <w:p w:rsidR="00032312" w:rsidRPr="00032312" w:rsidRDefault="00032312" w:rsidP="00032312">
      <w:pPr>
        <w:rPr>
          <w:rFonts w:cs="Arial"/>
          <w:b/>
          <w:bCs/>
          <w:caps/>
          <w:szCs w:val="20"/>
        </w:rPr>
      </w:pPr>
      <w:r w:rsidRPr="00032312">
        <w:rPr>
          <w:rFonts w:cs="Arial"/>
          <w:b/>
          <w:bCs/>
          <w:caps/>
          <w:szCs w:val="20"/>
        </w:rPr>
        <w:lastRenderedPageBreak/>
        <w:t>ApPendix I</w:t>
      </w:r>
    </w:p>
    <w:p w:rsidR="00032312" w:rsidRPr="00032312" w:rsidRDefault="00032312" w:rsidP="00032312">
      <w:pPr>
        <w:rPr>
          <w:rFonts w:cs="Arial"/>
          <w:b/>
          <w:bCs/>
          <w:caps/>
          <w:szCs w:val="20"/>
        </w:rPr>
      </w:pPr>
    </w:p>
    <w:tbl>
      <w:tblPr>
        <w:tblW w:w="5000" w:type="pct"/>
        <w:tblCellMar>
          <w:left w:w="70" w:type="dxa"/>
          <w:right w:w="70" w:type="dxa"/>
        </w:tblCellMar>
        <w:tblLook w:val="04A0" w:firstRow="1" w:lastRow="0" w:firstColumn="1" w:lastColumn="0" w:noHBand="0" w:noVBand="1"/>
      </w:tblPr>
      <w:tblGrid>
        <w:gridCol w:w="1347"/>
        <w:gridCol w:w="6221"/>
        <w:gridCol w:w="1347"/>
        <w:gridCol w:w="1348"/>
        <w:gridCol w:w="1672"/>
        <w:gridCol w:w="1672"/>
        <w:gridCol w:w="1672"/>
      </w:tblGrid>
      <w:tr w:rsidR="00032312" w:rsidRPr="00032312" w:rsidTr="00032312">
        <w:trPr>
          <w:trHeight w:val="402"/>
          <w:tblHead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rsidR="00032312" w:rsidRPr="00032312" w:rsidRDefault="00032312" w:rsidP="00032312">
            <w:pPr>
              <w:jc w:val="center"/>
              <w:rPr>
                <w:rFonts w:eastAsia="Times New Roman" w:cs="Arial"/>
                <w:b/>
                <w:bCs/>
                <w:color w:val="000000"/>
                <w:szCs w:val="20"/>
                <w:lang w:eastAsia="fr-FR"/>
              </w:rPr>
            </w:pPr>
            <w:r w:rsidRPr="00032312">
              <w:rPr>
                <w:rFonts w:eastAsia="Times New Roman" w:cs="Arial"/>
                <w:b/>
                <w:bCs/>
                <w:color w:val="000000"/>
                <w:szCs w:val="20"/>
                <w:lang w:eastAsia="fr-FR"/>
              </w:rPr>
              <w:t>JOINT PROGRAMMES IN OPERATION IN 2018</w:t>
            </w:r>
          </w:p>
        </w:tc>
      </w:tr>
      <w:tr w:rsidR="00032312" w:rsidRPr="00032312" w:rsidTr="00032312">
        <w:trPr>
          <w:trHeight w:val="600"/>
          <w:tblHeader/>
        </w:trPr>
        <w:tc>
          <w:tcPr>
            <w:tcW w:w="441" w:type="pct"/>
            <w:tcBorders>
              <w:top w:val="single" w:sz="4" w:space="0" w:color="auto"/>
              <w:left w:val="single" w:sz="4" w:space="0" w:color="auto"/>
              <w:bottom w:val="single" w:sz="4" w:space="0" w:color="auto"/>
              <w:right w:val="single" w:sz="4" w:space="0" w:color="auto"/>
            </w:tcBorders>
            <w:shd w:val="clear" w:color="000000" w:fill="92D050"/>
            <w:vAlign w:val="center"/>
            <w:hideMark/>
          </w:tcPr>
          <w:p w:rsidR="00032312" w:rsidRPr="00032312" w:rsidRDefault="00032312" w:rsidP="00032312">
            <w:pPr>
              <w:jc w:val="center"/>
              <w:rPr>
                <w:rFonts w:eastAsia="Times New Roman" w:cs="Arial"/>
                <w:b/>
                <w:bCs/>
                <w:color w:val="000000"/>
                <w:szCs w:val="20"/>
                <w:lang w:eastAsia="fr-FR"/>
              </w:rPr>
            </w:pPr>
            <w:r w:rsidRPr="00032312">
              <w:rPr>
                <w:rFonts w:eastAsia="Times New Roman" w:cs="Arial"/>
                <w:b/>
                <w:bCs/>
                <w:color w:val="000000"/>
                <w:szCs w:val="20"/>
                <w:lang w:eastAsia="fr-FR"/>
              </w:rPr>
              <w:t xml:space="preserve">Financing instrument </w:t>
            </w:r>
          </w:p>
        </w:tc>
        <w:tc>
          <w:tcPr>
            <w:tcW w:w="2036" w:type="pct"/>
            <w:tcBorders>
              <w:top w:val="single" w:sz="4" w:space="0" w:color="auto"/>
              <w:left w:val="nil"/>
              <w:bottom w:val="single" w:sz="4" w:space="0" w:color="auto"/>
              <w:right w:val="single" w:sz="4" w:space="0" w:color="auto"/>
            </w:tcBorders>
            <w:shd w:val="clear" w:color="000000" w:fill="92D050"/>
            <w:vAlign w:val="center"/>
            <w:hideMark/>
          </w:tcPr>
          <w:p w:rsidR="00032312" w:rsidRPr="00032312" w:rsidRDefault="00032312" w:rsidP="00032312">
            <w:pPr>
              <w:jc w:val="center"/>
              <w:rPr>
                <w:rFonts w:eastAsia="Times New Roman" w:cs="Arial"/>
                <w:b/>
                <w:bCs/>
                <w:color w:val="000000"/>
                <w:szCs w:val="20"/>
                <w:lang w:eastAsia="fr-FR"/>
              </w:rPr>
            </w:pPr>
            <w:r w:rsidRPr="00032312">
              <w:rPr>
                <w:rFonts w:eastAsia="Times New Roman" w:cs="Arial"/>
                <w:b/>
                <w:bCs/>
                <w:color w:val="000000"/>
                <w:szCs w:val="20"/>
                <w:lang w:eastAsia="fr-FR"/>
              </w:rPr>
              <w:t>Contract title</w:t>
            </w:r>
          </w:p>
        </w:tc>
        <w:tc>
          <w:tcPr>
            <w:tcW w:w="441" w:type="pct"/>
            <w:tcBorders>
              <w:top w:val="single" w:sz="4" w:space="0" w:color="auto"/>
              <w:left w:val="nil"/>
              <w:bottom w:val="single" w:sz="4" w:space="0" w:color="auto"/>
              <w:right w:val="single" w:sz="4" w:space="0" w:color="auto"/>
            </w:tcBorders>
            <w:shd w:val="clear" w:color="000000" w:fill="92D050"/>
            <w:vAlign w:val="center"/>
            <w:hideMark/>
          </w:tcPr>
          <w:p w:rsidR="00032312" w:rsidRPr="00032312" w:rsidRDefault="00032312" w:rsidP="00032312">
            <w:pPr>
              <w:jc w:val="center"/>
              <w:rPr>
                <w:rFonts w:eastAsia="Times New Roman" w:cs="Arial"/>
                <w:b/>
                <w:bCs/>
                <w:color w:val="000000"/>
                <w:szCs w:val="20"/>
                <w:lang w:eastAsia="fr-FR"/>
              </w:rPr>
            </w:pPr>
            <w:r w:rsidRPr="00032312">
              <w:rPr>
                <w:rFonts w:eastAsia="Times New Roman" w:cs="Arial"/>
                <w:b/>
                <w:bCs/>
                <w:color w:val="000000"/>
                <w:szCs w:val="20"/>
                <w:lang w:eastAsia="fr-FR"/>
              </w:rPr>
              <w:t>Start date of covenant</w:t>
            </w:r>
          </w:p>
        </w:tc>
        <w:tc>
          <w:tcPr>
            <w:tcW w:w="441" w:type="pct"/>
            <w:tcBorders>
              <w:top w:val="single" w:sz="4" w:space="0" w:color="auto"/>
              <w:left w:val="nil"/>
              <w:bottom w:val="single" w:sz="4" w:space="0" w:color="auto"/>
              <w:right w:val="single" w:sz="4" w:space="0" w:color="auto"/>
            </w:tcBorders>
            <w:shd w:val="clear" w:color="000000" w:fill="92D050"/>
            <w:vAlign w:val="center"/>
            <w:hideMark/>
          </w:tcPr>
          <w:p w:rsidR="00032312" w:rsidRPr="00032312" w:rsidRDefault="00032312" w:rsidP="00032312">
            <w:pPr>
              <w:jc w:val="center"/>
              <w:rPr>
                <w:rFonts w:eastAsia="Times New Roman" w:cs="Arial"/>
                <w:b/>
                <w:bCs/>
                <w:color w:val="000000"/>
                <w:szCs w:val="20"/>
                <w:lang w:eastAsia="fr-FR"/>
              </w:rPr>
            </w:pPr>
            <w:r w:rsidRPr="00032312">
              <w:rPr>
                <w:rFonts w:eastAsia="Times New Roman" w:cs="Arial"/>
                <w:b/>
                <w:bCs/>
                <w:color w:val="000000"/>
                <w:szCs w:val="20"/>
                <w:lang w:eastAsia="fr-FR"/>
              </w:rPr>
              <w:t>End date of covenant</w:t>
            </w:r>
          </w:p>
        </w:tc>
        <w:tc>
          <w:tcPr>
            <w:tcW w:w="547" w:type="pct"/>
            <w:tcBorders>
              <w:top w:val="single" w:sz="4" w:space="0" w:color="auto"/>
              <w:left w:val="nil"/>
              <w:bottom w:val="single" w:sz="4" w:space="0" w:color="auto"/>
              <w:right w:val="single" w:sz="4" w:space="0" w:color="auto"/>
            </w:tcBorders>
            <w:shd w:val="clear" w:color="000000" w:fill="92D050"/>
            <w:vAlign w:val="center"/>
            <w:hideMark/>
          </w:tcPr>
          <w:p w:rsidR="00032312" w:rsidRPr="00032312" w:rsidRDefault="00032312" w:rsidP="00032312">
            <w:pPr>
              <w:jc w:val="center"/>
              <w:rPr>
                <w:rFonts w:eastAsia="Times New Roman" w:cs="Arial"/>
                <w:b/>
                <w:bCs/>
                <w:color w:val="000000"/>
                <w:szCs w:val="20"/>
                <w:lang w:eastAsia="fr-FR"/>
              </w:rPr>
            </w:pPr>
            <w:r w:rsidRPr="00032312">
              <w:rPr>
                <w:rFonts w:eastAsia="Times New Roman" w:cs="Arial"/>
                <w:b/>
                <w:bCs/>
                <w:color w:val="000000"/>
                <w:szCs w:val="20"/>
                <w:lang w:eastAsia="fr-FR"/>
              </w:rPr>
              <w:t>Total programme envelope in €</w:t>
            </w:r>
          </w:p>
        </w:tc>
        <w:tc>
          <w:tcPr>
            <w:tcW w:w="547" w:type="pct"/>
            <w:tcBorders>
              <w:top w:val="single" w:sz="4" w:space="0" w:color="auto"/>
              <w:left w:val="nil"/>
              <w:bottom w:val="single" w:sz="4" w:space="0" w:color="auto"/>
              <w:right w:val="single" w:sz="4" w:space="0" w:color="auto"/>
            </w:tcBorders>
            <w:shd w:val="clear" w:color="000000" w:fill="92D050"/>
            <w:vAlign w:val="center"/>
            <w:hideMark/>
          </w:tcPr>
          <w:p w:rsidR="00032312" w:rsidRPr="00032312" w:rsidRDefault="00032312" w:rsidP="00032312">
            <w:pPr>
              <w:jc w:val="center"/>
              <w:rPr>
                <w:rFonts w:eastAsia="Times New Roman" w:cs="Arial"/>
                <w:b/>
                <w:bCs/>
                <w:color w:val="000000"/>
                <w:szCs w:val="20"/>
                <w:lang w:eastAsia="fr-FR"/>
              </w:rPr>
            </w:pPr>
            <w:r w:rsidRPr="00032312">
              <w:rPr>
                <w:rFonts w:eastAsia="Times New Roman" w:cs="Arial"/>
                <w:b/>
                <w:bCs/>
                <w:color w:val="000000"/>
                <w:szCs w:val="20"/>
                <w:lang w:eastAsia="fr-FR"/>
              </w:rPr>
              <w:t xml:space="preserve">Contribution of the European Union </w:t>
            </w:r>
          </w:p>
        </w:tc>
        <w:tc>
          <w:tcPr>
            <w:tcW w:w="547" w:type="pct"/>
            <w:tcBorders>
              <w:top w:val="single" w:sz="4" w:space="0" w:color="auto"/>
              <w:left w:val="nil"/>
              <w:bottom w:val="single" w:sz="4" w:space="0" w:color="auto"/>
              <w:right w:val="single" w:sz="4" w:space="0" w:color="auto"/>
            </w:tcBorders>
            <w:shd w:val="clear" w:color="000000" w:fill="92D050"/>
            <w:vAlign w:val="center"/>
            <w:hideMark/>
          </w:tcPr>
          <w:p w:rsidR="00032312" w:rsidRPr="00032312" w:rsidRDefault="00032312" w:rsidP="00032312">
            <w:pPr>
              <w:jc w:val="center"/>
              <w:rPr>
                <w:rFonts w:eastAsia="Times New Roman" w:cs="Arial"/>
                <w:b/>
                <w:bCs/>
                <w:color w:val="000000"/>
                <w:szCs w:val="20"/>
                <w:lang w:eastAsia="fr-FR"/>
              </w:rPr>
            </w:pPr>
            <w:r w:rsidRPr="00032312">
              <w:rPr>
                <w:rFonts w:eastAsia="Times New Roman" w:cs="Arial"/>
                <w:b/>
                <w:bCs/>
                <w:color w:val="000000"/>
                <w:szCs w:val="20"/>
                <w:lang w:eastAsia="fr-FR"/>
              </w:rPr>
              <w:t xml:space="preserve">Contribution of the Council of Europe </w:t>
            </w:r>
          </w:p>
        </w:tc>
      </w:tr>
      <w:tr w:rsidR="00032312" w:rsidRPr="00032312" w:rsidTr="00032312">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000000" w:fill="5B9BD5"/>
            <w:vAlign w:val="center"/>
            <w:hideMark/>
          </w:tcPr>
          <w:p w:rsidR="00032312" w:rsidRPr="00032312" w:rsidRDefault="00032312" w:rsidP="00032312">
            <w:pPr>
              <w:rPr>
                <w:rFonts w:eastAsia="Times New Roman" w:cs="Arial"/>
                <w:b/>
                <w:bCs/>
                <w:color w:val="000000"/>
                <w:szCs w:val="20"/>
                <w:lang w:eastAsia="fr-FR"/>
              </w:rPr>
            </w:pPr>
            <w:r w:rsidRPr="00032312">
              <w:rPr>
                <w:rFonts w:eastAsia="Times New Roman" w:cs="Arial"/>
                <w:b/>
                <w:bCs/>
                <w:color w:val="000000"/>
                <w:szCs w:val="20"/>
                <w:lang w:eastAsia="fr-FR"/>
              </w:rPr>
              <w:t xml:space="preserve">South-East Europe and Turkey </w:t>
            </w:r>
          </w:p>
        </w:tc>
      </w:tr>
      <w:tr w:rsidR="00032312" w:rsidRPr="00032312" w:rsidTr="00032312">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032312" w:rsidRPr="00032312" w:rsidRDefault="00032312" w:rsidP="00032312">
            <w:pPr>
              <w:rPr>
                <w:rFonts w:eastAsia="Times New Roman" w:cs="Arial"/>
                <w:b/>
                <w:bCs/>
                <w:color w:val="000000"/>
                <w:szCs w:val="20"/>
                <w:lang w:eastAsia="fr-FR"/>
              </w:rPr>
            </w:pPr>
            <w:r w:rsidRPr="00032312">
              <w:rPr>
                <w:rFonts w:eastAsia="Times New Roman" w:cs="Arial"/>
                <w:b/>
                <w:bCs/>
                <w:color w:val="000000"/>
                <w:szCs w:val="20"/>
                <w:lang w:eastAsia="fr-FR"/>
              </w:rPr>
              <w:t>Albania</w:t>
            </w:r>
          </w:p>
        </w:tc>
      </w:tr>
      <w:tr w:rsidR="00032312" w:rsidRPr="00032312" w:rsidTr="00032312">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IPA</w:t>
            </w:r>
          </w:p>
        </w:tc>
        <w:tc>
          <w:tcPr>
            <w:tcW w:w="2036"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Enhancing the effectiveness of the Albanian system of human rights protection (HR) and anti-discrimination (AD)</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01/12/2015</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31/05/2018</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1 650 000,00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1 485 000,00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165 000,00</w:t>
            </w:r>
            <w:r>
              <w:rPr>
                <w:rFonts w:eastAsia="Times New Roman" w:cs="Arial"/>
                <w:color w:val="000000"/>
                <w:szCs w:val="20"/>
                <w:lang w:eastAsia="fr-FR"/>
              </w:rPr>
              <w:t xml:space="preserve"> </w:t>
            </w:r>
          </w:p>
        </w:tc>
      </w:tr>
      <w:tr w:rsidR="00032312" w:rsidRPr="00032312" w:rsidTr="00032312">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032312" w:rsidRPr="00032312" w:rsidRDefault="00032312" w:rsidP="00032312">
            <w:pPr>
              <w:rPr>
                <w:rFonts w:eastAsia="Times New Roman" w:cs="Arial"/>
                <w:b/>
                <w:bCs/>
                <w:color w:val="000000"/>
                <w:szCs w:val="20"/>
                <w:lang w:eastAsia="fr-FR"/>
              </w:rPr>
            </w:pPr>
            <w:r w:rsidRPr="00032312">
              <w:rPr>
                <w:rFonts w:eastAsia="Times New Roman" w:cs="Arial"/>
                <w:b/>
                <w:bCs/>
                <w:color w:val="000000"/>
                <w:szCs w:val="20"/>
                <w:lang w:eastAsia="fr-FR"/>
              </w:rPr>
              <w:t>Montenegro</w:t>
            </w:r>
          </w:p>
        </w:tc>
      </w:tr>
      <w:tr w:rsidR="00032312" w:rsidRPr="00032312" w:rsidTr="00032312">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IPA</w:t>
            </w:r>
          </w:p>
        </w:tc>
        <w:tc>
          <w:tcPr>
            <w:tcW w:w="2036"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 xml:space="preserve">Support to the National Human Rights Institutions in Preventing Discrimination in Montenegro” (PREDIM) </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01/01/2016</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31/03/2018</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870 000,00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700 000,00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170 000,00</w:t>
            </w:r>
            <w:r>
              <w:rPr>
                <w:rFonts w:eastAsia="Times New Roman" w:cs="Arial"/>
                <w:color w:val="000000"/>
                <w:szCs w:val="20"/>
                <w:lang w:eastAsia="fr-FR"/>
              </w:rPr>
              <w:t xml:space="preserve"> </w:t>
            </w:r>
          </w:p>
        </w:tc>
      </w:tr>
      <w:tr w:rsidR="00032312" w:rsidRPr="00032312" w:rsidTr="00032312">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032312" w:rsidRPr="00032312" w:rsidRDefault="00032312" w:rsidP="00032312">
            <w:pPr>
              <w:rPr>
                <w:rFonts w:eastAsia="Times New Roman" w:cs="Arial"/>
                <w:b/>
                <w:bCs/>
                <w:color w:val="000000"/>
                <w:szCs w:val="20"/>
                <w:lang w:eastAsia="fr-FR"/>
              </w:rPr>
            </w:pPr>
            <w:r w:rsidRPr="00032312">
              <w:rPr>
                <w:rFonts w:eastAsia="Times New Roman" w:cs="Arial"/>
                <w:b/>
                <w:bCs/>
                <w:color w:val="000000"/>
                <w:szCs w:val="20"/>
                <w:lang w:eastAsia="fr-FR"/>
              </w:rPr>
              <w:t>Serbia</w:t>
            </w:r>
          </w:p>
        </w:tc>
      </w:tr>
      <w:tr w:rsidR="00032312" w:rsidRPr="00032312" w:rsidTr="00032312">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IPA</w:t>
            </w:r>
          </w:p>
        </w:tc>
        <w:tc>
          <w:tcPr>
            <w:tcW w:w="2036"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Human resources management in local self-governments - Phase 2</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19/12/2018</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18/12/2021</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4 000 000,00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3 600 000,00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400 000,00</w:t>
            </w:r>
            <w:r>
              <w:rPr>
                <w:rFonts w:eastAsia="Times New Roman" w:cs="Arial"/>
                <w:color w:val="000000"/>
                <w:szCs w:val="20"/>
                <w:lang w:eastAsia="fr-FR"/>
              </w:rPr>
              <w:t xml:space="preserve"> </w:t>
            </w:r>
          </w:p>
        </w:tc>
      </w:tr>
      <w:tr w:rsidR="00032312" w:rsidRPr="00032312" w:rsidTr="00032312">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032312" w:rsidRPr="00032312" w:rsidRDefault="00032312" w:rsidP="00032312">
            <w:pPr>
              <w:rPr>
                <w:rFonts w:eastAsia="Times New Roman" w:cs="Arial"/>
                <w:b/>
                <w:bCs/>
                <w:color w:val="000000"/>
                <w:szCs w:val="20"/>
                <w:lang w:eastAsia="fr-FR"/>
              </w:rPr>
            </w:pPr>
            <w:r w:rsidRPr="00032312">
              <w:rPr>
                <w:rFonts w:eastAsia="Times New Roman" w:cs="Arial"/>
                <w:b/>
                <w:bCs/>
                <w:color w:val="000000"/>
                <w:szCs w:val="20"/>
                <w:lang w:eastAsia="fr-FR"/>
              </w:rPr>
              <w:t>Turkey</w:t>
            </w:r>
          </w:p>
        </w:tc>
      </w:tr>
      <w:tr w:rsidR="00032312" w:rsidRPr="00032312" w:rsidTr="00032312">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IPA</w:t>
            </w:r>
          </w:p>
        </w:tc>
        <w:tc>
          <w:tcPr>
            <w:tcW w:w="2036"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Supporting the Individual Application to the Constitutional Court of Turkey</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19/12/2015</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30/09/2019</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6 382 228,00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5 882 228,00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500 000,00</w:t>
            </w:r>
            <w:r>
              <w:rPr>
                <w:rFonts w:eastAsia="Times New Roman" w:cs="Arial"/>
                <w:color w:val="000000"/>
                <w:szCs w:val="20"/>
                <w:lang w:eastAsia="fr-FR"/>
              </w:rPr>
              <w:t xml:space="preserve">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IPA</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Strengthening the Capacity of Bar Associations and Lawyers on European Human Rights Standards (BARI)</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01/04/2018</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31/03/2021</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3 890 000,00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3 500 000,00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390 000,00</w:t>
            </w:r>
            <w:r>
              <w:rPr>
                <w:rFonts w:eastAsia="Times New Roman" w:cs="Arial"/>
                <w:color w:val="000000"/>
                <w:szCs w:val="20"/>
                <w:lang w:eastAsia="fr-FR"/>
              </w:rPr>
              <w:t xml:space="preserve">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IPA</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Generation Democracy Strengthening a Culture of Democracy in Basic Education Institutions</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03/08/2018</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02/08/2021</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4 000 000,00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3 600 000,00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400 000,00</w:t>
            </w:r>
            <w:r>
              <w:rPr>
                <w:rFonts w:eastAsia="Times New Roman" w:cs="Arial"/>
                <w:color w:val="000000"/>
                <w:szCs w:val="20"/>
                <w:lang w:eastAsia="fr-FR"/>
              </w:rPr>
              <w:t xml:space="preserve">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IPA</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 xml:space="preserve">Improving the Effectiveness of the Administrative Judiciary and Strengthening the institutional Capacity of Council of State </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21/12/2018</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20/12/2021</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3 335 000,00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3 000 000,00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335 000,00</w:t>
            </w:r>
            <w:r>
              <w:rPr>
                <w:rFonts w:eastAsia="Times New Roman" w:cs="Arial"/>
                <w:color w:val="000000"/>
                <w:szCs w:val="20"/>
                <w:lang w:eastAsia="fr-FR"/>
              </w:rPr>
              <w:t xml:space="preserve"> </w:t>
            </w:r>
          </w:p>
        </w:tc>
      </w:tr>
      <w:tr w:rsidR="00032312" w:rsidRPr="00032312" w:rsidTr="00032312">
        <w:trPr>
          <w:trHeight w:val="600"/>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rsidR="00032312" w:rsidRPr="00032312" w:rsidRDefault="00032312" w:rsidP="00032312">
            <w:pPr>
              <w:rPr>
                <w:rFonts w:eastAsia="Times New Roman" w:cs="Arial"/>
                <w:b/>
                <w:bCs/>
                <w:color w:val="000000"/>
                <w:szCs w:val="20"/>
                <w:lang w:eastAsia="fr-FR"/>
              </w:rPr>
            </w:pPr>
          </w:p>
          <w:p w:rsidR="00032312" w:rsidRPr="00032312" w:rsidRDefault="00032312" w:rsidP="00032312">
            <w:pPr>
              <w:rPr>
                <w:rFonts w:eastAsia="Times New Roman" w:cs="Arial"/>
                <w:b/>
                <w:bCs/>
                <w:color w:val="000000"/>
                <w:szCs w:val="20"/>
                <w:lang w:eastAsia="fr-FR"/>
              </w:rPr>
            </w:pPr>
          </w:p>
          <w:p w:rsidR="00032312" w:rsidRPr="00032312" w:rsidRDefault="00032312" w:rsidP="00032312">
            <w:pPr>
              <w:rPr>
                <w:rFonts w:eastAsia="Times New Roman" w:cs="Arial"/>
                <w:color w:val="000000"/>
                <w:szCs w:val="20"/>
                <w:lang w:eastAsia="fr-FR"/>
              </w:rPr>
            </w:pPr>
            <w:r w:rsidRPr="00032312">
              <w:rPr>
                <w:rFonts w:eastAsia="Times New Roman" w:cs="Arial"/>
                <w:b/>
                <w:bCs/>
                <w:color w:val="000000"/>
                <w:szCs w:val="20"/>
                <w:lang w:eastAsia="fr-FR"/>
              </w:rPr>
              <w:lastRenderedPageBreak/>
              <w:t>Kosovo</w:t>
            </w:r>
            <w:r w:rsidR="00C57544">
              <w:rPr>
                <w:rFonts w:eastAsia="Times New Roman" w:cs="Arial"/>
                <w:b/>
                <w:bCs/>
                <w:color w:val="000000"/>
                <w:szCs w:val="20"/>
                <w:lang w:eastAsia="fr-FR"/>
              </w:rPr>
              <w:t>*</w:t>
            </w:r>
            <w:r w:rsidRPr="00032312">
              <w:rPr>
                <w:rFonts w:eastAsia="Times New Roman" w:cs="Arial"/>
                <w:b/>
                <w:bCs/>
                <w:color w:val="000000"/>
                <w:szCs w:val="20"/>
                <w:lang w:eastAsia="fr-FR"/>
              </w:rPr>
              <w:t>*</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lastRenderedPageBreak/>
              <w:t>IPA</w:t>
            </w:r>
          </w:p>
        </w:tc>
        <w:tc>
          <w:tcPr>
            <w:tcW w:w="2036" w:type="pct"/>
            <w:tcBorders>
              <w:top w:val="nil"/>
              <w:left w:val="nil"/>
              <w:bottom w:val="single" w:sz="4" w:space="0" w:color="auto"/>
              <w:right w:val="single" w:sz="4" w:space="0" w:color="auto"/>
            </w:tcBorders>
            <w:shd w:val="clear" w:color="auto" w:fill="auto"/>
            <w:vAlign w:val="center"/>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Project against Economic Crime in Kosovo</w:t>
            </w:r>
            <w:r w:rsidR="00C57544">
              <w:rPr>
                <w:rFonts w:eastAsia="Times New Roman" w:cs="Arial"/>
                <w:color w:val="000000"/>
                <w:szCs w:val="20"/>
                <w:lang w:eastAsia="fr-FR"/>
              </w:rPr>
              <w:t>*</w:t>
            </w:r>
            <w:r w:rsidRPr="00032312">
              <w:rPr>
                <w:rFonts w:eastAsia="Times New Roman" w:cs="Arial"/>
                <w:b/>
                <w:bCs/>
                <w:color w:val="000000"/>
                <w:szCs w:val="20"/>
                <w:lang w:eastAsia="fr-FR"/>
              </w:rPr>
              <w:t>*</w:t>
            </w:r>
            <w:r w:rsidRPr="00032312">
              <w:rPr>
                <w:rFonts w:eastAsia="Times New Roman" w:cs="Arial"/>
                <w:color w:val="000000"/>
                <w:szCs w:val="20"/>
                <w:lang w:eastAsia="fr-FR"/>
              </w:rPr>
              <w:t xml:space="preserve"> (PECK II)</w:t>
            </w:r>
          </w:p>
        </w:tc>
        <w:tc>
          <w:tcPr>
            <w:tcW w:w="441" w:type="pct"/>
            <w:tcBorders>
              <w:top w:val="nil"/>
              <w:left w:val="nil"/>
              <w:bottom w:val="single" w:sz="4" w:space="0" w:color="auto"/>
              <w:right w:val="single" w:sz="4" w:space="0" w:color="auto"/>
            </w:tcBorders>
            <w:shd w:val="clear" w:color="auto" w:fill="auto"/>
            <w:vAlign w:val="center"/>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01/01/2016</w:t>
            </w:r>
          </w:p>
        </w:tc>
        <w:tc>
          <w:tcPr>
            <w:tcW w:w="441" w:type="pct"/>
            <w:tcBorders>
              <w:top w:val="nil"/>
              <w:left w:val="nil"/>
              <w:bottom w:val="single" w:sz="4" w:space="0" w:color="auto"/>
              <w:right w:val="single" w:sz="4" w:space="0" w:color="auto"/>
            </w:tcBorders>
            <w:shd w:val="clear" w:color="auto" w:fill="auto"/>
            <w:vAlign w:val="center"/>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30/09/2019</w:t>
            </w:r>
          </w:p>
        </w:tc>
        <w:tc>
          <w:tcPr>
            <w:tcW w:w="547" w:type="pct"/>
            <w:tcBorders>
              <w:top w:val="nil"/>
              <w:left w:val="nil"/>
              <w:bottom w:val="single" w:sz="4" w:space="0" w:color="auto"/>
              <w:right w:val="single" w:sz="4" w:space="0" w:color="auto"/>
            </w:tcBorders>
            <w:shd w:val="clear" w:color="auto" w:fill="auto"/>
            <w:vAlign w:val="center"/>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2 225 000,00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2 000 000,00</w:t>
            </w:r>
          </w:p>
        </w:tc>
        <w:tc>
          <w:tcPr>
            <w:tcW w:w="547" w:type="pct"/>
            <w:tcBorders>
              <w:top w:val="nil"/>
              <w:left w:val="nil"/>
              <w:bottom w:val="single" w:sz="4" w:space="0" w:color="auto"/>
              <w:right w:val="single" w:sz="4" w:space="0" w:color="auto"/>
            </w:tcBorders>
            <w:shd w:val="clear" w:color="auto" w:fill="auto"/>
            <w:vAlign w:val="center"/>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225 000,00</w:t>
            </w:r>
            <w:r>
              <w:rPr>
                <w:rFonts w:eastAsia="Times New Roman" w:cs="Arial"/>
                <w:color w:val="000000"/>
                <w:szCs w:val="20"/>
                <w:lang w:eastAsia="fr-FR"/>
              </w:rPr>
              <w:t xml:space="preserve"> </w:t>
            </w:r>
          </w:p>
        </w:tc>
      </w:tr>
      <w:tr w:rsidR="00032312" w:rsidRPr="00032312" w:rsidTr="00032312">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032312" w:rsidRPr="00032312" w:rsidRDefault="00032312" w:rsidP="00032312">
            <w:pPr>
              <w:rPr>
                <w:rFonts w:eastAsia="Times New Roman" w:cs="Arial"/>
                <w:b/>
                <w:bCs/>
                <w:color w:val="000000"/>
                <w:szCs w:val="20"/>
                <w:lang w:eastAsia="fr-FR"/>
              </w:rPr>
            </w:pPr>
            <w:r w:rsidRPr="00032312">
              <w:rPr>
                <w:rFonts w:eastAsia="Times New Roman" w:cs="Arial"/>
                <w:b/>
                <w:bCs/>
                <w:color w:val="000000"/>
                <w:szCs w:val="20"/>
                <w:lang w:eastAsia="fr-FR"/>
              </w:rPr>
              <w:t xml:space="preserve">Regional </w:t>
            </w:r>
          </w:p>
        </w:tc>
      </w:tr>
      <w:tr w:rsidR="00032312" w:rsidRPr="00032312" w:rsidTr="00032312">
        <w:trPr>
          <w:trHeight w:val="9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IPA</w:t>
            </w:r>
          </w:p>
        </w:tc>
        <w:tc>
          <w:tcPr>
            <w:tcW w:w="2036"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 xml:space="preserve">Project </w:t>
            </w:r>
            <w:proofErr w:type="spellStart"/>
            <w:r w:rsidRPr="00032312">
              <w:rPr>
                <w:rFonts w:eastAsia="Times New Roman" w:cs="Arial"/>
                <w:color w:val="000000"/>
                <w:szCs w:val="20"/>
                <w:lang w:eastAsia="fr-FR"/>
              </w:rPr>
              <w:t>iPROCEEDS</w:t>
            </w:r>
            <w:proofErr w:type="spellEnd"/>
            <w:r w:rsidRPr="00032312">
              <w:rPr>
                <w:rFonts w:eastAsia="Times New Roman" w:cs="Arial"/>
                <w:color w:val="000000"/>
                <w:szCs w:val="20"/>
                <w:lang w:eastAsia="fr-FR"/>
              </w:rPr>
              <w:t>: Co-operation on Cybercrime under the Instrument of Pre-accession (IPA): Project on targeting crime proceeds on the Internet in South-Eastern Europe and Turkey</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15/12/2015</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14/06/2019</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5 560 000,00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5 000 000,00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560 000,00</w:t>
            </w:r>
            <w:r>
              <w:rPr>
                <w:rFonts w:eastAsia="Times New Roman" w:cs="Arial"/>
                <w:color w:val="000000"/>
                <w:szCs w:val="20"/>
                <w:lang w:eastAsia="fr-FR"/>
              </w:rPr>
              <w:t xml:space="preserve">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IPA</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JUFREX - Reinforcing Judicial Expertise on Freedom of Expression and the Media in South-East Europe</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20/04/2016</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31/05/2019</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3 100 000,00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2 500 000,00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600 000,00</w:t>
            </w:r>
            <w:r>
              <w:rPr>
                <w:rFonts w:eastAsia="Times New Roman" w:cs="Arial"/>
                <w:color w:val="000000"/>
                <w:szCs w:val="20"/>
                <w:lang w:eastAsia="fr-FR"/>
              </w:rPr>
              <w:t xml:space="preserve">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IPA</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ROMACTED: Promoting good governance and Roma</w:t>
            </w:r>
            <w:r w:rsidR="00C57544">
              <w:rPr>
                <w:rFonts w:eastAsia="Times New Roman" w:cs="Arial"/>
                <w:color w:val="000000"/>
                <w:szCs w:val="20"/>
                <w:lang w:eastAsia="fr-FR"/>
              </w:rPr>
              <w:t>*</w:t>
            </w:r>
            <w:r w:rsidRPr="00032312">
              <w:rPr>
                <w:rFonts w:eastAsia="Times New Roman" w:cs="Arial"/>
                <w:color w:val="000000"/>
                <w:szCs w:val="20"/>
                <w:lang w:eastAsia="fr-FR"/>
              </w:rPr>
              <w:t xml:space="preserve"> empowerment at local level</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01/05/2017</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30/04/2020</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3 750 000,00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3 000 000,00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750 000,00</w:t>
            </w:r>
            <w:r>
              <w:rPr>
                <w:rFonts w:eastAsia="Times New Roman" w:cs="Arial"/>
                <w:color w:val="000000"/>
                <w:szCs w:val="20"/>
                <w:lang w:eastAsia="fr-FR"/>
              </w:rPr>
              <w:t xml:space="preserve">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IPA</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European Union/Council of Europe Horizontal Facility for the Western Balkans and Turkey</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24/05/2016</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23/05/2019</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25 000 000,00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20 000 000,00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5 000 000,00</w:t>
            </w:r>
            <w:r>
              <w:rPr>
                <w:rFonts w:eastAsia="Times New Roman" w:cs="Arial"/>
                <w:color w:val="000000"/>
                <w:szCs w:val="20"/>
                <w:lang w:eastAsia="fr-FR"/>
              </w:rPr>
              <w:t xml:space="preserve"> </w:t>
            </w:r>
          </w:p>
        </w:tc>
      </w:tr>
      <w:tr w:rsidR="00032312" w:rsidRPr="00032312" w:rsidTr="00032312">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000000" w:fill="5B9BD5"/>
            <w:vAlign w:val="center"/>
            <w:hideMark/>
          </w:tcPr>
          <w:p w:rsidR="00032312" w:rsidRPr="00032312" w:rsidRDefault="00032312" w:rsidP="00032312">
            <w:pPr>
              <w:rPr>
                <w:rFonts w:eastAsia="Times New Roman" w:cs="Arial"/>
                <w:b/>
                <w:bCs/>
                <w:color w:val="000000"/>
                <w:szCs w:val="20"/>
                <w:lang w:eastAsia="fr-FR"/>
              </w:rPr>
            </w:pPr>
            <w:r w:rsidRPr="00032312">
              <w:rPr>
                <w:rFonts w:eastAsia="Times New Roman" w:cs="Arial"/>
                <w:b/>
                <w:bCs/>
                <w:color w:val="000000"/>
                <w:szCs w:val="20"/>
                <w:lang w:eastAsia="fr-FR"/>
              </w:rPr>
              <w:t xml:space="preserve">Eastern Europe and South Caucasus </w:t>
            </w:r>
          </w:p>
        </w:tc>
      </w:tr>
      <w:tr w:rsidR="00032312" w:rsidRPr="00032312" w:rsidTr="00032312">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032312" w:rsidRPr="00032312" w:rsidRDefault="00032312" w:rsidP="00032312">
            <w:pPr>
              <w:rPr>
                <w:rFonts w:eastAsia="Times New Roman" w:cs="Arial"/>
                <w:b/>
                <w:bCs/>
                <w:color w:val="000000"/>
                <w:szCs w:val="20"/>
                <w:lang w:eastAsia="fr-FR"/>
              </w:rPr>
            </w:pPr>
            <w:r w:rsidRPr="00032312">
              <w:rPr>
                <w:rFonts w:eastAsia="Times New Roman" w:cs="Arial"/>
                <w:b/>
                <w:bCs/>
                <w:color w:val="000000"/>
                <w:szCs w:val="20"/>
                <w:lang w:eastAsia="fr-FR"/>
              </w:rPr>
              <w:t>Azerbaijan</w:t>
            </w:r>
          </w:p>
        </w:tc>
      </w:tr>
      <w:tr w:rsidR="00032312" w:rsidRPr="00032312" w:rsidTr="00032312">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ENPI</w:t>
            </w:r>
          </w:p>
        </w:tc>
        <w:tc>
          <w:tcPr>
            <w:tcW w:w="2036"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Civil Society Dialogue in Azerbaijan</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01/03/2016</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31/08/2018</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568 262,00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300 000,00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268 262,00</w:t>
            </w:r>
            <w:r>
              <w:rPr>
                <w:rFonts w:eastAsia="Times New Roman" w:cs="Arial"/>
                <w:color w:val="000000"/>
                <w:szCs w:val="20"/>
                <w:lang w:eastAsia="fr-FR"/>
              </w:rPr>
              <w:t xml:space="preserve">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ENPI</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Further support to the penitentiary reform in Azerbaijan</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01/09/2016</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31/08/2018</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556 000,00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500 000,00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56 000,00</w:t>
            </w:r>
            <w:r>
              <w:rPr>
                <w:rFonts w:eastAsia="Times New Roman" w:cs="Arial"/>
                <w:color w:val="000000"/>
                <w:szCs w:val="20"/>
                <w:lang w:eastAsia="fr-FR"/>
              </w:rPr>
              <w:t xml:space="preserve"> </w:t>
            </w:r>
          </w:p>
        </w:tc>
      </w:tr>
      <w:tr w:rsidR="00032312" w:rsidRPr="00032312" w:rsidTr="00032312">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032312" w:rsidRPr="00032312" w:rsidRDefault="00032312" w:rsidP="00032312">
            <w:pPr>
              <w:rPr>
                <w:rFonts w:eastAsia="Times New Roman" w:cs="Arial"/>
                <w:b/>
                <w:bCs/>
                <w:color w:val="000000"/>
                <w:szCs w:val="20"/>
                <w:lang w:eastAsia="fr-FR"/>
              </w:rPr>
            </w:pPr>
            <w:r w:rsidRPr="00032312">
              <w:rPr>
                <w:rFonts w:eastAsia="Times New Roman" w:cs="Arial"/>
                <w:b/>
                <w:bCs/>
                <w:color w:val="000000"/>
                <w:szCs w:val="20"/>
                <w:lang w:eastAsia="fr-FR"/>
              </w:rPr>
              <w:t xml:space="preserve">Republic of Moldova </w:t>
            </w:r>
          </w:p>
        </w:tc>
      </w:tr>
      <w:tr w:rsidR="00032312" w:rsidRPr="00032312" w:rsidTr="00032312">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ENPI</w:t>
            </w:r>
          </w:p>
        </w:tc>
        <w:tc>
          <w:tcPr>
            <w:tcW w:w="2036"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Promoting media freedom and pluralism in the Republic of Moldova</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17/12/2016</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28/02/2019</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600 000,00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500 000,00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100 000,00</w:t>
            </w:r>
            <w:r>
              <w:rPr>
                <w:rFonts w:eastAsia="Times New Roman" w:cs="Arial"/>
                <w:color w:val="000000"/>
                <w:szCs w:val="20"/>
                <w:lang w:eastAsia="fr-FR"/>
              </w:rPr>
              <w:t xml:space="preserve">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lastRenderedPageBreak/>
              <w:t>ENPI</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 xml:space="preserve">Controlling corruption through law enforcement and prevention (CLEP) - the Republic of Moldova </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01/06/2017</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31/05/2020</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2 225 000,00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2 000 000,00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225 000,00</w:t>
            </w:r>
            <w:r>
              <w:rPr>
                <w:rFonts w:eastAsia="Times New Roman" w:cs="Arial"/>
                <w:color w:val="000000"/>
                <w:szCs w:val="20"/>
                <w:lang w:eastAsia="fr-FR"/>
              </w:rPr>
              <w:t xml:space="preserve"> </w:t>
            </w:r>
          </w:p>
        </w:tc>
      </w:tr>
      <w:tr w:rsidR="00032312" w:rsidRPr="00032312" w:rsidTr="00032312">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032312" w:rsidRPr="00032312" w:rsidRDefault="00032312" w:rsidP="00032312">
            <w:pPr>
              <w:rPr>
                <w:rFonts w:eastAsia="Times New Roman" w:cs="Arial"/>
                <w:b/>
                <w:bCs/>
                <w:color w:val="000000"/>
                <w:szCs w:val="20"/>
                <w:lang w:eastAsia="fr-FR"/>
              </w:rPr>
            </w:pPr>
            <w:r w:rsidRPr="00032312">
              <w:rPr>
                <w:rFonts w:eastAsia="Times New Roman" w:cs="Arial"/>
                <w:b/>
                <w:bCs/>
                <w:color w:val="000000"/>
                <w:szCs w:val="20"/>
                <w:lang w:eastAsia="fr-FR"/>
              </w:rPr>
              <w:t>Russian Federation</w:t>
            </w:r>
          </w:p>
        </w:tc>
      </w:tr>
      <w:tr w:rsidR="00032312" w:rsidRPr="00032312" w:rsidTr="00032312">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FPI</w:t>
            </w:r>
          </w:p>
        </w:tc>
        <w:tc>
          <w:tcPr>
            <w:tcW w:w="2036"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Co-operation in the implementation of the Russian Federation National Action Strategy for Women (2017-2022)</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03/11/2018</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02/05/2020</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556 000,00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500 000,00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56 000,00</w:t>
            </w:r>
            <w:r>
              <w:rPr>
                <w:rFonts w:eastAsia="Times New Roman" w:cs="Arial"/>
                <w:color w:val="000000"/>
                <w:szCs w:val="20"/>
                <w:lang w:eastAsia="fr-FR"/>
              </w:rPr>
              <w:t xml:space="preserve"> </w:t>
            </w:r>
          </w:p>
        </w:tc>
      </w:tr>
      <w:tr w:rsidR="00032312" w:rsidRPr="00032312" w:rsidTr="00032312">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032312" w:rsidRPr="00032312" w:rsidRDefault="00032312" w:rsidP="00032312">
            <w:pPr>
              <w:rPr>
                <w:rFonts w:eastAsia="Times New Roman" w:cs="Arial"/>
                <w:b/>
                <w:bCs/>
                <w:color w:val="000000"/>
                <w:szCs w:val="20"/>
                <w:lang w:eastAsia="fr-FR"/>
              </w:rPr>
            </w:pPr>
            <w:r w:rsidRPr="00032312">
              <w:rPr>
                <w:rFonts w:eastAsia="Times New Roman" w:cs="Arial"/>
                <w:b/>
                <w:bCs/>
                <w:color w:val="000000"/>
                <w:szCs w:val="20"/>
                <w:lang w:eastAsia="fr-FR"/>
              </w:rPr>
              <w:t>Regional Eastern Europe and South Caucasus</w:t>
            </w:r>
          </w:p>
        </w:tc>
      </w:tr>
      <w:tr w:rsidR="00032312" w:rsidRPr="00032312" w:rsidTr="00032312">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ENI</w:t>
            </w:r>
          </w:p>
        </w:tc>
        <w:tc>
          <w:tcPr>
            <w:tcW w:w="2036"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 xml:space="preserve">Partnership for Good Governance </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01/01/2015</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31/12/2018</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36 000 230,00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30 400 000,00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5 600 230,00</w:t>
            </w:r>
            <w:r>
              <w:rPr>
                <w:rFonts w:eastAsia="Times New Roman" w:cs="Arial"/>
                <w:color w:val="000000"/>
                <w:szCs w:val="20"/>
                <w:lang w:eastAsia="fr-FR"/>
              </w:rPr>
              <w:t xml:space="preserve"> </w:t>
            </w:r>
          </w:p>
        </w:tc>
      </w:tr>
      <w:tr w:rsidR="00032312" w:rsidRPr="00032312" w:rsidTr="00032312">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000000" w:fill="5B9BD5"/>
            <w:vAlign w:val="center"/>
            <w:hideMark/>
          </w:tcPr>
          <w:p w:rsidR="00032312" w:rsidRPr="00032312" w:rsidRDefault="00032312" w:rsidP="00032312">
            <w:pPr>
              <w:rPr>
                <w:rFonts w:eastAsia="Times New Roman" w:cs="Arial"/>
                <w:b/>
                <w:bCs/>
                <w:color w:val="000000"/>
                <w:szCs w:val="20"/>
                <w:lang w:eastAsia="fr-FR"/>
              </w:rPr>
            </w:pPr>
            <w:r w:rsidRPr="00032312">
              <w:rPr>
                <w:rFonts w:eastAsia="Times New Roman" w:cs="Arial"/>
                <w:b/>
                <w:bCs/>
                <w:color w:val="000000"/>
                <w:szCs w:val="20"/>
                <w:lang w:eastAsia="fr-FR"/>
              </w:rPr>
              <w:t xml:space="preserve">Multilateral </w:t>
            </w:r>
          </w:p>
        </w:tc>
      </w:tr>
      <w:tr w:rsidR="00032312" w:rsidRPr="00032312" w:rsidTr="00032312">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ICSP</w:t>
            </w:r>
          </w:p>
        </w:tc>
        <w:tc>
          <w:tcPr>
            <w:tcW w:w="2036"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Global Action on Cybercrime extended (GLACY+)</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01/03/2016</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28/02/2021</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13 350 000,00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12 000 000,00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1 350 000,00</w:t>
            </w:r>
            <w:r>
              <w:rPr>
                <w:rFonts w:eastAsia="Times New Roman" w:cs="Arial"/>
                <w:color w:val="000000"/>
                <w:szCs w:val="20"/>
                <w:lang w:eastAsia="fr-FR"/>
              </w:rPr>
              <w:t xml:space="preserve">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DG EAC</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ProS4+ / Promoting and strengthening the CoE standards on safety security and service at football matches and other sports events</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01/01/2017</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30/06/2018</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420 000,00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300 000,00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120 000,00</w:t>
            </w:r>
            <w:r>
              <w:rPr>
                <w:rFonts w:eastAsia="Times New Roman" w:cs="Arial"/>
                <w:color w:val="000000"/>
                <w:szCs w:val="20"/>
                <w:lang w:eastAsia="fr-FR"/>
              </w:rPr>
              <w:t xml:space="preserve">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DG REGIO</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Fostering regional development through transnational cultural heritage policies and practices</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01/12/2017</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31/05/2020</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1 111 111,00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1 000 000,00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111 111,00</w:t>
            </w:r>
            <w:r>
              <w:rPr>
                <w:rFonts w:eastAsia="Times New Roman" w:cs="Arial"/>
                <w:color w:val="000000"/>
                <w:szCs w:val="20"/>
                <w:lang w:eastAsia="fr-FR"/>
              </w:rPr>
              <w:t xml:space="preserve">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DG EAC</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The Partnership between the European Commission and the Council of Europe in the Field of Youth - 2018 agreement</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01/01/2018</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31/12/2018</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1 200 000,00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600 000,00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600 000,00</w:t>
            </w:r>
            <w:r>
              <w:rPr>
                <w:rFonts w:eastAsia="Times New Roman" w:cs="Arial"/>
                <w:color w:val="000000"/>
                <w:szCs w:val="20"/>
                <w:lang w:eastAsia="fr-FR"/>
              </w:rPr>
              <w:t xml:space="preserve">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DG EAC</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European Heritage Days 2018</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01/01/2018</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30/06/2019</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800 000,00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400 000,00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400 000,00</w:t>
            </w:r>
            <w:r>
              <w:rPr>
                <w:rFonts w:eastAsia="Times New Roman" w:cs="Arial"/>
                <w:color w:val="000000"/>
                <w:szCs w:val="20"/>
                <w:lang w:eastAsia="fr-FR"/>
              </w:rPr>
              <w:t xml:space="preserve">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DG EAC</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 xml:space="preserve">Democratic and Inclusive School Culture in Operation (DISCO) - EU/CoE Joint Programme for International Co-operation Projects </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01/01/2018</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31/12/2019</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1 150 000,00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690 000,00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460 000,00</w:t>
            </w:r>
            <w:r>
              <w:rPr>
                <w:rFonts w:eastAsia="Times New Roman" w:cs="Arial"/>
                <w:color w:val="000000"/>
                <w:szCs w:val="20"/>
                <w:lang w:eastAsia="fr-FR"/>
              </w:rPr>
              <w:t xml:space="preserve">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DG EAC</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ALL-IN: Towards Gender Balance in Sport</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01/03/2018</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31/10/2019</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466 667,00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333 333,00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133 334,00</w:t>
            </w:r>
            <w:r>
              <w:rPr>
                <w:rFonts w:eastAsia="Times New Roman" w:cs="Arial"/>
                <w:color w:val="000000"/>
                <w:szCs w:val="20"/>
                <w:lang w:eastAsia="fr-FR"/>
              </w:rPr>
              <w:t xml:space="preserve">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lastRenderedPageBreak/>
              <w:t>DG EAC</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The Faro Convention Way: enhanced participation in cultural heritage</w:t>
            </w:r>
          </w:p>
          <w:p w:rsidR="00032312" w:rsidRPr="00032312" w:rsidRDefault="00032312" w:rsidP="00032312">
            <w:pPr>
              <w:rPr>
                <w:rFonts w:eastAsia="Times New Roman" w:cs="Arial"/>
                <w:color w:val="000000"/>
                <w:szCs w:val="20"/>
                <w:lang w:eastAsia="fr-FR"/>
              </w:rPr>
            </w:pP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16/06/2018</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15/06/2020</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300 000,00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150 000,00</w:t>
            </w:r>
            <w:r>
              <w:rPr>
                <w:rFonts w:eastAsia="Times New Roman" w:cs="Arial"/>
                <w:color w:val="000000"/>
                <w:szCs w:val="20"/>
                <w:lang w:eastAsia="fr-FR"/>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150 000,00</w:t>
            </w:r>
            <w:r>
              <w:rPr>
                <w:rFonts w:eastAsia="Times New Roman" w:cs="Arial"/>
                <w:color w:val="000000"/>
                <w:szCs w:val="20"/>
                <w:lang w:eastAsia="fr-FR"/>
              </w:rPr>
              <w:t xml:space="preserve"> </w:t>
            </w:r>
          </w:p>
        </w:tc>
      </w:tr>
      <w:tr w:rsidR="00032312" w:rsidRPr="00032312" w:rsidTr="00032312">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000000" w:fill="5B9BD5"/>
            <w:vAlign w:val="center"/>
            <w:hideMark/>
          </w:tcPr>
          <w:p w:rsidR="00032312" w:rsidRPr="00032312" w:rsidRDefault="00032312" w:rsidP="00032312">
            <w:pPr>
              <w:rPr>
                <w:rFonts w:eastAsia="Times New Roman" w:cs="Arial"/>
                <w:b/>
                <w:bCs/>
                <w:color w:val="000000"/>
                <w:szCs w:val="20"/>
                <w:lang w:eastAsia="fr-FR"/>
              </w:rPr>
            </w:pPr>
            <w:r w:rsidRPr="00032312">
              <w:rPr>
                <w:rFonts w:eastAsia="Times New Roman" w:cs="Arial"/>
                <w:b/>
                <w:bCs/>
                <w:color w:val="000000"/>
                <w:szCs w:val="20"/>
                <w:lang w:eastAsia="fr-FR"/>
              </w:rPr>
              <w:t>EU Member States</w:t>
            </w:r>
          </w:p>
        </w:tc>
      </w:tr>
      <w:tr w:rsidR="00032312" w:rsidRPr="00032312" w:rsidTr="00032312">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SRSS</w:t>
            </w:r>
          </w:p>
        </w:tc>
        <w:tc>
          <w:tcPr>
            <w:tcW w:w="2036"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Technical Assistance Project on Institutional</w:t>
            </w:r>
            <w:r w:rsidRPr="00032312">
              <w:rPr>
                <w:rFonts w:eastAsia="Times New Roman" w:cs="Arial"/>
                <w:color w:val="000000"/>
                <w:szCs w:val="20"/>
                <w:lang w:eastAsia="fr-FR"/>
              </w:rPr>
              <w:br/>
              <w:t>Enhancement for Local Governance (Greece)</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15/08/2016</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14/05/2018</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778 000,00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700 000,00</w:t>
            </w:r>
            <w:r>
              <w:rPr>
                <w:rFonts w:eastAsia="Times New Roman" w:cs="Arial"/>
                <w:color w:val="000000"/>
                <w:szCs w:val="20"/>
                <w:lang w:eastAsia="fr-FR"/>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78 000,00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SRSS</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proofErr w:type="spellStart"/>
            <w:r w:rsidRPr="00032312">
              <w:rPr>
                <w:rFonts w:eastAsia="Times New Roman" w:cs="Arial"/>
                <w:color w:val="000000"/>
                <w:szCs w:val="20"/>
                <w:lang w:eastAsia="fr-FR"/>
              </w:rPr>
              <w:t>Barnahus</w:t>
            </w:r>
            <w:proofErr w:type="spellEnd"/>
            <w:r w:rsidRPr="00032312">
              <w:rPr>
                <w:rFonts w:eastAsia="Times New Roman" w:cs="Arial"/>
                <w:color w:val="000000"/>
                <w:szCs w:val="20"/>
                <w:lang w:eastAsia="fr-FR"/>
              </w:rPr>
              <w:t>/Children's House (Slovenia)</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19/02/2018</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18/01/2019</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112 360,00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12 360,00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SRSS</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Promoting cyber justice in Spain through change management and improvement of data collection (Spain)</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07/11/2018</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06/11/2019</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278 000,00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250 000,00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28 000,00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SRSS</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Supporting the efficiency of justice in Malta (Malta)</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07/12/2018</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06/12/2019</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278 000,00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250 000,00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28 000,00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DCI - NSA</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proofErr w:type="spellStart"/>
            <w:r w:rsidRPr="00032312">
              <w:rPr>
                <w:rFonts w:eastAsia="Times New Roman" w:cs="Arial"/>
                <w:color w:val="000000"/>
                <w:szCs w:val="20"/>
                <w:lang w:eastAsia="fr-FR"/>
              </w:rPr>
              <w:t>iLEGEND</w:t>
            </w:r>
            <w:proofErr w:type="spellEnd"/>
            <w:r w:rsidRPr="00032312">
              <w:rPr>
                <w:rFonts w:eastAsia="Times New Roman" w:cs="Arial"/>
                <w:color w:val="000000"/>
                <w:szCs w:val="20"/>
                <w:lang w:eastAsia="fr-FR"/>
              </w:rPr>
              <w:t>: Intercultural Learning Exchange through Global Education, Networking and Dialogue</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26/07/2016</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25/07/2019</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1 333 333,00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1 000 000,00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333 333,00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DG JUST</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Network of SPACE National correspondents and network of national prison monitoring bodies (especially NPMs)</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01/10/2016</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31/03/2018</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250 000,00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200 000,00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50 000,00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DG JUST</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Roma and Traveller's Women Access to Justice</w:t>
            </w:r>
            <w:r w:rsidR="00C57544">
              <w:rPr>
                <w:rFonts w:eastAsia="Times New Roman" w:cs="Arial"/>
                <w:color w:val="000000"/>
                <w:szCs w:val="20"/>
                <w:lang w:eastAsia="fr-FR"/>
              </w:rPr>
              <w:t>*</w:t>
            </w:r>
            <w:r w:rsidRPr="00032312">
              <w:rPr>
                <w:rFonts w:eastAsia="Times New Roman" w:cs="Arial"/>
                <w:color w:val="000000"/>
                <w:szCs w:val="20"/>
                <w:lang w:eastAsia="fr-FR"/>
              </w:rPr>
              <w:t xml:space="preserve"> </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01/10/2016</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31/03/2018</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850 532,74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680 426,24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170 106,50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DG EAC</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proofErr w:type="spellStart"/>
            <w:r w:rsidRPr="00032312">
              <w:rPr>
                <w:rFonts w:eastAsia="Times New Roman" w:cs="Arial"/>
                <w:color w:val="000000"/>
                <w:szCs w:val="20"/>
                <w:lang w:eastAsia="fr-FR"/>
              </w:rPr>
              <w:t>STePs</w:t>
            </w:r>
            <w:proofErr w:type="spellEnd"/>
            <w:r w:rsidRPr="00032312">
              <w:rPr>
                <w:rFonts w:eastAsia="Times New Roman" w:cs="Arial"/>
                <w:color w:val="000000"/>
                <w:szCs w:val="20"/>
                <w:lang w:eastAsia="fr-FR"/>
              </w:rPr>
              <w:t xml:space="preserve"> – Building specialisation strategies on local participation and heritage resources</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01/12/2016</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28/02/2019</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300 000,00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150 000,00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150 000,00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DG EMP</w:t>
            </w:r>
          </w:p>
        </w:tc>
        <w:tc>
          <w:tcPr>
            <w:tcW w:w="2036" w:type="pct"/>
            <w:tcBorders>
              <w:top w:val="nil"/>
              <w:left w:val="nil"/>
              <w:bottom w:val="single" w:sz="4" w:space="0" w:color="auto"/>
              <w:right w:val="single" w:sz="4" w:space="0" w:color="auto"/>
            </w:tcBorders>
            <w:shd w:val="clear" w:color="auto" w:fill="auto"/>
            <w:vAlign w:val="center"/>
            <w:hideMark/>
          </w:tcPr>
          <w:p w:rsid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ROMACT 4 - building capacity at local level for the integration of Roma</w:t>
            </w:r>
            <w:r w:rsidR="00C57544">
              <w:rPr>
                <w:rFonts w:eastAsia="Times New Roman" w:cs="Arial"/>
                <w:color w:val="000000"/>
                <w:szCs w:val="20"/>
                <w:lang w:eastAsia="fr-FR"/>
              </w:rPr>
              <w:t>*</w:t>
            </w:r>
          </w:p>
          <w:p w:rsidR="00C57544" w:rsidRPr="00032312" w:rsidRDefault="00C57544" w:rsidP="00032312">
            <w:pPr>
              <w:rPr>
                <w:rFonts w:eastAsia="Times New Roman" w:cs="Arial"/>
                <w:color w:val="000000"/>
                <w:szCs w:val="20"/>
                <w:lang w:eastAsia="fr-FR"/>
              </w:rPr>
            </w:pP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01/01/2017</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30/06/2018</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625 000,00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500 000,00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125 000,00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DG EAC</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Inclusive Schools: Making a difference for Roma children</w:t>
            </w:r>
            <w:r w:rsidR="00C57544">
              <w:rPr>
                <w:rFonts w:eastAsia="Times New Roman" w:cs="Arial"/>
                <w:color w:val="000000"/>
                <w:szCs w:val="20"/>
                <w:lang w:eastAsia="fr-FR"/>
              </w:rPr>
              <w:t>*</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15/05/2017</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31/07/2019</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1 400 000,00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700 000,00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700 000,00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DG EAC</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Innovative Methodologies and Assessment in Language Learning V</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21/09/2017</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20/09/2018</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585 504,00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468 403,20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117 100,80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lastRenderedPageBreak/>
              <w:t>DG JUST</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val="fr-FR" w:eastAsia="fr-FR"/>
              </w:rPr>
            </w:pPr>
            <w:r w:rsidRPr="00032312">
              <w:rPr>
                <w:rFonts w:eastAsia="Times New Roman" w:cs="Arial"/>
                <w:color w:val="000000"/>
                <w:szCs w:val="20"/>
                <w:lang w:val="fr-FR" w:eastAsia="fr-FR"/>
              </w:rPr>
              <w:t xml:space="preserve">EU-CoE HELP Radicalisation Prevention </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01/10/2017</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30/09/2019</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621 242,00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496 000,00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125 242,00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DG EMP</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ROMACT 5 - Building up political will and understanding of Roma</w:t>
            </w:r>
            <w:r w:rsidR="00C57544">
              <w:rPr>
                <w:rFonts w:eastAsia="Times New Roman" w:cs="Arial"/>
                <w:color w:val="000000"/>
                <w:szCs w:val="20"/>
                <w:lang w:eastAsia="fr-FR"/>
              </w:rPr>
              <w:t>*</w:t>
            </w:r>
            <w:r w:rsidRPr="00032312">
              <w:rPr>
                <w:rFonts w:eastAsia="Times New Roman" w:cs="Arial"/>
                <w:color w:val="000000"/>
                <w:szCs w:val="20"/>
                <w:lang w:eastAsia="fr-FR"/>
              </w:rPr>
              <w:t xml:space="preserve"> inclusion at local and regional level</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01/01/2018</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31/03/2019</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875 000,00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700 000,00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175 000,00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DG JUST</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EU-CoE HELP (Human Rights Education for Legal</w:t>
            </w:r>
            <w:r w:rsidRPr="00032312">
              <w:rPr>
                <w:rFonts w:eastAsia="Times New Roman" w:cs="Arial"/>
                <w:color w:val="000000"/>
                <w:szCs w:val="20"/>
                <w:lang w:eastAsia="fr-FR"/>
              </w:rPr>
              <w:br/>
              <w:t xml:space="preserve">Professionals) in the EU </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15/02/2018</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14/02/2020</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1 119 006,00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894 980,05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224 025,95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 xml:space="preserve">DG JUST </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Roma and Traveller Women's Access to Justice</w:t>
            </w:r>
            <w:r w:rsidR="00A03EFF">
              <w:rPr>
                <w:rFonts w:eastAsia="Times New Roman" w:cs="Arial"/>
                <w:color w:val="000000"/>
                <w:szCs w:val="20"/>
                <w:lang w:eastAsia="fr-FR"/>
              </w:rPr>
              <w:t>*</w:t>
            </w:r>
            <w:r w:rsidRPr="00032312">
              <w:rPr>
                <w:rFonts w:eastAsia="Times New Roman" w:cs="Arial"/>
                <w:color w:val="000000"/>
                <w:szCs w:val="20"/>
                <w:lang w:eastAsia="fr-FR"/>
              </w:rPr>
              <w:t xml:space="preserve"> - JUSTROM  2</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01/04/2018</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31/03/2019</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866 222,67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692 978,14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173 244,53  </w:t>
            </w:r>
          </w:p>
        </w:tc>
      </w:tr>
      <w:tr w:rsidR="00032312" w:rsidRPr="00032312" w:rsidTr="00032312">
        <w:trPr>
          <w:trHeight w:val="1999"/>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DG JUST</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Development of a more elaborate SPACE (</w:t>
            </w:r>
            <w:proofErr w:type="spellStart"/>
            <w:r w:rsidRPr="00032312">
              <w:rPr>
                <w:rFonts w:eastAsia="Times New Roman" w:cs="Arial"/>
                <w:color w:val="000000"/>
                <w:szCs w:val="20"/>
                <w:lang w:eastAsia="fr-FR"/>
              </w:rPr>
              <w:t>Statistiques</w:t>
            </w:r>
            <w:proofErr w:type="spellEnd"/>
            <w:r w:rsidRPr="00032312">
              <w:rPr>
                <w:rFonts w:eastAsia="Times New Roman" w:cs="Arial"/>
                <w:color w:val="000000"/>
                <w:szCs w:val="20"/>
                <w:lang w:eastAsia="fr-FR"/>
              </w:rPr>
              <w:t xml:space="preserve"> </w:t>
            </w:r>
            <w:proofErr w:type="spellStart"/>
            <w:r w:rsidRPr="00032312">
              <w:rPr>
                <w:rFonts w:eastAsia="Times New Roman" w:cs="Arial"/>
                <w:color w:val="000000"/>
                <w:szCs w:val="20"/>
                <w:lang w:eastAsia="fr-FR"/>
              </w:rPr>
              <w:t>Pénales</w:t>
            </w:r>
            <w:proofErr w:type="spellEnd"/>
            <w:r w:rsidRPr="00032312">
              <w:rPr>
                <w:rFonts w:eastAsia="Times New Roman" w:cs="Arial"/>
                <w:color w:val="000000"/>
                <w:szCs w:val="20"/>
                <w:lang w:eastAsia="fr-FR"/>
              </w:rPr>
              <w:t xml:space="preserve"> </w:t>
            </w:r>
            <w:proofErr w:type="spellStart"/>
            <w:r w:rsidRPr="00032312">
              <w:rPr>
                <w:rFonts w:eastAsia="Times New Roman" w:cs="Arial"/>
                <w:color w:val="000000"/>
                <w:szCs w:val="20"/>
                <w:lang w:eastAsia="fr-FR"/>
              </w:rPr>
              <w:t>Annuelles</w:t>
            </w:r>
            <w:proofErr w:type="spellEnd"/>
            <w:r w:rsidRPr="00032312">
              <w:rPr>
                <w:rFonts w:eastAsia="Times New Roman" w:cs="Arial"/>
                <w:color w:val="000000"/>
                <w:szCs w:val="20"/>
                <w:lang w:eastAsia="fr-FR"/>
              </w:rPr>
              <w:t xml:space="preserve"> du Conseil de </w:t>
            </w:r>
            <w:proofErr w:type="spellStart"/>
            <w:r w:rsidRPr="00032312">
              <w:rPr>
                <w:rFonts w:eastAsia="Times New Roman" w:cs="Arial"/>
                <w:color w:val="000000"/>
                <w:szCs w:val="20"/>
                <w:lang w:eastAsia="fr-FR"/>
              </w:rPr>
              <w:t>l'Europe</w:t>
            </w:r>
            <w:proofErr w:type="spellEnd"/>
            <w:r w:rsidRPr="00032312">
              <w:rPr>
                <w:rFonts w:eastAsia="Times New Roman" w:cs="Arial"/>
                <w:color w:val="000000"/>
                <w:szCs w:val="20"/>
                <w:lang w:eastAsia="fr-FR"/>
              </w:rPr>
              <w:t xml:space="preserve">) report (by linking SPACE to the criminal justice system statistics) and EU network of prison monitoring bodies (in particular NPMs) under the Specific Objective of the Justice Programme: to facilitate and support judicial co-operation in civil and criminal matters </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01/04/2018</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30/09/2019</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187 500,00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300 000,00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75 000,00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DG EAC</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Promoting and Strengthening the Council of Europe Standards on Safety, Security and Service at football matches and other sports events (ProS4+)</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01/07/2018</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29/02/2020</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465 000,00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336 000,00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129 000,00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DG EAC</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Innovative Methodologies and Assessment in Language Learning VI</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21/09/2018</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20/09/2019</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622 512,63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498 010,10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124 502,53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DG EMP</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ROMACT 6 - building capacity at local level for the integration of Roma</w:t>
            </w:r>
            <w:r w:rsidR="00C57544">
              <w:rPr>
                <w:rFonts w:eastAsia="Times New Roman" w:cs="Arial"/>
                <w:color w:val="000000"/>
                <w:szCs w:val="20"/>
                <w:lang w:eastAsia="fr-FR"/>
              </w:rPr>
              <w:t>*</w:t>
            </w:r>
            <w:r w:rsidRPr="00032312">
              <w:rPr>
                <w:rFonts w:eastAsia="Times New Roman" w:cs="Arial"/>
                <w:color w:val="000000"/>
                <w:szCs w:val="20"/>
                <w:lang w:eastAsia="fr-FR"/>
              </w:rPr>
              <w:t xml:space="preserve"> </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26/10/2018</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25/02/2020</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875 000,00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700 000,00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175 000,00  </w:t>
            </w:r>
          </w:p>
        </w:tc>
      </w:tr>
      <w:tr w:rsidR="00032312" w:rsidRPr="00032312" w:rsidTr="00032312">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000000" w:fill="5B9BD5"/>
            <w:vAlign w:val="center"/>
            <w:hideMark/>
          </w:tcPr>
          <w:p w:rsidR="00032312" w:rsidRPr="00032312" w:rsidRDefault="00032312" w:rsidP="00032312">
            <w:pPr>
              <w:rPr>
                <w:rFonts w:eastAsia="Times New Roman" w:cs="Arial"/>
                <w:b/>
                <w:bCs/>
                <w:color w:val="000000"/>
                <w:szCs w:val="20"/>
                <w:lang w:eastAsia="fr-FR"/>
              </w:rPr>
            </w:pPr>
            <w:r w:rsidRPr="00032312">
              <w:rPr>
                <w:rFonts w:eastAsia="Times New Roman" w:cs="Arial"/>
                <w:b/>
                <w:bCs/>
                <w:color w:val="000000"/>
                <w:szCs w:val="20"/>
                <w:lang w:eastAsia="fr-FR"/>
              </w:rPr>
              <w:t>Non-member States</w:t>
            </w:r>
          </w:p>
        </w:tc>
      </w:tr>
      <w:tr w:rsidR="00032312" w:rsidRPr="00032312" w:rsidTr="00032312">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DCI-Asia</w:t>
            </w:r>
          </w:p>
        </w:tc>
        <w:tc>
          <w:tcPr>
            <w:tcW w:w="2036"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 xml:space="preserve">Support to the Kazakh authorities in improving the quality and efficiency of the Kazakh justice system (Kazakhstan) </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25/07/2014</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24/07/2018</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2 000 000,00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2 000 000,00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0,00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ENI</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To improve efficiency and quality of justice in Morocco through implementation of CEPEJ tools (Morocco)</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01/01/2016</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30/06/2018</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1 777 778,00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1 600 000,00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177 778,00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lastRenderedPageBreak/>
              <w:t>DCI-Asia</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Strengthen Prevention and Combating of Corruption in Kyrgyz Republic (SPCC-KY) (</w:t>
            </w:r>
            <w:r w:rsidR="00EE361F" w:rsidRPr="00032312">
              <w:rPr>
                <w:rFonts w:eastAsia="Times New Roman" w:cs="Arial"/>
                <w:color w:val="000000"/>
                <w:szCs w:val="20"/>
                <w:lang w:eastAsia="fr-FR"/>
              </w:rPr>
              <w:t>Kyrgyzstan</w:t>
            </w:r>
            <w:r w:rsidRPr="00032312">
              <w:rPr>
                <w:rFonts w:eastAsia="Times New Roman" w:cs="Arial"/>
                <w:color w:val="000000"/>
                <w:szCs w:val="20"/>
                <w:lang w:eastAsia="fr-FR"/>
              </w:rPr>
              <w:t xml:space="preserve">) </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30/07/2016</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29/07/2018</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555 556,00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500 000,00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55 556,00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DCI-Asia</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Support to Strengthening Democracy through Electoral Reform (Kyrgyzstan)</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01/01/2017</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30/04/2019</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710 000,00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700 000,00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10 000,00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ENI</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 xml:space="preserve">Co-operation on cybercrime in the Southern Neighbourhood Region - </w:t>
            </w:r>
            <w:proofErr w:type="spellStart"/>
            <w:r w:rsidRPr="00032312">
              <w:rPr>
                <w:rFonts w:eastAsia="Times New Roman" w:cs="Arial"/>
                <w:color w:val="000000"/>
                <w:szCs w:val="20"/>
                <w:lang w:eastAsia="fr-FR"/>
              </w:rPr>
              <w:t>Cybercrime@South</w:t>
            </w:r>
            <w:proofErr w:type="spellEnd"/>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01/07/2017</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30/06/2020</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3 350 000,00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3 000 000,00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350 000,00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ENI</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 xml:space="preserve">Towards Strengthened Democratic Governance in the Southern Mediterranean (South Programme II) </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01/01/2015</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28/02/2018</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7 370 000,00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7 000 000,00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370 000,00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ENI</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Ensuring Sustainable Democratic Governance and Human Rights in the Southern Mediterranean (South Programme III)</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01/03/2018</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29/02/2020</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3 334 000,00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3 000 000,00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334 000,00  </w:t>
            </w:r>
          </w:p>
        </w:tc>
      </w:tr>
    </w:tbl>
    <w:p w:rsidR="00032312" w:rsidRPr="00032312" w:rsidRDefault="00032312" w:rsidP="00032312">
      <w:pPr>
        <w:rPr>
          <w:rFonts w:cs="Arial"/>
          <w:b/>
          <w:bCs/>
          <w:caps/>
          <w:szCs w:val="20"/>
        </w:rPr>
      </w:pPr>
    </w:p>
    <w:p w:rsidR="00032312" w:rsidRPr="00032312" w:rsidRDefault="00032312" w:rsidP="00032312">
      <w:pPr>
        <w:rPr>
          <w:rFonts w:cs="Arial"/>
          <w:b/>
          <w:bCs/>
          <w:caps/>
          <w:szCs w:val="20"/>
        </w:rPr>
      </w:pPr>
    </w:p>
    <w:p w:rsidR="00032312" w:rsidRPr="00032312" w:rsidRDefault="00032312" w:rsidP="00032312">
      <w:pPr>
        <w:rPr>
          <w:rFonts w:cs="Arial"/>
          <w:b/>
          <w:bCs/>
          <w:caps/>
          <w:szCs w:val="20"/>
        </w:rPr>
      </w:pPr>
    </w:p>
    <w:p w:rsidR="00001973" w:rsidRDefault="00001973">
      <w:pPr>
        <w:rPr>
          <w:rFonts w:cs="Arial"/>
          <w:b/>
          <w:bCs/>
          <w:caps/>
          <w:szCs w:val="20"/>
        </w:rPr>
      </w:pPr>
      <w:r>
        <w:rPr>
          <w:rFonts w:cs="Arial"/>
          <w:b/>
          <w:bCs/>
          <w:caps/>
          <w:szCs w:val="20"/>
        </w:rPr>
        <w:br w:type="page"/>
      </w:r>
    </w:p>
    <w:p w:rsidR="00032312" w:rsidRPr="00032312" w:rsidRDefault="00032312" w:rsidP="00032312">
      <w:pPr>
        <w:rPr>
          <w:rFonts w:cs="Arial"/>
          <w:b/>
          <w:bCs/>
          <w:caps/>
          <w:szCs w:val="20"/>
        </w:rPr>
      </w:pPr>
      <w:r w:rsidRPr="00032312">
        <w:rPr>
          <w:rFonts w:cs="Arial"/>
          <w:b/>
          <w:bCs/>
          <w:caps/>
          <w:szCs w:val="20"/>
        </w:rPr>
        <w:lastRenderedPageBreak/>
        <w:t>Appendix II</w:t>
      </w:r>
    </w:p>
    <w:p w:rsidR="00032312" w:rsidRPr="00032312" w:rsidRDefault="00032312" w:rsidP="00032312">
      <w:pPr>
        <w:rPr>
          <w:rFonts w:cs="Arial"/>
          <w:b/>
          <w:bCs/>
          <w:caps/>
          <w:szCs w:val="20"/>
        </w:rPr>
      </w:pPr>
    </w:p>
    <w:tbl>
      <w:tblPr>
        <w:tblW w:w="5000" w:type="pct"/>
        <w:tblCellMar>
          <w:left w:w="70" w:type="dxa"/>
          <w:right w:w="70" w:type="dxa"/>
        </w:tblCellMar>
        <w:tblLook w:val="04A0" w:firstRow="1" w:lastRow="0" w:firstColumn="1" w:lastColumn="0" w:noHBand="0" w:noVBand="1"/>
      </w:tblPr>
      <w:tblGrid>
        <w:gridCol w:w="1347"/>
        <w:gridCol w:w="6221"/>
        <w:gridCol w:w="1347"/>
        <w:gridCol w:w="1348"/>
        <w:gridCol w:w="1672"/>
        <w:gridCol w:w="1672"/>
        <w:gridCol w:w="1672"/>
      </w:tblGrid>
      <w:tr w:rsidR="00032312" w:rsidRPr="00032312" w:rsidTr="00032312">
        <w:trPr>
          <w:trHeight w:val="40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rsidR="00032312" w:rsidRPr="00032312" w:rsidRDefault="00032312" w:rsidP="00032312">
            <w:pPr>
              <w:jc w:val="center"/>
              <w:rPr>
                <w:rFonts w:eastAsia="Times New Roman" w:cs="Arial"/>
                <w:b/>
                <w:bCs/>
                <w:color w:val="000000"/>
                <w:szCs w:val="20"/>
                <w:lang w:eastAsia="fr-FR"/>
              </w:rPr>
            </w:pPr>
            <w:r w:rsidRPr="00032312">
              <w:rPr>
                <w:rFonts w:eastAsia="Times New Roman" w:cs="Arial"/>
                <w:b/>
                <w:bCs/>
                <w:color w:val="000000"/>
                <w:szCs w:val="20"/>
                <w:lang w:eastAsia="fr-FR"/>
              </w:rPr>
              <w:t>JOINT PROGRAMMES CONTRACTED IN 2018 STARTING IN 2019</w:t>
            </w:r>
          </w:p>
        </w:tc>
      </w:tr>
      <w:tr w:rsidR="00032312" w:rsidRPr="00032312" w:rsidTr="00032312">
        <w:trPr>
          <w:trHeight w:val="600"/>
        </w:trPr>
        <w:tc>
          <w:tcPr>
            <w:tcW w:w="441" w:type="pct"/>
            <w:tcBorders>
              <w:top w:val="single" w:sz="4" w:space="0" w:color="auto"/>
              <w:left w:val="single" w:sz="4" w:space="0" w:color="auto"/>
              <w:bottom w:val="single" w:sz="4" w:space="0" w:color="auto"/>
              <w:right w:val="single" w:sz="4" w:space="0" w:color="auto"/>
            </w:tcBorders>
            <w:shd w:val="clear" w:color="000000" w:fill="92D050"/>
            <w:vAlign w:val="center"/>
            <w:hideMark/>
          </w:tcPr>
          <w:p w:rsidR="00032312" w:rsidRPr="00032312" w:rsidRDefault="00032312" w:rsidP="00032312">
            <w:pPr>
              <w:jc w:val="center"/>
              <w:rPr>
                <w:rFonts w:eastAsia="Times New Roman" w:cs="Arial"/>
                <w:b/>
                <w:bCs/>
                <w:color w:val="000000"/>
                <w:szCs w:val="20"/>
                <w:lang w:eastAsia="fr-FR"/>
              </w:rPr>
            </w:pPr>
            <w:r w:rsidRPr="00032312">
              <w:rPr>
                <w:rFonts w:eastAsia="Times New Roman" w:cs="Arial"/>
                <w:b/>
                <w:bCs/>
                <w:color w:val="000000"/>
                <w:szCs w:val="20"/>
                <w:lang w:eastAsia="fr-FR"/>
              </w:rPr>
              <w:t xml:space="preserve">Financing instrument </w:t>
            </w:r>
          </w:p>
        </w:tc>
        <w:tc>
          <w:tcPr>
            <w:tcW w:w="2036" w:type="pct"/>
            <w:tcBorders>
              <w:top w:val="single" w:sz="4" w:space="0" w:color="auto"/>
              <w:left w:val="nil"/>
              <w:bottom w:val="single" w:sz="4" w:space="0" w:color="auto"/>
              <w:right w:val="single" w:sz="4" w:space="0" w:color="auto"/>
            </w:tcBorders>
            <w:shd w:val="clear" w:color="000000" w:fill="92D050"/>
            <w:vAlign w:val="center"/>
            <w:hideMark/>
          </w:tcPr>
          <w:p w:rsidR="00032312" w:rsidRPr="00032312" w:rsidRDefault="00032312" w:rsidP="00032312">
            <w:pPr>
              <w:jc w:val="center"/>
              <w:rPr>
                <w:rFonts w:eastAsia="Times New Roman" w:cs="Arial"/>
                <w:b/>
                <w:bCs/>
                <w:color w:val="000000"/>
                <w:szCs w:val="20"/>
                <w:lang w:eastAsia="fr-FR"/>
              </w:rPr>
            </w:pPr>
            <w:r w:rsidRPr="00032312">
              <w:rPr>
                <w:rFonts w:eastAsia="Times New Roman" w:cs="Arial"/>
                <w:b/>
                <w:bCs/>
                <w:color w:val="000000"/>
                <w:szCs w:val="20"/>
                <w:lang w:eastAsia="fr-FR"/>
              </w:rPr>
              <w:t>Contract title</w:t>
            </w:r>
          </w:p>
        </w:tc>
        <w:tc>
          <w:tcPr>
            <w:tcW w:w="441" w:type="pct"/>
            <w:tcBorders>
              <w:top w:val="single" w:sz="4" w:space="0" w:color="auto"/>
              <w:left w:val="nil"/>
              <w:bottom w:val="single" w:sz="4" w:space="0" w:color="auto"/>
              <w:right w:val="single" w:sz="4" w:space="0" w:color="auto"/>
            </w:tcBorders>
            <w:shd w:val="clear" w:color="000000" w:fill="92D050"/>
            <w:vAlign w:val="center"/>
            <w:hideMark/>
          </w:tcPr>
          <w:p w:rsidR="00032312" w:rsidRPr="00032312" w:rsidRDefault="00032312" w:rsidP="00032312">
            <w:pPr>
              <w:jc w:val="center"/>
              <w:rPr>
                <w:rFonts w:eastAsia="Times New Roman" w:cs="Arial"/>
                <w:b/>
                <w:bCs/>
                <w:color w:val="000000"/>
                <w:szCs w:val="20"/>
                <w:lang w:eastAsia="fr-FR"/>
              </w:rPr>
            </w:pPr>
            <w:r w:rsidRPr="00032312">
              <w:rPr>
                <w:rFonts w:eastAsia="Times New Roman" w:cs="Arial"/>
                <w:b/>
                <w:bCs/>
                <w:color w:val="000000"/>
                <w:szCs w:val="20"/>
                <w:lang w:eastAsia="fr-FR"/>
              </w:rPr>
              <w:t>Start date of covenant</w:t>
            </w:r>
          </w:p>
        </w:tc>
        <w:tc>
          <w:tcPr>
            <w:tcW w:w="441" w:type="pct"/>
            <w:tcBorders>
              <w:top w:val="single" w:sz="4" w:space="0" w:color="auto"/>
              <w:left w:val="nil"/>
              <w:bottom w:val="single" w:sz="4" w:space="0" w:color="auto"/>
              <w:right w:val="single" w:sz="4" w:space="0" w:color="auto"/>
            </w:tcBorders>
            <w:shd w:val="clear" w:color="000000" w:fill="92D050"/>
            <w:vAlign w:val="center"/>
            <w:hideMark/>
          </w:tcPr>
          <w:p w:rsidR="00032312" w:rsidRPr="00032312" w:rsidRDefault="00032312" w:rsidP="00032312">
            <w:pPr>
              <w:jc w:val="center"/>
              <w:rPr>
                <w:rFonts w:eastAsia="Times New Roman" w:cs="Arial"/>
                <w:b/>
                <w:bCs/>
                <w:color w:val="000000"/>
                <w:szCs w:val="20"/>
                <w:lang w:eastAsia="fr-FR"/>
              </w:rPr>
            </w:pPr>
            <w:r w:rsidRPr="00032312">
              <w:rPr>
                <w:rFonts w:eastAsia="Times New Roman" w:cs="Arial"/>
                <w:b/>
                <w:bCs/>
                <w:color w:val="000000"/>
                <w:szCs w:val="20"/>
                <w:lang w:eastAsia="fr-FR"/>
              </w:rPr>
              <w:t>End date of covenant</w:t>
            </w:r>
          </w:p>
        </w:tc>
        <w:tc>
          <w:tcPr>
            <w:tcW w:w="547" w:type="pct"/>
            <w:tcBorders>
              <w:top w:val="single" w:sz="4" w:space="0" w:color="auto"/>
              <w:left w:val="nil"/>
              <w:bottom w:val="single" w:sz="4" w:space="0" w:color="auto"/>
              <w:right w:val="single" w:sz="4" w:space="0" w:color="auto"/>
            </w:tcBorders>
            <w:shd w:val="clear" w:color="000000" w:fill="92D050"/>
            <w:vAlign w:val="center"/>
            <w:hideMark/>
          </w:tcPr>
          <w:p w:rsidR="00032312" w:rsidRPr="00032312" w:rsidRDefault="00032312" w:rsidP="00032312">
            <w:pPr>
              <w:jc w:val="center"/>
              <w:rPr>
                <w:rFonts w:eastAsia="Times New Roman" w:cs="Arial"/>
                <w:b/>
                <w:bCs/>
                <w:color w:val="000000"/>
                <w:szCs w:val="20"/>
                <w:lang w:eastAsia="fr-FR"/>
              </w:rPr>
            </w:pPr>
            <w:r w:rsidRPr="00032312">
              <w:rPr>
                <w:rFonts w:eastAsia="Times New Roman" w:cs="Arial"/>
                <w:b/>
                <w:bCs/>
                <w:color w:val="000000"/>
                <w:szCs w:val="20"/>
                <w:lang w:eastAsia="fr-FR"/>
              </w:rPr>
              <w:t>Total programme envelope in €</w:t>
            </w:r>
          </w:p>
        </w:tc>
        <w:tc>
          <w:tcPr>
            <w:tcW w:w="547" w:type="pct"/>
            <w:tcBorders>
              <w:top w:val="single" w:sz="4" w:space="0" w:color="auto"/>
              <w:left w:val="nil"/>
              <w:bottom w:val="single" w:sz="4" w:space="0" w:color="auto"/>
              <w:right w:val="single" w:sz="4" w:space="0" w:color="auto"/>
            </w:tcBorders>
            <w:shd w:val="clear" w:color="000000" w:fill="92D050"/>
            <w:vAlign w:val="center"/>
            <w:hideMark/>
          </w:tcPr>
          <w:p w:rsidR="00032312" w:rsidRPr="00032312" w:rsidRDefault="00032312" w:rsidP="00032312">
            <w:pPr>
              <w:jc w:val="center"/>
              <w:rPr>
                <w:rFonts w:eastAsia="Times New Roman" w:cs="Arial"/>
                <w:b/>
                <w:bCs/>
                <w:color w:val="000000"/>
                <w:szCs w:val="20"/>
                <w:lang w:eastAsia="fr-FR"/>
              </w:rPr>
            </w:pPr>
            <w:r w:rsidRPr="00032312">
              <w:rPr>
                <w:rFonts w:eastAsia="Times New Roman" w:cs="Arial"/>
                <w:b/>
                <w:bCs/>
                <w:color w:val="000000"/>
                <w:szCs w:val="20"/>
                <w:lang w:eastAsia="fr-FR"/>
              </w:rPr>
              <w:t xml:space="preserve">Contribution of the European Union </w:t>
            </w:r>
          </w:p>
        </w:tc>
        <w:tc>
          <w:tcPr>
            <w:tcW w:w="547" w:type="pct"/>
            <w:tcBorders>
              <w:top w:val="single" w:sz="4" w:space="0" w:color="auto"/>
              <w:left w:val="nil"/>
              <w:bottom w:val="single" w:sz="4" w:space="0" w:color="auto"/>
              <w:right w:val="single" w:sz="4" w:space="0" w:color="auto"/>
            </w:tcBorders>
            <w:shd w:val="clear" w:color="000000" w:fill="92D050"/>
            <w:vAlign w:val="center"/>
            <w:hideMark/>
          </w:tcPr>
          <w:p w:rsidR="00032312" w:rsidRPr="00032312" w:rsidRDefault="00032312" w:rsidP="00032312">
            <w:pPr>
              <w:jc w:val="center"/>
              <w:rPr>
                <w:rFonts w:eastAsia="Times New Roman" w:cs="Arial"/>
                <w:b/>
                <w:bCs/>
                <w:color w:val="000000"/>
                <w:szCs w:val="20"/>
                <w:lang w:eastAsia="fr-FR"/>
              </w:rPr>
            </w:pPr>
            <w:r w:rsidRPr="00032312">
              <w:rPr>
                <w:rFonts w:eastAsia="Times New Roman" w:cs="Arial"/>
                <w:b/>
                <w:bCs/>
                <w:color w:val="000000"/>
                <w:szCs w:val="20"/>
                <w:lang w:eastAsia="fr-FR"/>
              </w:rPr>
              <w:t xml:space="preserve">Contribution of the Council of Europe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ENPI</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Further Support to the Penitentiary Reform in Azerbaijan 2</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01/02/2019</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31/01/2021</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773 940,00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619 152,00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154 788,00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ENI</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Improving the functioning, performance and access to justice in Tunisia (AP-JUST)</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01/01/2019</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31/12/2021</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5 000 000,00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4 500 000,00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500 000,00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ENI</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Project to Support Independent Bodies in Tunisia (PAII T)</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01/01/2019</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31/12/2021</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5 556 000,00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5 000 000,00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556 000,00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DG EAC</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European Heritage Days 2019</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01/01/2019</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31/12/2019</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800 000,00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400 000,00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400 000,00  </w:t>
            </w:r>
          </w:p>
        </w:tc>
      </w:tr>
      <w:tr w:rsidR="00032312" w:rsidRPr="00032312" w:rsidTr="00032312">
        <w:trPr>
          <w:trHeight w:val="9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ENI</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Partnership for Good Governance II</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01/01/2019</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31/12/2021</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17 500 000,00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14 000 000,00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3 500 000,00  </w:t>
            </w:r>
          </w:p>
        </w:tc>
      </w:tr>
      <w:tr w:rsidR="00032312" w:rsidRPr="00032312" w:rsidTr="00032312">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DG EAC</w:t>
            </w:r>
          </w:p>
        </w:tc>
        <w:tc>
          <w:tcPr>
            <w:tcW w:w="2036"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rPr>
                <w:rFonts w:eastAsia="Times New Roman" w:cs="Arial"/>
                <w:color w:val="000000"/>
                <w:szCs w:val="20"/>
                <w:lang w:eastAsia="fr-FR"/>
              </w:rPr>
            </w:pPr>
            <w:r w:rsidRPr="00032312">
              <w:rPr>
                <w:rFonts w:eastAsia="Times New Roman" w:cs="Arial"/>
                <w:color w:val="000000"/>
                <w:szCs w:val="20"/>
                <w:lang w:eastAsia="fr-FR"/>
              </w:rPr>
              <w:t>The Partnership between the European Commission and the Council of Europe in the Field of Youth 2019</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01/01/2019</w:t>
            </w:r>
          </w:p>
        </w:tc>
        <w:tc>
          <w:tcPr>
            <w:tcW w:w="441"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center"/>
              <w:rPr>
                <w:rFonts w:eastAsia="Times New Roman" w:cs="Arial"/>
                <w:color w:val="000000"/>
                <w:szCs w:val="20"/>
                <w:lang w:eastAsia="fr-FR"/>
              </w:rPr>
            </w:pPr>
            <w:r w:rsidRPr="00032312">
              <w:rPr>
                <w:rFonts w:eastAsia="Times New Roman" w:cs="Arial"/>
                <w:color w:val="000000"/>
                <w:szCs w:val="20"/>
                <w:lang w:eastAsia="fr-FR"/>
              </w:rPr>
              <w:t>31/12/2019</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1 200 000,00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600 000,00  </w:t>
            </w:r>
          </w:p>
        </w:tc>
        <w:tc>
          <w:tcPr>
            <w:tcW w:w="547" w:type="pct"/>
            <w:tcBorders>
              <w:top w:val="nil"/>
              <w:left w:val="nil"/>
              <w:bottom w:val="single" w:sz="4" w:space="0" w:color="auto"/>
              <w:right w:val="single" w:sz="4" w:space="0" w:color="auto"/>
            </w:tcBorders>
            <w:shd w:val="clear" w:color="auto" w:fill="auto"/>
            <w:vAlign w:val="center"/>
            <w:hideMark/>
          </w:tcPr>
          <w:p w:rsidR="00032312" w:rsidRPr="00032312" w:rsidRDefault="00032312" w:rsidP="00032312">
            <w:pPr>
              <w:jc w:val="right"/>
              <w:rPr>
                <w:rFonts w:eastAsia="Times New Roman" w:cs="Arial"/>
                <w:color w:val="000000"/>
                <w:szCs w:val="20"/>
                <w:lang w:eastAsia="fr-FR"/>
              </w:rPr>
            </w:pPr>
            <w:r w:rsidRPr="00032312">
              <w:rPr>
                <w:rFonts w:eastAsia="Times New Roman" w:cs="Arial"/>
                <w:color w:val="000000"/>
                <w:szCs w:val="20"/>
                <w:lang w:eastAsia="fr-FR"/>
              </w:rPr>
              <w:t xml:space="preserve">600 000,00  </w:t>
            </w:r>
          </w:p>
        </w:tc>
      </w:tr>
    </w:tbl>
    <w:p w:rsidR="00032312" w:rsidRPr="00032312" w:rsidRDefault="00032312" w:rsidP="00032312">
      <w:pPr>
        <w:rPr>
          <w:rFonts w:cs="Arial"/>
          <w:b/>
          <w:bCs/>
          <w:caps/>
          <w:szCs w:val="20"/>
        </w:rPr>
      </w:pPr>
    </w:p>
    <w:p w:rsidR="00032312" w:rsidRPr="00032312" w:rsidRDefault="00032312" w:rsidP="00032312">
      <w:pPr>
        <w:rPr>
          <w:rFonts w:cs="Arial"/>
          <w:b/>
          <w:bCs/>
          <w:caps/>
          <w:szCs w:val="20"/>
        </w:rPr>
      </w:pPr>
    </w:p>
    <w:p w:rsidR="0040027C" w:rsidRPr="00032312" w:rsidRDefault="0040027C" w:rsidP="0037200F">
      <w:pPr>
        <w:rPr>
          <w:rFonts w:eastAsia="Times New Roman" w:cs="Arial"/>
          <w:szCs w:val="20"/>
        </w:rPr>
      </w:pPr>
    </w:p>
    <w:p w:rsidR="00C57544" w:rsidRPr="00C57544" w:rsidRDefault="00C57544" w:rsidP="00C57544">
      <w:pPr>
        <w:rPr>
          <w:rFonts w:eastAsia="Times New Roman"/>
          <w:szCs w:val="24"/>
        </w:rPr>
      </w:pPr>
    </w:p>
    <w:p w:rsidR="00C57544" w:rsidRPr="00C57544" w:rsidRDefault="00C57544" w:rsidP="00C57544">
      <w:pPr>
        <w:rPr>
          <w:rFonts w:eastAsia="Times New Roman"/>
          <w:szCs w:val="24"/>
        </w:rPr>
      </w:pPr>
    </w:p>
    <w:p w:rsidR="0040027C" w:rsidRPr="00C57544" w:rsidRDefault="00C57544" w:rsidP="00C57544">
      <w:pPr>
        <w:tabs>
          <w:tab w:val="left" w:pos="11720"/>
        </w:tabs>
        <w:rPr>
          <w:rFonts w:eastAsia="Times New Roman"/>
          <w:szCs w:val="24"/>
        </w:rPr>
      </w:pPr>
      <w:r>
        <w:rPr>
          <w:rFonts w:eastAsia="Times New Roman"/>
          <w:szCs w:val="24"/>
        </w:rPr>
        <w:tab/>
      </w:r>
    </w:p>
    <w:sectPr w:rsidR="0040027C" w:rsidRPr="00C57544" w:rsidSect="00776A8C">
      <w:headerReference w:type="even" r:id="rId21"/>
      <w:headerReference w:type="default" r:id="rId22"/>
      <w:footerReference w:type="default" r:id="rId23"/>
      <w:headerReference w:type="first" r:id="rId24"/>
      <w:footerReference w:type="first" r:id="rId25"/>
      <w:pgSz w:w="16840" w:h="11907" w:orient="landscape" w:code="9"/>
      <w:pgMar w:top="1077" w:right="992" w:bottom="1162" w:left="709" w:header="454" w:footer="340" w:gutter="113"/>
      <w:pgNumType w:chapStyle="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04A2" w:rsidRDefault="006204A2" w:rsidP="00FD6043">
      <w:r>
        <w:separator/>
      </w:r>
    </w:p>
  </w:endnote>
  <w:endnote w:type="continuationSeparator" w:id="0">
    <w:p w:rsidR="006204A2" w:rsidRDefault="006204A2" w:rsidP="00FD6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04A2" w:rsidRPr="002F3006" w:rsidRDefault="006204A2" w:rsidP="002F3006">
    <w:pPr>
      <w:pStyle w:val="Footer"/>
      <w:jc w:val="right"/>
      <w:rPr>
        <w:rFonts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04A2" w:rsidRPr="00113EB0" w:rsidRDefault="006204A2" w:rsidP="00E15639">
    <w:pPr>
      <w:pStyle w:val="Footer"/>
      <w:rPr>
        <w:sz w:val="16"/>
        <w:szCs w:val="16"/>
      </w:rPr>
    </w:pPr>
    <w:r>
      <w:rPr>
        <w:sz w:val="16"/>
        <w:szCs w:val="16"/>
      </w:rPr>
      <w:t>W</w:t>
    </w:r>
    <w:r w:rsidRPr="00113EB0">
      <w:rPr>
        <w:sz w:val="16"/>
        <w:szCs w:val="16"/>
      </w:rPr>
      <w:t>eb</w:t>
    </w:r>
    <w:r>
      <w:rPr>
        <w:sz w:val="16"/>
        <w:szCs w:val="16"/>
      </w:rPr>
      <w:t>site</w:t>
    </w:r>
    <w:r w:rsidRPr="00113EB0">
      <w:rPr>
        <w:sz w:val="16"/>
        <w:szCs w:val="16"/>
      </w:rPr>
      <w:t xml:space="preserve">: </w:t>
    </w:r>
    <w:hyperlink r:id="rId1" w:history="1">
      <w:r w:rsidRPr="00533557">
        <w:rPr>
          <w:rStyle w:val="Hyperlink"/>
          <w:sz w:val="16"/>
          <w:szCs w:val="16"/>
        </w:rPr>
        <w:t>www.coe.int/cm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04A2" w:rsidRPr="00C57544" w:rsidRDefault="006204A2" w:rsidP="00C575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04A2" w:rsidRPr="00543DEF" w:rsidRDefault="006204A2" w:rsidP="00543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04A2" w:rsidRDefault="006204A2" w:rsidP="00FD6043">
      <w:r>
        <w:separator/>
      </w:r>
    </w:p>
  </w:footnote>
  <w:footnote w:type="continuationSeparator" w:id="0">
    <w:p w:rsidR="006204A2" w:rsidRDefault="006204A2" w:rsidP="00FD6043">
      <w:r>
        <w:continuationSeparator/>
      </w:r>
    </w:p>
  </w:footnote>
  <w:footnote w:id="1">
    <w:p w:rsidR="006204A2" w:rsidRDefault="006204A2" w:rsidP="00032312">
      <w:pPr>
        <w:rPr>
          <w:rFonts w:cs="Arial"/>
          <w:sz w:val="16"/>
          <w:szCs w:val="16"/>
        </w:rPr>
      </w:pPr>
      <w:r>
        <w:rPr>
          <w:rStyle w:val="FootnoteReference"/>
          <w:rFonts w:cs="Arial"/>
          <w:sz w:val="16"/>
          <w:szCs w:val="16"/>
        </w:rPr>
        <w:footnoteRef/>
      </w:r>
      <w:r>
        <w:rPr>
          <w:rFonts w:cs="Arial"/>
          <w:sz w:val="16"/>
          <w:szCs w:val="16"/>
        </w:rPr>
        <w:t xml:space="preserve"> As a component of the human rights approach, the CoE emphasises gender mainstreaming throughout its project activities in line with its </w:t>
      </w:r>
      <w:hyperlink r:id="rId1" w:history="1">
        <w:r>
          <w:rPr>
            <w:rStyle w:val="Hyperlink"/>
            <w:rFonts w:cs="Arial"/>
            <w:i/>
            <w:sz w:val="16"/>
            <w:szCs w:val="16"/>
          </w:rPr>
          <w:t>Gender Equality Strategy 2018-2023</w:t>
        </w:r>
      </w:hyperlink>
      <w:r>
        <w:rPr>
          <w:rFonts w:cs="Arial"/>
          <w:sz w:val="16"/>
          <w:szCs w:val="16"/>
        </w:rPr>
        <w:t>. For more information, see the Council of Europe</w:t>
      </w:r>
      <w:r>
        <w:rPr>
          <w:rFonts w:cs="Arial"/>
          <w:i/>
          <w:sz w:val="16"/>
          <w:szCs w:val="16"/>
        </w:rPr>
        <w:t xml:space="preserve"> </w:t>
      </w:r>
      <w:hyperlink r:id="rId2" w:history="1">
        <w:r>
          <w:rPr>
            <w:rStyle w:val="Hyperlink"/>
            <w:rFonts w:cs="Arial"/>
            <w:i/>
            <w:sz w:val="16"/>
            <w:szCs w:val="16"/>
          </w:rPr>
          <w:t>web page on gender mainstreaming</w:t>
        </w:r>
      </w:hyperlink>
      <w:r>
        <w:rPr>
          <w:rFonts w:cs="Arial"/>
          <w:i/>
          <w:sz w:val="16"/>
          <w:szCs w:val="16"/>
        </w:rPr>
        <w:t>.</w:t>
      </w:r>
      <w:r>
        <w:rPr>
          <w:rFonts w:cs="Arial"/>
          <w:sz w:val="16"/>
          <w:szCs w:val="16"/>
        </w:rPr>
        <w:t xml:space="preserve"> </w:t>
      </w:r>
    </w:p>
  </w:footnote>
  <w:footnote w:id="2">
    <w:p w:rsidR="006204A2" w:rsidRPr="00A54309" w:rsidRDefault="006204A2" w:rsidP="00032312">
      <w:pPr>
        <w:rPr>
          <w:rFonts w:cs="Arial"/>
          <w:bCs/>
          <w:iCs/>
          <w:sz w:val="16"/>
          <w:szCs w:val="16"/>
        </w:rPr>
      </w:pPr>
      <w:r w:rsidRPr="00A54309">
        <w:rPr>
          <w:rStyle w:val="FootnoteReference"/>
          <w:rFonts w:cs="Arial"/>
          <w:sz w:val="16"/>
          <w:szCs w:val="16"/>
        </w:rPr>
        <w:footnoteRef/>
      </w:r>
      <w:r w:rsidRPr="00A54309">
        <w:rPr>
          <w:rFonts w:cs="Arial"/>
          <w:sz w:val="16"/>
          <w:szCs w:val="16"/>
        </w:rPr>
        <w:t xml:space="preserve"> </w:t>
      </w:r>
      <w:r w:rsidRPr="00A54309">
        <w:rPr>
          <w:rFonts w:cs="Arial"/>
          <w:bCs/>
          <w:iCs/>
          <w:sz w:val="16"/>
          <w:szCs w:val="16"/>
        </w:rPr>
        <w:t xml:space="preserve">The Cumulative Budgetary Envelope </w:t>
      </w:r>
      <w:r>
        <w:rPr>
          <w:rFonts w:cs="Arial"/>
          <w:bCs/>
          <w:iCs/>
          <w:sz w:val="16"/>
          <w:szCs w:val="16"/>
        </w:rPr>
        <w:t xml:space="preserve">(CBE) </w:t>
      </w:r>
      <w:r w:rsidRPr="00A54309">
        <w:rPr>
          <w:rFonts w:cs="Arial"/>
          <w:bCs/>
          <w:iCs/>
          <w:sz w:val="16"/>
          <w:szCs w:val="16"/>
        </w:rPr>
        <w:t>is calculated as a sum of the total budgetary envelopes of all JPs registered as being “in operation” in a given year. Mo</w:t>
      </w:r>
      <w:r>
        <w:rPr>
          <w:rFonts w:cs="Arial"/>
          <w:bCs/>
          <w:iCs/>
          <w:sz w:val="16"/>
          <w:szCs w:val="16"/>
        </w:rPr>
        <w:t xml:space="preserve">st of these JPs are multiannual. </w:t>
      </w:r>
      <w:r w:rsidRPr="00A54309">
        <w:rPr>
          <w:rFonts w:cs="Arial"/>
          <w:bCs/>
          <w:iCs/>
          <w:sz w:val="16"/>
          <w:szCs w:val="16"/>
        </w:rPr>
        <w:t xml:space="preserve"> </w:t>
      </w:r>
    </w:p>
  </w:footnote>
  <w:footnote w:id="3">
    <w:p w:rsidR="006204A2" w:rsidRPr="00A54309" w:rsidRDefault="006204A2" w:rsidP="00032312">
      <w:pPr>
        <w:pStyle w:val="FootnoteText"/>
        <w:rPr>
          <w:rFonts w:cs="Arial"/>
          <w:szCs w:val="16"/>
        </w:rPr>
      </w:pPr>
      <w:r w:rsidRPr="00A54309">
        <w:rPr>
          <w:rStyle w:val="FootnoteReference"/>
          <w:rFonts w:cs="Arial"/>
          <w:szCs w:val="16"/>
        </w:rPr>
        <w:footnoteRef/>
      </w:r>
      <w:r>
        <w:rPr>
          <w:rFonts w:cs="Arial"/>
          <w:szCs w:val="16"/>
        </w:rPr>
        <w:t xml:space="preserve"> The Annual Budgetary Envelope (ABE) </w:t>
      </w:r>
      <w:r w:rsidRPr="00A54309">
        <w:rPr>
          <w:rFonts w:cs="Arial"/>
          <w:szCs w:val="16"/>
        </w:rPr>
        <w:t xml:space="preserve">is a statistical parameter, calculated </w:t>
      </w:r>
      <w:r w:rsidRPr="00A54309">
        <w:rPr>
          <w:rFonts w:cs="Arial"/>
          <w:i/>
          <w:szCs w:val="16"/>
        </w:rPr>
        <w:t xml:space="preserve">pro rata </w:t>
      </w:r>
      <w:r w:rsidRPr="00A54309">
        <w:rPr>
          <w:rFonts w:cs="Arial"/>
          <w:i/>
          <w:szCs w:val="16"/>
        </w:rPr>
        <w:t>temporis</w:t>
      </w:r>
      <w:r w:rsidRPr="00A54309">
        <w:rPr>
          <w:rFonts w:cs="Arial"/>
          <w:szCs w:val="16"/>
        </w:rPr>
        <w:t xml:space="preserve"> to CBE, it corresponds to the annual apportioning of the JP funding. </w:t>
      </w:r>
    </w:p>
  </w:footnote>
  <w:footnote w:id="4">
    <w:p w:rsidR="006204A2" w:rsidRPr="00551CE0" w:rsidRDefault="006204A2" w:rsidP="00032312">
      <w:pPr>
        <w:pStyle w:val="FootnoteText"/>
        <w:rPr>
          <w:szCs w:val="16"/>
        </w:rPr>
      </w:pPr>
      <w:r w:rsidRPr="00A54309">
        <w:rPr>
          <w:rStyle w:val="FootnoteReference"/>
          <w:rFonts w:cs="Arial"/>
          <w:szCs w:val="16"/>
        </w:rPr>
        <w:footnoteRef/>
      </w:r>
      <w:r>
        <w:rPr>
          <w:rFonts w:cs="Arial"/>
          <w:szCs w:val="16"/>
        </w:rPr>
        <w:t xml:space="preserve"> Programmes </w:t>
      </w:r>
      <w:r w:rsidRPr="00A54309">
        <w:rPr>
          <w:rFonts w:cs="Arial"/>
          <w:szCs w:val="16"/>
        </w:rPr>
        <w:t xml:space="preserve">the negotiations on which were concluded in 2018 with start of implementation in 2019 are </w:t>
      </w:r>
      <w:r>
        <w:rPr>
          <w:rFonts w:cs="Arial"/>
          <w:szCs w:val="16"/>
        </w:rPr>
        <w:t>excluded from the</w:t>
      </w:r>
      <w:r w:rsidRPr="00A54309">
        <w:rPr>
          <w:rFonts w:cs="Arial"/>
          <w:szCs w:val="16"/>
        </w:rPr>
        <w:t xml:space="preserve"> calculation of CBE and ABE</w:t>
      </w:r>
      <w:r>
        <w:rPr>
          <w:rFonts w:cs="Arial"/>
          <w:szCs w:val="16"/>
        </w:rPr>
        <w:t xml:space="preserve"> 2018</w:t>
      </w:r>
      <w:r w:rsidRPr="00A54309">
        <w:rPr>
          <w:rFonts w:cs="Arial"/>
          <w:szCs w:val="16"/>
        </w:rPr>
        <w:t>.</w:t>
      </w:r>
      <w:r>
        <w:rPr>
          <w:rFonts w:cs="Arial"/>
          <w:szCs w:val="16"/>
        </w:rPr>
        <w:t xml:space="preserve"> The payments for these programmes were differed to 2019 which excluded their recording under annual receipts 2018.  </w:t>
      </w:r>
    </w:p>
  </w:footnote>
  <w:footnote w:id="5">
    <w:p w:rsidR="006204A2" w:rsidRDefault="006204A2" w:rsidP="00032312">
      <w:pPr>
        <w:pStyle w:val="FootnoteText"/>
        <w:rPr>
          <w:rFonts w:cs="Arial"/>
          <w:szCs w:val="16"/>
        </w:rPr>
      </w:pPr>
      <w:r>
        <w:rPr>
          <w:rStyle w:val="FootnoteReference"/>
        </w:rPr>
        <w:footnoteRef/>
      </w:r>
      <w:r>
        <w:t xml:space="preserve"> </w:t>
      </w:r>
      <w:r w:rsidRPr="00C60AFF">
        <w:rPr>
          <w:rFonts w:cs="Arial"/>
          <w:szCs w:val="16"/>
        </w:rPr>
        <w:t>EU: €20 million, CoE: €5 million</w:t>
      </w:r>
      <w:r>
        <w:rPr>
          <w:rFonts w:cs="Arial"/>
          <w:szCs w:val="16"/>
        </w:rPr>
        <w:t xml:space="preserve"> </w:t>
      </w:r>
    </w:p>
    <w:p w:rsidR="006204A2" w:rsidRPr="00563677" w:rsidRDefault="006204A2" w:rsidP="00032312">
      <w:pPr>
        <w:pStyle w:val="FootnoteText"/>
      </w:pPr>
      <w:r w:rsidRPr="00C60AFF">
        <w:rPr>
          <w:rFonts w:cs="Arial"/>
          <w:szCs w:val="16"/>
        </w:rPr>
        <w:t>*</w:t>
      </w:r>
      <w:r>
        <w:rPr>
          <w:rFonts w:cs="Arial"/>
          <w:szCs w:val="16"/>
        </w:rPr>
        <w:t>*</w:t>
      </w:r>
      <w:r w:rsidRPr="00C60AFF">
        <w:rPr>
          <w:rFonts w:cs="Arial"/>
          <w:szCs w:val="16"/>
        </w:rPr>
        <w:t xml:space="preserve"> All reference to Kosovo, whether to the territory, institutions or population, in this text shall be understood in full compliance with United Nations Security Council Resolution 1244 and without prejudice to the status of Kosovo.</w:t>
      </w:r>
    </w:p>
  </w:footnote>
  <w:footnote w:id="6">
    <w:p w:rsidR="006204A2" w:rsidRPr="003A1952" w:rsidRDefault="006204A2" w:rsidP="00032312">
      <w:pPr>
        <w:pStyle w:val="FootnoteText"/>
        <w:rPr>
          <w:rFonts w:cs="Arial"/>
          <w:szCs w:val="16"/>
        </w:rPr>
      </w:pPr>
      <w:r w:rsidRPr="00C60AFF">
        <w:rPr>
          <w:rStyle w:val="FootnoteReference"/>
          <w:rFonts w:cs="Arial"/>
          <w:szCs w:val="16"/>
        </w:rPr>
        <w:footnoteRef/>
      </w:r>
      <w:r w:rsidRPr="003A1952">
        <w:rPr>
          <w:rFonts w:cs="Arial"/>
          <w:szCs w:val="16"/>
        </w:rPr>
        <w:t xml:space="preserve"> EU: €35 million; CoE: €6.1 million.</w:t>
      </w:r>
    </w:p>
  </w:footnote>
  <w:footnote w:id="7">
    <w:p w:rsidR="006204A2" w:rsidRPr="00C60AFF" w:rsidRDefault="006204A2" w:rsidP="00032312">
      <w:pPr>
        <w:pStyle w:val="FootnoteText"/>
        <w:rPr>
          <w:rFonts w:cs="Arial"/>
          <w:szCs w:val="16"/>
        </w:rPr>
      </w:pPr>
      <w:r w:rsidRPr="00C60AFF">
        <w:rPr>
          <w:rStyle w:val="FootnoteReference"/>
          <w:rFonts w:cs="Arial"/>
          <w:szCs w:val="16"/>
        </w:rPr>
        <w:footnoteRef/>
      </w:r>
      <w:r w:rsidRPr="00C60AFF">
        <w:rPr>
          <w:rFonts w:cs="Arial"/>
          <w:szCs w:val="16"/>
        </w:rPr>
        <w:t xml:space="preserve"> former Programmatic Co-operation Framework (PCF)</w:t>
      </w:r>
      <w:r w:rsidR="00942C41">
        <w:rPr>
          <w:rFonts w:cs="Arial"/>
          <w:szCs w:val="16"/>
        </w:rPr>
        <w:t>.</w:t>
      </w:r>
    </w:p>
  </w:footnote>
  <w:footnote w:id="8">
    <w:p w:rsidR="006204A2" w:rsidRPr="00C60AFF" w:rsidRDefault="006204A2" w:rsidP="00032312">
      <w:pPr>
        <w:pStyle w:val="FootnoteText"/>
        <w:rPr>
          <w:rFonts w:cs="Arial"/>
          <w:szCs w:val="16"/>
        </w:rPr>
      </w:pPr>
      <w:r w:rsidRPr="00C60AFF">
        <w:rPr>
          <w:rStyle w:val="FootnoteReference"/>
          <w:rFonts w:cs="Arial"/>
          <w:szCs w:val="16"/>
        </w:rPr>
        <w:footnoteRef/>
      </w:r>
      <w:r w:rsidRPr="00C60AFF">
        <w:rPr>
          <w:rFonts w:cs="Arial"/>
          <w:szCs w:val="16"/>
        </w:rPr>
        <w:t xml:space="preserve"> EU: €30.4 million, CoE: €5.6 million.</w:t>
      </w:r>
    </w:p>
  </w:footnote>
  <w:footnote w:id="9">
    <w:p w:rsidR="006204A2" w:rsidRPr="00C60AFF" w:rsidRDefault="006204A2" w:rsidP="00032312">
      <w:pPr>
        <w:pStyle w:val="FootnoteText"/>
        <w:rPr>
          <w:rFonts w:cs="Arial"/>
          <w:szCs w:val="16"/>
        </w:rPr>
      </w:pPr>
      <w:r w:rsidRPr="00C60AFF">
        <w:rPr>
          <w:rStyle w:val="FootnoteReference"/>
          <w:rFonts w:cs="Arial"/>
          <w:szCs w:val="16"/>
        </w:rPr>
        <w:footnoteRef/>
      </w:r>
      <w:r w:rsidRPr="00C60AFF">
        <w:rPr>
          <w:rFonts w:cs="Arial"/>
          <w:szCs w:val="16"/>
        </w:rPr>
        <w:t xml:space="preserve"> The report quotes the Mid-term evaluation of PGG which indicated that in a questionnaires survey, 96% of the respondents “agree” or “strongly agree” that the activities are considered relevant to their countries’ needs</w:t>
      </w:r>
    </w:p>
  </w:footnote>
  <w:footnote w:id="10">
    <w:p w:rsidR="006204A2" w:rsidRPr="003A1952" w:rsidRDefault="006204A2" w:rsidP="00032312">
      <w:pPr>
        <w:pStyle w:val="FootnoteText"/>
        <w:rPr>
          <w:rFonts w:cs="Arial"/>
          <w:szCs w:val="16"/>
          <w:lang w:val="fr-FR"/>
        </w:rPr>
      </w:pPr>
      <w:r w:rsidRPr="00C60AFF">
        <w:rPr>
          <w:rStyle w:val="FootnoteReference"/>
          <w:rFonts w:cs="Arial"/>
          <w:szCs w:val="16"/>
        </w:rPr>
        <w:footnoteRef/>
      </w:r>
      <w:r w:rsidRPr="003A1952">
        <w:rPr>
          <w:rFonts w:cs="Arial"/>
          <w:szCs w:val="16"/>
          <w:lang w:val="fr-FR"/>
        </w:rPr>
        <w:t xml:space="preserve"> EU: </w:t>
      </w:r>
      <w:r w:rsidRPr="003A1952">
        <w:rPr>
          <w:rFonts w:eastAsia="Times New Roman" w:cs="Arial"/>
          <w:iCs/>
          <w:szCs w:val="16"/>
          <w:lang w:val="fr-FR"/>
        </w:rPr>
        <w:t>€</w:t>
      </w:r>
      <w:r w:rsidRPr="003A1952">
        <w:rPr>
          <w:rFonts w:eastAsia="Times New Roman" w:cs="Arial"/>
          <w:szCs w:val="16"/>
          <w:lang w:val="fr-FR" w:eastAsia="fr-FR"/>
        </w:rPr>
        <w:t xml:space="preserve">14.0 </w:t>
      </w:r>
      <w:r w:rsidRPr="003A1952">
        <w:rPr>
          <w:rFonts w:eastAsia="Times New Roman" w:cs="Arial"/>
          <w:szCs w:val="16"/>
          <w:lang w:val="fr-FR" w:eastAsia="fr-FR"/>
        </w:rPr>
        <w:t xml:space="preserve">million , CoE: </w:t>
      </w:r>
      <w:r w:rsidRPr="003A1952">
        <w:rPr>
          <w:rFonts w:eastAsia="Times New Roman" w:cs="Arial"/>
          <w:iCs/>
          <w:szCs w:val="16"/>
          <w:lang w:val="fr-FR"/>
        </w:rPr>
        <w:t>€3.5</w:t>
      </w:r>
      <w:r w:rsidRPr="003A1952">
        <w:rPr>
          <w:rFonts w:eastAsia="Times New Roman" w:cs="Arial"/>
          <w:szCs w:val="16"/>
          <w:lang w:val="fr-FR" w:eastAsia="fr-FR"/>
        </w:rPr>
        <w:t xml:space="preserve"> million</w:t>
      </w:r>
      <w:r w:rsidR="00942C41">
        <w:rPr>
          <w:rFonts w:eastAsia="Times New Roman" w:cs="Arial"/>
          <w:szCs w:val="16"/>
          <w:lang w:val="fr-FR" w:eastAsia="fr-FR"/>
        </w:rPr>
        <w:t>.</w:t>
      </w:r>
    </w:p>
  </w:footnote>
  <w:footnote w:id="11">
    <w:p w:rsidR="006204A2" w:rsidRPr="002F3896" w:rsidRDefault="006204A2" w:rsidP="00032312">
      <w:pPr>
        <w:pStyle w:val="FootnoteText"/>
        <w:rPr>
          <w:rFonts w:cs="Arial"/>
          <w:szCs w:val="16"/>
          <w:highlight w:val="yellow"/>
          <w:lang w:val="fr-FR"/>
        </w:rPr>
      </w:pPr>
      <w:r w:rsidRPr="00C92334">
        <w:rPr>
          <w:rStyle w:val="FootnoteReference"/>
          <w:rFonts w:cs="Arial"/>
          <w:szCs w:val="16"/>
        </w:rPr>
        <w:footnoteRef/>
      </w:r>
      <w:r w:rsidRPr="00C92334">
        <w:rPr>
          <w:rFonts w:cs="Arial"/>
          <w:szCs w:val="16"/>
          <w:lang w:val="fr-FR"/>
        </w:rPr>
        <w:t xml:space="preserve"> EU: </w:t>
      </w:r>
      <w:r w:rsidRPr="00C92334">
        <w:rPr>
          <w:rFonts w:eastAsia="Times New Roman" w:cs="Arial"/>
          <w:iCs/>
          <w:szCs w:val="16"/>
          <w:lang w:val="fr-FR"/>
        </w:rPr>
        <w:t>€7 million</w:t>
      </w:r>
      <w:r w:rsidRPr="00C92334">
        <w:rPr>
          <w:rFonts w:eastAsia="Times New Roman" w:cs="Arial"/>
          <w:szCs w:val="16"/>
          <w:lang w:val="fr-FR" w:eastAsia="fr-FR"/>
        </w:rPr>
        <w:t xml:space="preserve">, CoE: </w:t>
      </w:r>
      <w:r>
        <w:rPr>
          <w:rFonts w:eastAsia="Times New Roman" w:cs="Arial"/>
          <w:szCs w:val="16"/>
          <w:lang w:val="fr-FR" w:eastAsia="fr-FR"/>
        </w:rPr>
        <w:t>€</w:t>
      </w:r>
      <w:r w:rsidRPr="00C92334">
        <w:rPr>
          <w:rFonts w:eastAsia="Times New Roman" w:cs="Arial"/>
          <w:szCs w:val="16"/>
          <w:lang w:val="fr-FR" w:eastAsia="fr-FR"/>
        </w:rPr>
        <w:t>0.37 million</w:t>
      </w:r>
      <w:r w:rsidR="00942C41">
        <w:rPr>
          <w:rFonts w:eastAsia="Times New Roman" w:cs="Arial"/>
          <w:szCs w:val="16"/>
          <w:lang w:val="fr-FR" w:eastAsia="fr-FR"/>
        </w:rPr>
        <w:t>.</w:t>
      </w:r>
      <w:r w:rsidRPr="00C92334">
        <w:rPr>
          <w:rFonts w:eastAsia="Times New Roman" w:cs="Arial"/>
          <w:szCs w:val="16"/>
          <w:lang w:val="fr-FR" w:eastAsia="fr-FR"/>
        </w:rPr>
        <w:t xml:space="preserve"> </w:t>
      </w:r>
      <w:r w:rsidRPr="00C92334">
        <w:rPr>
          <w:rFonts w:cs="Arial"/>
          <w:szCs w:val="16"/>
          <w:lang w:val="fr-FR"/>
        </w:rPr>
        <w:t xml:space="preserve">  </w:t>
      </w:r>
    </w:p>
  </w:footnote>
  <w:footnote w:id="12">
    <w:p w:rsidR="006204A2" w:rsidRPr="00F81F4E" w:rsidRDefault="006204A2" w:rsidP="00032312">
      <w:pPr>
        <w:pStyle w:val="FootnoteText"/>
        <w:rPr>
          <w:rFonts w:cs="Arial"/>
          <w:szCs w:val="16"/>
        </w:rPr>
      </w:pPr>
      <w:r w:rsidRPr="00C92334">
        <w:rPr>
          <w:rStyle w:val="FootnoteReference"/>
          <w:rFonts w:cs="Arial"/>
          <w:szCs w:val="16"/>
        </w:rPr>
        <w:footnoteRef/>
      </w:r>
      <w:r w:rsidRPr="00F81F4E">
        <w:rPr>
          <w:rFonts w:cs="Arial"/>
          <w:szCs w:val="16"/>
        </w:rPr>
        <w:t xml:space="preserve"> EU: </w:t>
      </w:r>
      <w:r w:rsidRPr="00F81F4E">
        <w:rPr>
          <w:rFonts w:eastAsia="Times New Roman" w:cs="Arial"/>
          <w:iCs/>
          <w:szCs w:val="16"/>
        </w:rPr>
        <w:t>€3 million</w:t>
      </w:r>
      <w:r w:rsidRPr="00F81F4E">
        <w:rPr>
          <w:rFonts w:cs="Arial"/>
          <w:szCs w:val="16"/>
        </w:rPr>
        <w:t xml:space="preserve">, </w:t>
      </w:r>
      <w:r w:rsidRPr="002A27EE">
        <w:rPr>
          <w:rFonts w:eastAsia="Times New Roman" w:cs="Arial"/>
          <w:szCs w:val="16"/>
          <w:lang w:eastAsia="fr-FR"/>
        </w:rPr>
        <w:t xml:space="preserve">CoE: </w:t>
      </w:r>
      <w:r>
        <w:rPr>
          <w:rFonts w:eastAsia="Times New Roman" w:cs="Arial"/>
          <w:szCs w:val="16"/>
          <w:lang w:eastAsia="fr-FR"/>
        </w:rPr>
        <w:t>€</w:t>
      </w:r>
      <w:r w:rsidRPr="002A27EE">
        <w:rPr>
          <w:rFonts w:eastAsia="Times New Roman" w:cs="Arial"/>
          <w:szCs w:val="16"/>
          <w:lang w:eastAsia="fr-FR"/>
        </w:rPr>
        <w:t>0.33 million</w:t>
      </w:r>
      <w:r w:rsidR="00942C41">
        <w:rPr>
          <w:rFonts w:eastAsia="Times New Roman" w:cs="Arial"/>
          <w:szCs w:val="16"/>
          <w:lang w:eastAsia="fr-FR"/>
        </w:rPr>
        <w:t>.</w:t>
      </w:r>
      <w:r>
        <w:rPr>
          <w:rFonts w:eastAsia="Times New Roman" w:cs="Arial"/>
          <w:szCs w:val="16"/>
          <w:lang w:eastAsia="fr-FR"/>
        </w:rPr>
        <w:br/>
      </w:r>
      <w:r>
        <w:rPr>
          <w:rFonts w:cs="Arial"/>
          <w:szCs w:val="16"/>
        </w:rPr>
        <w:t>**</w:t>
      </w:r>
      <w:r w:rsidRPr="00135C4A">
        <w:rPr>
          <w:rFonts w:cs="Arial"/>
          <w:szCs w:val="16"/>
        </w:rPr>
        <w:t xml:space="preserve">* </w:t>
      </w:r>
      <w:r w:rsidRPr="002A77A8">
        <w:rPr>
          <w:rFonts w:cs="Arial"/>
          <w:szCs w:val="16"/>
        </w:rPr>
        <w:t>This designation shall not be construed as recognition of a State of Palestine and is without prejudice to the individual positions of Council of Europe member States on this issue.</w:t>
      </w:r>
    </w:p>
  </w:footnote>
  <w:footnote w:id="13">
    <w:p w:rsidR="006204A2" w:rsidRPr="00D848E4" w:rsidRDefault="006204A2" w:rsidP="00032312">
      <w:pPr>
        <w:pStyle w:val="FootnoteText"/>
      </w:pPr>
      <w:r>
        <w:rPr>
          <w:rStyle w:val="FootnoteReference"/>
        </w:rPr>
        <w:footnoteRef/>
      </w:r>
      <w:r>
        <w:t xml:space="preserve"> </w:t>
      </w:r>
      <w:r w:rsidRPr="009E40B7">
        <w:t>Tunisia is also in t</w:t>
      </w:r>
      <w:r>
        <w:t>he process of accession to GRECO and the Pompidou Group, following the invitations received at the end of 2017.</w:t>
      </w:r>
    </w:p>
  </w:footnote>
  <w:footnote w:id="14">
    <w:p w:rsidR="006204A2" w:rsidRPr="00C60AFF" w:rsidRDefault="006204A2" w:rsidP="00032312">
      <w:pPr>
        <w:pStyle w:val="FootnoteText"/>
        <w:rPr>
          <w:rFonts w:cs="Arial"/>
          <w:szCs w:val="16"/>
          <w:lang w:val="en-US"/>
        </w:rPr>
      </w:pPr>
      <w:r w:rsidRPr="00C60AFF">
        <w:rPr>
          <w:rStyle w:val="FootnoteReference"/>
          <w:rFonts w:cs="Arial"/>
          <w:szCs w:val="16"/>
        </w:rPr>
        <w:footnoteRef/>
      </w:r>
      <w:r w:rsidRPr="00C60AFF">
        <w:rPr>
          <w:rFonts w:cs="Arial"/>
          <w:szCs w:val="16"/>
        </w:rPr>
        <w:t xml:space="preserve"> As of 4 March 2019</w:t>
      </w:r>
      <w:r>
        <w:rPr>
          <w:rFonts w:cs="Arial"/>
          <w:szCs w:val="16"/>
        </w:rPr>
        <w:t xml:space="preserve">, the figures increased to </w:t>
      </w:r>
      <w:r w:rsidRPr="00C60AFF">
        <w:rPr>
          <w:rFonts w:cs="Arial"/>
          <w:szCs w:val="16"/>
        </w:rPr>
        <w:t>2</w:t>
      </w:r>
      <w:r>
        <w:rPr>
          <w:rFonts w:cs="Arial"/>
          <w:szCs w:val="16"/>
        </w:rPr>
        <w:t xml:space="preserve"> </w:t>
      </w:r>
      <w:r w:rsidRPr="00C60AFF">
        <w:rPr>
          <w:rFonts w:cs="Arial"/>
          <w:szCs w:val="16"/>
        </w:rPr>
        <w:t>030 judges</w:t>
      </w:r>
      <w:r>
        <w:rPr>
          <w:rFonts w:cs="Arial"/>
          <w:szCs w:val="16"/>
        </w:rPr>
        <w:t xml:space="preserve"> </w:t>
      </w:r>
      <w:r w:rsidRPr="00C60AFF">
        <w:rPr>
          <w:rFonts w:cs="Arial"/>
          <w:szCs w:val="16"/>
        </w:rPr>
        <w:t>and 2</w:t>
      </w:r>
      <w:r>
        <w:rPr>
          <w:rFonts w:cs="Arial"/>
          <w:szCs w:val="16"/>
        </w:rPr>
        <w:t xml:space="preserve"> </w:t>
      </w:r>
      <w:r w:rsidRPr="00C60AFF">
        <w:rPr>
          <w:rFonts w:cs="Arial"/>
          <w:szCs w:val="16"/>
        </w:rPr>
        <w:t>820 lawyers</w:t>
      </w:r>
      <w:r>
        <w:rPr>
          <w:rFonts w:cs="Arial"/>
          <w:szCs w:val="16"/>
        </w:rPr>
        <w:t xml:space="preserve"> trained in the framework of this Joint Programme</w:t>
      </w:r>
      <w:r w:rsidRPr="00C60AFF">
        <w:rPr>
          <w:rFonts w:cs="Arial"/>
          <w:szCs w:val="16"/>
        </w:rPr>
        <w:t xml:space="preserve">. </w:t>
      </w:r>
    </w:p>
  </w:footnote>
  <w:footnote w:id="15">
    <w:p w:rsidR="006204A2" w:rsidRPr="00C60AFF" w:rsidRDefault="006204A2" w:rsidP="00032312">
      <w:pPr>
        <w:pStyle w:val="FootnoteText"/>
        <w:rPr>
          <w:rFonts w:cs="Arial"/>
          <w:szCs w:val="16"/>
          <w:lang w:val="en-US"/>
        </w:rPr>
      </w:pPr>
      <w:r w:rsidRPr="00C60AFF">
        <w:rPr>
          <w:rStyle w:val="FootnoteReference"/>
          <w:rFonts w:cs="Arial"/>
          <w:szCs w:val="16"/>
        </w:rPr>
        <w:footnoteRef/>
      </w:r>
      <w:r>
        <w:rPr>
          <w:rFonts w:cs="Arial"/>
          <w:szCs w:val="16"/>
        </w:rPr>
        <w:t xml:space="preserve"> </w:t>
      </w:r>
      <w:r w:rsidRPr="00C60AFF">
        <w:rPr>
          <w:rFonts w:cs="Arial"/>
          <w:szCs w:val="16"/>
        </w:rPr>
        <w:t>“Strengthening the Capacity of Bar Associations and Lawyers on European Human Rights Standards”</w:t>
      </w:r>
    </w:p>
  </w:footnote>
  <w:footnote w:id="16">
    <w:p w:rsidR="006204A2" w:rsidRPr="00C60AFF" w:rsidRDefault="006204A2" w:rsidP="00032312">
      <w:pPr>
        <w:pStyle w:val="FootnoteText"/>
        <w:rPr>
          <w:rFonts w:cs="Arial"/>
          <w:szCs w:val="16"/>
          <w:lang w:val="en-US"/>
        </w:rPr>
      </w:pPr>
      <w:r w:rsidRPr="00C60AFF">
        <w:rPr>
          <w:rStyle w:val="FootnoteReference"/>
          <w:rFonts w:cs="Arial"/>
          <w:szCs w:val="16"/>
        </w:rPr>
        <w:footnoteRef/>
      </w:r>
      <w:r>
        <w:rPr>
          <w:rFonts w:cs="Arial"/>
          <w:szCs w:val="16"/>
        </w:rPr>
        <w:t xml:space="preserve"> </w:t>
      </w:r>
      <w:r w:rsidRPr="00C60AFF">
        <w:rPr>
          <w:rFonts w:cs="Arial"/>
          <w:szCs w:val="16"/>
        </w:rPr>
        <w:t>“Improving the effectiveness of the administrative judiciary and strengthening the Institutional Capacity of Council of State”</w:t>
      </w:r>
    </w:p>
  </w:footnote>
  <w:footnote w:id="17">
    <w:p w:rsidR="006204A2" w:rsidRPr="00C60AFF" w:rsidRDefault="006204A2" w:rsidP="00032312">
      <w:pPr>
        <w:pStyle w:val="FootnoteText"/>
        <w:rPr>
          <w:rFonts w:cs="Arial"/>
          <w:szCs w:val="16"/>
        </w:rPr>
      </w:pPr>
      <w:r w:rsidRPr="00C60AFF">
        <w:rPr>
          <w:rStyle w:val="FootnoteReference"/>
          <w:rFonts w:cs="Arial"/>
          <w:szCs w:val="16"/>
        </w:rPr>
        <w:footnoteRef/>
      </w:r>
      <w:r>
        <w:rPr>
          <w:rFonts w:cs="Arial"/>
          <w:szCs w:val="16"/>
        </w:rPr>
        <w:t xml:space="preserve"> </w:t>
      </w:r>
      <w:r w:rsidRPr="00C60AFF">
        <w:rPr>
          <w:rFonts w:cs="Arial"/>
          <w:szCs w:val="16"/>
        </w:rPr>
        <w:t xml:space="preserve"> “Strengthening the Democratic Culture in Basic Education”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04A2" w:rsidRPr="00113EB0" w:rsidRDefault="006204A2" w:rsidP="00032312">
    <w:pPr>
      <w:pStyle w:val="Header"/>
    </w:pPr>
    <w:proofErr w:type="gramStart"/>
    <w:r>
      <w:t>CM(</w:t>
    </w:r>
    <w:proofErr w:type="gramEnd"/>
    <w:r>
      <w:t>2019)67-addfinal</w:t>
    </w:r>
    <w:r w:rsidRPr="00113EB0">
      <w:tab/>
    </w:r>
    <w:r w:rsidRPr="00113EB0">
      <w:fldChar w:fldCharType="begin"/>
    </w:r>
    <w:r w:rsidRPr="00113EB0">
      <w:instrText xml:space="preserve"> PAGE  \* Arabic  \* MERGEFORMAT </w:instrText>
    </w:r>
    <w:r w:rsidRPr="00113EB0">
      <w:fldChar w:fldCharType="separate"/>
    </w:r>
    <w:r w:rsidR="00196B4D">
      <w:rPr>
        <w:noProof/>
      </w:rPr>
      <w:t>10</w:t>
    </w:r>
    <w:r w:rsidRPr="00113EB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04A2" w:rsidRPr="00E24C57" w:rsidRDefault="006204A2" w:rsidP="00032312">
    <w:pPr>
      <w:pStyle w:val="Header"/>
    </w:pPr>
    <w:r>
      <w:tab/>
    </w:r>
    <w:r>
      <w:fldChar w:fldCharType="begin"/>
    </w:r>
    <w:r>
      <w:instrText xml:space="preserve"> PAGE  \* Arabic  \* MERGEFORMAT </w:instrText>
    </w:r>
    <w:r>
      <w:fldChar w:fldCharType="separate"/>
    </w:r>
    <w:r w:rsidR="00196B4D">
      <w:rPr>
        <w:noProof/>
      </w:rPr>
      <w:t>9</w:t>
    </w:r>
    <w:r>
      <w:fldChar w:fldCharType="end"/>
    </w:r>
    <w:r>
      <w:tab/>
    </w:r>
    <w:proofErr w:type="gramStart"/>
    <w:r>
      <w:t>CM(</w:t>
    </w:r>
    <w:proofErr w:type="gramEnd"/>
    <w:r>
      <w:t>2019)67-addfinal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04A2" w:rsidRDefault="006204A2" w:rsidP="00032312">
    <w:pPr>
      <w:pStyle w:val="Header"/>
      <w:tabs>
        <w:tab w:val="clear" w:pos="4820"/>
        <w:tab w:val="clear" w:pos="9639"/>
        <w:tab w:val="left" w:pos="8545"/>
        <w:tab w:val="right" w:pos="9555"/>
      </w:tabs>
      <w:spacing w:after="2280"/>
    </w:pPr>
    <w:r>
      <w:rPr>
        <w:noProof/>
        <w:lang w:eastAsia="en-GB"/>
      </w:rPr>
      <w:drawing>
        <wp:anchor distT="0" distB="0" distL="114300" distR="114300" simplePos="0" relativeHeight="251659776" behindDoc="1" locked="0" layoutInCell="0" allowOverlap="0" wp14:anchorId="672E9859" wp14:editId="01977669">
          <wp:simplePos x="0" y="0"/>
          <wp:positionH relativeFrom="page">
            <wp:posOffset>518795</wp:posOffset>
          </wp:positionH>
          <wp:positionV relativeFrom="page">
            <wp:posOffset>198120</wp:posOffset>
          </wp:positionV>
          <wp:extent cx="7657134" cy="10822940"/>
          <wp:effectExtent l="0" t="0" r="1270" b="0"/>
          <wp:wrapNone/>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57134" cy="108229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04A2" w:rsidRPr="00E54322" w:rsidRDefault="006204A2" w:rsidP="00776A8C">
    <w:pPr>
      <w:pStyle w:val="Header"/>
      <w:tabs>
        <w:tab w:val="left" w:pos="7371"/>
      </w:tabs>
    </w:pPr>
    <w:proofErr w:type="gramStart"/>
    <w:r w:rsidRPr="00E54322">
      <w:t>CM(</w:t>
    </w:r>
    <w:proofErr w:type="gramEnd"/>
    <w:r w:rsidRPr="00E54322">
      <w:t>201</w:t>
    </w:r>
    <w:r>
      <w:t>9</w:t>
    </w:r>
    <w:r w:rsidRPr="00E54322">
      <w:t>)</w:t>
    </w:r>
    <w:r>
      <w:t>67-add</w:t>
    </w:r>
    <w:r w:rsidR="00942C41">
      <w:t>final</w:t>
    </w:r>
    <w:r w:rsidRPr="00E54322">
      <w:tab/>
    </w:r>
    <w:r>
      <w:tab/>
    </w:r>
    <w:r w:rsidRPr="00E54322">
      <w:fldChar w:fldCharType="begin"/>
    </w:r>
    <w:r w:rsidRPr="00E54322">
      <w:instrText xml:space="preserve"> PAGE  \* Arabic  \* MERGEFORMAT </w:instrText>
    </w:r>
    <w:r w:rsidRPr="00E54322">
      <w:fldChar w:fldCharType="separate"/>
    </w:r>
    <w:r w:rsidR="00CB4C6A">
      <w:rPr>
        <w:noProof/>
      </w:rPr>
      <w:t>16</w:t>
    </w:r>
    <w:r w:rsidRPr="00E54322">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04A2" w:rsidRPr="00E54322" w:rsidRDefault="006204A2" w:rsidP="00776A8C">
    <w:pPr>
      <w:pStyle w:val="Header"/>
      <w:tabs>
        <w:tab w:val="left" w:pos="7371"/>
      </w:tabs>
    </w:pPr>
    <w:r w:rsidRPr="00E54322">
      <w:tab/>
    </w:r>
    <w:r>
      <w:tab/>
    </w:r>
    <w:r w:rsidRPr="00E54322">
      <w:fldChar w:fldCharType="begin"/>
    </w:r>
    <w:r w:rsidRPr="00E54322">
      <w:instrText xml:space="preserve"> PAGE  \* Arabic  \* MERGEFORMAT </w:instrText>
    </w:r>
    <w:r w:rsidRPr="00E54322">
      <w:fldChar w:fldCharType="separate"/>
    </w:r>
    <w:r w:rsidR="00CB4C6A">
      <w:rPr>
        <w:noProof/>
      </w:rPr>
      <w:t>17</w:t>
    </w:r>
    <w:r w:rsidRPr="00E54322">
      <w:fldChar w:fldCharType="end"/>
    </w:r>
    <w:r w:rsidRPr="00E54322">
      <w:tab/>
    </w:r>
    <w:r>
      <w:tab/>
    </w:r>
    <w:r>
      <w:tab/>
    </w:r>
    <w:r>
      <w:tab/>
    </w:r>
    <w:r>
      <w:tab/>
    </w:r>
    <w:r>
      <w:tab/>
    </w:r>
    <w:proofErr w:type="gramStart"/>
    <w:r w:rsidRPr="00E54322">
      <w:t>CM(</w:t>
    </w:r>
    <w:proofErr w:type="gramEnd"/>
    <w:r w:rsidRPr="00E54322">
      <w:t>201</w:t>
    </w:r>
    <w:r>
      <w:t>9</w:t>
    </w:r>
    <w:r w:rsidRPr="00E54322">
      <w:t>)</w:t>
    </w:r>
    <w:r>
      <w:t>67-add</w:t>
    </w:r>
    <w:r w:rsidR="00942C41">
      <w:t>final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8107796"/>
      <w:docPartObj>
        <w:docPartGallery w:val="Page Numbers (Top of Page)"/>
        <w:docPartUnique/>
      </w:docPartObj>
    </w:sdtPr>
    <w:sdtEndPr/>
    <w:sdtContent>
      <w:p w:rsidR="006204A2" w:rsidRDefault="006204A2" w:rsidP="00776A8C">
        <w:pPr>
          <w:pStyle w:val="Header"/>
          <w:ind w:left="2270" w:firstLine="4820"/>
          <w:jc w:val="center"/>
        </w:pPr>
        <w:r>
          <w:fldChar w:fldCharType="begin"/>
        </w:r>
        <w:r>
          <w:instrText>PAGE   \* MERGEFORMAT</w:instrText>
        </w:r>
        <w:r>
          <w:fldChar w:fldCharType="separate"/>
        </w:r>
        <w:r w:rsidR="00CB4C6A" w:rsidRPr="00CB4C6A">
          <w:rPr>
            <w:noProof/>
            <w:lang w:val="fr-FR"/>
          </w:rPr>
          <w:t>11</w:t>
        </w:r>
        <w:r>
          <w:fldChar w:fldCharType="end"/>
        </w:r>
        <w:r>
          <w:tab/>
        </w:r>
        <w:r>
          <w:tab/>
        </w:r>
        <w:r>
          <w:tab/>
        </w:r>
        <w:r>
          <w:tab/>
        </w:r>
        <w:r>
          <w:tab/>
        </w:r>
        <w:r>
          <w:tab/>
          <w:t>CM(2019)67-add</w:t>
        </w:r>
        <w:r w:rsidR="00942C41">
          <w:t>final</w:t>
        </w:r>
      </w:p>
    </w:sdtContent>
  </w:sdt>
  <w:p w:rsidR="006204A2" w:rsidRPr="00776A8C" w:rsidRDefault="006204A2" w:rsidP="00776A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55043"/>
    <w:multiLevelType w:val="hybridMultilevel"/>
    <w:tmpl w:val="A508AE8E"/>
    <w:lvl w:ilvl="0" w:tplc="2176F3EE">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0537A2"/>
    <w:multiLevelType w:val="hybridMultilevel"/>
    <w:tmpl w:val="5D8E70D2"/>
    <w:lvl w:ilvl="0" w:tplc="0DF238A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F041117"/>
    <w:multiLevelType w:val="hybridMultilevel"/>
    <w:tmpl w:val="3578BA3C"/>
    <w:lvl w:ilvl="0" w:tplc="2C1EDEC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C41853"/>
    <w:multiLevelType w:val="hybridMultilevel"/>
    <w:tmpl w:val="B900C2A8"/>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3725D72"/>
    <w:multiLevelType w:val="hybridMultilevel"/>
    <w:tmpl w:val="1156728C"/>
    <w:lvl w:ilvl="0" w:tplc="2C1EDEC0">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51A6E"/>
    <w:multiLevelType w:val="hybridMultilevel"/>
    <w:tmpl w:val="73A8983C"/>
    <w:lvl w:ilvl="0" w:tplc="86282A8A">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0D7C5F"/>
    <w:multiLevelType w:val="hybridMultilevel"/>
    <w:tmpl w:val="641E42B2"/>
    <w:lvl w:ilvl="0" w:tplc="10A4B42E">
      <w:start w:val="2"/>
      <w:numFmt w:val="bullet"/>
      <w:lvlText w:val="-"/>
      <w:lvlJc w:val="left"/>
      <w:pPr>
        <w:ind w:left="720" w:hanging="360"/>
      </w:pPr>
      <w:rPr>
        <w:rFonts w:ascii="Arial" w:eastAsia="Calibr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6968E6"/>
    <w:multiLevelType w:val="hybridMultilevel"/>
    <w:tmpl w:val="BB6214C2"/>
    <w:lvl w:ilvl="0" w:tplc="B0DC89D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B062C84"/>
    <w:multiLevelType w:val="hybridMultilevel"/>
    <w:tmpl w:val="4B567AA2"/>
    <w:lvl w:ilvl="0" w:tplc="317022AA">
      <w:start w:val="20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B059DA"/>
    <w:multiLevelType w:val="hybridMultilevel"/>
    <w:tmpl w:val="5742F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CA30FD"/>
    <w:multiLevelType w:val="hybridMultilevel"/>
    <w:tmpl w:val="B4B06EBE"/>
    <w:lvl w:ilvl="0" w:tplc="0409000F">
      <w:start w:val="1"/>
      <w:numFmt w:val="decimal"/>
      <w:lvlText w:val="%1."/>
      <w:lvlJc w:val="left"/>
      <w:pPr>
        <w:tabs>
          <w:tab w:val="num" w:pos="720"/>
        </w:tabs>
        <w:ind w:left="720" w:hanging="360"/>
      </w:pPr>
    </w:lvl>
    <w:lvl w:ilvl="1" w:tplc="19402E24">
      <w:start w:val="1"/>
      <w:numFmt w:val="upperRoman"/>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D1CC1A14">
      <w:start w:val="1"/>
      <w:numFmt w:val="decimal"/>
      <w:lvlText w:val="%4."/>
      <w:lvlJc w:val="left"/>
      <w:pPr>
        <w:tabs>
          <w:tab w:val="num" w:pos="2880"/>
        </w:tabs>
        <w:ind w:left="2880" w:hanging="360"/>
      </w:pPr>
      <w:rPr>
        <w:b w:val="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96A3C0F"/>
    <w:multiLevelType w:val="hybridMultilevel"/>
    <w:tmpl w:val="15EA0B9E"/>
    <w:lvl w:ilvl="0" w:tplc="2C1EDEC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A56551"/>
    <w:multiLevelType w:val="hybridMultilevel"/>
    <w:tmpl w:val="D2D00110"/>
    <w:lvl w:ilvl="0" w:tplc="57DAD52A">
      <w:start w:val="6"/>
      <w:numFmt w:val="bullet"/>
      <w:lvlText w:val="-"/>
      <w:lvlJc w:val="left"/>
      <w:pPr>
        <w:tabs>
          <w:tab w:val="num" w:pos="360"/>
        </w:tabs>
        <w:ind w:left="360" w:hanging="36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EE4623"/>
    <w:multiLevelType w:val="hybridMultilevel"/>
    <w:tmpl w:val="A7C02382"/>
    <w:lvl w:ilvl="0" w:tplc="023AA9CE">
      <w:start w:val="1"/>
      <w:numFmt w:val="decimal"/>
      <w:lvlText w:val="%1."/>
      <w:lvlJc w:val="left"/>
      <w:pPr>
        <w:ind w:left="360" w:hanging="360"/>
      </w:pPr>
      <w:rPr>
        <w:rFonts w:hint="default"/>
        <w:strike w:val="0"/>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7F8B4FD6"/>
    <w:multiLevelType w:val="multilevel"/>
    <w:tmpl w:val="2368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9A0775"/>
    <w:multiLevelType w:val="hybridMultilevel"/>
    <w:tmpl w:val="B67A0B76"/>
    <w:lvl w:ilvl="0" w:tplc="2C1EDEC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4"/>
  </w:num>
  <w:num w:numId="4">
    <w:abstractNumId w:val="11"/>
  </w:num>
  <w:num w:numId="5">
    <w:abstractNumId w:val="9"/>
  </w:num>
  <w:num w:numId="6">
    <w:abstractNumId w:val="8"/>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6"/>
  </w:num>
  <w:num w:numId="10">
    <w:abstractNumId w:val="10"/>
  </w:num>
  <w:num w:numId="1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
  </w:num>
  <w:num w:numId="14">
    <w:abstractNumId w:val="15"/>
  </w:num>
  <w:num w:numId="15">
    <w:abstractNumId w:val="0"/>
  </w:num>
  <w:num w:numId="16">
    <w:abstractNumId w:val="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proofState w:spelling="clean" w:grammar="clean"/>
  <w:defaultTabStop w:val="709"/>
  <w:hyphenationZone w:val="425"/>
  <w:evenAndOddHeaders/>
  <w:drawingGridHorizontalSpacing w:val="90"/>
  <w:drawingGridVerticalSpacing w:val="245"/>
  <w:displayHorizontalDrawingGridEvery w:val="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53AA"/>
    <w:rsid w:val="00001973"/>
    <w:rsid w:val="0001238D"/>
    <w:rsid w:val="00032312"/>
    <w:rsid w:val="00035FDF"/>
    <w:rsid w:val="00071EA7"/>
    <w:rsid w:val="00072CBD"/>
    <w:rsid w:val="00082CEE"/>
    <w:rsid w:val="000A307B"/>
    <w:rsid w:val="000B4D9D"/>
    <w:rsid w:val="000C52A6"/>
    <w:rsid w:val="000E50A4"/>
    <w:rsid w:val="000F0031"/>
    <w:rsid w:val="000F4CF2"/>
    <w:rsid w:val="000F58C3"/>
    <w:rsid w:val="000F5ADA"/>
    <w:rsid w:val="00106141"/>
    <w:rsid w:val="00110729"/>
    <w:rsid w:val="00113EB0"/>
    <w:rsid w:val="00123CDD"/>
    <w:rsid w:val="00134D9A"/>
    <w:rsid w:val="00135BDB"/>
    <w:rsid w:val="00140FC8"/>
    <w:rsid w:val="0014266D"/>
    <w:rsid w:val="00147EF4"/>
    <w:rsid w:val="001533C2"/>
    <w:rsid w:val="00153BB3"/>
    <w:rsid w:val="00156DC1"/>
    <w:rsid w:val="00160B03"/>
    <w:rsid w:val="00171115"/>
    <w:rsid w:val="0017779E"/>
    <w:rsid w:val="00181ED9"/>
    <w:rsid w:val="00196B4D"/>
    <w:rsid w:val="001A6076"/>
    <w:rsid w:val="001B7E0B"/>
    <w:rsid w:val="001E7C29"/>
    <w:rsid w:val="001F297D"/>
    <w:rsid w:val="001F4F04"/>
    <w:rsid w:val="00214299"/>
    <w:rsid w:val="002250DD"/>
    <w:rsid w:val="0023437D"/>
    <w:rsid w:val="00242ABB"/>
    <w:rsid w:val="00251353"/>
    <w:rsid w:val="00262B36"/>
    <w:rsid w:val="00265917"/>
    <w:rsid w:val="002660DB"/>
    <w:rsid w:val="002861FB"/>
    <w:rsid w:val="00293EE6"/>
    <w:rsid w:val="002A77A8"/>
    <w:rsid w:val="002C0872"/>
    <w:rsid w:val="002C20BA"/>
    <w:rsid w:val="002C43B5"/>
    <w:rsid w:val="002C4704"/>
    <w:rsid w:val="002D0655"/>
    <w:rsid w:val="002D11B8"/>
    <w:rsid w:val="002E4089"/>
    <w:rsid w:val="002F3006"/>
    <w:rsid w:val="002F405C"/>
    <w:rsid w:val="002F6BB7"/>
    <w:rsid w:val="00303712"/>
    <w:rsid w:val="00316A45"/>
    <w:rsid w:val="003354C4"/>
    <w:rsid w:val="00335CAF"/>
    <w:rsid w:val="003364D1"/>
    <w:rsid w:val="0037200F"/>
    <w:rsid w:val="00373957"/>
    <w:rsid w:val="00381C50"/>
    <w:rsid w:val="00385587"/>
    <w:rsid w:val="00392D1D"/>
    <w:rsid w:val="003A0B33"/>
    <w:rsid w:val="003A5509"/>
    <w:rsid w:val="003B2C8C"/>
    <w:rsid w:val="003B345B"/>
    <w:rsid w:val="003D3B17"/>
    <w:rsid w:val="003D48AE"/>
    <w:rsid w:val="003D6AC2"/>
    <w:rsid w:val="003F3D4B"/>
    <w:rsid w:val="0040027C"/>
    <w:rsid w:val="00400868"/>
    <w:rsid w:val="004256CB"/>
    <w:rsid w:val="004329B7"/>
    <w:rsid w:val="00443709"/>
    <w:rsid w:val="00447D22"/>
    <w:rsid w:val="004553F6"/>
    <w:rsid w:val="00480D8B"/>
    <w:rsid w:val="004A37E1"/>
    <w:rsid w:val="004C0C2F"/>
    <w:rsid w:val="004C11B3"/>
    <w:rsid w:val="0050115D"/>
    <w:rsid w:val="0054041B"/>
    <w:rsid w:val="00543DEF"/>
    <w:rsid w:val="00550B6C"/>
    <w:rsid w:val="00574663"/>
    <w:rsid w:val="005B1FA1"/>
    <w:rsid w:val="005B3604"/>
    <w:rsid w:val="005C73BB"/>
    <w:rsid w:val="005D7CDF"/>
    <w:rsid w:val="005F093B"/>
    <w:rsid w:val="005F3DC6"/>
    <w:rsid w:val="00614982"/>
    <w:rsid w:val="006204A2"/>
    <w:rsid w:val="00631491"/>
    <w:rsid w:val="00643231"/>
    <w:rsid w:val="00643C3F"/>
    <w:rsid w:val="00644AD3"/>
    <w:rsid w:val="006455FA"/>
    <w:rsid w:val="00660638"/>
    <w:rsid w:val="00671684"/>
    <w:rsid w:val="00671EA2"/>
    <w:rsid w:val="006827E4"/>
    <w:rsid w:val="006908C5"/>
    <w:rsid w:val="006E7B0D"/>
    <w:rsid w:val="006F0318"/>
    <w:rsid w:val="006F6B48"/>
    <w:rsid w:val="00712E65"/>
    <w:rsid w:val="007150DE"/>
    <w:rsid w:val="00721866"/>
    <w:rsid w:val="00735569"/>
    <w:rsid w:val="007428AA"/>
    <w:rsid w:val="007541C7"/>
    <w:rsid w:val="00761627"/>
    <w:rsid w:val="00773CFE"/>
    <w:rsid w:val="00776A8C"/>
    <w:rsid w:val="00780B1B"/>
    <w:rsid w:val="007A543D"/>
    <w:rsid w:val="007B3DD0"/>
    <w:rsid w:val="007C0AD1"/>
    <w:rsid w:val="007D7B20"/>
    <w:rsid w:val="007E168C"/>
    <w:rsid w:val="00800A19"/>
    <w:rsid w:val="008042E6"/>
    <w:rsid w:val="00805F04"/>
    <w:rsid w:val="00810D5A"/>
    <w:rsid w:val="00814AA2"/>
    <w:rsid w:val="00820FE6"/>
    <w:rsid w:val="0082394F"/>
    <w:rsid w:val="00853C90"/>
    <w:rsid w:val="008575F2"/>
    <w:rsid w:val="00857F73"/>
    <w:rsid w:val="0087380A"/>
    <w:rsid w:val="00877E5C"/>
    <w:rsid w:val="008B07D4"/>
    <w:rsid w:val="008C12CC"/>
    <w:rsid w:val="00916BF5"/>
    <w:rsid w:val="009215B8"/>
    <w:rsid w:val="00923554"/>
    <w:rsid w:val="009270C4"/>
    <w:rsid w:val="00940F14"/>
    <w:rsid w:val="00942C41"/>
    <w:rsid w:val="009432D0"/>
    <w:rsid w:val="00950D67"/>
    <w:rsid w:val="009527D7"/>
    <w:rsid w:val="00955512"/>
    <w:rsid w:val="00963962"/>
    <w:rsid w:val="00974C41"/>
    <w:rsid w:val="009B3AB7"/>
    <w:rsid w:val="009C5258"/>
    <w:rsid w:val="009D28F3"/>
    <w:rsid w:val="00A03EFF"/>
    <w:rsid w:val="00A12DEC"/>
    <w:rsid w:val="00A22D53"/>
    <w:rsid w:val="00A37E36"/>
    <w:rsid w:val="00A474E5"/>
    <w:rsid w:val="00A842D4"/>
    <w:rsid w:val="00A93CA3"/>
    <w:rsid w:val="00AB6552"/>
    <w:rsid w:val="00AB67F8"/>
    <w:rsid w:val="00AB7727"/>
    <w:rsid w:val="00AC30A2"/>
    <w:rsid w:val="00AC73AA"/>
    <w:rsid w:val="00AD2DD8"/>
    <w:rsid w:val="00AE76B8"/>
    <w:rsid w:val="00B06133"/>
    <w:rsid w:val="00B129D8"/>
    <w:rsid w:val="00B227AE"/>
    <w:rsid w:val="00B23C19"/>
    <w:rsid w:val="00B41B03"/>
    <w:rsid w:val="00B41EC3"/>
    <w:rsid w:val="00B50788"/>
    <w:rsid w:val="00B63F08"/>
    <w:rsid w:val="00B81BAC"/>
    <w:rsid w:val="00B849E0"/>
    <w:rsid w:val="00B90246"/>
    <w:rsid w:val="00B920E4"/>
    <w:rsid w:val="00B953AA"/>
    <w:rsid w:val="00BA79A3"/>
    <w:rsid w:val="00BB7DCE"/>
    <w:rsid w:val="00BD25C0"/>
    <w:rsid w:val="00BE7EEE"/>
    <w:rsid w:val="00BF78B3"/>
    <w:rsid w:val="00C049EE"/>
    <w:rsid w:val="00C109FD"/>
    <w:rsid w:val="00C14C2C"/>
    <w:rsid w:val="00C409C2"/>
    <w:rsid w:val="00C57544"/>
    <w:rsid w:val="00C74E6F"/>
    <w:rsid w:val="00C8348A"/>
    <w:rsid w:val="00C91045"/>
    <w:rsid w:val="00C92F89"/>
    <w:rsid w:val="00CB4C6A"/>
    <w:rsid w:val="00CC39DC"/>
    <w:rsid w:val="00CE1FF8"/>
    <w:rsid w:val="00CE4890"/>
    <w:rsid w:val="00CE6FD2"/>
    <w:rsid w:val="00D0182E"/>
    <w:rsid w:val="00D0265B"/>
    <w:rsid w:val="00D24A57"/>
    <w:rsid w:val="00D53526"/>
    <w:rsid w:val="00D554E6"/>
    <w:rsid w:val="00D62B62"/>
    <w:rsid w:val="00D70628"/>
    <w:rsid w:val="00D71A90"/>
    <w:rsid w:val="00DA7643"/>
    <w:rsid w:val="00DB029C"/>
    <w:rsid w:val="00DC162E"/>
    <w:rsid w:val="00DC4A39"/>
    <w:rsid w:val="00DE0A21"/>
    <w:rsid w:val="00DF6796"/>
    <w:rsid w:val="00E125C6"/>
    <w:rsid w:val="00E15639"/>
    <w:rsid w:val="00E173B5"/>
    <w:rsid w:val="00E24C57"/>
    <w:rsid w:val="00E457C3"/>
    <w:rsid w:val="00E475F9"/>
    <w:rsid w:val="00E50974"/>
    <w:rsid w:val="00E54322"/>
    <w:rsid w:val="00E86611"/>
    <w:rsid w:val="00E940BF"/>
    <w:rsid w:val="00EA643A"/>
    <w:rsid w:val="00EB7007"/>
    <w:rsid w:val="00EE34E3"/>
    <w:rsid w:val="00EE361F"/>
    <w:rsid w:val="00F01885"/>
    <w:rsid w:val="00F168A4"/>
    <w:rsid w:val="00F2380B"/>
    <w:rsid w:val="00F24713"/>
    <w:rsid w:val="00F40699"/>
    <w:rsid w:val="00F433D6"/>
    <w:rsid w:val="00F61D34"/>
    <w:rsid w:val="00F76BBD"/>
    <w:rsid w:val="00F96689"/>
    <w:rsid w:val="00FD6043"/>
    <w:rsid w:val="00FE16E3"/>
    <w:rsid w:val="00FF2641"/>
    <w:rsid w:val="00FF3BAB"/>
    <w:rsid w:val="00FF66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3F7E543B-B4A0-457F-9745-54A9B2095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7"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F58C3"/>
    <w:rPr>
      <w:rFonts w:ascii="Arial" w:hAnsi="Arial"/>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491"/>
    <w:pPr>
      <w:tabs>
        <w:tab w:val="center" w:pos="4820"/>
        <w:tab w:val="right" w:pos="9639"/>
      </w:tabs>
    </w:pPr>
    <w:rPr>
      <w:sz w:val="18"/>
    </w:rPr>
  </w:style>
  <w:style w:type="character" w:customStyle="1" w:styleId="HeaderChar">
    <w:name w:val="Header Char"/>
    <w:link w:val="Header"/>
    <w:uiPriority w:val="99"/>
    <w:rsid w:val="00631491"/>
    <w:rPr>
      <w:rFonts w:ascii="Arial" w:hAnsi="Arial"/>
      <w:sz w:val="18"/>
      <w:szCs w:val="22"/>
      <w:lang w:eastAsia="en-US"/>
    </w:rPr>
  </w:style>
  <w:style w:type="paragraph" w:styleId="Footer">
    <w:name w:val="footer"/>
    <w:basedOn w:val="Normal"/>
    <w:link w:val="FooterChar"/>
    <w:uiPriority w:val="99"/>
    <w:unhideWhenUsed/>
    <w:rsid w:val="00FD6043"/>
    <w:pPr>
      <w:tabs>
        <w:tab w:val="center" w:pos="4513"/>
        <w:tab w:val="right" w:pos="9026"/>
      </w:tabs>
    </w:pPr>
  </w:style>
  <w:style w:type="character" w:customStyle="1" w:styleId="FooterChar">
    <w:name w:val="Footer Char"/>
    <w:basedOn w:val="DefaultParagraphFont"/>
    <w:link w:val="Footer"/>
    <w:uiPriority w:val="99"/>
    <w:rsid w:val="00FD6043"/>
  </w:style>
  <w:style w:type="paragraph" w:styleId="BalloonText">
    <w:name w:val="Balloon Text"/>
    <w:basedOn w:val="Normal"/>
    <w:link w:val="BalloonTextChar"/>
    <w:uiPriority w:val="99"/>
    <w:semiHidden/>
    <w:unhideWhenUsed/>
    <w:rsid w:val="00FD6043"/>
    <w:rPr>
      <w:rFonts w:ascii="Tahoma" w:hAnsi="Tahoma" w:cs="Tahoma"/>
      <w:sz w:val="16"/>
      <w:szCs w:val="16"/>
    </w:rPr>
  </w:style>
  <w:style w:type="character" w:customStyle="1" w:styleId="BalloonTextChar">
    <w:name w:val="Balloon Text Char"/>
    <w:link w:val="BalloonText"/>
    <w:uiPriority w:val="99"/>
    <w:semiHidden/>
    <w:rsid w:val="00FD6043"/>
    <w:rPr>
      <w:rFonts w:ascii="Tahoma" w:hAnsi="Tahoma" w:cs="Tahoma"/>
      <w:sz w:val="16"/>
      <w:szCs w:val="16"/>
    </w:rPr>
  </w:style>
  <w:style w:type="table" w:styleId="TableGrid">
    <w:name w:val="Table Grid"/>
    <w:basedOn w:val="TableNormal"/>
    <w:uiPriority w:val="59"/>
    <w:rsid w:val="00335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3354C4"/>
    <w:pPr>
      <w:autoSpaceDE w:val="0"/>
      <w:autoSpaceDN w:val="0"/>
      <w:adjustRightInd w:val="0"/>
      <w:spacing w:line="288" w:lineRule="auto"/>
      <w:textAlignment w:val="center"/>
    </w:pPr>
    <w:rPr>
      <w:rFonts w:ascii="Minion Pro" w:hAnsi="Minion Pro" w:cs="Minion Pro"/>
      <w:color w:val="000000"/>
      <w:sz w:val="24"/>
      <w:szCs w:val="24"/>
    </w:rPr>
  </w:style>
  <w:style w:type="character" w:styleId="Hyperlink">
    <w:name w:val="Hyperlink"/>
    <w:uiPriority w:val="99"/>
    <w:unhideWhenUsed/>
    <w:rsid w:val="00AE76B8"/>
    <w:rPr>
      <w:color w:val="auto"/>
      <w:u w:val="none"/>
    </w:rPr>
  </w:style>
  <w:style w:type="character" w:styleId="PageNumber">
    <w:name w:val="page number"/>
    <w:basedOn w:val="DefaultParagraphFont"/>
    <w:uiPriority w:val="99"/>
    <w:semiHidden/>
    <w:unhideWhenUsed/>
    <w:rsid w:val="00E24C57"/>
  </w:style>
  <w:style w:type="character" w:styleId="CommentReference">
    <w:name w:val="annotation reference"/>
    <w:uiPriority w:val="99"/>
    <w:semiHidden/>
    <w:unhideWhenUsed/>
    <w:rsid w:val="002250DD"/>
    <w:rPr>
      <w:sz w:val="18"/>
      <w:szCs w:val="18"/>
    </w:rPr>
  </w:style>
  <w:style w:type="paragraph" w:styleId="CommentText">
    <w:name w:val="annotation text"/>
    <w:basedOn w:val="Normal"/>
    <w:link w:val="CommentTextChar"/>
    <w:uiPriority w:val="99"/>
    <w:unhideWhenUsed/>
    <w:rsid w:val="002250DD"/>
    <w:rPr>
      <w:sz w:val="24"/>
      <w:szCs w:val="24"/>
    </w:rPr>
  </w:style>
  <w:style w:type="character" w:customStyle="1" w:styleId="CommentTextChar">
    <w:name w:val="Comment Text Char"/>
    <w:link w:val="CommentText"/>
    <w:uiPriority w:val="99"/>
    <w:rsid w:val="002250DD"/>
    <w:rPr>
      <w:sz w:val="24"/>
      <w:szCs w:val="24"/>
    </w:rPr>
  </w:style>
  <w:style w:type="paragraph" w:styleId="CommentSubject">
    <w:name w:val="annotation subject"/>
    <w:basedOn w:val="CommentText"/>
    <w:next w:val="CommentText"/>
    <w:link w:val="CommentSubjectChar"/>
    <w:uiPriority w:val="99"/>
    <w:semiHidden/>
    <w:unhideWhenUsed/>
    <w:rsid w:val="002250DD"/>
    <w:rPr>
      <w:b/>
      <w:bCs/>
      <w:sz w:val="20"/>
      <w:szCs w:val="20"/>
    </w:rPr>
  </w:style>
  <w:style w:type="character" w:customStyle="1" w:styleId="CommentSubjectChar">
    <w:name w:val="Comment Subject Char"/>
    <w:link w:val="CommentSubject"/>
    <w:uiPriority w:val="99"/>
    <w:semiHidden/>
    <w:rsid w:val="002250DD"/>
    <w:rPr>
      <w:b/>
      <w:bCs/>
      <w:sz w:val="20"/>
      <w:szCs w:val="20"/>
    </w:rPr>
  </w:style>
  <w:style w:type="paragraph" w:styleId="FootnoteText">
    <w:name w:val="footnote text"/>
    <w:aliases w:val="poznppMV,Footnote Text Char Char Char,Footnote Text Char Char,single space,Footnote Text Char1 Char1,Char Char Char Char1,Footnote Text Char1 Char Char,Char Char Char Char Char1,Char Char, Char Char Char Char1"/>
    <w:basedOn w:val="Normal"/>
    <w:link w:val="FootnoteTextChar"/>
    <w:uiPriority w:val="99"/>
    <w:unhideWhenUsed/>
    <w:rsid w:val="009C5258"/>
    <w:rPr>
      <w:sz w:val="16"/>
      <w:szCs w:val="20"/>
    </w:rPr>
  </w:style>
  <w:style w:type="character" w:customStyle="1" w:styleId="FootnoteTextChar">
    <w:name w:val="Footnote Text Char"/>
    <w:aliases w:val="poznppMV Char,Footnote Text Char Char Char Char,Footnote Text Char Char Char1,single space Char,Footnote Text Char1 Char1 Char,Char Char Char Char1 Char,Footnote Text Char1 Char Char Char,Char Char Char Char Char1 Char,Char Char Char"/>
    <w:link w:val="FootnoteText"/>
    <w:uiPriority w:val="99"/>
    <w:rsid w:val="009C5258"/>
    <w:rPr>
      <w:rFonts w:ascii="Arial" w:hAnsi="Arial"/>
      <w:sz w:val="16"/>
      <w:lang w:val="fr-FR" w:eastAsia="en-US"/>
    </w:rPr>
  </w:style>
  <w:style w:type="character" w:styleId="FootnoteReference">
    <w:name w:val="footnote reference"/>
    <w:aliases w:val="callout,Footnotes refss,BVI fnr,fr,ftref,callout Char Char Char Char Char Char Char Char Char Char1 Char Char Char Char Char,Footnote symbol,16 Point,Superscript 6 Point,nota pié di pagina,Footnote Reference Number,Times 10 Point,o"/>
    <w:link w:val="calloutCharCharCharCharCharCharCharCharCharChar1CharCharCharChar"/>
    <w:uiPriority w:val="17"/>
    <w:unhideWhenUsed/>
    <w:qFormat/>
    <w:rsid w:val="00853C90"/>
    <w:rPr>
      <w:vertAlign w:val="superscript"/>
    </w:rPr>
  </w:style>
  <w:style w:type="paragraph" w:customStyle="1" w:styleId="calloutCharCharCharCharCharCharCharCharCharChar1CharCharCharChar">
    <w:name w:val="callout Char Char Char Char Char Char Char Char Char Char1 Char Char Char Char"/>
    <w:aliases w:val="Footnotes refss Char Char Char Char Char Char Char Char1 Char Char Char Char Char Char Char Char Char Char Char"/>
    <w:basedOn w:val="Normal"/>
    <w:link w:val="FootnoteReference"/>
    <w:uiPriority w:val="17"/>
    <w:rsid w:val="00032312"/>
    <w:pPr>
      <w:spacing w:after="160" w:line="240" w:lineRule="exact"/>
    </w:pPr>
    <w:rPr>
      <w:rFonts w:ascii="Calibri" w:hAnsi="Calibri"/>
      <w:szCs w:val="20"/>
      <w:vertAlign w:val="superscript"/>
      <w:lang w:eastAsia="en-GB"/>
    </w:rPr>
  </w:style>
  <w:style w:type="paragraph" w:styleId="ListParagraph">
    <w:name w:val="List Paragraph"/>
    <w:basedOn w:val="Normal"/>
    <w:uiPriority w:val="34"/>
    <w:qFormat/>
    <w:rsid w:val="00032312"/>
    <w:pPr>
      <w:ind w:left="720"/>
    </w:pPr>
    <w:rPr>
      <w:rFonts w:eastAsia="Times New Roman"/>
      <w:szCs w:val="24"/>
      <w:lang w:eastAsia="fr-FR"/>
    </w:rPr>
  </w:style>
  <w:style w:type="paragraph" w:customStyle="1" w:styleId="yiv9109008500msonormal">
    <w:name w:val="yiv9109008500msonormal"/>
    <w:basedOn w:val="Normal"/>
    <w:rsid w:val="00032312"/>
    <w:pPr>
      <w:spacing w:before="100" w:beforeAutospacing="1" w:after="100" w:afterAutospacing="1"/>
    </w:pPr>
    <w:rPr>
      <w:rFonts w:ascii="Times New Roman" w:eastAsia="Times New Roman" w:hAnsi="Times New Roman"/>
      <w:sz w:val="24"/>
      <w:szCs w:val="24"/>
      <w:lang w:val="en-US"/>
    </w:rPr>
  </w:style>
  <w:style w:type="paragraph" w:styleId="NormalWeb">
    <w:name w:val="Normal (Web)"/>
    <w:basedOn w:val="Normal"/>
    <w:uiPriority w:val="99"/>
    <w:unhideWhenUsed/>
    <w:rsid w:val="00032312"/>
    <w:pPr>
      <w:spacing w:before="100" w:beforeAutospacing="1" w:after="100" w:afterAutospacing="1"/>
    </w:pPr>
    <w:rPr>
      <w:rFonts w:ascii="Times New Roman" w:eastAsia="Times New Roman" w:hAnsi="Times New Roman"/>
      <w:sz w:val="24"/>
      <w:szCs w:val="24"/>
      <w:lang w:val="en-US"/>
    </w:rPr>
  </w:style>
  <w:style w:type="paragraph" w:styleId="NoSpacing">
    <w:name w:val="No Spacing"/>
    <w:link w:val="NoSpacingChar"/>
    <w:uiPriority w:val="1"/>
    <w:qFormat/>
    <w:rsid w:val="00032312"/>
    <w:rPr>
      <w:sz w:val="22"/>
      <w:szCs w:val="22"/>
      <w:lang w:val="en-US" w:eastAsia="en-US"/>
    </w:rPr>
  </w:style>
  <w:style w:type="character" w:customStyle="1" w:styleId="NoSpacingChar">
    <w:name w:val="No Spacing Char"/>
    <w:link w:val="NoSpacing"/>
    <w:uiPriority w:val="1"/>
    <w:rsid w:val="00032312"/>
    <w:rPr>
      <w:sz w:val="22"/>
      <w:szCs w:val="22"/>
      <w:lang w:val="en-US" w:eastAsia="en-US"/>
    </w:rPr>
  </w:style>
  <w:style w:type="paragraph" w:styleId="PlainText">
    <w:name w:val="Plain Text"/>
    <w:basedOn w:val="Normal"/>
    <w:link w:val="PlainTextChar"/>
    <w:uiPriority w:val="99"/>
    <w:unhideWhenUsed/>
    <w:rsid w:val="00032312"/>
    <w:rPr>
      <w:rFonts w:ascii="Calibri" w:eastAsiaTheme="minorHAnsi" w:hAnsi="Calibri"/>
      <w:sz w:val="22"/>
      <w:lang w:val="en-US"/>
    </w:rPr>
  </w:style>
  <w:style w:type="character" w:customStyle="1" w:styleId="PlainTextChar">
    <w:name w:val="Plain Text Char"/>
    <w:basedOn w:val="DefaultParagraphFont"/>
    <w:link w:val="PlainText"/>
    <w:uiPriority w:val="99"/>
    <w:rsid w:val="00032312"/>
    <w:rPr>
      <w:rFonts w:eastAsiaTheme="minorHAnsi"/>
      <w:sz w:val="22"/>
      <w:szCs w:val="22"/>
      <w:lang w:val="en-US" w:eastAsia="en-US"/>
    </w:rPr>
  </w:style>
  <w:style w:type="paragraph" w:styleId="Title">
    <w:name w:val="Title"/>
    <w:basedOn w:val="Normal"/>
    <w:link w:val="TitleChar"/>
    <w:uiPriority w:val="10"/>
    <w:qFormat/>
    <w:rsid w:val="00032312"/>
    <w:pPr>
      <w:jc w:val="center"/>
    </w:pPr>
    <w:rPr>
      <w:rFonts w:ascii="Times New Roman" w:eastAsiaTheme="minorHAnsi" w:hAnsi="Times New Roman"/>
      <w:b/>
      <w:bCs/>
      <w:sz w:val="48"/>
      <w:szCs w:val="48"/>
    </w:rPr>
  </w:style>
  <w:style w:type="character" w:customStyle="1" w:styleId="TitleChar">
    <w:name w:val="Title Char"/>
    <w:basedOn w:val="DefaultParagraphFont"/>
    <w:link w:val="Title"/>
    <w:uiPriority w:val="10"/>
    <w:rsid w:val="00032312"/>
    <w:rPr>
      <w:rFonts w:ascii="Times New Roman" w:eastAsiaTheme="minorHAnsi" w:hAnsi="Times New Roman"/>
      <w:b/>
      <w:bCs/>
      <w:sz w:val="48"/>
      <w:szCs w:val="48"/>
      <w:lang w:eastAsia="en-US"/>
    </w:rPr>
  </w:style>
  <w:style w:type="character" w:customStyle="1" w:styleId="visual-border-emphase1">
    <w:name w:val="visual-border-emphase1"/>
    <w:basedOn w:val="DefaultParagraphFont"/>
    <w:rsid w:val="00032312"/>
    <w:rPr>
      <w:vanish w:val="0"/>
      <w:webHidden w:val="0"/>
      <w:bdr w:val="single" w:sz="6" w:space="4" w:color="D0D0D0" w:frame="1"/>
      <w:shd w:val="clear" w:color="auto" w:fill="F3F3F3"/>
      <w:specVanish w:val="0"/>
    </w:rPr>
  </w:style>
  <w:style w:type="paragraph" w:customStyle="1" w:styleId="BVIfnrCar1Char">
    <w:name w:val="BVI fnr Car1 Char"/>
    <w:aliases w:val="BVI fnr Char1 Car Char Car Char,BVI fnr Car1 Char Car Char Car Char,BVI fnr Char Car Char Car Char Car Char,BVI fnr Car Car Char Car Char Car Char Car Char,BVI fnr Char Car Char Car Char Car Char Char,callou"/>
    <w:basedOn w:val="Normal"/>
    <w:uiPriority w:val="17"/>
    <w:rsid w:val="00032312"/>
    <w:pPr>
      <w:spacing w:after="160" w:line="240" w:lineRule="exact"/>
    </w:pPr>
    <w:rPr>
      <w:rFonts w:ascii="Calibri" w:hAnsi="Calibri"/>
      <w:szCs w:val="20"/>
      <w:vertAlign w:val="superscript"/>
      <w:lang w:eastAsia="en-GB"/>
    </w:rPr>
  </w:style>
  <w:style w:type="character" w:customStyle="1" w:styleId="ilfuvd">
    <w:name w:val="ilfuvd"/>
    <w:basedOn w:val="DefaultParagraphFont"/>
    <w:rsid w:val="00032312"/>
  </w:style>
  <w:style w:type="paragraph" w:customStyle="1" w:styleId="Default">
    <w:name w:val="Default"/>
    <w:rsid w:val="00032312"/>
    <w:pPr>
      <w:autoSpaceDE w:val="0"/>
      <w:autoSpaceDN w:val="0"/>
      <w:adjustRightInd w:val="0"/>
    </w:pPr>
    <w:rPr>
      <w:rFonts w:cs="Calibri"/>
      <w:color w:val="000000"/>
      <w:sz w:val="24"/>
      <w:szCs w:val="24"/>
      <w:lang w:val="fr-FR"/>
    </w:rPr>
  </w:style>
  <w:style w:type="paragraph" w:styleId="EndnoteText">
    <w:name w:val="endnote text"/>
    <w:basedOn w:val="Normal"/>
    <w:link w:val="EndnoteTextChar"/>
    <w:rsid w:val="00032312"/>
    <w:rPr>
      <w:rFonts w:ascii="Times New Roman" w:eastAsia="Times New Roman" w:hAnsi="Times New Roman"/>
      <w:szCs w:val="20"/>
      <w:lang w:eastAsia="fr-FR"/>
    </w:rPr>
  </w:style>
  <w:style w:type="character" w:customStyle="1" w:styleId="EndnoteTextChar">
    <w:name w:val="Endnote Text Char"/>
    <w:basedOn w:val="DefaultParagraphFont"/>
    <w:link w:val="EndnoteText"/>
    <w:rsid w:val="00032312"/>
    <w:rPr>
      <w:rFonts w:ascii="Times New Roman" w:eastAsia="Times New Roman" w:hAnsi="Times New Roman"/>
      <w:lang w:eastAsia="fr-FR"/>
    </w:rPr>
  </w:style>
  <w:style w:type="character" w:styleId="UnresolvedMention">
    <w:name w:val="Unresolved Mention"/>
    <w:basedOn w:val="DefaultParagraphFont"/>
    <w:uiPriority w:val="99"/>
    <w:semiHidden/>
    <w:unhideWhenUsed/>
    <w:rsid w:val="00D71A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m.coe.int/prems-093618-gbr-gender-equality-strategy-2023-web-a5/16808b47e1" TargetMode="External"/><Relationship Id="rId13" Type="http://schemas.openxmlformats.org/officeDocument/2006/relationships/chart" Target="charts/chart3.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3.xml"/><Relationship Id="rId10" Type="http://schemas.openxmlformats.org/officeDocument/2006/relationships/hyperlink" Target="https://www.coe.int/en/web/project-management-methodology/tool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rm.coe.int/strategy-en-2018-2023/16807b58eb" TargetMode="External"/><Relationship Id="rId14" Type="http://schemas.openxmlformats.org/officeDocument/2006/relationships/chart" Target="charts/chart4.xml"/><Relationship Id="rId22" Type="http://schemas.openxmlformats.org/officeDocument/2006/relationships/header" Target="header5.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coe.int/c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oe.int/en/web/genderequality/gender-mainstreaming-at-the-council-of-europe" TargetMode="External"/><Relationship Id="rId1" Type="http://schemas.openxmlformats.org/officeDocument/2006/relationships/hyperlink" Target="https://rm.coe.int/prems-093618-gbr-gender-equality-strategy-2023-web-a5/16808b47e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200" b="1">
                <a:solidFill>
                  <a:sysClr val="windowText" lastClr="000000"/>
                </a:solidFill>
                <a:latin typeface="Arial" panose="020B0604020202020204" pitchFamily="34" charset="0"/>
                <a:cs typeface="Arial" panose="020B0604020202020204" pitchFamily="34" charset="0"/>
              </a:rPr>
              <a:t>Total Cumulative Budgetary Envelope  (in million Euros)</a:t>
            </a:r>
          </a:p>
        </c:rich>
      </c:tx>
      <c:overlay val="1"/>
      <c:spPr>
        <a:noFill/>
        <a:ln>
          <a:noFill/>
        </a:ln>
        <a:effectLst/>
      </c:spPr>
    </c:title>
    <c:autoTitleDeleted val="0"/>
    <c:plotArea>
      <c:layout>
        <c:manualLayout>
          <c:layoutTarget val="inner"/>
          <c:xMode val="edge"/>
          <c:yMode val="edge"/>
          <c:x val="8.8187834946817673E-2"/>
          <c:y val="8.0374417406727544E-2"/>
          <c:w val="0.90139552456259364"/>
          <c:h val="0.76279598747457655"/>
        </c:manualLayout>
      </c:layout>
      <c:lineChart>
        <c:grouping val="standard"/>
        <c:varyColors val="0"/>
        <c:ser>
          <c:idx val="0"/>
          <c:order val="0"/>
          <c:tx>
            <c:strRef>
              <c:f>'Récap pour chart'!$C$4</c:f>
              <c:strCache>
                <c:ptCount val="1"/>
                <c:pt idx="0">
                  <c:v>Cumulative Budgetary Envelope Total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00\ [$€-42E]"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'Récap pour chart'!$A$5:$A$15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'Récap pour chart'!$C$5:$C$15</c:f>
              <c:numCache>
                <c:formatCode>[$€-2]\ #,##0</c:formatCode>
                <c:ptCount val="11"/>
                <c:pt idx="0">
                  <c:v>70810501.530000001</c:v>
                </c:pt>
                <c:pt idx="1">
                  <c:v>79855533.760000005</c:v>
                </c:pt>
                <c:pt idx="2">
                  <c:v>87613035.450000003</c:v>
                </c:pt>
                <c:pt idx="3">
                  <c:v>103662838.51000001</c:v>
                </c:pt>
                <c:pt idx="4">
                  <c:v>100972640.56999999</c:v>
                </c:pt>
                <c:pt idx="5">
                  <c:v>95158818.350000009</c:v>
                </c:pt>
                <c:pt idx="6">
                  <c:v>88473194.219999999</c:v>
                </c:pt>
                <c:pt idx="7">
                  <c:v>127904078.91</c:v>
                </c:pt>
                <c:pt idx="8">
                  <c:v>145939492.40000001</c:v>
                </c:pt>
                <c:pt idx="9">
                  <c:v>146508029</c:v>
                </c:pt>
                <c:pt idx="10">
                  <c:v>154772545.03999999</c:v>
                </c:pt>
              </c:numCache>
            </c:numRef>
          </c:val>
          <c:smooth val="0"/>
          <c:extLst>
            <c:ext xmlns:c16="http://schemas.microsoft.com/office/drawing/2014/chart" uri="{C3380CC4-5D6E-409C-BE32-E72D297353CC}">
              <c16:uniqueId val="{00000000-0F03-447A-A797-FFA538713B98}"/>
            </c:ext>
          </c:extLst>
        </c:ser>
        <c:ser>
          <c:idx val="1"/>
          <c:order val="1"/>
          <c:tx>
            <c:strRef>
              <c:f>'Récap pour chart'!$D$4</c:f>
              <c:strCache>
                <c:ptCount val="1"/>
                <c:pt idx="0">
                  <c:v>EU contribution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numFmt formatCode="[$€-2]\ #,##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'Récap pour chart'!$A$5:$A$15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'Récap pour chart'!$D$5:$D$15</c:f>
              <c:numCache>
                <c:formatCode>[$€-2]\ #,##0</c:formatCode>
                <c:ptCount val="11"/>
                <c:pt idx="0">
                  <c:v>57700557.420000002</c:v>
                </c:pt>
                <c:pt idx="1">
                  <c:v>65761555.810000002</c:v>
                </c:pt>
                <c:pt idx="2">
                  <c:v>73746879.75</c:v>
                </c:pt>
                <c:pt idx="3">
                  <c:v>91615479.75</c:v>
                </c:pt>
                <c:pt idx="4">
                  <c:v>89799728.590000004</c:v>
                </c:pt>
                <c:pt idx="5">
                  <c:v>81913777.170000002</c:v>
                </c:pt>
                <c:pt idx="6">
                  <c:v>75777840.170000002</c:v>
                </c:pt>
                <c:pt idx="7">
                  <c:v>111380103.91</c:v>
                </c:pt>
                <c:pt idx="8">
                  <c:v>125754075.56</c:v>
                </c:pt>
                <c:pt idx="9">
                  <c:v>124284548</c:v>
                </c:pt>
                <c:pt idx="10">
                  <c:v>131357358.72999996</c:v>
                </c:pt>
              </c:numCache>
            </c:numRef>
          </c:val>
          <c:smooth val="0"/>
          <c:extLst>
            <c:ext xmlns:c16="http://schemas.microsoft.com/office/drawing/2014/chart" uri="{C3380CC4-5D6E-409C-BE32-E72D297353CC}">
              <c16:uniqueId val="{00000001-0F03-447A-A797-FFA538713B98}"/>
            </c:ext>
          </c:extLst>
        </c:ser>
        <c:ser>
          <c:idx val="2"/>
          <c:order val="2"/>
          <c:tx>
            <c:strRef>
              <c:f>'Récap pour chart'!$F$4</c:f>
              <c:strCache>
                <c:ptCount val="1"/>
                <c:pt idx="0">
                  <c:v>CoE contribution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2]\ #,##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'Récap pour chart'!$A$5:$A$15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'Récap pour chart'!$F$5:$F$15</c:f>
              <c:numCache>
                <c:formatCode>[$€-2]\ #,##0</c:formatCode>
                <c:ptCount val="11"/>
                <c:pt idx="0">
                  <c:v>13109944.109999999</c:v>
                </c:pt>
                <c:pt idx="1">
                  <c:v>14093977.949999999</c:v>
                </c:pt>
                <c:pt idx="2">
                  <c:v>13866155.699999999</c:v>
                </c:pt>
                <c:pt idx="3">
                  <c:v>12047358.76</c:v>
                </c:pt>
                <c:pt idx="4">
                  <c:v>11172911.979999999</c:v>
                </c:pt>
                <c:pt idx="5">
                  <c:v>13245041.18</c:v>
                </c:pt>
                <c:pt idx="6">
                  <c:v>12695354.050000001</c:v>
                </c:pt>
                <c:pt idx="7">
                  <c:v>16523975</c:v>
                </c:pt>
                <c:pt idx="8">
                  <c:v>20185416.84</c:v>
                </c:pt>
                <c:pt idx="9">
                  <c:v>22223481</c:v>
                </c:pt>
                <c:pt idx="10">
                  <c:v>23415186.309999999</c:v>
                </c:pt>
              </c:numCache>
            </c:numRef>
          </c:val>
          <c:smooth val="0"/>
          <c:extLst>
            <c:ext xmlns:c16="http://schemas.microsoft.com/office/drawing/2014/chart" uri="{C3380CC4-5D6E-409C-BE32-E72D297353CC}">
              <c16:uniqueId val="{00000002-0F03-447A-A797-FFA538713B98}"/>
            </c:ext>
          </c:extLst>
        </c:ser>
        <c:dLbls>
          <c:dLblPos val="ctr"/>
          <c:showLegendKey val="0"/>
          <c:showVal val="1"/>
          <c:showCatName val="0"/>
          <c:showSerName val="0"/>
          <c:showPercent val="0"/>
          <c:showBubbleSize val="0"/>
        </c:dLbls>
        <c:marker val="1"/>
        <c:smooth val="0"/>
        <c:axId val="196819968"/>
        <c:axId val="197580672"/>
      </c:lineChart>
      <c:catAx>
        <c:axId val="196819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Years</a:t>
                </a:r>
              </a:p>
            </c:rich>
          </c:tx>
          <c:layout>
            <c:manualLayout>
              <c:xMode val="edge"/>
              <c:yMode val="edge"/>
              <c:x val="0.50937504199553385"/>
              <c:y val="0.8954468775832800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7580672"/>
        <c:crosses val="autoZero"/>
        <c:auto val="1"/>
        <c:lblAlgn val="ctr"/>
        <c:lblOffset val="100"/>
        <c:tickLblSkip val="1"/>
        <c:tickMarkSkip val="1"/>
        <c:noMultiLvlLbl val="0"/>
      </c:catAx>
      <c:valAx>
        <c:axId val="197580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Million euros</a:t>
                </a:r>
              </a:p>
            </c:rich>
          </c:tx>
          <c:layout>
            <c:manualLayout>
              <c:xMode val="edge"/>
              <c:yMode val="edge"/>
              <c:x val="1.1458293613980222E-2"/>
              <c:y val="0.36256321568474731"/>
            </c:manualLayout>
          </c:layout>
          <c:overlay val="0"/>
          <c:spPr>
            <a:noFill/>
            <a:ln>
              <a:noFill/>
            </a:ln>
            <a:effectLst/>
          </c:spPr>
        </c:title>
        <c:numFmt formatCode="[$€-2]\ #,##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6819968"/>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200" b="1">
                <a:solidFill>
                  <a:sysClr val="windowText" lastClr="000000"/>
                </a:solidFill>
                <a:latin typeface="Arial" panose="020B0604020202020204" pitchFamily="34" charset="0"/>
                <a:cs typeface="Arial" panose="020B0604020202020204" pitchFamily="34" charset="0"/>
              </a:rPr>
              <a:t>Annual Budgetary Envelope Prorated  (in million Euros)</a:t>
            </a:r>
          </a:p>
        </c:rich>
      </c:tx>
      <c:overlay val="1"/>
      <c:spPr>
        <a:noFill/>
        <a:ln>
          <a:noFill/>
        </a:ln>
        <a:effectLst/>
      </c:spPr>
    </c:title>
    <c:autoTitleDeleted val="0"/>
    <c:plotArea>
      <c:layout>
        <c:manualLayout>
          <c:layoutTarget val="inner"/>
          <c:xMode val="edge"/>
          <c:yMode val="edge"/>
          <c:x val="8.8187834946817673E-2"/>
          <c:y val="8.0374417406727544E-2"/>
          <c:w val="0.90139552456259364"/>
          <c:h val="0.76279598747457655"/>
        </c:manualLayout>
      </c:layout>
      <c:lineChart>
        <c:grouping val="standard"/>
        <c:varyColors val="0"/>
        <c:ser>
          <c:idx val="0"/>
          <c:order val="0"/>
          <c:tx>
            <c:strRef>
              <c:f>'Récap pour chart'!$C$22</c:f>
              <c:strCache>
                <c:ptCount val="1"/>
                <c:pt idx="0">
                  <c:v>Annual Budgetary Envelope (prorated)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00\ [$€-42E]"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'Récap pour chart'!$A$5:$A$15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'Récap pour chart'!$C$25:$C$35</c:f>
              <c:numCache>
                <c:formatCode>[$€-2]\ #,##0</c:formatCode>
                <c:ptCount val="11"/>
                <c:pt idx="0">
                  <c:v>22485676.508003063</c:v>
                </c:pt>
                <c:pt idx="1">
                  <c:v>24373488.381140754</c:v>
                </c:pt>
                <c:pt idx="2">
                  <c:v>27359892.564303383</c:v>
                </c:pt>
                <c:pt idx="3">
                  <c:v>29219835.609999999</c:v>
                </c:pt>
                <c:pt idx="4">
                  <c:v>27294521.590483442</c:v>
                </c:pt>
                <c:pt idx="5">
                  <c:v>29949903.596032418</c:v>
                </c:pt>
                <c:pt idx="6">
                  <c:v>29231014.280000001</c:v>
                </c:pt>
                <c:pt idx="7">
                  <c:v>35952233.123727053</c:v>
                </c:pt>
                <c:pt idx="8">
                  <c:v>43656324.600000001</c:v>
                </c:pt>
                <c:pt idx="9">
                  <c:v>44400472</c:v>
                </c:pt>
                <c:pt idx="10">
                  <c:v>41878339.088323206</c:v>
                </c:pt>
              </c:numCache>
            </c:numRef>
          </c:val>
          <c:smooth val="0"/>
          <c:extLst>
            <c:ext xmlns:c16="http://schemas.microsoft.com/office/drawing/2014/chart" uri="{C3380CC4-5D6E-409C-BE32-E72D297353CC}">
              <c16:uniqueId val="{00000000-792D-455C-BEA5-A73237268850}"/>
            </c:ext>
          </c:extLst>
        </c:ser>
        <c:ser>
          <c:idx val="1"/>
          <c:order val="1"/>
          <c:tx>
            <c:strRef>
              <c:f>'Récap pour chart'!$D$22</c:f>
              <c:strCache>
                <c:ptCount val="1"/>
                <c:pt idx="0">
                  <c:v>EU Contribution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numFmt formatCode="[$€-2]\ #,##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'Récap pour chart'!$A$5:$A$15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'Récap pour chart'!$D$25:$D$35</c:f>
              <c:numCache>
                <c:formatCode>[$€-2]\ #,##0</c:formatCode>
                <c:ptCount val="11"/>
                <c:pt idx="0">
                  <c:v>17632018.79974395</c:v>
                </c:pt>
                <c:pt idx="1">
                  <c:v>19252674.694366608</c:v>
                </c:pt>
                <c:pt idx="2">
                  <c:v>22849354.008256085</c:v>
                </c:pt>
                <c:pt idx="3">
                  <c:v>25385737.010000002</c:v>
                </c:pt>
                <c:pt idx="4">
                  <c:v>23816620.470707405</c:v>
                </c:pt>
                <c:pt idx="5">
                  <c:v>25265149.77960733</c:v>
                </c:pt>
                <c:pt idx="6">
                  <c:v>24563358</c:v>
                </c:pt>
                <c:pt idx="7">
                  <c:v>30663638.116878796</c:v>
                </c:pt>
                <c:pt idx="8">
                  <c:v>37521482.579999998</c:v>
                </c:pt>
                <c:pt idx="9">
                  <c:v>37009180</c:v>
                </c:pt>
                <c:pt idx="10">
                  <c:v>34444011.464101285</c:v>
                </c:pt>
              </c:numCache>
            </c:numRef>
          </c:val>
          <c:smooth val="0"/>
          <c:extLst>
            <c:ext xmlns:c16="http://schemas.microsoft.com/office/drawing/2014/chart" uri="{C3380CC4-5D6E-409C-BE32-E72D297353CC}">
              <c16:uniqueId val="{00000001-792D-455C-BEA5-A73237268850}"/>
            </c:ext>
          </c:extLst>
        </c:ser>
        <c:ser>
          <c:idx val="2"/>
          <c:order val="2"/>
          <c:tx>
            <c:strRef>
              <c:f>'Récap pour chart'!$F$22</c:f>
              <c:strCache>
                <c:ptCount val="1"/>
                <c:pt idx="0">
                  <c:v>CoE contribution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2]\ #,##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'Récap pour chart'!$A$5:$A$15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'Récap pour chart'!$F$25:$F$35</c:f>
              <c:numCache>
                <c:formatCode>[$€-2]\ #,##0</c:formatCode>
                <c:ptCount val="11"/>
                <c:pt idx="0">
                  <c:v>4853657.7082591131</c:v>
                </c:pt>
                <c:pt idx="1">
                  <c:v>5120813.6867741523</c:v>
                </c:pt>
                <c:pt idx="2">
                  <c:v>4510538.5560472813</c:v>
                </c:pt>
                <c:pt idx="3">
                  <c:v>3834098.6</c:v>
                </c:pt>
                <c:pt idx="4">
                  <c:v>3477901.1197760412</c:v>
                </c:pt>
                <c:pt idx="5">
                  <c:v>4684753.816425086</c:v>
                </c:pt>
                <c:pt idx="6">
                  <c:v>4667656.28</c:v>
                </c:pt>
                <c:pt idx="7">
                  <c:v>5288595.0068482477</c:v>
                </c:pt>
                <c:pt idx="8">
                  <c:v>6134842.0199999996</c:v>
                </c:pt>
                <c:pt idx="9">
                  <c:v>7391292</c:v>
                </c:pt>
                <c:pt idx="10">
                  <c:v>7434327.624221948</c:v>
                </c:pt>
              </c:numCache>
            </c:numRef>
          </c:val>
          <c:smooth val="0"/>
          <c:extLst>
            <c:ext xmlns:c16="http://schemas.microsoft.com/office/drawing/2014/chart" uri="{C3380CC4-5D6E-409C-BE32-E72D297353CC}">
              <c16:uniqueId val="{00000002-792D-455C-BEA5-A73237268850}"/>
            </c:ext>
          </c:extLst>
        </c:ser>
        <c:dLbls>
          <c:dLblPos val="ctr"/>
          <c:showLegendKey val="0"/>
          <c:showVal val="1"/>
          <c:showCatName val="0"/>
          <c:showSerName val="0"/>
          <c:showPercent val="0"/>
          <c:showBubbleSize val="0"/>
        </c:dLbls>
        <c:marker val="1"/>
        <c:smooth val="0"/>
        <c:axId val="211907328"/>
        <c:axId val="211909248"/>
      </c:lineChart>
      <c:catAx>
        <c:axId val="211907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Years</a:t>
                </a:r>
              </a:p>
            </c:rich>
          </c:tx>
          <c:layout>
            <c:manualLayout>
              <c:xMode val="edge"/>
              <c:yMode val="edge"/>
              <c:x val="0.50937504199553385"/>
              <c:y val="0.8954468775832800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1909248"/>
        <c:crosses val="autoZero"/>
        <c:auto val="1"/>
        <c:lblAlgn val="ctr"/>
        <c:lblOffset val="100"/>
        <c:tickLblSkip val="1"/>
        <c:tickMarkSkip val="1"/>
        <c:noMultiLvlLbl val="0"/>
      </c:catAx>
      <c:valAx>
        <c:axId val="211909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Million euros</a:t>
                </a:r>
              </a:p>
            </c:rich>
          </c:tx>
          <c:layout>
            <c:manualLayout>
              <c:xMode val="edge"/>
              <c:yMode val="edge"/>
              <c:x val="1.1458293613980222E-2"/>
              <c:y val="0.36256321568474731"/>
            </c:manualLayout>
          </c:layout>
          <c:overlay val="0"/>
          <c:spPr>
            <a:noFill/>
            <a:ln>
              <a:noFill/>
            </a:ln>
            <a:effectLst/>
          </c:spPr>
        </c:title>
        <c:numFmt formatCode="[$€-2]\ #,##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1907328"/>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200" b="1">
                <a:solidFill>
                  <a:sysClr val="windowText" lastClr="000000"/>
                </a:solidFill>
                <a:latin typeface="Arial" panose="020B0604020202020204" pitchFamily="34" charset="0"/>
                <a:cs typeface="Arial" panose="020B0604020202020204" pitchFamily="34" charset="0"/>
              </a:rPr>
              <a:t>EU annual amounts for the last decade </a:t>
            </a:r>
          </a:p>
        </c:rich>
      </c:tx>
      <c:overlay val="1"/>
      <c:spPr>
        <a:noFill/>
        <a:ln>
          <a:noFill/>
        </a:ln>
        <a:effectLst/>
      </c:spPr>
    </c:title>
    <c:autoTitleDeleted val="0"/>
    <c:plotArea>
      <c:layout>
        <c:manualLayout>
          <c:layoutTarget val="inner"/>
          <c:xMode val="edge"/>
          <c:yMode val="edge"/>
          <c:x val="8.0536912751677847E-2"/>
          <c:y val="0.12175324675324675"/>
          <c:w val="0.90827740492170017"/>
          <c:h val="0.72727272727272729"/>
        </c:manualLayout>
      </c:layout>
      <c:lineChart>
        <c:grouping val="standard"/>
        <c:varyColors val="0"/>
        <c:ser>
          <c:idx val="2"/>
          <c:order val="0"/>
          <c:tx>
            <c:v>Cumulative Budgetary Envelope EU</c:v>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3"/>
              <c:layout>
                <c:manualLayout>
                  <c:x val="-4.1434959594419139E-2"/>
                  <c:y val="-6.65485058984955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D2-4464-9B44-E5FE49BB00F0}"/>
                </c:ext>
              </c:extLst>
            </c:dLbl>
            <c:dLbl>
              <c:idx val="7"/>
              <c:layout>
                <c:manualLayout>
                  <c:x val="-3.0997942064338754E-2"/>
                  <c:y val="-4.92350734696186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D2-4464-9B44-E5FE49BB00F0}"/>
                </c:ext>
              </c:extLst>
            </c:dLbl>
            <c:dLbl>
              <c:idx val="8"/>
              <c:layout>
                <c:manualLayout>
                  <c:x val="-5.4853982133094038E-2"/>
                  <c:y val="-4.92350734696186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D2-4464-9B44-E5FE49BB00F0}"/>
                </c:ext>
              </c:extLst>
            </c:dLbl>
            <c:numFmt formatCode="[$€-1809]#,##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'Récap pour chart'!$A$5:$A$15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'Récap pour chart'!$D$5:$D$15</c:f>
              <c:numCache>
                <c:formatCode>[$€-2]\ #,##0</c:formatCode>
                <c:ptCount val="11"/>
                <c:pt idx="0">
                  <c:v>57700557.420000002</c:v>
                </c:pt>
                <c:pt idx="1">
                  <c:v>65761555.810000002</c:v>
                </c:pt>
                <c:pt idx="2">
                  <c:v>73746879.75</c:v>
                </c:pt>
                <c:pt idx="3">
                  <c:v>91615479.75</c:v>
                </c:pt>
                <c:pt idx="4">
                  <c:v>89799728.590000004</c:v>
                </c:pt>
                <c:pt idx="5">
                  <c:v>81913777.170000002</c:v>
                </c:pt>
                <c:pt idx="6">
                  <c:v>75777840.170000002</c:v>
                </c:pt>
                <c:pt idx="7">
                  <c:v>111380103.91</c:v>
                </c:pt>
                <c:pt idx="8">
                  <c:v>125754075.56</c:v>
                </c:pt>
                <c:pt idx="9">
                  <c:v>124284548</c:v>
                </c:pt>
                <c:pt idx="10">
                  <c:v>131357358.72999996</c:v>
                </c:pt>
              </c:numCache>
            </c:numRef>
          </c:val>
          <c:smooth val="0"/>
          <c:extLst>
            <c:ext xmlns:c16="http://schemas.microsoft.com/office/drawing/2014/chart" uri="{C3380CC4-5D6E-409C-BE32-E72D297353CC}">
              <c16:uniqueId val="{00000003-E2D2-4464-9B44-E5FE49BB00F0}"/>
            </c:ext>
          </c:extLst>
        </c:ser>
        <c:ser>
          <c:idx val="3"/>
          <c:order val="1"/>
          <c:tx>
            <c:v>Annual Budgetary Envelope EU</c:v>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0\ [$€-484]"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'Récap pour chart'!$A$5:$A$15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'Récap pour chart'!$D$24:$D$35</c:f>
              <c:numCache>
                <c:formatCode>[$€-2]\ #,##0</c:formatCode>
                <c:ptCount val="12"/>
                <c:pt idx="0">
                  <c:v>21130662.841827754</c:v>
                </c:pt>
                <c:pt idx="1">
                  <c:v>17632018.79974395</c:v>
                </c:pt>
                <c:pt idx="2">
                  <c:v>19252674.694366608</c:v>
                </c:pt>
                <c:pt idx="3">
                  <c:v>22849354.008256085</c:v>
                </c:pt>
                <c:pt idx="4">
                  <c:v>25385737.010000002</c:v>
                </c:pt>
                <c:pt idx="5">
                  <c:v>23816620.470707405</c:v>
                </c:pt>
                <c:pt idx="6">
                  <c:v>25265149.77960733</c:v>
                </c:pt>
                <c:pt idx="7">
                  <c:v>24563358</c:v>
                </c:pt>
                <c:pt idx="8">
                  <c:v>30663638.116878796</c:v>
                </c:pt>
                <c:pt idx="9">
                  <c:v>37521482.579999998</c:v>
                </c:pt>
                <c:pt idx="10">
                  <c:v>37009180</c:v>
                </c:pt>
                <c:pt idx="11">
                  <c:v>34444011.464101285</c:v>
                </c:pt>
              </c:numCache>
            </c:numRef>
          </c:val>
          <c:smooth val="0"/>
          <c:extLst>
            <c:ext xmlns:c16="http://schemas.microsoft.com/office/drawing/2014/chart" uri="{C3380CC4-5D6E-409C-BE32-E72D297353CC}">
              <c16:uniqueId val="{00000004-E2D2-4464-9B44-E5FE49BB00F0}"/>
            </c:ext>
          </c:extLst>
        </c:ser>
        <c:ser>
          <c:idx val="4"/>
          <c:order val="2"/>
          <c:tx>
            <c:v>Annual receipts EU</c:v>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9"/>
              <c:layout>
                <c:manualLayout>
                  <c:x val="-2.2783574881609116E-2"/>
                  <c:y val="1.67723876654744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D2-4464-9B44-E5FE49BB00F0}"/>
                </c:ext>
              </c:extLst>
            </c:dLbl>
            <c:numFmt formatCode="#,##0.00\ [$€-484]"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'Récap pour chart'!$A$5:$A$15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'Récap pour chart'!$G$59:$G$70</c:f>
              <c:numCache>
                <c:formatCode>[$€-2]\ #,##0</c:formatCode>
                <c:ptCount val="12"/>
                <c:pt idx="0">
                  <c:v>11759291</c:v>
                </c:pt>
                <c:pt idx="1">
                  <c:v>18646234</c:v>
                </c:pt>
                <c:pt idx="2">
                  <c:v>18269761</c:v>
                </c:pt>
                <c:pt idx="3">
                  <c:v>20113274</c:v>
                </c:pt>
                <c:pt idx="4">
                  <c:v>21623920</c:v>
                </c:pt>
                <c:pt idx="5">
                  <c:v>21705963</c:v>
                </c:pt>
                <c:pt idx="6">
                  <c:v>20001636</c:v>
                </c:pt>
                <c:pt idx="7">
                  <c:v>21458623</c:v>
                </c:pt>
                <c:pt idx="8">
                  <c:v>25842385.719999999</c:v>
                </c:pt>
                <c:pt idx="9">
                  <c:v>40508479.340000004</c:v>
                </c:pt>
                <c:pt idx="10">
                  <c:v>35585477.079999998</c:v>
                </c:pt>
                <c:pt idx="11">
                  <c:v>27054607.43</c:v>
                </c:pt>
              </c:numCache>
            </c:numRef>
          </c:val>
          <c:smooth val="0"/>
          <c:extLst>
            <c:ext xmlns:c16="http://schemas.microsoft.com/office/drawing/2014/chart" uri="{C3380CC4-5D6E-409C-BE32-E72D297353CC}">
              <c16:uniqueId val="{00000006-E2D2-4464-9B44-E5FE49BB00F0}"/>
            </c:ext>
          </c:extLst>
        </c:ser>
        <c:dLbls>
          <c:showLegendKey val="0"/>
          <c:showVal val="0"/>
          <c:showCatName val="0"/>
          <c:showSerName val="0"/>
          <c:showPercent val="0"/>
          <c:showBubbleSize val="0"/>
        </c:dLbls>
        <c:marker val="1"/>
        <c:smooth val="0"/>
        <c:axId val="202443008"/>
        <c:axId val="202453376"/>
      </c:lineChart>
      <c:catAx>
        <c:axId val="202443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Years</a:t>
                </a:r>
              </a:p>
            </c:rich>
          </c:tx>
          <c:layout>
            <c:manualLayout>
              <c:xMode val="edge"/>
              <c:yMode val="edge"/>
              <c:x val="0.50671144839857529"/>
              <c:y val="0.89935067812079739"/>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2453376"/>
        <c:crosses val="autoZero"/>
        <c:auto val="1"/>
        <c:lblAlgn val="ctr"/>
        <c:lblOffset val="100"/>
        <c:tickLblSkip val="1"/>
        <c:tickMarkSkip val="1"/>
        <c:noMultiLvlLbl val="0"/>
      </c:catAx>
      <c:valAx>
        <c:axId val="202453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Million euros</a:t>
                </a:r>
              </a:p>
            </c:rich>
          </c:tx>
          <c:layout>
            <c:manualLayout>
              <c:xMode val="edge"/>
              <c:yMode val="edge"/>
              <c:x val="1.2304292713611645E-2"/>
              <c:y val="0.41720771143006907"/>
            </c:manualLayout>
          </c:layout>
          <c:overlay val="0"/>
          <c:spPr>
            <a:noFill/>
            <a:ln>
              <a:noFill/>
            </a:ln>
            <a:effectLst/>
          </c:spPr>
        </c:title>
        <c:numFmt formatCode="#,##0\ &quot;€&quot;"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2443008"/>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fr-FR" sz="1200">
                <a:solidFill>
                  <a:sysClr val="windowText" lastClr="000000"/>
                </a:solidFill>
                <a:latin typeface="Arial" panose="020B0604020202020204" pitchFamily="34" charset="0"/>
                <a:cs typeface="Arial" panose="020B0604020202020204" pitchFamily="34" charset="0"/>
              </a:rPr>
              <a:t>Geographical distribution of EU/CoE Joint Programmes in 2018 </a:t>
            </a:r>
            <a:br>
              <a:rPr lang="fr-FR" sz="1200">
                <a:solidFill>
                  <a:sysClr val="windowText" lastClr="000000"/>
                </a:solidFill>
                <a:latin typeface="Arial" panose="020B0604020202020204" pitchFamily="34" charset="0"/>
                <a:cs typeface="Arial" panose="020B0604020202020204" pitchFamily="34" charset="0"/>
              </a:rPr>
            </a:br>
            <a:r>
              <a:rPr lang="fr-FR" sz="1200">
                <a:solidFill>
                  <a:sysClr val="windowText" lastClr="000000"/>
                </a:solidFill>
                <a:latin typeface="Arial" panose="020B0604020202020204" pitchFamily="34" charset="0"/>
                <a:cs typeface="Arial" panose="020B0604020202020204" pitchFamily="34" charset="0"/>
              </a:rPr>
              <a:t>(CBE  2018)</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fr-FR"/>
        </a:p>
      </c:txPr>
    </c:title>
    <c:autoTitleDeleted val="0"/>
    <c:view3D>
      <c:rotX val="30"/>
      <c:rotY val="20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132160632238848"/>
          <c:y val="2.9448762868152376E-2"/>
          <c:w val="0.57226932726124469"/>
          <c:h val="0.86018041634646958"/>
        </c:manualLayout>
      </c:layout>
      <c:pie3DChart>
        <c:varyColors val="1"/>
        <c:ser>
          <c:idx val="0"/>
          <c:order val="0"/>
          <c:explosion val="22"/>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C7DB-46C2-8136-DB04545E95D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C7DB-46C2-8136-DB04545E95D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C7DB-46C2-8136-DB04545E95D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C7DB-46C2-8136-DB04545E95D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C7DB-46C2-8136-DB04545E95D7}"/>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C7DB-46C2-8136-DB04545E95D7}"/>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C7DB-46C2-8136-DB04545E95D7}"/>
              </c:ext>
            </c:extLst>
          </c:dPt>
          <c:dLbls>
            <c:dLbl>
              <c:idx val="0"/>
              <c:layout>
                <c:manualLayout>
                  <c:x val="-2.2075055187637971E-2"/>
                  <c:y val="-2.7936954871918961E-2"/>
                </c:manualLayout>
              </c:layout>
              <c:dLblPos val="outEnd"/>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C7DB-46C2-8136-DB04545E95D7}"/>
                </c:ext>
              </c:extLst>
            </c:dLbl>
            <c:dLbl>
              <c:idx val="1"/>
              <c:layout>
                <c:manualLayout>
                  <c:x val="-5.6272471435576045E-2"/>
                  <c:y val="-4.004152144916312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C7DB-46C2-8136-DB04545E95D7}"/>
                </c:ext>
              </c:extLst>
            </c:dLbl>
            <c:dLbl>
              <c:idx val="2"/>
              <c:layout>
                <c:manualLayout>
                  <c:x val="7.6293814921486458E-2"/>
                  <c:y val="-1.5699840798588677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C7DB-46C2-8136-DB04545E95D7}"/>
                </c:ext>
              </c:extLst>
            </c:dLbl>
            <c:dLbl>
              <c:idx val="3"/>
              <c:layout>
                <c:manualLayout>
                  <c:x val="5.5923473142016081E-2"/>
                  <c:y val="6.1164783873537028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C7DB-46C2-8136-DB04545E95D7}"/>
                </c:ext>
              </c:extLst>
            </c:dLbl>
            <c:dLbl>
              <c:idx val="4"/>
              <c:layout>
                <c:manualLayout>
                  <c:x val="5.344227575948611E-2"/>
                  <c:y val="3.9302740845918852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C7DB-46C2-8136-DB04545E95D7}"/>
                </c:ext>
              </c:extLst>
            </c:dLbl>
            <c:dLbl>
              <c:idx val="5"/>
              <c:layout>
                <c:manualLayout>
                  <c:x val="5.0809198300761776E-2"/>
                  <c:y val="1.6473903876769402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C7DB-46C2-8136-DB04545E95D7}"/>
                </c:ext>
              </c:extLst>
            </c:dLbl>
            <c:dLbl>
              <c:idx val="6"/>
              <c:layout>
                <c:manualLayout>
                  <c:x val="-9.8747821357495172E-2"/>
                  <c:y val="-2.8025041951723249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C7DB-46C2-8136-DB04545E95D7}"/>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FR"/>
              </a:p>
            </c:txPr>
            <c:dLblPos val="outEnd"/>
            <c:showLegendKey val="0"/>
            <c:showVal val="1"/>
            <c:showCatName val="1"/>
            <c:showSerName val="0"/>
            <c:showPercent val="1"/>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'Tri par région Turkey'!$D$2:$D$8</c:f>
              <c:strCache>
                <c:ptCount val="7"/>
                <c:pt idx="0">
                  <c:v>South-East Europe </c:v>
                </c:pt>
                <c:pt idx="1">
                  <c:v>Turkey</c:v>
                </c:pt>
                <c:pt idx="2">
                  <c:v> Eastern Europe and South Caucasus</c:v>
                </c:pt>
                <c:pt idx="3">
                  <c:v> Multilateral</c:v>
                </c:pt>
                <c:pt idx="4">
                  <c:v> EU Member states</c:v>
                </c:pt>
                <c:pt idx="5">
                  <c:v> Other/ Non Member States/South Neighbourhood</c:v>
                </c:pt>
                <c:pt idx="6">
                  <c:v> Other/ Non Member States/Central Asia</c:v>
                </c:pt>
              </c:strCache>
            </c:strRef>
          </c:cat>
          <c:val>
            <c:numRef>
              <c:f>'Tri par région Turkey'!$F$2:$F$8</c:f>
              <c:numCache>
                <c:formatCode>#,##0.00</c:formatCode>
                <c:ptCount val="7"/>
                <c:pt idx="0">
                  <c:v>46155000</c:v>
                </c:pt>
                <c:pt idx="1">
                  <c:v>17607228</c:v>
                </c:pt>
                <c:pt idx="2">
                  <c:v>40505492</c:v>
                </c:pt>
                <c:pt idx="3">
                  <c:v>18797778</c:v>
                </c:pt>
                <c:pt idx="4">
                  <c:v>12609713.039999999</c:v>
                </c:pt>
                <c:pt idx="5">
                  <c:v>15831778</c:v>
                </c:pt>
                <c:pt idx="6">
                  <c:v>3265556</c:v>
                </c:pt>
              </c:numCache>
            </c:numRef>
          </c:val>
          <c:extLst>
            <c:ext xmlns:c16="http://schemas.microsoft.com/office/drawing/2014/chart" uri="{C3380CC4-5D6E-409C-BE32-E72D297353CC}">
              <c16:uniqueId val="{0000000E-C7DB-46C2-8136-DB04545E95D7}"/>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10-C7DB-46C2-8136-DB04545E95D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12-C7DB-46C2-8136-DB04545E95D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14-C7DB-46C2-8136-DB04545E95D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6-C7DB-46C2-8136-DB04545E95D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18-C7DB-46C2-8136-DB04545E95D7}"/>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1A-C7DB-46C2-8136-DB04545E95D7}"/>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C-C7DB-46C2-8136-DB04545E95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'Tri par région Turkey'!$D$2:$D$8</c:f>
              <c:strCache>
                <c:ptCount val="7"/>
                <c:pt idx="0">
                  <c:v>South-East Europe </c:v>
                </c:pt>
                <c:pt idx="1">
                  <c:v>Turkey</c:v>
                </c:pt>
                <c:pt idx="2">
                  <c:v> Eastern Europe and South Caucasus</c:v>
                </c:pt>
                <c:pt idx="3">
                  <c:v> Multilateral</c:v>
                </c:pt>
                <c:pt idx="4">
                  <c:v> EU Member states</c:v>
                </c:pt>
                <c:pt idx="5">
                  <c:v> Other/ Non Member States/South Neighbourhood</c:v>
                </c:pt>
                <c:pt idx="6">
                  <c:v> Other/ Non Member States/Central Asia</c:v>
                </c:pt>
              </c:strCache>
            </c:strRef>
          </c:cat>
          <c:val>
            <c:numRef>
              <c:f>'Tri par région Turkey'!$I$2:$I$8</c:f>
              <c:numCache>
                <c:formatCode>0.00%</c:formatCode>
                <c:ptCount val="7"/>
                <c:pt idx="0">
                  <c:v>0.29821180486546583</c:v>
                </c:pt>
                <c:pt idx="1">
                  <c:v>0.11376195949643086</c:v>
                </c:pt>
                <c:pt idx="2">
                  <c:v>0.26170980124111554</c:v>
                </c:pt>
                <c:pt idx="3">
                  <c:v>0.12145421524949294</c:v>
                </c:pt>
                <c:pt idx="4">
                  <c:v>8.1472544350427903E-2</c:v>
                </c:pt>
                <c:pt idx="5">
                  <c:v>0.10229060971962681</c:v>
                </c:pt>
                <c:pt idx="6">
                  <c:v>2.1099065077440173E-2</c:v>
                </c:pt>
              </c:numCache>
            </c:numRef>
          </c:val>
          <c:extLst>
            <c:ext xmlns:c16="http://schemas.microsoft.com/office/drawing/2014/chart" uri="{C3380CC4-5D6E-409C-BE32-E72D297353CC}">
              <c16:uniqueId val="{0000001D-C7DB-46C2-8136-DB04545E95D7}"/>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1">
          <a:lumMod val="20000"/>
          <a:lumOff val="80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0.41268</cdr:x>
      <cdr:y>0.0155</cdr:y>
    </cdr:from>
    <cdr:to>
      <cdr:x>0.59569</cdr:x>
      <cdr:y>0.07171</cdr:y>
    </cdr:to>
    <cdr:sp macro="" textlink="">
      <cdr:nvSpPr>
        <cdr:cNvPr id="2" name="ZoneTexte 1"/>
        <cdr:cNvSpPr txBox="1"/>
      </cdr:nvSpPr>
      <cdr:spPr>
        <a:xfrm xmlns:a="http://schemas.openxmlformats.org/drawingml/2006/main">
          <a:off x="3777154" y="87585"/>
          <a:ext cx="1675087" cy="317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600" b="1"/>
        </a:p>
      </cdr:txBody>
    </cdr:sp>
  </cdr:relSizeAnchor>
</c:userShapes>
</file>

<file path=word/drawings/drawing2.xml><?xml version="1.0" encoding="utf-8"?>
<c:userShapes xmlns:c="http://schemas.openxmlformats.org/drawingml/2006/chart">
  <cdr:relSizeAnchor xmlns:cdr="http://schemas.openxmlformats.org/drawingml/2006/chartDrawing">
    <cdr:from>
      <cdr:x>0.41268</cdr:x>
      <cdr:y>0.0155</cdr:y>
    </cdr:from>
    <cdr:to>
      <cdr:x>0.59569</cdr:x>
      <cdr:y>0.07171</cdr:y>
    </cdr:to>
    <cdr:sp macro="" textlink="">
      <cdr:nvSpPr>
        <cdr:cNvPr id="2" name="ZoneTexte 1"/>
        <cdr:cNvSpPr txBox="1"/>
      </cdr:nvSpPr>
      <cdr:spPr>
        <a:xfrm xmlns:a="http://schemas.openxmlformats.org/drawingml/2006/main">
          <a:off x="3777154" y="87585"/>
          <a:ext cx="1675087" cy="317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6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9390FC43-FFC2-4F48-A65F-646BD93F3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6168</Words>
  <Characters>33927</Characters>
  <Application>Microsoft Office Word</Application>
  <DocSecurity>0</DocSecurity>
  <Lines>282</Lines>
  <Paragraphs>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Council of Europe</Company>
  <LinksUpToDate>false</LinksUpToDate>
  <CharactersWithSpaces>40015</CharactersWithSpaces>
  <SharedDoc>false</SharedDoc>
  <HLinks>
    <vt:vector size="6" baseType="variant">
      <vt:variant>
        <vt:i4>5439568</vt:i4>
      </vt:variant>
      <vt:variant>
        <vt:i4>6</vt:i4>
      </vt:variant>
      <vt:variant>
        <vt:i4>0</vt:i4>
      </vt:variant>
      <vt:variant>
        <vt:i4>5</vt:i4>
      </vt:variant>
      <vt:variant>
        <vt:lpwstr>http://www.coe.int/cm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GODARD Caroline</dc:creator>
  <cp:lastModifiedBy>HATTERSLEY Christine</cp:lastModifiedBy>
  <cp:revision>3</cp:revision>
  <cp:lastPrinted>2019-04-04T13:18:00Z</cp:lastPrinted>
  <dcterms:created xsi:type="dcterms:W3CDTF">2019-04-30T15:13:00Z</dcterms:created>
  <dcterms:modified xsi:type="dcterms:W3CDTF">2019-04-30T15:43:00Z</dcterms:modified>
</cp:coreProperties>
</file>