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9122B0C" w:rsidR="00BE43B2" w:rsidRPr="00EA2362" w:rsidRDefault="00BE43B2">
            <w:pPr>
              <w:rPr>
                <w:rFonts w:ascii="Tahoma" w:hAnsi="Tahoma" w:cs="Tahoma"/>
                <w:caps/>
                <w:color w:val="000000" w:themeColor="text1"/>
                <w:sz w:val="18"/>
                <w:szCs w:val="18"/>
                <w:highlight w:val="cyan"/>
              </w:rPr>
            </w:pP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462CF8" w:rsidRDefault="00775FB5" w:rsidP="00775FB5">
            <w:pPr>
              <w:jc w:val="right"/>
              <w:rPr>
                <w:rFonts w:ascii="Tahoma" w:hAnsi="Tahoma" w:cs="Tahoma"/>
                <w:b/>
                <w:caps/>
                <w:sz w:val="28"/>
                <w:szCs w:val="28"/>
              </w:rPr>
            </w:pPr>
            <w:r w:rsidRPr="00462CF8">
              <w:rPr>
                <w:rFonts w:ascii="Tahoma" w:hAnsi="Tahoma" w:cs="Tahoma"/>
                <w:sz w:val="18"/>
                <w:szCs w:val="18"/>
              </w:rPr>
              <w:t>Project ID / Sector</w:t>
            </w:r>
            <w:r w:rsidR="00BE43B2" w:rsidRPr="00462CF8">
              <w:rPr>
                <w:rFonts w:ascii="Tahoma" w:hAnsi="Tahoma" w:cs="Tahoma"/>
                <w:sz w:val="18"/>
                <w:szCs w:val="18"/>
              </w:rPr>
              <w:t xml:space="preserve"> </w:t>
            </w:r>
            <w:r w:rsidR="00BE43B2" w:rsidRPr="00462CF8">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C66908B" w:rsidR="00BE43B2" w:rsidRPr="00462CF8" w:rsidRDefault="00462CF8">
            <w:pPr>
              <w:rPr>
                <w:rFonts w:ascii="Tahoma" w:hAnsi="Tahoma" w:cs="Tahoma"/>
                <w:caps/>
                <w:color w:val="000000" w:themeColor="text1"/>
                <w:sz w:val="18"/>
                <w:szCs w:val="18"/>
              </w:rPr>
            </w:pPr>
            <w:r w:rsidRPr="00462CF8">
              <w:rPr>
                <w:rFonts w:ascii="Tahoma" w:hAnsi="Tahoma" w:cs="Tahoma"/>
                <w:caps/>
                <w:color w:val="000000" w:themeColor="text1"/>
                <w:sz w:val="18"/>
                <w:szCs w:val="18"/>
              </w:rPr>
              <w:t>1325</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462CF8" w:rsidRDefault="00BE43B2">
            <w:pPr>
              <w:jc w:val="right"/>
              <w:rPr>
                <w:rFonts w:ascii="Tahoma" w:hAnsi="Tahoma" w:cs="Tahoma"/>
                <w:color w:val="0070C0"/>
                <w:sz w:val="18"/>
                <w:szCs w:val="18"/>
              </w:rPr>
            </w:pPr>
            <w:r w:rsidRPr="00462CF8">
              <w:rPr>
                <w:rFonts w:ascii="Tahoma" w:hAnsi="Tahoma" w:cs="Tahoma"/>
                <w:sz w:val="18"/>
                <w:szCs w:val="18"/>
              </w:rPr>
              <w:t xml:space="preserve">Council of Europe contact point </w:t>
            </w:r>
            <w:r w:rsidRPr="00462CF8">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77BDBC4E" w:rsidR="00BE43B2" w:rsidRPr="00462CF8" w:rsidRDefault="00462CF8">
            <w:pPr>
              <w:rPr>
                <w:rFonts w:ascii="Tahoma" w:hAnsi="Tahoma" w:cs="Tahoma"/>
                <w:b/>
                <w:caps/>
                <w:color w:val="000000" w:themeColor="text1"/>
                <w:sz w:val="18"/>
                <w:szCs w:val="18"/>
              </w:rPr>
            </w:pPr>
            <w:r w:rsidRPr="00462CF8">
              <w:rPr>
                <w:rFonts w:ascii="Tahoma" w:hAnsi="Tahoma" w:cs="Tahoma"/>
                <w:color w:val="000000" w:themeColor="text1"/>
                <w:sz w:val="18"/>
                <w:szCs w:val="18"/>
              </w:rPr>
              <w:t>ankara.office@coe.int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11FE7464" w14:textId="5256A451"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462CF8" w:rsidRPr="006A45AA">
        <w:rPr>
          <w:rFonts w:ascii="Tahoma" w:hAnsi="Tahoma" w:cs="Tahoma"/>
          <w:b/>
        </w:rPr>
        <w:t xml:space="preserve">conducting </w:t>
      </w:r>
      <w:r w:rsidR="00462CF8">
        <w:rPr>
          <w:rFonts w:ascii="Tahoma" w:hAnsi="Tahoma" w:cs="Tahoma"/>
          <w:b/>
        </w:rPr>
        <w:t>training impact assessment</w:t>
      </w:r>
      <w:r w:rsidR="00462CF8" w:rsidRPr="006A45AA">
        <w:rPr>
          <w:rFonts w:ascii="Tahoma" w:hAnsi="Tahoma" w:cs="Tahoma"/>
          <w:b/>
        </w:rPr>
        <w:t xml:space="preserve"> </w:t>
      </w:r>
      <w:r w:rsidR="00462CF8">
        <w:rPr>
          <w:rFonts w:ascii="Tahoma" w:hAnsi="Tahoma" w:cs="Tahoma"/>
          <w:b/>
        </w:rPr>
        <w:t>for the cascade trainees.</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000000"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000000"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1BC6F9C0" w14:textId="77777777" w:rsidR="00462CF8" w:rsidRPr="00203FCB" w:rsidRDefault="00462CF8" w:rsidP="00462CF8">
      <w:pPr>
        <w:spacing w:line="276" w:lineRule="auto"/>
        <w:ind w:left="-142"/>
        <w:jc w:val="both"/>
        <w:rPr>
          <w:rFonts w:ascii="Tahoma" w:hAnsi="Tahoma" w:cs="Tahoma"/>
        </w:rPr>
      </w:pPr>
      <w:r w:rsidRPr="00203FCB">
        <w:rPr>
          <w:rFonts w:ascii="Tahoma" w:hAnsi="Tahoma" w:cs="Tahoma"/>
        </w:rPr>
        <w:t xml:space="preserve">The Council of Europe is currently implementing a Project on </w:t>
      </w:r>
      <w:hyperlink r:id="rId13" w:history="1">
        <w:r w:rsidRPr="00203FCB">
          <w:rPr>
            <w:rStyle w:val="Hyperlink"/>
            <w:rFonts w:ascii="Tahoma" w:hAnsi="Tahoma" w:cs="Tahoma"/>
          </w:rPr>
          <w:t>“Strengthening the Criminal Justice System and the Capacity of Justice Professionals on Prevention of the European Convention on Human Rights Violations in Turkey.</w:t>
        </w:r>
      </w:hyperlink>
      <w:r w:rsidRPr="00203FCB">
        <w:rPr>
          <w:rFonts w:ascii="Tahoma" w:hAnsi="Tahoma" w:cs="Tahoma"/>
        </w:rPr>
        <w:t xml:space="preserve">”  The Project’s main objective is to strengthen and render the Turkish judiciary more efficient, effective, and visible by ensuring its compliance with international and European standards in the field of criminal justice. This shall be achieved, </w:t>
      </w:r>
      <w:r w:rsidRPr="00203FCB">
        <w:rPr>
          <w:rFonts w:ascii="Tahoma" w:hAnsi="Tahoma" w:cs="Tahoma"/>
          <w:i/>
          <w:iCs/>
        </w:rPr>
        <w:t>inter alia</w:t>
      </w:r>
      <w:r w:rsidRPr="00203FCB">
        <w:rPr>
          <w:rFonts w:ascii="Tahoma" w:hAnsi="Tahoma" w:cs="Tahoma"/>
        </w:rPr>
        <w:t xml:space="preserve">, by enhancing the capacity of criminal justice institutions and legal professionals in applying provisions of the European Convention on Human Rights (ECHR) and European Court of Human Rights (ECtHR) case law, and more generally, by strengthening their co-operation and awareness in the field of human rights law. </w:t>
      </w:r>
    </w:p>
    <w:p w14:paraId="3B67F738" w14:textId="77777777" w:rsidR="00462CF8" w:rsidRPr="00203FCB" w:rsidRDefault="00462CF8" w:rsidP="00462CF8">
      <w:pPr>
        <w:spacing w:line="276" w:lineRule="auto"/>
        <w:ind w:left="-142"/>
        <w:jc w:val="both"/>
        <w:rPr>
          <w:rFonts w:ascii="Tahoma" w:hAnsi="Tahoma" w:cs="Tahoma"/>
        </w:rPr>
      </w:pPr>
    </w:p>
    <w:p w14:paraId="1E83E93A" w14:textId="77777777" w:rsidR="00462CF8" w:rsidRPr="00203FCB" w:rsidRDefault="00462CF8" w:rsidP="00462CF8">
      <w:pPr>
        <w:spacing w:line="276" w:lineRule="auto"/>
        <w:ind w:left="-142"/>
        <w:jc w:val="both"/>
        <w:rPr>
          <w:rFonts w:ascii="Tahoma" w:hAnsi="Tahoma" w:cs="Tahoma"/>
        </w:rPr>
      </w:pPr>
      <w:r w:rsidRPr="00203FCB">
        <w:rPr>
          <w:rFonts w:ascii="Tahoma" w:hAnsi="Tahoma" w:cs="Tahoma"/>
        </w:rPr>
        <w:t>Accordingly, the Project has been implementing a comprehensive training programme including cascade training programme (in-service), whereby a pool of national trainers was established using the Training of Trainers (</w:t>
      </w:r>
      <w:proofErr w:type="spellStart"/>
      <w:r w:rsidRPr="00203FCB">
        <w:rPr>
          <w:rFonts w:ascii="Tahoma" w:hAnsi="Tahoma" w:cs="Tahoma"/>
        </w:rPr>
        <w:t>ToT</w:t>
      </w:r>
      <w:proofErr w:type="spellEnd"/>
      <w:r w:rsidRPr="00203FCB">
        <w:rPr>
          <w:rFonts w:ascii="Tahoma" w:hAnsi="Tahoma" w:cs="Tahoma"/>
        </w:rPr>
        <w:t xml:space="preserve">) approach, and a series of </w:t>
      </w:r>
      <w:r>
        <w:rPr>
          <w:rFonts w:ascii="Tahoma" w:hAnsi="Tahoma" w:cs="Tahoma"/>
        </w:rPr>
        <w:t xml:space="preserve">cascade </w:t>
      </w:r>
      <w:r w:rsidRPr="00203FCB">
        <w:rPr>
          <w:rFonts w:ascii="Tahoma" w:hAnsi="Tahoma" w:cs="Tahoma"/>
        </w:rPr>
        <w:t>training seminars (pre-service) ensued to transfer knowledge to candidate judges and prosecutors and online training courses</w:t>
      </w:r>
      <w:r>
        <w:rPr>
          <w:rFonts w:ascii="Tahoma" w:hAnsi="Tahoma" w:cs="Tahoma"/>
        </w:rPr>
        <w:t xml:space="preserve"> adapted to Turkish context by the Project</w:t>
      </w:r>
      <w:r w:rsidRPr="00203FCB">
        <w:rPr>
          <w:rFonts w:ascii="Tahoma" w:hAnsi="Tahoma" w:cs="Tahoma"/>
        </w:rPr>
        <w:t xml:space="preserve">. </w:t>
      </w:r>
      <w:r w:rsidRPr="00203FCB">
        <w:rPr>
          <w:rFonts w:ascii="Tahoma" w:hAnsi="Tahoma" w:cs="Tahoma"/>
          <w:bCs/>
        </w:rPr>
        <w:t xml:space="preserve">According to </w:t>
      </w:r>
      <w:r w:rsidRPr="00203FCB">
        <w:rPr>
          <w:rFonts w:ascii="Tahoma" w:hAnsi="Tahoma" w:cs="Tahoma"/>
          <w:b/>
          <w:bCs/>
        </w:rPr>
        <w:t xml:space="preserve">Evaluation methodology </w:t>
      </w:r>
      <w:r w:rsidRPr="00203FCB">
        <w:rPr>
          <w:rFonts w:ascii="Tahoma" w:hAnsi="Tahoma" w:cs="Tahoma"/>
          <w:bCs/>
        </w:rPr>
        <w:t xml:space="preserve">of the project, a comprehensive training impact assessment will be carried out in order to assess overall impact of the trainings towards the improvement of the criminal justice system in terms of improvements into the institutional capacity of the Justice Academy of Türkiye (JAT) related to the training component; the quality of trainings developed, the established pool of trainers and application of the knowledge acquired by judges and prosecutors. This training impact assessment study will ensure that the results will be evaluated against the indicators laid down in the logical framework of the project. </w:t>
      </w:r>
    </w:p>
    <w:p w14:paraId="45970D4B" w14:textId="77777777" w:rsidR="00462CF8" w:rsidRPr="00203FCB" w:rsidRDefault="00462CF8" w:rsidP="00462CF8">
      <w:pPr>
        <w:spacing w:line="276" w:lineRule="auto"/>
        <w:ind w:left="-142"/>
        <w:jc w:val="both"/>
        <w:rPr>
          <w:rFonts w:ascii="Tahoma" w:hAnsi="Tahoma" w:cs="Tahoma"/>
        </w:rPr>
      </w:pPr>
    </w:p>
    <w:p w14:paraId="4EE5CB10" w14:textId="77777777" w:rsidR="00462CF8" w:rsidRDefault="00462CF8" w:rsidP="00462CF8">
      <w:pPr>
        <w:spacing w:line="276" w:lineRule="auto"/>
        <w:ind w:left="-142"/>
        <w:jc w:val="both"/>
        <w:rPr>
          <w:rFonts w:ascii="Tahoma" w:hAnsi="Tahoma" w:cs="Tahoma"/>
          <w:bCs/>
        </w:rPr>
      </w:pPr>
      <w:r w:rsidRPr="00203FCB">
        <w:rPr>
          <w:rFonts w:ascii="Tahoma" w:hAnsi="Tahoma" w:cs="Tahoma"/>
        </w:rPr>
        <w:t xml:space="preserve">In that context, the Project is looking for a Provider to conduct a training impact assessment to collect and process data through online surveys and focus group meetings. </w:t>
      </w:r>
      <w:r w:rsidRPr="00203FCB">
        <w:rPr>
          <w:rFonts w:ascii="Tahoma" w:hAnsi="Tahoma" w:cs="Tahoma"/>
          <w:b/>
        </w:rPr>
        <w:t>The online surveys and focus group meetings</w:t>
      </w:r>
      <w:r w:rsidRPr="00203FCB">
        <w:rPr>
          <w:rFonts w:ascii="Tahoma" w:hAnsi="Tahoma" w:cs="Tahoma"/>
          <w:bCs/>
        </w:rPr>
        <w:t xml:space="preserve"> shall  be carried out within this project in Türkiye in accordance with the methodology (</w:t>
      </w:r>
      <w:hyperlink r:id="rId14" w:history="1">
        <w:r w:rsidRPr="00203FCB">
          <w:rPr>
            <w:rFonts w:ascii="Tahoma" w:hAnsi="Tahoma" w:cs="Tahoma"/>
            <w:color w:val="0000FF"/>
            <w:u w:val="single"/>
          </w:rPr>
          <w:t>Methodology and Tools for Evaluation and Impact Assessment of Human Rights Trainings</w:t>
        </w:r>
      </w:hyperlink>
      <w:r w:rsidRPr="00203FCB">
        <w:rPr>
          <w:rFonts w:ascii="Tahoma" w:hAnsi="Tahoma" w:cs="Tahoma"/>
          <w:color w:val="0000FF"/>
          <w:u w:val="single"/>
        </w:rPr>
        <w:t>)</w:t>
      </w:r>
      <w:r w:rsidRPr="00203FCB">
        <w:rPr>
          <w:rFonts w:ascii="Tahoma" w:hAnsi="Tahoma" w:cs="Tahoma"/>
          <w:bCs/>
        </w:rPr>
        <w:t xml:space="preserve">, content and the guidance provided by a team of consultants and the CoE project team.  </w:t>
      </w:r>
    </w:p>
    <w:p w14:paraId="60AC1654" w14:textId="77777777" w:rsidR="00462CF8" w:rsidRDefault="00462CF8" w:rsidP="00462CF8">
      <w:pPr>
        <w:spacing w:line="276" w:lineRule="auto"/>
        <w:ind w:left="-142"/>
        <w:jc w:val="both"/>
        <w:rPr>
          <w:rFonts w:ascii="Tahoma" w:hAnsi="Tahoma" w:cs="Tahoma"/>
          <w:bCs/>
        </w:rPr>
      </w:pPr>
    </w:p>
    <w:p w14:paraId="44E17579" w14:textId="77777777" w:rsidR="00462CF8" w:rsidRPr="00203FCB" w:rsidRDefault="00462CF8" w:rsidP="00462CF8">
      <w:pPr>
        <w:spacing w:line="276" w:lineRule="auto"/>
        <w:ind w:left="-142"/>
        <w:jc w:val="both"/>
        <w:rPr>
          <w:rFonts w:ascii="Tahoma" w:hAnsi="Tahoma" w:cs="Tahoma"/>
          <w:bCs/>
        </w:rPr>
      </w:pPr>
      <w:r w:rsidRPr="00203FCB">
        <w:rPr>
          <w:rFonts w:ascii="Tahoma" w:hAnsi="Tahoma" w:cs="Tahoma"/>
        </w:rPr>
        <w:t xml:space="preserve">All research instruments are expected to apply a gender-sensitive methodology and collect gender-disaggregated data to the extent possible.  </w:t>
      </w:r>
      <w:r w:rsidRPr="00203FCB">
        <w:rPr>
          <w:rFonts w:ascii="Tahoma" w:hAnsi="Tahoma" w:cs="Tahoma"/>
          <w:bCs/>
        </w:rPr>
        <w:t>Draft text, structure, and all other elements necessary to the implementation of an online survey questionnaire</w:t>
      </w:r>
      <w:r w:rsidRPr="00203FCB">
        <w:rPr>
          <w:rFonts w:ascii="Tahoma" w:hAnsi="Tahoma" w:cs="Tahoma"/>
        </w:rPr>
        <w:t xml:space="preserve"> will be drafted by the team of consultants which shall be composed of three experts</w:t>
      </w:r>
      <w:r>
        <w:rPr>
          <w:rFonts w:ascii="Tahoma" w:hAnsi="Tahoma" w:cs="Tahoma"/>
        </w:rPr>
        <w:t xml:space="preserve">: </w:t>
      </w:r>
      <w:r w:rsidRPr="00203FCB">
        <w:rPr>
          <w:rFonts w:ascii="Tahoma" w:hAnsi="Tahoma" w:cs="Tahoma"/>
        </w:rPr>
        <w:t xml:space="preserve">1 lead consultant on substance, 1 </w:t>
      </w:r>
      <w:r>
        <w:rPr>
          <w:rFonts w:ascii="Tahoma" w:hAnsi="Tahoma" w:cs="Tahoma"/>
        </w:rPr>
        <w:t xml:space="preserve">consultant on </w:t>
      </w:r>
      <w:r w:rsidRPr="00203FCB">
        <w:rPr>
          <w:rFonts w:ascii="Tahoma" w:hAnsi="Tahoma" w:cs="Tahoma"/>
        </w:rPr>
        <w:t xml:space="preserve">training methodology and 1 </w:t>
      </w:r>
      <w:r>
        <w:rPr>
          <w:rFonts w:ascii="Tahoma" w:hAnsi="Tahoma" w:cs="Tahoma"/>
        </w:rPr>
        <w:t xml:space="preserve">consultant on </w:t>
      </w:r>
      <w:r w:rsidRPr="00203FCB">
        <w:rPr>
          <w:rFonts w:ascii="Tahoma" w:hAnsi="Tahoma" w:cs="Tahoma"/>
        </w:rPr>
        <w:t>gender</w:t>
      </w:r>
      <w:r>
        <w:rPr>
          <w:rFonts w:ascii="Tahoma" w:hAnsi="Tahoma" w:cs="Tahoma"/>
        </w:rPr>
        <w:t xml:space="preserve"> mainstreaming</w:t>
      </w:r>
      <w:r w:rsidRPr="00203FCB">
        <w:rPr>
          <w:rFonts w:ascii="Tahoma" w:hAnsi="Tahoma" w:cs="Tahoma"/>
        </w:rPr>
        <w:t xml:space="preserve">. </w:t>
      </w:r>
      <w:r w:rsidRPr="00203FCB">
        <w:rPr>
          <w:rFonts w:ascii="Tahoma" w:hAnsi="Tahoma" w:cs="Tahoma"/>
          <w:bCs/>
        </w:rPr>
        <w:t xml:space="preserve">While </w:t>
      </w:r>
      <w:r>
        <w:rPr>
          <w:rFonts w:ascii="Tahoma" w:hAnsi="Tahoma" w:cs="Tahoma"/>
          <w:bCs/>
        </w:rPr>
        <w:t xml:space="preserve">the </w:t>
      </w:r>
      <w:r w:rsidRPr="00203FCB">
        <w:rPr>
          <w:rFonts w:ascii="Tahoma" w:hAnsi="Tahoma" w:cs="Tahoma"/>
          <w:bCs/>
        </w:rPr>
        <w:t xml:space="preserve">online surveys will be conducted by the </w:t>
      </w:r>
      <w:r>
        <w:rPr>
          <w:rFonts w:ascii="Tahoma" w:hAnsi="Tahoma" w:cs="Tahoma"/>
          <w:bCs/>
        </w:rPr>
        <w:t>P</w:t>
      </w:r>
      <w:r w:rsidRPr="00203FCB">
        <w:rPr>
          <w:rFonts w:ascii="Tahoma" w:hAnsi="Tahoma" w:cs="Tahoma"/>
          <w:bCs/>
        </w:rPr>
        <w:t>rovider</w:t>
      </w:r>
      <w:r>
        <w:rPr>
          <w:rFonts w:ascii="Tahoma" w:hAnsi="Tahoma" w:cs="Tahoma"/>
          <w:bCs/>
        </w:rPr>
        <w:t xml:space="preserve"> and</w:t>
      </w:r>
      <w:r w:rsidRPr="00203FCB">
        <w:rPr>
          <w:rFonts w:ascii="Tahoma" w:hAnsi="Tahoma" w:cs="Tahoma"/>
          <w:bCs/>
        </w:rPr>
        <w:t xml:space="preserve"> the focus group meetings which will be organised by the </w:t>
      </w:r>
      <w:r>
        <w:rPr>
          <w:rFonts w:ascii="Tahoma" w:hAnsi="Tahoma" w:cs="Tahoma"/>
          <w:bCs/>
        </w:rPr>
        <w:t>P</w:t>
      </w:r>
      <w:r w:rsidRPr="00203FCB">
        <w:rPr>
          <w:rFonts w:ascii="Tahoma" w:hAnsi="Tahoma" w:cs="Tahoma"/>
          <w:bCs/>
        </w:rPr>
        <w:t xml:space="preserve">rovider, </w:t>
      </w:r>
      <w:r>
        <w:rPr>
          <w:rFonts w:ascii="Tahoma" w:hAnsi="Tahoma" w:cs="Tahoma"/>
          <w:bCs/>
        </w:rPr>
        <w:t xml:space="preserve">the focus group meetings </w:t>
      </w:r>
      <w:r w:rsidRPr="00203FCB">
        <w:rPr>
          <w:rFonts w:ascii="Tahoma" w:hAnsi="Tahoma" w:cs="Tahoma"/>
          <w:bCs/>
        </w:rPr>
        <w:t>will be moderated by the lead consultant on substance</w:t>
      </w:r>
      <w:r>
        <w:rPr>
          <w:rFonts w:ascii="Tahoma" w:hAnsi="Tahoma" w:cs="Tahoma"/>
          <w:bCs/>
        </w:rPr>
        <w:t xml:space="preserve"> and observed by the other consultants</w:t>
      </w:r>
      <w:r w:rsidRPr="00203FCB">
        <w:rPr>
          <w:rFonts w:ascii="Tahoma" w:hAnsi="Tahoma" w:cs="Tahoma"/>
          <w:bCs/>
        </w:rPr>
        <w:t xml:space="preserve">.  </w:t>
      </w:r>
    </w:p>
    <w:p w14:paraId="18647E72" w14:textId="77777777" w:rsidR="00462CF8" w:rsidRPr="00203FCB" w:rsidRDefault="00462CF8" w:rsidP="00462CF8">
      <w:pPr>
        <w:spacing w:line="276" w:lineRule="auto"/>
        <w:ind w:left="-142"/>
        <w:jc w:val="both"/>
        <w:rPr>
          <w:rFonts w:ascii="Tahoma" w:hAnsi="Tahoma" w:cs="Tahoma"/>
          <w:bCs/>
        </w:rPr>
      </w:pPr>
    </w:p>
    <w:p w14:paraId="6253ACEF" w14:textId="77777777" w:rsidR="00462CF8" w:rsidRDefault="00462CF8" w:rsidP="00462CF8">
      <w:pPr>
        <w:spacing w:line="276" w:lineRule="auto"/>
        <w:ind w:left="-142"/>
        <w:jc w:val="both"/>
        <w:rPr>
          <w:rFonts w:ascii="Tahoma" w:hAnsi="Tahoma" w:cs="Tahoma"/>
          <w:b/>
          <w:bCs/>
        </w:rPr>
      </w:pPr>
      <w:r w:rsidRPr="00203FCB">
        <w:rPr>
          <w:rFonts w:ascii="Tahoma" w:hAnsi="Tahoma" w:cs="Tahoma"/>
          <w:b/>
          <w:bCs/>
        </w:rPr>
        <w:t>The data collection and processing methodology will be proposed by the provider in accordance with the following requirements:</w:t>
      </w:r>
    </w:p>
    <w:tbl>
      <w:tblPr>
        <w:tblStyle w:val="TableGrid"/>
        <w:tblpPr w:leftFromText="141" w:rightFromText="141" w:vertAnchor="text" w:tblpX="-318" w:tblpY="1"/>
        <w:tblOverlap w:val="never"/>
        <w:tblW w:w="10345" w:type="dxa"/>
        <w:tblLayout w:type="fixed"/>
        <w:tblLook w:val="04A0" w:firstRow="1" w:lastRow="0" w:firstColumn="1" w:lastColumn="0" w:noHBand="0" w:noVBand="1"/>
      </w:tblPr>
      <w:tblGrid>
        <w:gridCol w:w="10345"/>
      </w:tblGrid>
      <w:tr w:rsidR="00462CF8" w:rsidRPr="00D7515D" w14:paraId="09700945" w14:textId="77777777" w:rsidTr="0012781A">
        <w:trPr>
          <w:trHeight w:val="983"/>
        </w:trPr>
        <w:tc>
          <w:tcPr>
            <w:tcW w:w="10345" w:type="dxa"/>
            <w:tcBorders>
              <w:top w:val="single" w:sz="4" w:space="0" w:color="auto"/>
            </w:tcBorders>
          </w:tcPr>
          <w:p w14:paraId="6D16388F" w14:textId="77777777" w:rsidR="00462CF8" w:rsidRPr="005353FD" w:rsidRDefault="00462CF8" w:rsidP="0012781A">
            <w:pPr>
              <w:spacing w:line="276" w:lineRule="auto"/>
              <w:ind w:left="-142"/>
              <w:jc w:val="both"/>
              <w:rPr>
                <w:rFonts w:ascii="Tahoma" w:hAnsi="Tahoma" w:cs="Tahoma"/>
                <w:b/>
                <w:bCs/>
                <w:color w:val="FF0000"/>
              </w:rPr>
            </w:pPr>
            <w:r w:rsidRPr="005353FD">
              <w:rPr>
                <w:rFonts w:ascii="Tahoma" w:hAnsi="Tahoma" w:cs="Tahoma"/>
                <w:b/>
                <w:bCs/>
                <w:color w:val="FF0000"/>
              </w:rPr>
              <w:t>Requirements and Information on Methodology</w:t>
            </w:r>
          </w:p>
          <w:p w14:paraId="0884C7CE" w14:textId="77777777" w:rsidR="00462CF8" w:rsidRDefault="00462CF8" w:rsidP="0012781A">
            <w:pPr>
              <w:spacing w:before="100" w:beforeAutospacing="1"/>
              <w:contextualSpacing/>
              <w:jc w:val="both"/>
              <w:rPr>
                <w:rFonts w:ascii="Tahoma" w:hAnsi="Tahoma" w:cs="Tahoma"/>
                <w:b/>
                <w:bCs/>
              </w:rPr>
            </w:pPr>
          </w:p>
          <w:p w14:paraId="68F1D511" w14:textId="77777777" w:rsidR="00462CF8" w:rsidRPr="00357357" w:rsidRDefault="00462CF8" w:rsidP="0012781A">
            <w:pPr>
              <w:spacing w:before="100" w:beforeAutospacing="1"/>
              <w:contextualSpacing/>
              <w:jc w:val="both"/>
              <w:rPr>
                <w:rFonts w:ascii="Tahoma" w:hAnsi="Tahoma" w:cs="Tahoma"/>
                <w:b/>
                <w:bCs/>
              </w:rPr>
            </w:pPr>
            <w:r w:rsidRPr="00357357">
              <w:rPr>
                <w:rFonts w:ascii="Tahoma" w:hAnsi="Tahoma" w:cs="Tahoma"/>
                <w:b/>
                <w:bCs/>
              </w:rPr>
              <w:t xml:space="preserve">The provider shall use </w:t>
            </w:r>
            <w:hyperlink r:id="rId15" w:history="1">
              <w:r w:rsidRPr="00357357">
                <w:rPr>
                  <w:rFonts w:ascii="Tahoma" w:hAnsi="Tahoma" w:cs="Tahoma"/>
                  <w:b/>
                  <w:bCs/>
                  <w:color w:val="0000FF"/>
                  <w:u w:val="single"/>
                </w:rPr>
                <w:t>Methodology and Tools for Evaluation and Impact Assessment of Human Rights Trainings</w:t>
              </w:r>
            </w:hyperlink>
            <w:r w:rsidRPr="00357357">
              <w:rPr>
                <w:rFonts w:ascii="Tahoma" w:hAnsi="Tahoma" w:cs="Tahoma"/>
                <w:b/>
                <w:bCs/>
              </w:rPr>
              <w:t>, and closely consult, coordinate and cooperate with the CoE project team, other consultants engaged under the Project and relevant project stakeholders.</w:t>
            </w:r>
          </w:p>
          <w:p w14:paraId="2087E5F6" w14:textId="77777777" w:rsidR="00462CF8" w:rsidRPr="00357357" w:rsidRDefault="00462CF8" w:rsidP="0012781A">
            <w:pPr>
              <w:spacing w:before="100" w:beforeAutospacing="1"/>
              <w:contextualSpacing/>
              <w:jc w:val="both"/>
              <w:rPr>
                <w:rFonts w:ascii="Tahoma" w:hAnsi="Tahoma" w:cs="Tahoma"/>
                <w:b/>
                <w:bCs/>
              </w:rPr>
            </w:pPr>
          </w:p>
          <w:p w14:paraId="188DE0B7" w14:textId="77777777" w:rsidR="00462CF8" w:rsidRPr="00357357" w:rsidRDefault="00462CF8" w:rsidP="0012781A">
            <w:pPr>
              <w:spacing w:before="100" w:beforeAutospacing="1"/>
              <w:contextualSpacing/>
              <w:jc w:val="both"/>
              <w:rPr>
                <w:rFonts w:ascii="Tahoma" w:hAnsi="Tahoma" w:cs="Tahoma"/>
                <w:b/>
                <w:bCs/>
              </w:rPr>
            </w:pPr>
            <w:r w:rsidRPr="00357357">
              <w:rPr>
                <w:rFonts w:ascii="Tahoma" w:hAnsi="Tahoma" w:cs="Tahoma"/>
                <w:b/>
                <w:bCs/>
              </w:rPr>
              <w:t xml:space="preserve">There </w:t>
            </w:r>
            <w:r>
              <w:rPr>
                <w:rFonts w:ascii="Tahoma" w:hAnsi="Tahoma" w:cs="Tahoma"/>
                <w:b/>
                <w:bCs/>
              </w:rPr>
              <w:t>are</w:t>
            </w:r>
            <w:r w:rsidRPr="00357357">
              <w:rPr>
                <w:rFonts w:ascii="Tahoma" w:hAnsi="Tahoma" w:cs="Tahoma"/>
                <w:b/>
                <w:bCs/>
              </w:rPr>
              <w:t xml:space="preserve"> two types of </w:t>
            </w:r>
            <w:r>
              <w:rPr>
                <w:rFonts w:ascii="Tahoma" w:hAnsi="Tahoma" w:cs="Tahoma"/>
                <w:b/>
                <w:bCs/>
              </w:rPr>
              <w:t xml:space="preserve">evaluation </w:t>
            </w:r>
            <w:r w:rsidRPr="00357357">
              <w:rPr>
                <w:rFonts w:ascii="Tahoma" w:hAnsi="Tahoma" w:cs="Tahoma"/>
                <w:b/>
                <w:bCs/>
              </w:rPr>
              <w:t>methodolog</w:t>
            </w:r>
            <w:r>
              <w:rPr>
                <w:rFonts w:ascii="Tahoma" w:hAnsi="Tahoma" w:cs="Tahoma"/>
                <w:b/>
                <w:bCs/>
              </w:rPr>
              <w:t>ies</w:t>
            </w:r>
            <w:r w:rsidRPr="00357357">
              <w:rPr>
                <w:rFonts w:ascii="Tahoma" w:hAnsi="Tahoma" w:cs="Tahoma"/>
                <w:b/>
                <w:bCs/>
              </w:rPr>
              <w:t>; Survey and Focus Group Discussions (FGDs).</w:t>
            </w:r>
          </w:p>
          <w:p w14:paraId="15F297DC" w14:textId="77777777" w:rsidR="00462CF8" w:rsidRPr="00357357" w:rsidRDefault="00462CF8" w:rsidP="0012781A">
            <w:pPr>
              <w:spacing w:before="100" w:beforeAutospacing="1"/>
              <w:contextualSpacing/>
              <w:jc w:val="both"/>
              <w:rPr>
                <w:rFonts w:ascii="Tahoma" w:hAnsi="Tahoma" w:cs="Tahoma"/>
              </w:rPr>
            </w:pPr>
          </w:p>
          <w:p w14:paraId="16B8A26C" w14:textId="77777777" w:rsidR="00462CF8" w:rsidRPr="008B2B92" w:rsidRDefault="00462CF8" w:rsidP="0012781A">
            <w:pPr>
              <w:spacing w:before="100" w:beforeAutospacing="1"/>
              <w:contextualSpacing/>
              <w:jc w:val="both"/>
              <w:rPr>
                <w:rFonts w:ascii="Tahoma" w:hAnsi="Tahoma" w:cs="Tahoma"/>
              </w:rPr>
            </w:pPr>
            <w:r>
              <w:rPr>
                <w:rFonts w:ascii="Tahoma" w:hAnsi="Tahoma" w:cs="Tahoma"/>
                <w:b/>
                <w:bCs/>
                <w:u w:val="single"/>
              </w:rPr>
              <w:t>1.</w:t>
            </w:r>
            <w:r w:rsidRPr="008B2B92">
              <w:rPr>
                <w:rFonts w:ascii="Tahoma" w:hAnsi="Tahoma" w:cs="Tahoma"/>
                <w:b/>
                <w:bCs/>
                <w:u w:val="single"/>
              </w:rPr>
              <w:t>Survey</w:t>
            </w:r>
            <w:r>
              <w:rPr>
                <w:rFonts w:ascii="Tahoma" w:hAnsi="Tahoma" w:cs="Tahoma"/>
                <w:b/>
                <w:bCs/>
                <w:u w:val="single"/>
              </w:rPr>
              <w:t xml:space="preserve"> Study; </w:t>
            </w:r>
          </w:p>
          <w:p w14:paraId="443BD85C" w14:textId="77777777" w:rsidR="00462CF8" w:rsidRDefault="00462CF8" w:rsidP="0012781A">
            <w:pPr>
              <w:spacing w:before="100" w:beforeAutospacing="1"/>
              <w:contextualSpacing/>
              <w:jc w:val="both"/>
              <w:rPr>
                <w:rFonts w:ascii="Tahoma" w:hAnsi="Tahoma" w:cs="Tahoma"/>
              </w:rPr>
            </w:pPr>
          </w:p>
          <w:p w14:paraId="46E81411" w14:textId="77777777" w:rsidR="00462CF8" w:rsidRPr="00D7515D" w:rsidRDefault="00462CF8" w:rsidP="0012781A">
            <w:pPr>
              <w:spacing w:before="100" w:beforeAutospacing="1"/>
              <w:contextualSpacing/>
              <w:jc w:val="both"/>
              <w:rPr>
                <w:rFonts w:ascii="Tahoma" w:hAnsi="Tahoma" w:cs="Tahoma"/>
              </w:rPr>
            </w:pPr>
            <w:r w:rsidRPr="00C974C5">
              <w:rPr>
                <w:rFonts w:ascii="Tahoma" w:hAnsi="Tahoma" w:cs="Tahoma"/>
              </w:rPr>
              <w:t>Five sets of tailored online survey questionnaires were drafted</w:t>
            </w:r>
            <w:r>
              <w:rPr>
                <w:rFonts w:ascii="Tahoma" w:hAnsi="Tahoma" w:cs="Tahoma"/>
              </w:rPr>
              <w:t xml:space="preserve"> approximately 20 questions (open-ended and closed-ended-10 questions each) </w:t>
            </w:r>
            <w:r w:rsidRPr="00C974C5">
              <w:rPr>
                <w:rFonts w:ascii="Tahoma" w:hAnsi="Tahoma" w:cs="Tahoma"/>
              </w:rPr>
              <w:t xml:space="preserve">by the CoE consultants on the </w:t>
            </w:r>
            <w:r>
              <w:rPr>
                <w:rFonts w:ascii="Tahoma" w:hAnsi="Tahoma" w:cs="Tahoma"/>
              </w:rPr>
              <w:t xml:space="preserve">below </w:t>
            </w:r>
            <w:r w:rsidRPr="00C974C5">
              <w:rPr>
                <w:rFonts w:ascii="Tahoma" w:hAnsi="Tahoma" w:cs="Tahoma"/>
              </w:rPr>
              <w:t xml:space="preserve">following areas: </w:t>
            </w:r>
          </w:p>
          <w:p w14:paraId="5056B76D" w14:textId="77777777" w:rsidR="00462CF8" w:rsidRDefault="00462CF8" w:rsidP="0012781A">
            <w:pPr>
              <w:spacing w:before="100" w:beforeAutospacing="1"/>
              <w:contextualSpacing/>
              <w:jc w:val="both"/>
              <w:rPr>
                <w:rFonts w:ascii="Tahoma" w:hAnsi="Tahoma" w:cs="Tahoma"/>
                <w:b/>
                <w:bCs/>
                <w:u w:val="single"/>
              </w:rPr>
            </w:pPr>
          </w:p>
          <w:p w14:paraId="29C7B5FA" w14:textId="77777777" w:rsidR="00462CF8" w:rsidRPr="00C974C5" w:rsidRDefault="00462CF8" w:rsidP="0012781A">
            <w:pPr>
              <w:spacing w:before="100" w:beforeAutospacing="1"/>
              <w:contextualSpacing/>
              <w:jc w:val="both"/>
              <w:rPr>
                <w:rFonts w:ascii="Tahoma" w:hAnsi="Tahoma" w:cs="Tahoma"/>
                <w:b/>
                <w:bCs/>
                <w:u w:val="single"/>
              </w:rPr>
            </w:pPr>
            <w:r w:rsidRPr="00C974C5">
              <w:rPr>
                <w:rFonts w:ascii="Tahoma" w:hAnsi="Tahoma" w:cs="Tahoma"/>
                <w:b/>
                <w:bCs/>
                <w:u w:val="single"/>
              </w:rPr>
              <w:t>There will be five target groups for the online surveys:</w:t>
            </w:r>
          </w:p>
          <w:p w14:paraId="6D9D0871" w14:textId="77777777" w:rsidR="00462CF8" w:rsidRPr="00D7515D" w:rsidRDefault="00462CF8">
            <w:pPr>
              <w:pStyle w:val="ListParagraph"/>
              <w:numPr>
                <w:ilvl w:val="0"/>
                <w:numId w:val="28"/>
              </w:numPr>
              <w:spacing w:before="100" w:beforeAutospacing="1"/>
              <w:contextualSpacing/>
              <w:jc w:val="both"/>
              <w:rPr>
                <w:rFonts w:ascii="Tahoma" w:hAnsi="Tahoma" w:cs="Tahoma"/>
                <w:b/>
                <w:bCs/>
              </w:rPr>
            </w:pPr>
            <w:r w:rsidRPr="00D7515D">
              <w:rPr>
                <w:rFonts w:ascii="Tahoma" w:hAnsi="Tahoma" w:cs="Tahoma"/>
                <w:u w:val="single"/>
              </w:rPr>
              <w:t xml:space="preserve">Group </w:t>
            </w:r>
            <w:r>
              <w:rPr>
                <w:rFonts w:ascii="Tahoma" w:hAnsi="Tahoma" w:cs="Tahoma"/>
                <w:u w:val="single"/>
              </w:rPr>
              <w:t>1</w:t>
            </w:r>
            <w:r w:rsidRPr="00D7515D">
              <w:rPr>
                <w:rFonts w:ascii="Tahoma" w:hAnsi="Tahoma" w:cs="Tahoma"/>
              </w:rPr>
              <w:t xml:space="preserve"> trainees attended in-service training module </w:t>
            </w:r>
            <w:r w:rsidRPr="00D7515D">
              <w:rPr>
                <w:rFonts w:ascii="Tahoma" w:hAnsi="Tahoma" w:cs="Tahoma"/>
                <w:b/>
                <w:bCs/>
              </w:rPr>
              <w:t>on Article 5: Right to Liberty and Security.</w:t>
            </w:r>
          </w:p>
          <w:p w14:paraId="3C59C1F9" w14:textId="77777777" w:rsidR="00462CF8" w:rsidRPr="00D7515D" w:rsidRDefault="00462CF8">
            <w:pPr>
              <w:pStyle w:val="ListParagraph"/>
              <w:numPr>
                <w:ilvl w:val="0"/>
                <w:numId w:val="28"/>
              </w:numPr>
              <w:spacing w:before="100" w:beforeAutospacing="1"/>
              <w:contextualSpacing/>
              <w:jc w:val="both"/>
              <w:rPr>
                <w:rFonts w:ascii="Tahoma" w:hAnsi="Tahoma" w:cs="Tahoma"/>
                <w:b/>
                <w:bCs/>
              </w:rPr>
            </w:pPr>
            <w:r w:rsidRPr="00D7515D">
              <w:rPr>
                <w:rFonts w:ascii="Tahoma" w:hAnsi="Tahoma" w:cs="Tahoma"/>
                <w:u w:val="single"/>
              </w:rPr>
              <w:t xml:space="preserve">Group </w:t>
            </w:r>
            <w:r>
              <w:rPr>
                <w:rFonts w:ascii="Tahoma" w:hAnsi="Tahoma" w:cs="Tahoma"/>
                <w:u w:val="single"/>
              </w:rPr>
              <w:t>2</w:t>
            </w:r>
            <w:r w:rsidRPr="00D7515D">
              <w:rPr>
                <w:rFonts w:ascii="Tahoma" w:hAnsi="Tahoma" w:cs="Tahoma"/>
              </w:rPr>
              <w:t xml:space="preserve"> trainees attended in-service training module on </w:t>
            </w:r>
            <w:r w:rsidRPr="00D7515D">
              <w:rPr>
                <w:rFonts w:ascii="Tahoma" w:hAnsi="Tahoma" w:cs="Tahoma"/>
                <w:b/>
                <w:bCs/>
              </w:rPr>
              <w:t>Reasoning of Judgements in Criminal Law.</w:t>
            </w:r>
            <w:r>
              <w:rPr>
                <w:rFonts w:ascii="Tahoma" w:hAnsi="Tahoma" w:cs="Tahoma"/>
                <w:b/>
                <w:bCs/>
              </w:rPr>
              <w:t xml:space="preserve"> </w:t>
            </w:r>
          </w:p>
          <w:p w14:paraId="5A734F16" w14:textId="77777777" w:rsidR="00462CF8" w:rsidRDefault="00462CF8">
            <w:pPr>
              <w:pStyle w:val="ListParagraph"/>
              <w:numPr>
                <w:ilvl w:val="0"/>
                <w:numId w:val="28"/>
              </w:numPr>
              <w:contextualSpacing/>
              <w:jc w:val="both"/>
              <w:rPr>
                <w:rFonts w:ascii="Tahoma" w:hAnsi="Tahoma" w:cs="Tahoma"/>
              </w:rPr>
            </w:pPr>
            <w:r w:rsidRPr="00D7515D">
              <w:rPr>
                <w:rFonts w:ascii="Tahoma" w:hAnsi="Tahoma" w:cs="Tahoma"/>
                <w:u w:val="single"/>
              </w:rPr>
              <w:t xml:space="preserve">Group </w:t>
            </w:r>
            <w:r>
              <w:rPr>
                <w:rFonts w:ascii="Tahoma" w:hAnsi="Tahoma" w:cs="Tahoma"/>
                <w:u w:val="single"/>
              </w:rPr>
              <w:t>3</w:t>
            </w:r>
            <w:r>
              <w:rPr>
                <w:rFonts w:ascii="Tahoma" w:hAnsi="Tahoma" w:cs="Tahoma"/>
              </w:rPr>
              <w:t xml:space="preserve"> </w:t>
            </w:r>
            <w:r w:rsidRPr="00D7515D">
              <w:rPr>
                <w:rFonts w:ascii="Tahoma" w:hAnsi="Tahoma" w:cs="Tahoma"/>
              </w:rPr>
              <w:t>trainees (</w:t>
            </w:r>
            <w:r w:rsidRPr="00C31E6A">
              <w:rPr>
                <w:rFonts w:ascii="Tahoma" w:hAnsi="Tahoma" w:cs="Tahoma"/>
              </w:rPr>
              <w:t>candidate judges at the time of the training courses delivered)</w:t>
            </w:r>
            <w:r>
              <w:rPr>
                <w:rFonts w:ascii="Tahoma" w:hAnsi="Tahoma" w:cs="Tahoma"/>
              </w:rPr>
              <w:t xml:space="preserve"> </w:t>
            </w:r>
            <w:r w:rsidRPr="00C31E6A">
              <w:rPr>
                <w:rFonts w:ascii="Tahoma" w:hAnsi="Tahoma" w:cs="Tahoma"/>
                <w:b/>
                <w:bCs/>
              </w:rPr>
              <w:t xml:space="preserve">attended pre-service </w:t>
            </w:r>
            <w:r>
              <w:rPr>
                <w:rFonts w:ascii="Tahoma" w:hAnsi="Tahoma" w:cs="Tahoma"/>
                <w:b/>
                <w:bCs/>
              </w:rPr>
              <w:t xml:space="preserve">training </w:t>
            </w:r>
            <w:r w:rsidRPr="00C31E6A">
              <w:rPr>
                <w:rFonts w:ascii="Tahoma" w:hAnsi="Tahoma" w:cs="Tahoma"/>
                <w:b/>
                <w:bCs/>
              </w:rPr>
              <w:t>modules</w:t>
            </w:r>
            <w:r>
              <w:rPr>
                <w:rFonts w:ascii="Tahoma" w:hAnsi="Tahoma" w:cs="Tahoma"/>
                <w:b/>
                <w:bCs/>
              </w:rPr>
              <w:t xml:space="preserve"> created by the Project and </w:t>
            </w:r>
            <w:r w:rsidRPr="00C31E6A">
              <w:rPr>
                <w:rFonts w:ascii="Tahoma" w:hAnsi="Tahoma" w:cs="Tahoma"/>
                <w:b/>
                <w:bCs/>
              </w:rPr>
              <w:t xml:space="preserve">implemented by the </w:t>
            </w:r>
            <w:r>
              <w:rPr>
                <w:rFonts w:ascii="Tahoma" w:hAnsi="Tahoma" w:cs="Tahoma"/>
                <w:b/>
                <w:bCs/>
              </w:rPr>
              <w:t>Justice Academy of Türkiye</w:t>
            </w:r>
            <w:r w:rsidRPr="00D7515D">
              <w:rPr>
                <w:rFonts w:ascii="Tahoma" w:hAnsi="Tahoma" w:cs="Tahoma"/>
              </w:rPr>
              <w:t xml:space="preserve">; </w:t>
            </w:r>
          </w:p>
          <w:p w14:paraId="14ADF2D6" w14:textId="77777777" w:rsidR="00462CF8" w:rsidRPr="00524D5E" w:rsidRDefault="00462CF8">
            <w:pPr>
              <w:pStyle w:val="ListParagraph"/>
              <w:numPr>
                <w:ilvl w:val="0"/>
                <w:numId w:val="28"/>
              </w:numPr>
              <w:contextualSpacing/>
              <w:jc w:val="both"/>
              <w:rPr>
                <w:rFonts w:ascii="Tahoma" w:hAnsi="Tahoma" w:cs="Tahoma"/>
              </w:rPr>
            </w:pPr>
            <w:r>
              <w:rPr>
                <w:rFonts w:ascii="Tahoma" w:hAnsi="Tahoma" w:cs="Tahoma"/>
                <w:u w:val="single"/>
              </w:rPr>
              <w:t xml:space="preserve">Group 4 </w:t>
            </w:r>
            <w:r w:rsidRPr="00D7515D">
              <w:rPr>
                <w:rFonts w:ascii="Tahoma" w:hAnsi="Tahoma" w:cs="Tahoma"/>
              </w:rPr>
              <w:t xml:space="preserve"> trainees (</w:t>
            </w:r>
            <w:r w:rsidRPr="00C31E6A">
              <w:rPr>
                <w:rFonts w:ascii="Tahoma" w:hAnsi="Tahoma" w:cs="Tahoma"/>
              </w:rPr>
              <w:t xml:space="preserve">candidate </w:t>
            </w:r>
            <w:r>
              <w:rPr>
                <w:rFonts w:ascii="Tahoma" w:hAnsi="Tahoma" w:cs="Tahoma"/>
              </w:rPr>
              <w:t xml:space="preserve">prosecutors </w:t>
            </w:r>
            <w:r w:rsidRPr="00C31E6A">
              <w:rPr>
                <w:rFonts w:ascii="Tahoma" w:hAnsi="Tahoma" w:cs="Tahoma"/>
              </w:rPr>
              <w:t>at the time of the training courses delivered)</w:t>
            </w:r>
            <w:r>
              <w:rPr>
                <w:rFonts w:ascii="Tahoma" w:hAnsi="Tahoma" w:cs="Tahoma"/>
              </w:rPr>
              <w:t xml:space="preserve"> </w:t>
            </w:r>
            <w:r w:rsidRPr="00C31E6A">
              <w:rPr>
                <w:rFonts w:ascii="Tahoma" w:hAnsi="Tahoma" w:cs="Tahoma"/>
                <w:b/>
                <w:bCs/>
              </w:rPr>
              <w:t xml:space="preserve">attended in pre-service modules  implemented by the </w:t>
            </w:r>
            <w:r>
              <w:rPr>
                <w:rFonts w:ascii="Tahoma" w:hAnsi="Tahoma" w:cs="Tahoma"/>
                <w:b/>
                <w:bCs/>
              </w:rPr>
              <w:t>Justice Academy of Türkiye</w:t>
            </w:r>
            <w:r w:rsidRPr="00D7515D">
              <w:rPr>
                <w:rFonts w:ascii="Tahoma" w:hAnsi="Tahoma" w:cs="Tahoma"/>
              </w:rPr>
              <w:t>;</w:t>
            </w:r>
          </w:p>
          <w:p w14:paraId="7049A82C" w14:textId="77777777" w:rsidR="00462CF8" w:rsidRDefault="00462CF8">
            <w:pPr>
              <w:pStyle w:val="ListParagraph"/>
              <w:numPr>
                <w:ilvl w:val="0"/>
                <w:numId w:val="28"/>
              </w:numPr>
              <w:contextualSpacing/>
              <w:jc w:val="both"/>
              <w:rPr>
                <w:rFonts w:ascii="Tahoma" w:hAnsi="Tahoma" w:cs="Tahoma"/>
              </w:rPr>
            </w:pPr>
            <w:r w:rsidRPr="00D7515D">
              <w:rPr>
                <w:rFonts w:ascii="Tahoma" w:hAnsi="Tahoma" w:cs="Tahoma"/>
                <w:u w:val="single"/>
              </w:rPr>
              <w:t>Group</w:t>
            </w:r>
            <w:r>
              <w:rPr>
                <w:rFonts w:ascii="Tahoma" w:hAnsi="Tahoma" w:cs="Tahoma"/>
                <w:u w:val="single"/>
              </w:rPr>
              <w:t xml:space="preserve"> 5</w:t>
            </w:r>
            <w:r w:rsidRPr="00D7515D">
              <w:rPr>
                <w:rFonts w:ascii="Tahoma" w:hAnsi="Tahoma" w:cs="Tahoma"/>
                <w:u w:val="single"/>
              </w:rPr>
              <w:t xml:space="preserve"> </w:t>
            </w:r>
            <w:r w:rsidRPr="00C31E6A">
              <w:rPr>
                <w:rFonts w:ascii="Tahoma" w:hAnsi="Tahoma" w:cs="Tahoma"/>
                <w:b/>
                <w:bCs/>
              </w:rPr>
              <w:t>trainees attended online HELP courses</w:t>
            </w:r>
            <w:r w:rsidRPr="00D7515D">
              <w:rPr>
                <w:rFonts w:ascii="Tahoma" w:hAnsi="Tahoma" w:cs="Tahoma"/>
              </w:rPr>
              <w:t xml:space="preserve"> implemented within the framework of the project. </w:t>
            </w:r>
          </w:p>
          <w:p w14:paraId="54C5952C" w14:textId="77777777" w:rsidR="00462CF8" w:rsidRDefault="00462CF8" w:rsidP="0012781A">
            <w:pPr>
              <w:spacing w:line="276" w:lineRule="auto"/>
              <w:jc w:val="both"/>
              <w:rPr>
                <w:rFonts w:ascii="Tahoma" w:hAnsi="Tahoma" w:cs="Tahoma"/>
              </w:rPr>
            </w:pPr>
          </w:p>
          <w:p w14:paraId="3AF8961F" w14:textId="77777777" w:rsidR="00462CF8" w:rsidRPr="00D7515D" w:rsidRDefault="00462CF8" w:rsidP="0012781A">
            <w:pPr>
              <w:spacing w:line="276" w:lineRule="auto"/>
              <w:jc w:val="both"/>
              <w:rPr>
                <w:rFonts w:ascii="Tahoma" w:hAnsi="Tahoma" w:cs="Tahoma"/>
              </w:rPr>
            </w:pPr>
            <w:r w:rsidRPr="00D7515D">
              <w:rPr>
                <w:rFonts w:ascii="Tahoma" w:hAnsi="Tahoma" w:cs="Tahoma"/>
              </w:rPr>
              <w:t>Judges and prosecutors received training courses within the framework of the project</w:t>
            </w:r>
            <w:r>
              <w:rPr>
                <w:rFonts w:ascii="Tahoma" w:hAnsi="Tahoma" w:cs="Tahoma"/>
              </w:rPr>
              <w:t>:</w:t>
            </w:r>
            <w:r w:rsidRPr="00D7515D">
              <w:rPr>
                <w:rFonts w:ascii="Tahoma" w:hAnsi="Tahoma" w:cs="Tahoma"/>
              </w:rPr>
              <w:t xml:space="preserve">  </w:t>
            </w:r>
          </w:p>
          <w:p w14:paraId="6DA3F4A2" w14:textId="77777777" w:rsidR="00462CF8" w:rsidRPr="00357357" w:rsidRDefault="00462CF8">
            <w:pPr>
              <w:pStyle w:val="ListParagraph"/>
              <w:numPr>
                <w:ilvl w:val="0"/>
                <w:numId w:val="35"/>
              </w:numPr>
              <w:spacing w:line="276" w:lineRule="auto"/>
              <w:jc w:val="both"/>
              <w:rPr>
                <w:rFonts w:ascii="Tahoma" w:hAnsi="Tahoma" w:cs="Tahoma"/>
                <w:b/>
                <w:bCs/>
              </w:rPr>
            </w:pPr>
            <w:r w:rsidRPr="00357357">
              <w:rPr>
                <w:rFonts w:ascii="Tahoma" w:hAnsi="Tahoma" w:cs="Tahoma"/>
              </w:rPr>
              <w:t xml:space="preserve">In-service training – </w:t>
            </w:r>
            <w:r w:rsidRPr="00357357">
              <w:rPr>
                <w:rFonts w:ascii="Tahoma" w:hAnsi="Tahoma" w:cs="Tahoma"/>
                <w:b/>
                <w:bCs/>
              </w:rPr>
              <w:t>approximately 1500 judges and prosecutors</w:t>
            </w:r>
          </w:p>
          <w:p w14:paraId="45ECCEBB" w14:textId="77777777" w:rsidR="00462CF8" w:rsidRPr="00357357" w:rsidRDefault="00462CF8">
            <w:pPr>
              <w:pStyle w:val="ListParagraph"/>
              <w:numPr>
                <w:ilvl w:val="0"/>
                <w:numId w:val="35"/>
              </w:numPr>
              <w:spacing w:line="276" w:lineRule="auto"/>
              <w:rPr>
                <w:rFonts w:ascii="Tahoma" w:hAnsi="Tahoma" w:cs="Tahoma"/>
              </w:rPr>
            </w:pPr>
            <w:r w:rsidRPr="00357357">
              <w:rPr>
                <w:rFonts w:ascii="Tahoma" w:hAnsi="Tahoma" w:cs="Tahoma"/>
              </w:rPr>
              <w:t xml:space="preserve">Pre-service training – </w:t>
            </w:r>
            <w:r w:rsidRPr="00357357">
              <w:rPr>
                <w:rFonts w:ascii="Tahoma" w:hAnsi="Tahoma" w:cs="Tahoma"/>
                <w:b/>
                <w:bCs/>
              </w:rPr>
              <w:t xml:space="preserve">approximately </w:t>
            </w:r>
            <w:r>
              <w:rPr>
                <w:rFonts w:ascii="Tahoma" w:hAnsi="Tahoma" w:cs="Tahoma"/>
                <w:b/>
                <w:bCs/>
              </w:rPr>
              <w:t>2213</w:t>
            </w:r>
            <w:r w:rsidRPr="00357357">
              <w:rPr>
                <w:rFonts w:ascii="Tahoma" w:hAnsi="Tahoma" w:cs="Tahoma"/>
                <w:b/>
                <w:bCs/>
              </w:rPr>
              <w:t xml:space="preserve"> -candidate/serving- judges and prosecutors</w:t>
            </w:r>
            <w:r w:rsidRPr="00357357">
              <w:rPr>
                <w:rFonts w:ascii="Tahoma" w:hAnsi="Tahoma" w:cs="Tahoma"/>
              </w:rPr>
              <w:t xml:space="preserve"> </w:t>
            </w:r>
          </w:p>
          <w:p w14:paraId="28C3BAB8" w14:textId="77777777" w:rsidR="00462CF8" w:rsidRPr="00357357" w:rsidRDefault="00462CF8">
            <w:pPr>
              <w:pStyle w:val="ListParagraph"/>
              <w:numPr>
                <w:ilvl w:val="0"/>
                <w:numId w:val="35"/>
              </w:numPr>
              <w:spacing w:line="276" w:lineRule="auto"/>
              <w:jc w:val="both"/>
              <w:rPr>
                <w:rFonts w:ascii="Tahoma" w:hAnsi="Tahoma" w:cs="Tahoma"/>
              </w:rPr>
            </w:pPr>
            <w:r w:rsidRPr="00357357">
              <w:rPr>
                <w:rFonts w:ascii="Tahoma" w:hAnsi="Tahoma" w:cs="Tahoma"/>
              </w:rPr>
              <w:t xml:space="preserve">Online courses- </w:t>
            </w:r>
            <w:r w:rsidRPr="00357357">
              <w:rPr>
                <w:rFonts w:ascii="Tahoma" w:hAnsi="Tahoma" w:cs="Tahoma"/>
                <w:b/>
                <w:bCs/>
              </w:rPr>
              <w:t>approximately 350 judges and prosecutors</w:t>
            </w:r>
            <w:r w:rsidRPr="00357357">
              <w:rPr>
                <w:rFonts w:ascii="Tahoma" w:hAnsi="Tahoma" w:cs="Tahoma"/>
              </w:rPr>
              <w:t xml:space="preserve"> </w:t>
            </w:r>
          </w:p>
          <w:p w14:paraId="77DEF610" w14:textId="77777777" w:rsidR="00462CF8" w:rsidRPr="008B2B92" w:rsidRDefault="00462CF8" w:rsidP="0012781A">
            <w:pPr>
              <w:widowControl w:val="0"/>
              <w:jc w:val="both"/>
              <w:rPr>
                <w:rFonts w:ascii="Tahoma" w:hAnsi="Tahoma" w:cs="Tahoma"/>
                <w:u w:val="single"/>
              </w:rPr>
            </w:pPr>
          </w:p>
          <w:p w14:paraId="3F92C01E" w14:textId="77777777" w:rsidR="00462CF8" w:rsidRPr="008B2B92" w:rsidRDefault="00462CF8" w:rsidP="0012781A">
            <w:pPr>
              <w:spacing w:line="276" w:lineRule="auto"/>
              <w:rPr>
                <w:rFonts w:ascii="Tahoma" w:hAnsi="Tahoma" w:cs="Tahoma"/>
                <w:b/>
                <w:bCs/>
                <w:u w:val="single"/>
              </w:rPr>
            </w:pPr>
            <w:r w:rsidRPr="008B2B92">
              <w:rPr>
                <w:rFonts w:ascii="Tahoma" w:hAnsi="Tahoma" w:cs="Tahoma"/>
                <w:b/>
                <w:bCs/>
                <w:u w:val="single"/>
              </w:rPr>
              <w:t xml:space="preserve">Responsibility of the Provider for the Survey; </w:t>
            </w:r>
          </w:p>
          <w:p w14:paraId="7BE125EC" w14:textId="77777777" w:rsidR="00462CF8" w:rsidRDefault="00462CF8" w:rsidP="0012781A">
            <w:pPr>
              <w:spacing w:before="100" w:beforeAutospacing="1"/>
              <w:contextualSpacing/>
              <w:jc w:val="both"/>
              <w:rPr>
                <w:rFonts w:ascii="Tahoma" w:hAnsi="Tahoma" w:cs="Tahoma"/>
              </w:rPr>
            </w:pPr>
          </w:p>
          <w:p w14:paraId="0778C593" w14:textId="77777777" w:rsidR="00462CF8" w:rsidRDefault="00462CF8">
            <w:pPr>
              <w:pStyle w:val="ListParagraph"/>
              <w:numPr>
                <w:ilvl w:val="0"/>
                <w:numId w:val="30"/>
              </w:numPr>
              <w:contextualSpacing/>
              <w:jc w:val="both"/>
              <w:rPr>
                <w:rFonts w:ascii="Tahoma" w:hAnsi="Tahoma" w:cs="Tahoma"/>
              </w:rPr>
            </w:pPr>
            <w:r w:rsidRPr="008B2B92">
              <w:rPr>
                <w:rFonts w:ascii="Tahoma" w:hAnsi="Tahoma" w:cs="Tahoma"/>
              </w:rPr>
              <w:t xml:space="preserve">The provider will be invited to provide advice on the proposed methodology and the proposed questionnaire structure. The questionnaires will be reviewed and revised in terms of online surveying techniques by the provider before the testing phase. </w:t>
            </w:r>
          </w:p>
          <w:p w14:paraId="3F404F2D" w14:textId="77777777" w:rsidR="00462CF8" w:rsidRPr="008B2B92" w:rsidRDefault="00462CF8" w:rsidP="0012781A">
            <w:pPr>
              <w:pStyle w:val="ListParagraph"/>
              <w:contextualSpacing/>
              <w:jc w:val="both"/>
              <w:rPr>
                <w:rFonts w:ascii="Tahoma" w:hAnsi="Tahoma" w:cs="Tahoma"/>
              </w:rPr>
            </w:pPr>
          </w:p>
          <w:p w14:paraId="212A42B9" w14:textId="77777777" w:rsidR="00462CF8" w:rsidRDefault="00462CF8">
            <w:pPr>
              <w:pStyle w:val="ListParagraph"/>
              <w:numPr>
                <w:ilvl w:val="0"/>
                <w:numId w:val="30"/>
              </w:numPr>
              <w:jc w:val="both"/>
              <w:rPr>
                <w:rFonts w:ascii="Tahoma" w:hAnsi="Tahoma" w:cs="Tahoma"/>
              </w:rPr>
            </w:pPr>
            <w:r w:rsidRPr="008B2B92">
              <w:rPr>
                <w:rFonts w:ascii="Tahoma" w:hAnsi="Tahoma" w:cs="Tahoma"/>
              </w:rPr>
              <w:t xml:space="preserve">The online survey questionnaires should be designed in a way to be completed in around 15 minutes. The provider is expected to send the link and information to the target groups and send notification time to time to monitor and follow-up questionnaire replies.  </w:t>
            </w:r>
          </w:p>
          <w:p w14:paraId="6D4E70B9" w14:textId="77777777" w:rsidR="00462CF8" w:rsidRPr="00357357" w:rsidRDefault="00462CF8" w:rsidP="0012781A">
            <w:pPr>
              <w:pStyle w:val="ListParagraph"/>
              <w:rPr>
                <w:rFonts w:ascii="Tahoma" w:hAnsi="Tahoma" w:cs="Tahoma"/>
              </w:rPr>
            </w:pPr>
          </w:p>
          <w:p w14:paraId="754747EA" w14:textId="77777777" w:rsidR="00462CF8" w:rsidRDefault="00462CF8">
            <w:pPr>
              <w:pStyle w:val="ListParagraph"/>
              <w:numPr>
                <w:ilvl w:val="0"/>
                <w:numId w:val="30"/>
              </w:numPr>
              <w:contextualSpacing/>
              <w:jc w:val="both"/>
              <w:rPr>
                <w:rFonts w:ascii="Tahoma" w:hAnsi="Tahoma" w:cs="Tahoma"/>
              </w:rPr>
            </w:pPr>
            <w:r w:rsidRPr="00357357">
              <w:rPr>
                <w:rFonts w:ascii="Tahoma" w:hAnsi="Tahoma" w:cs="Tahoma"/>
                <w:b/>
                <w:bCs/>
              </w:rPr>
              <w:t xml:space="preserve">In total </w:t>
            </w:r>
            <w:r>
              <w:rPr>
                <w:rFonts w:ascii="Tahoma" w:hAnsi="Tahoma" w:cs="Tahoma"/>
                <w:b/>
                <w:bCs/>
              </w:rPr>
              <w:t xml:space="preserve">approximately 4000 </w:t>
            </w:r>
            <w:r w:rsidRPr="00357357">
              <w:rPr>
                <w:rFonts w:ascii="Tahoma" w:hAnsi="Tahoma" w:cs="Tahoma"/>
                <w:b/>
                <w:bCs/>
              </w:rPr>
              <w:t>judges and prosecutors are expected to be surveyed</w:t>
            </w:r>
            <w:r>
              <w:rPr>
                <w:rFonts w:ascii="Tahoma" w:hAnsi="Tahoma" w:cs="Tahoma"/>
                <w:b/>
                <w:bCs/>
              </w:rPr>
              <w:t xml:space="preserve"> throughout the Türkiye</w:t>
            </w:r>
            <w:r w:rsidRPr="00357357">
              <w:rPr>
                <w:rFonts w:ascii="Tahoma" w:hAnsi="Tahoma" w:cs="Tahoma"/>
                <w:b/>
                <w:bCs/>
              </w:rPr>
              <w:t xml:space="preserve">. </w:t>
            </w:r>
            <w:r w:rsidRPr="00357357">
              <w:rPr>
                <w:rFonts w:ascii="Tahoma" w:hAnsi="Tahoma" w:cs="Tahoma"/>
              </w:rPr>
              <w:t>Expected return rate is approximately 2000 judges and prosecutors.</w:t>
            </w:r>
          </w:p>
          <w:p w14:paraId="4A9ECCA0" w14:textId="77777777" w:rsidR="00462CF8" w:rsidRPr="00357357" w:rsidRDefault="00462CF8" w:rsidP="0012781A">
            <w:pPr>
              <w:contextualSpacing/>
              <w:jc w:val="both"/>
              <w:rPr>
                <w:rFonts w:ascii="Tahoma" w:hAnsi="Tahoma" w:cs="Tahoma"/>
              </w:rPr>
            </w:pPr>
          </w:p>
          <w:p w14:paraId="491CF043" w14:textId="77777777" w:rsidR="00462CF8" w:rsidRDefault="00462CF8">
            <w:pPr>
              <w:pStyle w:val="ListParagraph"/>
              <w:widowControl w:val="0"/>
              <w:numPr>
                <w:ilvl w:val="0"/>
                <w:numId w:val="30"/>
              </w:numPr>
              <w:tabs>
                <w:tab w:val="left" w:pos="406"/>
                <w:tab w:val="left" w:pos="946"/>
              </w:tabs>
              <w:jc w:val="both"/>
              <w:rPr>
                <w:rFonts w:ascii="Tahoma" w:hAnsi="Tahoma" w:cs="Tahoma"/>
              </w:rPr>
            </w:pPr>
            <w:r w:rsidRPr="008B2B92">
              <w:rPr>
                <w:rFonts w:ascii="Tahoma" w:hAnsi="Tahoma" w:cs="Tahoma"/>
              </w:rPr>
              <w:t>E-mail addresses of the target groups for the online surveys will be provided by the CoE Project Office and the JAT.</w:t>
            </w:r>
          </w:p>
          <w:p w14:paraId="763A27E2" w14:textId="77777777" w:rsidR="00462CF8" w:rsidRPr="008B2B92" w:rsidRDefault="00462CF8" w:rsidP="0012781A">
            <w:pPr>
              <w:widowControl w:val="0"/>
              <w:tabs>
                <w:tab w:val="left" w:pos="406"/>
                <w:tab w:val="left" w:pos="946"/>
              </w:tabs>
              <w:jc w:val="both"/>
              <w:rPr>
                <w:rFonts w:ascii="Tahoma" w:hAnsi="Tahoma" w:cs="Tahoma"/>
              </w:rPr>
            </w:pPr>
          </w:p>
          <w:p w14:paraId="3018F85F" w14:textId="77777777" w:rsidR="00462CF8" w:rsidRDefault="00462CF8">
            <w:pPr>
              <w:pStyle w:val="ListParagraph"/>
              <w:widowControl w:val="0"/>
              <w:numPr>
                <w:ilvl w:val="0"/>
                <w:numId w:val="30"/>
              </w:numPr>
              <w:contextualSpacing/>
              <w:jc w:val="both"/>
              <w:rPr>
                <w:rFonts w:ascii="Tahoma" w:hAnsi="Tahoma" w:cs="Tahoma"/>
              </w:rPr>
            </w:pPr>
            <w:r w:rsidRPr="008B2B92">
              <w:rPr>
                <w:rFonts w:ascii="Tahoma" w:hAnsi="Tahoma" w:cs="Tahoma"/>
              </w:rPr>
              <w:t xml:space="preserve">The design of questionnaires will be finalised by the provider in accordance with surveying techniques with incorporated input obtained from the consultants and the JAT to consolidate the overall data as well as from the gender consultant to supervise and produce gender disaggregated data.  </w:t>
            </w:r>
          </w:p>
          <w:p w14:paraId="48FD244F" w14:textId="77777777" w:rsidR="00462CF8" w:rsidRPr="005353FD" w:rsidRDefault="00462CF8" w:rsidP="0012781A">
            <w:pPr>
              <w:widowControl w:val="0"/>
              <w:contextualSpacing/>
              <w:jc w:val="both"/>
              <w:rPr>
                <w:rFonts w:ascii="Tahoma" w:hAnsi="Tahoma" w:cs="Tahoma"/>
              </w:rPr>
            </w:pPr>
          </w:p>
          <w:p w14:paraId="3266D5B3" w14:textId="77777777" w:rsidR="00462CF8" w:rsidRPr="008B2B92" w:rsidRDefault="00462CF8">
            <w:pPr>
              <w:pStyle w:val="ListParagraph"/>
              <w:numPr>
                <w:ilvl w:val="0"/>
                <w:numId w:val="30"/>
              </w:numPr>
              <w:contextualSpacing/>
              <w:jc w:val="both"/>
              <w:rPr>
                <w:rFonts w:ascii="Tahoma" w:hAnsi="Tahoma" w:cs="Tahoma"/>
              </w:rPr>
            </w:pPr>
            <w:r w:rsidRPr="008B2B92">
              <w:rPr>
                <w:rFonts w:ascii="Tahoma" w:hAnsi="Tahoma" w:cs="Tahoma"/>
              </w:rPr>
              <w:t>Following materials will be provided by the provider before conducting the questionnaires: preparation of informative explanation (an accompanying notice) to surveyed persons (target groups) about the project sponsors; aims of survey; and anonymity safeguards; ethical principles to be applied to use of survey data etc</w:t>
            </w:r>
            <w:r>
              <w:rPr>
                <w:rFonts w:ascii="Tahoma" w:hAnsi="Tahoma" w:cs="Tahoma"/>
              </w:rPr>
              <w:t>.</w:t>
            </w:r>
          </w:p>
          <w:p w14:paraId="2E20F631" w14:textId="77777777" w:rsidR="00462CF8" w:rsidRPr="008B2B92" w:rsidRDefault="00462CF8" w:rsidP="0012781A">
            <w:pPr>
              <w:pStyle w:val="ListParagraph"/>
              <w:contextualSpacing/>
              <w:jc w:val="both"/>
              <w:rPr>
                <w:rFonts w:ascii="Tahoma" w:hAnsi="Tahoma" w:cs="Tahoma"/>
              </w:rPr>
            </w:pPr>
          </w:p>
          <w:p w14:paraId="41917830" w14:textId="77777777" w:rsidR="00462CF8" w:rsidRDefault="00462CF8">
            <w:pPr>
              <w:pStyle w:val="ListParagraph"/>
              <w:widowControl w:val="0"/>
              <w:numPr>
                <w:ilvl w:val="0"/>
                <w:numId w:val="30"/>
              </w:numPr>
              <w:contextualSpacing/>
              <w:jc w:val="both"/>
              <w:rPr>
                <w:rFonts w:ascii="Tahoma" w:hAnsi="Tahoma" w:cs="Tahoma"/>
              </w:rPr>
            </w:pPr>
            <w:r w:rsidRPr="008B2B92">
              <w:rPr>
                <w:rFonts w:ascii="Tahoma" w:hAnsi="Tahoma" w:cs="Tahoma"/>
              </w:rPr>
              <w:t>Before the questionnaire is finalized, feedback can be obtained on the readability, clarity and scope of the questionnaire</w:t>
            </w:r>
            <w:r w:rsidRPr="008B2B92">
              <w:rPr>
                <w:rFonts w:ascii="inherit" w:hAnsi="inherit" w:cs="Courier New"/>
                <w:color w:val="202124"/>
                <w:sz w:val="42"/>
                <w:szCs w:val="42"/>
                <w:lang w:val="en"/>
              </w:rPr>
              <w:t xml:space="preserve"> </w:t>
            </w:r>
            <w:r w:rsidRPr="008B2B92">
              <w:rPr>
                <w:rFonts w:ascii="Tahoma" w:hAnsi="Tahoma" w:cs="Tahoma"/>
              </w:rPr>
              <w:t>through testing of the draft questionnaire.</w:t>
            </w:r>
            <w:r w:rsidRPr="008B2B92">
              <w:rPr>
                <w:rFonts w:ascii="inherit" w:hAnsi="inherit" w:cs="Courier New"/>
                <w:color w:val="202124"/>
                <w:sz w:val="42"/>
                <w:szCs w:val="42"/>
                <w:lang w:val="en"/>
              </w:rPr>
              <w:t xml:space="preserve"> </w:t>
            </w:r>
            <w:r w:rsidRPr="008B2B92">
              <w:rPr>
                <w:rFonts w:ascii="Tahoma" w:hAnsi="Tahoma" w:cs="Tahoma"/>
              </w:rPr>
              <w:t xml:space="preserve">Following the testing for validity, the questionnaires will be finalised prior to the wider application.  </w:t>
            </w:r>
          </w:p>
          <w:p w14:paraId="04BCA0BC" w14:textId="77777777" w:rsidR="00462CF8" w:rsidRPr="008B2B92" w:rsidRDefault="00462CF8" w:rsidP="0012781A">
            <w:pPr>
              <w:pStyle w:val="ListParagraph"/>
              <w:widowControl w:val="0"/>
              <w:contextualSpacing/>
              <w:jc w:val="both"/>
              <w:rPr>
                <w:rFonts w:ascii="Tahoma" w:hAnsi="Tahoma" w:cs="Tahoma"/>
              </w:rPr>
            </w:pPr>
          </w:p>
          <w:p w14:paraId="536EF0DC" w14:textId="77777777" w:rsidR="00462CF8" w:rsidRPr="008B2B92" w:rsidRDefault="00462CF8">
            <w:pPr>
              <w:pStyle w:val="ListParagraph"/>
              <w:widowControl w:val="0"/>
              <w:numPr>
                <w:ilvl w:val="0"/>
                <w:numId w:val="30"/>
              </w:numPr>
              <w:jc w:val="both"/>
              <w:rPr>
                <w:rFonts w:ascii="Tahoma" w:hAnsi="Tahoma" w:cs="Tahoma"/>
              </w:rPr>
            </w:pPr>
            <w:r w:rsidRPr="008B2B92">
              <w:rPr>
                <w:rFonts w:ascii="Tahoma" w:hAnsi="Tahoma" w:cs="Tahoma"/>
              </w:rPr>
              <w:t xml:space="preserve">The provider will be in consultation with the project team and the consultants for recording and </w:t>
            </w:r>
            <w:r w:rsidRPr="008B2B92">
              <w:rPr>
                <w:rFonts w:ascii="Tahoma" w:hAnsi="Tahoma" w:cs="Tahoma"/>
              </w:rPr>
              <w:lastRenderedPageBreak/>
              <w:t>analysing the data and presenting the results. The database containing results should be made available to the project team for potential future use. The provider should also specify how the data will be stored and how to protect the participant</w:t>
            </w:r>
            <w:r>
              <w:rPr>
                <w:rFonts w:ascii="Tahoma" w:hAnsi="Tahoma" w:cs="Tahoma"/>
              </w:rPr>
              <w:t>s</w:t>
            </w:r>
            <w:r w:rsidRPr="008B2B92">
              <w:rPr>
                <w:rFonts w:ascii="Tahoma" w:hAnsi="Tahoma" w:cs="Tahoma"/>
              </w:rPr>
              <w:t>‘</w:t>
            </w:r>
            <w:r>
              <w:rPr>
                <w:rFonts w:ascii="Tahoma" w:hAnsi="Tahoma" w:cs="Tahoma"/>
              </w:rPr>
              <w:t xml:space="preserve"> </w:t>
            </w:r>
            <w:r w:rsidRPr="008B2B92">
              <w:rPr>
                <w:rFonts w:ascii="Tahoma" w:hAnsi="Tahoma" w:cs="Tahoma"/>
              </w:rPr>
              <w:t>confidentiality.</w:t>
            </w:r>
          </w:p>
          <w:p w14:paraId="621B1A56" w14:textId="77777777" w:rsidR="00462CF8" w:rsidRDefault="00462CF8" w:rsidP="0012781A">
            <w:pPr>
              <w:widowControl w:val="0"/>
              <w:jc w:val="both"/>
              <w:rPr>
                <w:rFonts w:ascii="Tahoma" w:hAnsi="Tahoma" w:cs="Tahoma"/>
              </w:rPr>
            </w:pPr>
          </w:p>
          <w:p w14:paraId="44CE3D18" w14:textId="77777777" w:rsidR="00462CF8" w:rsidRPr="008B2B92" w:rsidRDefault="00462CF8">
            <w:pPr>
              <w:pStyle w:val="ListParagraph"/>
              <w:numPr>
                <w:ilvl w:val="0"/>
                <w:numId w:val="30"/>
              </w:numPr>
              <w:jc w:val="both"/>
              <w:rPr>
                <w:rFonts w:ascii="Tahoma" w:hAnsi="Tahoma" w:cs="Tahoma"/>
              </w:rPr>
            </w:pPr>
            <w:r w:rsidRPr="008B2B92">
              <w:rPr>
                <w:rFonts w:ascii="Tahoma" w:hAnsi="Tahoma" w:cs="Tahoma"/>
              </w:rPr>
              <w:t xml:space="preserve">The provider will provide the data and its results through consultation with the Council of Europe. </w:t>
            </w:r>
          </w:p>
          <w:p w14:paraId="370A921E" w14:textId="77777777" w:rsidR="00462CF8" w:rsidRPr="00D7515D" w:rsidRDefault="00462CF8" w:rsidP="0012781A">
            <w:pPr>
              <w:spacing w:line="276" w:lineRule="auto"/>
              <w:ind w:left="453"/>
              <w:jc w:val="both"/>
              <w:rPr>
                <w:rFonts w:ascii="Tahoma" w:hAnsi="Tahoma" w:cs="Tahoma"/>
              </w:rPr>
            </w:pPr>
          </w:p>
          <w:p w14:paraId="2B945EEB" w14:textId="77777777" w:rsidR="00462CF8" w:rsidRPr="008B2B92" w:rsidRDefault="00462CF8" w:rsidP="0012781A">
            <w:pPr>
              <w:widowControl w:val="0"/>
              <w:jc w:val="both"/>
              <w:rPr>
                <w:rFonts w:ascii="Tahoma" w:hAnsi="Tahoma" w:cs="Tahoma"/>
                <w:b/>
                <w:bCs/>
                <w:u w:val="single"/>
              </w:rPr>
            </w:pPr>
            <w:r w:rsidRPr="008B2B92">
              <w:rPr>
                <w:rFonts w:ascii="Tahoma" w:hAnsi="Tahoma" w:cs="Tahoma"/>
                <w:b/>
                <w:bCs/>
                <w:u w:val="single"/>
              </w:rPr>
              <w:t xml:space="preserve">Deliverables for the Survey; </w:t>
            </w:r>
          </w:p>
          <w:p w14:paraId="760A24ED" w14:textId="77777777" w:rsidR="00462CF8" w:rsidRDefault="00462CF8" w:rsidP="0012781A">
            <w:pPr>
              <w:widowControl w:val="0"/>
              <w:jc w:val="both"/>
              <w:rPr>
                <w:rFonts w:ascii="Tahoma" w:hAnsi="Tahoma" w:cs="Tahoma"/>
              </w:rPr>
            </w:pPr>
          </w:p>
          <w:p w14:paraId="7E3783D7" w14:textId="77777777" w:rsidR="00462CF8" w:rsidRPr="00D7515D" w:rsidRDefault="00462CF8">
            <w:pPr>
              <w:numPr>
                <w:ilvl w:val="0"/>
                <w:numId w:val="31"/>
              </w:numPr>
              <w:spacing w:line="276" w:lineRule="auto"/>
              <w:jc w:val="both"/>
              <w:rPr>
                <w:rFonts w:ascii="Tahoma" w:hAnsi="Tahoma" w:cs="Tahoma"/>
              </w:rPr>
            </w:pPr>
            <w:r w:rsidRPr="00D7515D">
              <w:rPr>
                <w:rFonts w:ascii="Tahoma" w:hAnsi="Tahoma" w:cs="Tahoma"/>
              </w:rPr>
              <w:t>A cleaned datafile in Excel format and in SPSS format with clear coding explanations</w:t>
            </w:r>
            <w:r>
              <w:rPr>
                <w:rFonts w:ascii="Tahoma" w:hAnsi="Tahoma" w:cs="Tahoma"/>
              </w:rPr>
              <w:t>;</w:t>
            </w:r>
            <w:r w:rsidRPr="00D7515D">
              <w:rPr>
                <w:rFonts w:ascii="Tahoma" w:hAnsi="Tahoma" w:cs="Tahoma"/>
              </w:rPr>
              <w:t xml:space="preserve"> </w:t>
            </w:r>
          </w:p>
          <w:p w14:paraId="32C9D71A" w14:textId="77777777" w:rsidR="00462CF8" w:rsidRPr="00D7515D" w:rsidRDefault="00462CF8">
            <w:pPr>
              <w:numPr>
                <w:ilvl w:val="0"/>
                <w:numId w:val="31"/>
              </w:numPr>
              <w:spacing w:line="276" w:lineRule="auto"/>
              <w:jc w:val="both"/>
              <w:rPr>
                <w:rFonts w:ascii="Tahoma" w:hAnsi="Tahoma" w:cs="Tahoma"/>
              </w:rPr>
            </w:pPr>
            <w:r w:rsidRPr="00D7515D">
              <w:rPr>
                <w:rFonts w:ascii="Tahoma" w:hAnsi="Tahoma" w:cs="Tahoma"/>
              </w:rPr>
              <w:t>Results per closed-ended question in table format and graphic format, to be defined</w:t>
            </w:r>
            <w:r>
              <w:rPr>
                <w:rFonts w:ascii="Tahoma" w:hAnsi="Tahoma" w:cs="Tahoma"/>
              </w:rPr>
              <w:t>;</w:t>
            </w:r>
          </w:p>
          <w:p w14:paraId="044DCE00" w14:textId="77777777" w:rsidR="00462CF8" w:rsidRPr="00D7515D" w:rsidRDefault="00462CF8">
            <w:pPr>
              <w:numPr>
                <w:ilvl w:val="0"/>
                <w:numId w:val="31"/>
              </w:numPr>
              <w:spacing w:line="276" w:lineRule="auto"/>
              <w:jc w:val="both"/>
              <w:rPr>
                <w:rFonts w:ascii="Tahoma" w:hAnsi="Tahoma" w:cs="Tahoma"/>
              </w:rPr>
            </w:pPr>
            <w:r w:rsidRPr="00D7515D">
              <w:rPr>
                <w:rFonts w:ascii="Tahoma" w:hAnsi="Tahoma" w:cs="Tahoma"/>
              </w:rPr>
              <w:t>Results of coded open-ended question with clear coding explanations</w:t>
            </w:r>
            <w:r>
              <w:rPr>
                <w:rFonts w:ascii="Tahoma" w:hAnsi="Tahoma" w:cs="Tahoma"/>
              </w:rPr>
              <w:t>;</w:t>
            </w:r>
            <w:r w:rsidRPr="00D7515D">
              <w:rPr>
                <w:rFonts w:ascii="Tahoma" w:hAnsi="Tahoma" w:cs="Tahoma"/>
              </w:rPr>
              <w:t xml:space="preserve"> </w:t>
            </w:r>
          </w:p>
          <w:p w14:paraId="37E48967" w14:textId="77777777" w:rsidR="00462CF8" w:rsidRPr="00D7515D" w:rsidRDefault="00462CF8">
            <w:pPr>
              <w:numPr>
                <w:ilvl w:val="0"/>
                <w:numId w:val="31"/>
              </w:numPr>
              <w:spacing w:line="276" w:lineRule="auto"/>
              <w:jc w:val="both"/>
              <w:rPr>
                <w:rFonts w:ascii="Tahoma" w:hAnsi="Tahoma" w:cs="Tahoma"/>
              </w:rPr>
            </w:pPr>
            <w:r w:rsidRPr="00D7515D">
              <w:rPr>
                <w:rFonts w:ascii="Tahoma" w:hAnsi="Tahoma" w:cs="Tahoma"/>
              </w:rPr>
              <w:t>Basic cross tables of some specific crossings of variables, to be defined</w:t>
            </w:r>
            <w:r>
              <w:rPr>
                <w:rFonts w:ascii="Tahoma" w:hAnsi="Tahoma" w:cs="Tahoma"/>
              </w:rPr>
              <w:t>;</w:t>
            </w:r>
            <w:r w:rsidRPr="00D7515D">
              <w:rPr>
                <w:rFonts w:ascii="Tahoma" w:hAnsi="Tahoma" w:cs="Tahoma"/>
              </w:rPr>
              <w:t xml:space="preserve"> </w:t>
            </w:r>
          </w:p>
          <w:p w14:paraId="5577FF1F" w14:textId="77777777" w:rsidR="00462CF8" w:rsidRPr="00D7515D" w:rsidRDefault="00462CF8">
            <w:pPr>
              <w:numPr>
                <w:ilvl w:val="0"/>
                <w:numId w:val="31"/>
              </w:numPr>
              <w:spacing w:line="276" w:lineRule="auto"/>
              <w:jc w:val="both"/>
              <w:rPr>
                <w:rFonts w:ascii="Tahoma" w:hAnsi="Tahoma" w:cs="Tahoma"/>
              </w:rPr>
            </w:pPr>
            <w:r w:rsidRPr="00D7515D">
              <w:rPr>
                <w:rFonts w:ascii="Tahoma" w:hAnsi="Tahoma" w:cs="Tahoma"/>
              </w:rPr>
              <w:t>Response analysis</w:t>
            </w:r>
            <w:r>
              <w:rPr>
                <w:rFonts w:ascii="Tahoma" w:hAnsi="Tahoma" w:cs="Tahoma"/>
              </w:rPr>
              <w:t>;</w:t>
            </w:r>
            <w:r w:rsidRPr="00D7515D">
              <w:rPr>
                <w:rFonts w:ascii="Tahoma" w:hAnsi="Tahoma" w:cs="Tahoma"/>
              </w:rPr>
              <w:t xml:space="preserve"> </w:t>
            </w:r>
          </w:p>
          <w:p w14:paraId="778325C5" w14:textId="77777777" w:rsidR="00462CF8" w:rsidRPr="00D7515D" w:rsidRDefault="00462CF8" w:rsidP="0012781A">
            <w:pPr>
              <w:spacing w:line="276" w:lineRule="auto"/>
              <w:ind w:left="720"/>
              <w:jc w:val="both"/>
              <w:rPr>
                <w:rFonts w:ascii="Tahoma" w:hAnsi="Tahoma" w:cs="Tahoma"/>
              </w:rPr>
            </w:pPr>
            <w:r w:rsidRPr="00D7515D">
              <w:rPr>
                <w:rFonts w:ascii="Tahoma" w:hAnsi="Tahoma" w:cs="Tahoma"/>
              </w:rPr>
              <w:t>First preliminary report on online surveys</w:t>
            </w:r>
            <w:r>
              <w:rPr>
                <w:rFonts w:ascii="Tahoma" w:hAnsi="Tahoma" w:cs="Tahoma"/>
              </w:rPr>
              <w:t xml:space="preserve"> in Turkish and English.</w:t>
            </w:r>
            <w:r w:rsidRPr="00D7515D">
              <w:rPr>
                <w:rFonts w:ascii="Tahoma" w:hAnsi="Tahoma" w:cs="Tahoma"/>
              </w:rPr>
              <w:t xml:space="preserve"> </w:t>
            </w:r>
          </w:p>
          <w:p w14:paraId="7D4CEAC7" w14:textId="77777777" w:rsidR="00462CF8" w:rsidRPr="008B2B92" w:rsidRDefault="00462CF8" w:rsidP="0012781A">
            <w:pPr>
              <w:pStyle w:val="ListParagraph"/>
              <w:widowControl w:val="0"/>
              <w:jc w:val="both"/>
              <w:rPr>
                <w:rFonts w:ascii="Tahoma" w:hAnsi="Tahoma" w:cs="Tahoma"/>
              </w:rPr>
            </w:pPr>
            <w:r w:rsidRPr="008B2B92">
              <w:rPr>
                <w:rFonts w:ascii="Tahoma" w:hAnsi="Tahoma" w:cs="Tahoma"/>
              </w:rPr>
              <w:t>Final report on online surveys in Turkish and English.</w:t>
            </w:r>
          </w:p>
          <w:p w14:paraId="0AD7CA02" w14:textId="77777777" w:rsidR="00462CF8" w:rsidRDefault="00462CF8" w:rsidP="0012781A">
            <w:pPr>
              <w:widowControl w:val="0"/>
              <w:jc w:val="both"/>
              <w:rPr>
                <w:rFonts w:ascii="Tahoma" w:hAnsi="Tahoma" w:cs="Tahoma"/>
              </w:rPr>
            </w:pPr>
          </w:p>
          <w:p w14:paraId="136D6FFE" w14:textId="77777777" w:rsidR="00462CF8" w:rsidRPr="008B2B92" w:rsidRDefault="00462CF8" w:rsidP="0012781A">
            <w:pPr>
              <w:widowControl w:val="0"/>
              <w:jc w:val="both"/>
              <w:rPr>
                <w:rFonts w:ascii="Tahoma" w:hAnsi="Tahoma" w:cs="Tahoma"/>
                <w:u w:val="single"/>
              </w:rPr>
            </w:pPr>
            <w:r w:rsidRPr="008B2B92">
              <w:rPr>
                <w:rFonts w:ascii="Tahoma" w:hAnsi="Tahoma" w:cs="Tahoma"/>
                <w:b/>
                <w:bCs/>
                <w:u w:val="single"/>
              </w:rPr>
              <w:t xml:space="preserve">Estimated Period for online surveys; </w:t>
            </w:r>
          </w:p>
          <w:p w14:paraId="686E1EC4" w14:textId="77777777" w:rsidR="00462CF8" w:rsidRDefault="00462CF8" w:rsidP="0012781A">
            <w:pPr>
              <w:widowControl w:val="0"/>
              <w:jc w:val="both"/>
              <w:rPr>
                <w:rFonts w:ascii="Tahoma" w:hAnsi="Tahoma" w:cs="Tahoma"/>
              </w:rPr>
            </w:pPr>
          </w:p>
          <w:p w14:paraId="639F2795" w14:textId="77777777" w:rsidR="00462CF8" w:rsidRPr="005353FD" w:rsidRDefault="00462CF8" w:rsidP="0012781A">
            <w:pPr>
              <w:spacing w:line="276" w:lineRule="auto"/>
              <w:ind w:left="265"/>
              <w:jc w:val="both"/>
              <w:rPr>
                <w:b/>
                <w:bCs/>
              </w:rPr>
            </w:pPr>
            <w:r>
              <w:rPr>
                <w:rFonts w:ascii="Tahoma" w:hAnsi="Tahoma" w:cs="Tahoma"/>
                <w:b/>
                <w:bCs/>
                <w:color w:val="FF0000"/>
              </w:rPr>
              <w:t>31</w:t>
            </w:r>
            <w:r w:rsidRPr="005353FD">
              <w:rPr>
                <w:rFonts w:ascii="Tahoma" w:hAnsi="Tahoma" w:cs="Tahoma"/>
                <w:b/>
                <w:bCs/>
                <w:color w:val="FF0000"/>
              </w:rPr>
              <w:t xml:space="preserve"> May – </w:t>
            </w:r>
            <w:r>
              <w:rPr>
                <w:rFonts w:ascii="Tahoma" w:hAnsi="Tahoma" w:cs="Tahoma"/>
                <w:b/>
                <w:bCs/>
                <w:color w:val="FF0000"/>
              </w:rPr>
              <w:t>1 September</w:t>
            </w:r>
            <w:r w:rsidRPr="005353FD">
              <w:rPr>
                <w:rFonts w:ascii="Tahoma" w:hAnsi="Tahoma" w:cs="Tahoma"/>
                <w:b/>
                <w:bCs/>
                <w:color w:val="FF0000"/>
              </w:rPr>
              <w:t xml:space="preserve"> 2023</w:t>
            </w:r>
            <w:r w:rsidRPr="005353FD">
              <w:rPr>
                <w:b/>
                <w:bCs/>
              </w:rPr>
              <w:tab/>
            </w:r>
          </w:p>
          <w:p w14:paraId="6BBE6BEC" w14:textId="77777777" w:rsidR="00462CF8" w:rsidRDefault="00462CF8" w:rsidP="0012781A">
            <w:pPr>
              <w:spacing w:line="276" w:lineRule="auto"/>
              <w:jc w:val="both"/>
              <w:rPr>
                <w:rFonts w:ascii="Tahoma" w:hAnsi="Tahoma" w:cs="Tahoma"/>
              </w:rPr>
            </w:pPr>
          </w:p>
          <w:p w14:paraId="033F330D" w14:textId="77777777" w:rsidR="00462CF8" w:rsidRDefault="00462CF8" w:rsidP="0012781A">
            <w:pPr>
              <w:spacing w:line="276" w:lineRule="auto"/>
              <w:jc w:val="both"/>
              <w:rPr>
                <w:rFonts w:ascii="Tahoma" w:hAnsi="Tahoma" w:cs="Tahoma"/>
              </w:rPr>
            </w:pPr>
            <w:r w:rsidRPr="0050446C">
              <w:rPr>
                <w:rFonts w:ascii="Tahoma" w:hAnsi="Tahoma" w:cs="Tahoma"/>
              </w:rPr>
              <w:t>The online survey will start first and focus group meetings will follow after analysing early results of the online surveys.</w:t>
            </w:r>
          </w:p>
          <w:p w14:paraId="2A962602" w14:textId="77777777" w:rsidR="00462CF8" w:rsidRDefault="00462CF8" w:rsidP="0012781A">
            <w:pPr>
              <w:widowControl w:val="0"/>
              <w:jc w:val="both"/>
              <w:rPr>
                <w:rFonts w:ascii="Tahoma" w:hAnsi="Tahoma" w:cs="Tahoma"/>
              </w:rPr>
            </w:pPr>
          </w:p>
          <w:p w14:paraId="5D3CDB9E" w14:textId="77777777" w:rsidR="00462CF8" w:rsidRDefault="00462CF8" w:rsidP="0012781A">
            <w:pPr>
              <w:widowControl w:val="0"/>
              <w:jc w:val="both"/>
              <w:rPr>
                <w:rFonts w:ascii="Tahoma" w:hAnsi="Tahoma" w:cs="Tahoma"/>
              </w:rPr>
            </w:pPr>
          </w:p>
          <w:p w14:paraId="02C2126C" w14:textId="77777777" w:rsidR="00462CF8" w:rsidRDefault="00462CF8" w:rsidP="0012781A">
            <w:pPr>
              <w:widowControl w:val="0"/>
              <w:jc w:val="both"/>
              <w:rPr>
                <w:rFonts w:ascii="Tahoma" w:hAnsi="Tahoma" w:cs="Tahoma"/>
                <w:b/>
                <w:bCs/>
                <w:u w:val="single"/>
              </w:rPr>
            </w:pPr>
            <w:r>
              <w:rPr>
                <w:rFonts w:ascii="Tahoma" w:hAnsi="Tahoma" w:cs="Tahoma"/>
                <w:b/>
                <w:bCs/>
                <w:u w:val="single"/>
              </w:rPr>
              <w:t xml:space="preserve">2. </w:t>
            </w:r>
            <w:r w:rsidRPr="00524D5E">
              <w:rPr>
                <w:rFonts w:ascii="Tahoma" w:hAnsi="Tahoma" w:cs="Tahoma"/>
                <w:b/>
                <w:bCs/>
                <w:u w:val="single"/>
              </w:rPr>
              <w:t>Focus Group Discussions</w:t>
            </w:r>
            <w:r>
              <w:rPr>
                <w:rFonts w:ascii="Tahoma" w:hAnsi="Tahoma" w:cs="Tahoma"/>
                <w:b/>
                <w:bCs/>
                <w:u w:val="single"/>
              </w:rPr>
              <w:t xml:space="preserve"> (FGDs) Study; </w:t>
            </w:r>
          </w:p>
          <w:p w14:paraId="6A495A6D" w14:textId="77777777" w:rsidR="00462CF8" w:rsidRPr="00524D5E" w:rsidRDefault="00462CF8" w:rsidP="0012781A">
            <w:pPr>
              <w:widowControl w:val="0"/>
              <w:jc w:val="both"/>
              <w:rPr>
                <w:rFonts w:ascii="Tahoma" w:hAnsi="Tahoma" w:cs="Tahoma"/>
                <w:b/>
                <w:bCs/>
                <w:u w:val="single"/>
              </w:rPr>
            </w:pPr>
          </w:p>
          <w:p w14:paraId="1B1EF359" w14:textId="77777777" w:rsidR="00462CF8" w:rsidRDefault="00462CF8">
            <w:pPr>
              <w:pStyle w:val="ListParagraph"/>
              <w:widowControl w:val="0"/>
              <w:numPr>
                <w:ilvl w:val="0"/>
                <w:numId w:val="32"/>
              </w:numPr>
              <w:jc w:val="both"/>
              <w:rPr>
                <w:rFonts w:ascii="Tahoma" w:hAnsi="Tahoma" w:cs="Tahoma"/>
              </w:rPr>
            </w:pPr>
            <w:r w:rsidRPr="008B2B92">
              <w:rPr>
                <w:rFonts w:ascii="Tahoma" w:hAnsi="Tahoma" w:cs="Tahoma"/>
                <w:b/>
                <w:bCs/>
                <w:u w:val="single"/>
              </w:rPr>
              <w:t>The provider will organise the focus group meetings and provide necessary support for any technical and organisational requirements</w:t>
            </w:r>
            <w:r w:rsidRPr="008B2B92">
              <w:rPr>
                <w:rFonts w:ascii="Tahoma" w:hAnsi="Tahoma" w:cs="Tahoma"/>
              </w:rPr>
              <w:t>. The lead consultant on substance will be the moderator who conducts, manages, and analyse the focus group sessions. The provider will briefly draft each focus group meeting report with programme information, FGD participants, record of the responses of participants. The provider will obtain necessary permissions and properly record focus group discussions for transcriptions. These written transcriptions will be part of the focus group meeting report to be submitted to the lead consultant to analyse. The provider will assign multiple coders to the transcripts of the focus group meetings to improve data quality.</w:t>
            </w:r>
          </w:p>
          <w:p w14:paraId="0D6A6F75" w14:textId="77777777" w:rsidR="00462CF8" w:rsidRPr="00357357" w:rsidRDefault="00462CF8" w:rsidP="0012781A">
            <w:pPr>
              <w:pStyle w:val="ListParagraph"/>
              <w:widowControl w:val="0"/>
              <w:jc w:val="both"/>
              <w:rPr>
                <w:rFonts w:ascii="Tahoma" w:hAnsi="Tahoma" w:cs="Tahoma"/>
              </w:rPr>
            </w:pPr>
          </w:p>
          <w:p w14:paraId="474291FA" w14:textId="77777777" w:rsidR="00462CF8" w:rsidRPr="008B2B92" w:rsidRDefault="00462CF8">
            <w:pPr>
              <w:pStyle w:val="ListParagraph"/>
              <w:numPr>
                <w:ilvl w:val="0"/>
                <w:numId w:val="32"/>
              </w:numPr>
              <w:spacing w:before="100" w:beforeAutospacing="1"/>
              <w:contextualSpacing/>
              <w:jc w:val="both"/>
              <w:rPr>
                <w:rFonts w:ascii="Tahoma" w:hAnsi="Tahoma" w:cs="Tahoma"/>
              </w:rPr>
            </w:pPr>
            <w:r w:rsidRPr="008B2B92">
              <w:rPr>
                <w:rFonts w:ascii="Tahoma" w:hAnsi="Tahoma" w:cs="Tahoma"/>
              </w:rPr>
              <w:t xml:space="preserve">Focus Group Discussions questions were drafted by the CoE consultants and will be finalized. </w:t>
            </w:r>
          </w:p>
          <w:p w14:paraId="5FE6FFAE" w14:textId="77777777" w:rsidR="00462CF8" w:rsidRPr="00405988" w:rsidRDefault="00462CF8" w:rsidP="0012781A">
            <w:pPr>
              <w:widowControl w:val="0"/>
              <w:jc w:val="both"/>
              <w:rPr>
                <w:rFonts w:ascii="Tahoma" w:hAnsi="Tahoma" w:cs="Tahoma"/>
              </w:rPr>
            </w:pPr>
          </w:p>
          <w:p w14:paraId="3BEBAA93" w14:textId="77777777" w:rsidR="00462CF8" w:rsidRPr="0050446C" w:rsidRDefault="00462CF8" w:rsidP="0012781A">
            <w:pPr>
              <w:widowControl w:val="0"/>
              <w:jc w:val="both"/>
              <w:rPr>
                <w:rFonts w:ascii="Tahoma" w:hAnsi="Tahoma" w:cs="Tahoma"/>
              </w:rPr>
            </w:pPr>
            <w:r w:rsidRPr="0050446C">
              <w:rPr>
                <w:rFonts w:ascii="Tahoma" w:hAnsi="Tahoma" w:cs="Tahoma"/>
                <w:b/>
                <w:bCs/>
                <w:u w:val="single"/>
              </w:rPr>
              <w:t>There will be face to face and one online focus group meetings to be organised (7 F</w:t>
            </w:r>
            <w:r>
              <w:rPr>
                <w:rFonts w:ascii="Tahoma" w:hAnsi="Tahoma" w:cs="Tahoma"/>
                <w:b/>
                <w:bCs/>
                <w:u w:val="single"/>
              </w:rPr>
              <w:t>ocus Group Discussion</w:t>
            </w:r>
            <w:r w:rsidRPr="0050446C">
              <w:rPr>
                <w:rFonts w:ascii="Tahoma" w:hAnsi="Tahoma" w:cs="Tahoma"/>
                <w:b/>
                <w:bCs/>
                <w:u w:val="single"/>
              </w:rPr>
              <w:t>s</w:t>
            </w:r>
            <w:r>
              <w:rPr>
                <w:rFonts w:ascii="Tahoma" w:hAnsi="Tahoma" w:cs="Tahoma"/>
                <w:b/>
                <w:bCs/>
                <w:u w:val="single"/>
              </w:rPr>
              <w:t xml:space="preserve"> (FGDs</w:t>
            </w:r>
            <w:r w:rsidRPr="0050446C">
              <w:rPr>
                <w:rFonts w:ascii="Tahoma" w:hAnsi="Tahoma" w:cs="Tahoma"/>
                <w:b/>
                <w:bCs/>
                <w:u w:val="single"/>
              </w:rPr>
              <w:t>)</w:t>
            </w:r>
            <w:r>
              <w:rPr>
                <w:rFonts w:ascii="Tahoma" w:hAnsi="Tahoma" w:cs="Tahoma"/>
                <w:b/>
                <w:bCs/>
                <w:u w:val="single"/>
              </w:rPr>
              <w:t>)</w:t>
            </w:r>
            <w:r w:rsidRPr="0050446C">
              <w:rPr>
                <w:rFonts w:ascii="Tahoma" w:hAnsi="Tahoma" w:cs="Tahoma"/>
                <w:b/>
                <w:bCs/>
                <w:u w:val="single"/>
              </w:rPr>
              <w:t xml:space="preserve">; </w:t>
            </w:r>
          </w:p>
          <w:p w14:paraId="5AFBA69D" w14:textId="77777777" w:rsidR="00462CF8" w:rsidRPr="00D7515D" w:rsidRDefault="00462CF8" w:rsidP="0012781A">
            <w:pPr>
              <w:pStyle w:val="ListParagraph"/>
              <w:rPr>
                <w:rFonts w:ascii="Tahoma" w:hAnsi="Tahoma" w:cs="Tahoma"/>
              </w:rPr>
            </w:pPr>
          </w:p>
          <w:p w14:paraId="0333AD61" w14:textId="77777777" w:rsidR="00462CF8" w:rsidRPr="00D7515D" w:rsidRDefault="00462CF8">
            <w:pPr>
              <w:pStyle w:val="ListParagraph"/>
              <w:numPr>
                <w:ilvl w:val="0"/>
                <w:numId w:val="28"/>
              </w:numPr>
              <w:spacing w:before="100" w:beforeAutospacing="1"/>
              <w:contextualSpacing/>
              <w:jc w:val="both"/>
              <w:rPr>
                <w:rFonts w:ascii="Tahoma" w:hAnsi="Tahoma" w:cs="Tahoma"/>
              </w:rPr>
            </w:pPr>
            <w:r w:rsidRPr="0050446C">
              <w:rPr>
                <w:rFonts w:ascii="Tahoma" w:hAnsi="Tahoma" w:cs="Tahoma"/>
              </w:rPr>
              <w:t xml:space="preserve">Group 1: two focus group meetings </w:t>
            </w:r>
            <w:r w:rsidRPr="00D7515D">
              <w:rPr>
                <w:rFonts w:ascii="Tahoma" w:hAnsi="Tahoma" w:cs="Tahoma"/>
              </w:rPr>
              <w:t xml:space="preserve">with selected trainers and </w:t>
            </w:r>
            <w:r w:rsidRPr="0050446C">
              <w:rPr>
                <w:rFonts w:ascii="Tahoma" w:hAnsi="Tahoma" w:cs="Tahoma"/>
              </w:rPr>
              <w:t>J</w:t>
            </w:r>
            <w:r>
              <w:rPr>
                <w:rFonts w:ascii="Tahoma" w:hAnsi="Tahoma" w:cs="Tahoma"/>
              </w:rPr>
              <w:t>ustice Academy of Türkiye</w:t>
            </w:r>
            <w:r w:rsidRPr="0050446C">
              <w:rPr>
                <w:rFonts w:ascii="Tahoma" w:hAnsi="Tahoma" w:cs="Tahoma"/>
              </w:rPr>
              <w:t xml:space="preserve"> who delivered pre-service and in-service training modules.</w:t>
            </w:r>
            <w:r>
              <w:rPr>
                <w:rFonts w:ascii="Tahoma" w:hAnsi="Tahoma" w:cs="Tahoma"/>
              </w:rPr>
              <w:t xml:space="preserve">-approximately 15 participants </w:t>
            </w:r>
          </w:p>
          <w:p w14:paraId="708F1BA1" w14:textId="77777777" w:rsidR="00462CF8" w:rsidRPr="00D7515D" w:rsidRDefault="00462CF8">
            <w:pPr>
              <w:pStyle w:val="ListParagraph"/>
              <w:numPr>
                <w:ilvl w:val="0"/>
                <w:numId w:val="28"/>
              </w:numPr>
              <w:spacing w:before="100" w:beforeAutospacing="1"/>
              <w:contextualSpacing/>
              <w:jc w:val="both"/>
              <w:rPr>
                <w:rFonts w:ascii="Tahoma" w:hAnsi="Tahoma" w:cs="Tahoma"/>
              </w:rPr>
            </w:pPr>
            <w:r w:rsidRPr="0050446C">
              <w:rPr>
                <w:rFonts w:ascii="Tahoma" w:hAnsi="Tahoma" w:cs="Tahoma"/>
              </w:rPr>
              <w:t>Group 2: one focus group meeting with trainees on pre-service training (judges)</w:t>
            </w:r>
            <w:r>
              <w:rPr>
                <w:rFonts w:ascii="Tahoma" w:hAnsi="Tahoma" w:cs="Tahoma"/>
              </w:rPr>
              <w:t>-approximately 15 participants</w:t>
            </w:r>
          </w:p>
          <w:p w14:paraId="3D23F4F0" w14:textId="77777777" w:rsidR="00462CF8" w:rsidRPr="00D7515D" w:rsidRDefault="00462CF8">
            <w:pPr>
              <w:pStyle w:val="ListParagraph"/>
              <w:numPr>
                <w:ilvl w:val="0"/>
                <w:numId w:val="28"/>
              </w:numPr>
              <w:spacing w:before="100" w:beforeAutospacing="1"/>
              <w:contextualSpacing/>
              <w:jc w:val="both"/>
              <w:rPr>
                <w:rFonts w:ascii="Tahoma" w:hAnsi="Tahoma" w:cs="Tahoma"/>
              </w:rPr>
            </w:pPr>
            <w:r w:rsidRPr="0050446C">
              <w:rPr>
                <w:rFonts w:ascii="Tahoma" w:hAnsi="Tahoma" w:cs="Tahoma"/>
              </w:rPr>
              <w:t>Group 3: one focus group meeting with trainees on pre-service training (prosecutors)</w:t>
            </w:r>
            <w:r>
              <w:rPr>
                <w:rFonts w:ascii="Tahoma" w:hAnsi="Tahoma" w:cs="Tahoma"/>
              </w:rPr>
              <w:t>- approximately 15 participants</w:t>
            </w:r>
          </w:p>
          <w:p w14:paraId="277878ED" w14:textId="77777777" w:rsidR="00462CF8" w:rsidRPr="00D7515D" w:rsidRDefault="00462CF8">
            <w:pPr>
              <w:pStyle w:val="ListParagraph"/>
              <w:numPr>
                <w:ilvl w:val="0"/>
                <w:numId w:val="28"/>
              </w:numPr>
              <w:contextualSpacing/>
              <w:jc w:val="both"/>
              <w:rPr>
                <w:rFonts w:ascii="Tahoma" w:hAnsi="Tahoma" w:cs="Tahoma"/>
              </w:rPr>
            </w:pPr>
            <w:r w:rsidRPr="0050446C">
              <w:rPr>
                <w:rFonts w:ascii="Tahoma" w:hAnsi="Tahoma" w:cs="Tahoma"/>
              </w:rPr>
              <w:t>Group 4: two focus group meetings with trainees on in-service training.</w:t>
            </w:r>
            <w:r>
              <w:rPr>
                <w:rFonts w:ascii="Tahoma" w:hAnsi="Tahoma" w:cs="Tahoma"/>
              </w:rPr>
              <w:t>- approximately 15 participants</w:t>
            </w:r>
          </w:p>
          <w:p w14:paraId="53C3D87D" w14:textId="77777777" w:rsidR="00462CF8" w:rsidRDefault="00462CF8">
            <w:pPr>
              <w:pStyle w:val="ListParagraph"/>
              <w:numPr>
                <w:ilvl w:val="0"/>
                <w:numId w:val="28"/>
              </w:numPr>
              <w:contextualSpacing/>
              <w:jc w:val="both"/>
              <w:rPr>
                <w:rFonts w:ascii="Tahoma" w:hAnsi="Tahoma" w:cs="Tahoma"/>
              </w:rPr>
            </w:pPr>
            <w:r w:rsidRPr="00D7515D">
              <w:rPr>
                <w:rFonts w:ascii="Tahoma" w:hAnsi="Tahoma" w:cs="Tahoma"/>
              </w:rPr>
              <w:t>Group 5</w:t>
            </w:r>
            <w:r>
              <w:rPr>
                <w:rFonts w:ascii="Tahoma" w:hAnsi="Tahoma" w:cs="Tahoma"/>
              </w:rPr>
              <w:t xml:space="preserve">: </w:t>
            </w:r>
            <w:r w:rsidRPr="0050446C">
              <w:rPr>
                <w:rFonts w:ascii="Tahoma" w:hAnsi="Tahoma" w:cs="Tahoma"/>
              </w:rPr>
              <w:t>one focus</w:t>
            </w:r>
            <w:r w:rsidRPr="00D7515D">
              <w:rPr>
                <w:rFonts w:ascii="Tahoma" w:hAnsi="Tahoma" w:cs="Tahoma"/>
                <w:u w:val="single"/>
              </w:rPr>
              <w:t xml:space="preserve"> group meeting with trainees on online HELP </w:t>
            </w:r>
            <w:r w:rsidRPr="0050446C">
              <w:rPr>
                <w:rFonts w:ascii="Tahoma" w:hAnsi="Tahoma" w:cs="Tahoma"/>
              </w:rPr>
              <w:t>courses.</w:t>
            </w:r>
            <w:r>
              <w:rPr>
                <w:rFonts w:ascii="Tahoma" w:hAnsi="Tahoma" w:cs="Tahoma"/>
              </w:rPr>
              <w:t>- approximately 15 participants</w:t>
            </w:r>
            <w:r w:rsidRPr="00D7515D">
              <w:rPr>
                <w:rFonts w:ascii="Tahoma" w:hAnsi="Tahoma" w:cs="Tahoma"/>
              </w:rPr>
              <w:t xml:space="preserve">  </w:t>
            </w:r>
          </w:p>
          <w:p w14:paraId="1B551CB0" w14:textId="77777777" w:rsidR="00462CF8" w:rsidRPr="00670D77" w:rsidRDefault="00462CF8">
            <w:pPr>
              <w:pStyle w:val="ListParagraph"/>
              <w:numPr>
                <w:ilvl w:val="0"/>
                <w:numId w:val="28"/>
              </w:numPr>
              <w:contextualSpacing/>
              <w:jc w:val="both"/>
              <w:rPr>
                <w:rFonts w:ascii="Tahoma" w:hAnsi="Tahoma" w:cs="Tahoma"/>
              </w:rPr>
            </w:pPr>
            <w:r w:rsidRPr="0050446C">
              <w:rPr>
                <w:rFonts w:ascii="Tahoma" w:hAnsi="Tahoma" w:cs="Tahoma"/>
              </w:rPr>
              <w:t>If required, in-depth interviews with superiors from JAT or seniors from the courts</w:t>
            </w:r>
            <w:r>
              <w:rPr>
                <w:rFonts w:ascii="Tahoma" w:hAnsi="Tahoma" w:cs="Tahoma"/>
              </w:rPr>
              <w:t>.</w:t>
            </w:r>
          </w:p>
          <w:p w14:paraId="2B3A4748" w14:textId="77777777" w:rsidR="00462CF8" w:rsidRPr="00524D5E" w:rsidRDefault="00462CF8" w:rsidP="0012781A">
            <w:pPr>
              <w:pStyle w:val="ListParagraph"/>
              <w:ind w:left="1450"/>
              <w:jc w:val="both"/>
              <w:rPr>
                <w:rFonts w:ascii="Tahoma" w:hAnsi="Tahoma" w:cs="Tahoma"/>
              </w:rPr>
            </w:pPr>
            <w:r w:rsidRPr="00D7515D">
              <w:rPr>
                <w:rFonts w:ascii="Tahoma" w:hAnsi="Tahoma" w:cs="Tahoma"/>
              </w:rPr>
              <w:t xml:space="preserve">               </w:t>
            </w:r>
          </w:p>
          <w:p w14:paraId="75CD6999" w14:textId="77777777" w:rsidR="00462CF8" w:rsidRPr="008B2B92" w:rsidRDefault="00462CF8">
            <w:pPr>
              <w:pStyle w:val="ListParagraph"/>
              <w:widowControl w:val="0"/>
              <w:numPr>
                <w:ilvl w:val="0"/>
                <w:numId w:val="33"/>
              </w:numPr>
              <w:tabs>
                <w:tab w:val="left" w:pos="406"/>
                <w:tab w:val="left" w:pos="946"/>
              </w:tabs>
              <w:jc w:val="both"/>
              <w:rPr>
                <w:rFonts w:ascii="Tahoma" w:hAnsi="Tahoma" w:cs="Tahoma"/>
              </w:rPr>
            </w:pPr>
            <w:r w:rsidRPr="008B2B92">
              <w:rPr>
                <w:rFonts w:ascii="Tahoma" w:hAnsi="Tahoma" w:cs="Tahoma"/>
              </w:rPr>
              <w:t xml:space="preserve">Contact information and composition of the participants for the focus groups will be provided by the team of consultants and the Project Office. </w:t>
            </w:r>
          </w:p>
          <w:p w14:paraId="6459079E" w14:textId="77777777" w:rsidR="00462CF8" w:rsidRDefault="00462CF8" w:rsidP="0012781A">
            <w:pPr>
              <w:widowControl w:val="0"/>
              <w:tabs>
                <w:tab w:val="left" w:pos="406"/>
                <w:tab w:val="left" w:pos="946"/>
              </w:tabs>
              <w:jc w:val="both"/>
              <w:rPr>
                <w:rFonts w:ascii="Tahoma" w:hAnsi="Tahoma" w:cs="Tahoma"/>
              </w:rPr>
            </w:pPr>
          </w:p>
          <w:p w14:paraId="46862E1C" w14:textId="77777777" w:rsidR="00462CF8" w:rsidRDefault="00462CF8" w:rsidP="0012781A">
            <w:pPr>
              <w:spacing w:line="276" w:lineRule="auto"/>
              <w:jc w:val="both"/>
              <w:rPr>
                <w:rFonts w:ascii="Tahoma" w:hAnsi="Tahoma" w:cs="Tahoma"/>
              </w:rPr>
            </w:pPr>
          </w:p>
          <w:p w14:paraId="24A3CFBA" w14:textId="77777777" w:rsidR="00462CF8" w:rsidRPr="008B2B92" w:rsidRDefault="00462CF8" w:rsidP="0012781A">
            <w:pPr>
              <w:spacing w:line="276" w:lineRule="auto"/>
              <w:rPr>
                <w:rFonts w:ascii="Tahoma" w:hAnsi="Tahoma" w:cs="Tahoma"/>
                <w:b/>
                <w:bCs/>
                <w:u w:val="single"/>
              </w:rPr>
            </w:pPr>
            <w:r w:rsidRPr="008B2B92">
              <w:rPr>
                <w:rFonts w:ascii="Tahoma" w:hAnsi="Tahoma" w:cs="Tahoma"/>
                <w:b/>
                <w:bCs/>
                <w:u w:val="single"/>
              </w:rPr>
              <w:t xml:space="preserve">Responsibility of the Provider for the </w:t>
            </w:r>
            <w:r>
              <w:rPr>
                <w:rFonts w:ascii="Tahoma" w:hAnsi="Tahoma" w:cs="Tahoma"/>
                <w:b/>
                <w:bCs/>
                <w:u w:val="single"/>
              </w:rPr>
              <w:t>Focus Group Discussions</w:t>
            </w:r>
            <w:r w:rsidRPr="008B2B92">
              <w:rPr>
                <w:rFonts w:ascii="Tahoma" w:hAnsi="Tahoma" w:cs="Tahoma"/>
                <w:b/>
                <w:bCs/>
                <w:u w:val="single"/>
              </w:rPr>
              <w:t xml:space="preserve">; </w:t>
            </w:r>
          </w:p>
          <w:p w14:paraId="3B64C718" w14:textId="77777777" w:rsidR="00462CF8" w:rsidRPr="008B2B92" w:rsidRDefault="00462CF8" w:rsidP="0012781A">
            <w:pPr>
              <w:spacing w:line="276" w:lineRule="auto"/>
              <w:jc w:val="both"/>
              <w:rPr>
                <w:rFonts w:ascii="Tahoma" w:hAnsi="Tahoma" w:cs="Tahoma"/>
              </w:rPr>
            </w:pPr>
          </w:p>
          <w:p w14:paraId="2436CA39" w14:textId="77777777" w:rsidR="00462CF8" w:rsidRPr="005353FD" w:rsidRDefault="00462CF8">
            <w:pPr>
              <w:pStyle w:val="ListParagraph"/>
              <w:widowControl w:val="0"/>
              <w:numPr>
                <w:ilvl w:val="0"/>
                <w:numId w:val="33"/>
              </w:numPr>
              <w:tabs>
                <w:tab w:val="left" w:pos="406"/>
                <w:tab w:val="left" w:pos="946"/>
              </w:tabs>
              <w:jc w:val="both"/>
              <w:rPr>
                <w:rFonts w:ascii="Tahoma" w:hAnsi="Tahoma" w:cs="Tahoma"/>
              </w:rPr>
            </w:pPr>
            <w:r w:rsidRPr="008B2B92">
              <w:rPr>
                <w:rFonts w:ascii="Tahoma" w:hAnsi="Tahoma" w:cs="Tahoma"/>
              </w:rPr>
              <w:t xml:space="preserve">The provider will organise focus group meetings and producing the meeting reports. </w:t>
            </w:r>
            <w:r>
              <w:rPr>
                <w:rFonts w:ascii="Tahoma" w:hAnsi="Tahoma" w:cs="Tahoma"/>
              </w:rPr>
              <w:t xml:space="preserve"> The </w:t>
            </w:r>
            <w:r w:rsidRPr="00357357">
              <w:rPr>
                <w:rFonts w:ascii="Tahoma" w:hAnsi="Tahoma" w:cs="Tahoma"/>
              </w:rPr>
              <w:t>focus group meetings in Ankara in face-to-face format– participants from other cities can join FGD in a hybrid format.</w:t>
            </w:r>
          </w:p>
          <w:p w14:paraId="64F8B2C3" w14:textId="77777777" w:rsidR="00462CF8" w:rsidRDefault="00462CF8" w:rsidP="0012781A">
            <w:pPr>
              <w:widowControl w:val="0"/>
              <w:tabs>
                <w:tab w:val="left" w:pos="406"/>
                <w:tab w:val="left" w:pos="946"/>
              </w:tabs>
              <w:jc w:val="both"/>
              <w:rPr>
                <w:rFonts w:ascii="Tahoma" w:hAnsi="Tahoma" w:cs="Tahoma"/>
              </w:rPr>
            </w:pPr>
          </w:p>
          <w:p w14:paraId="33EEDCAD" w14:textId="77777777" w:rsidR="00462CF8" w:rsidRDefault="00462CF8">
            <w:pPr>
              <w:pStyle w:val="ListParagraph"/>
              <w:widowControl w:val="0"/>
              <w:numPr>
                <w:ilvl w:val="0"/>
                <w:numId w:val="33"/>
              </w:numPr>
              <w:tabs>
                <w:tab w:val="left" w:pos="406"/>
                <w:tab w:val="left" w:pos="946"/>
              </w:tabs>
              <w:jc w:val="both"/>
              <w:rPr>
                <w:rFonts w:ascii="Tahoma" w:hAnsi="Tahoma" w:cs="Tahoma"/>
              </w:rPr>
            </w:pPr>
            <w:r w:rsidRPr="008B2B92">
              <w:rPr>
                <w:rFonts w:ascii="Tahoma" w:hAnsi="Tahoma" w:cs="Tahoma"/>
              </w:rPr>
              <w:t>The provider will be responsible to take all necessary health measures during the implementation of focus group meetings including having a list of substitutes for the participants who could not</w:t>
            </w:r>
            <w:r>
              <w:rPr>
                <w:rFonts w:ascii="Tahoma" w:hAnsi="Tahoma" w:cs="Tahoma"/>
              </w:rPr>
              <w:t xml:space="preserve"> be</w:t>
            </w:r>
            <w:r w:rsidRPr="008B2B92">
              <w:rPr>
                <w:rFonts w:ascii="Tahoma" w:hAnsi="Tahoma" w:cs="Tahoma"/>
              </w:rPr>
              <w:t xml:space="preserve"> present at the time of the FGD.</w:t>
            </w:r>
          </w:p>
          <w:p w14:paraId="6D9499A8" w14:textId="77777777" w:rsidR="00462CF8" w:rsidRPr="005353FD" w:rsidRDefault="00462CF8" w:rsidP="0012781A">
            <w:pPr>
              <w:pStyle w:val="ListParagraph"/>
              <w:rPr>
                <w:rFonts w:ascii="Tahoma" w:hAnsi="Tahoma" w:cs="Tahoma"/>
              </w:rPr>
            </w:pPr>
          </w:p>
          <w:p w14:paraId="78D7C6CD" w14:textId="77777777" w:rsidR="00462CF8" w:rsidRPr="008B2B92" w:rsidRDefault="00462CF8" w:rsidP="0012781A">
            <w:pPr>
              <w:pStyle w:val="ListParagraph"/>
              <w:rPr>
                <w:rFonts w:ascii="Tahoma" w:hAnsi="Tahoma" w:cs="Tahoma"/>
              </w:rPr>
            </w:pPr>
          </w:p>
          <w:p w14:paraId="08F2A195" w14:textId="77777777" w:rsidR="00462CF8" w:rsidRPr="008B2B92" w:rsidRDefault="00462CF8" w:rsidP="0012781A">
            <w:pPr>
              <w:widowControl w:val="0"/>
              <w:jc w:val="both"/>
              <w:rPr>
                <w:rFonts w:ascii="Tahoma" w:hAnsi="Tahoma" w:cs="Tahoma"/>
                <w:b/>
                <w:bCs/>
                <w:u w:val="single"/>
              </w:rPr>
            </w:pPr>
            <w:r w:rsidRPr="008B2B92">
              <w:rPr>
                <w:rFonts w:ascii="Tahoma" w:hAnsi="Tahoma" w:cs="Tahoma"/>
                <w:b/>
                <w:bCs/>
                <w:u w:val="single"/>
              </w:rPr>
              <w:t xml:space="preserve">Deliverables for the Survey; </w:t>
            </w:r>
          </w:p>
          <w:p w14:paraId="5F2D9563" w14:textId="77777777" w:rsidR="00462CF8" w:rsidRPr="008B2B92" w:rsidRDefault="00462CF8" w:rsidP="0012781A">
            <w:pPr>
              <w:widowControl w:val="0"/>
              <w:tabs>
                <w:tab w:val="left" w:pos="406"/>
                <w:tab w:val="left" w:pos="946"/>
              </w:tabs>
              <w:jc w:val="both"/>
              <w:rPr>
                <w:rFonts w:ascii="Tahoma" w:hAnsi="Tahoma" w:cs="Tahoma"/>
              </w:rPr>
            </w:pPr>
          </w:p>
          <w:p w14:paraId="72C8E302" w14:textId="77777777" w:rsidR="00462CF8" w:rsidRPr="00357357" w:rsidRDefault="00462CF8">
            <w:pPr>
              <w:pStyle w:val="ListParagraph"/>
              <w:numPr>
                <w:ilvl w:val="0"/>
                <w:numId w:val="34"/>
              </w:numPr>
              <w:spacing w:line="276" w:lineRule="auto"/>
              <w:jc w:val="both"/>
              <w:rPr>
                <w:rFonts w:ascii="Tahoma" w:hAnsi="Tahoma" w:cs="Tahoma"/>
              </w:rPr>
            </w:pPr>
            <w:r w:rsidRPr="00357357">
              <w:rPr>
                <w:rFonts w:ascii="Tahoma" w:hAnsi="Tahoma" w:cs="Tahoma"/>
                <w:u w:val="single"/>
              </w:rPr>
              <w:t>Focus group meetings report</w:t>
            </w:r>
            <w:r w:rsidRPr="00357357">
              <w:rPr>
                <w:rFonts w:ascii="Tahoma" w:hAnsi="Tahoma" w:cs="Tahoma"/>
              </w:rPr>
              <w:t xml:space="preserve"> with transcripts in Turkish.</w:t>
            </w:r>
          </w:p>
          <w:p w14:paraId="1FB9C115" w14:textId="77777777" w:rsidR="00462CF8" w:rsidRDefault="00462CF8" w:rsidP="0012781A">
            <w:pPr>
              <w:spacing w:line="276" w:lineRule="auto"/>
              <w:jc w:val="both"/>
              <w:rPr>
                <w:rFonts w:ascii="Tahoma" w:hAnsi="Tahoma" w:cs="Tahoma"/>
              </w:rPr>
            </w:pPr>
          </w:p>
          <w:p w14:paraId="34311820" w14:textId="77777777" w:rsidR="00462CF8" w:rsidRPr="00D7515D" w:rsidRDefault="00462CF8" w:rsidP="0012781A">
            <w:pPr>
              <w:spacing w:line="276" w:lineRule="auto"/>
              <w:jc w:val="both"/>
              <w:rPr>
                <w:rFonts w:ascii="Tahoma" w:hAnsi="Tahoma" w:cs="Tahoma"/>
              </w:rPr>
            </w:pPr>
            <w:r w:rsidRPr="00D7515D">
              <w:rPr>
                <w:rFonts w:ascii="Tahoma" w:hAnsi="Tahoma" w:cs="Tahoma"/>
                <w:b/>
                <w:bCs/>
              </w:rPr>
              <w:t>Estimated Period for focus group meetings</w:t>
            </w:r>
          </w:p>
          <w:p w14:paraId="5A7740C4" w14:textId="4880E00D" w:rsidR="00462CF8" w:rsidRPr="00A936C5" w:rsidRDefault="00462CF8">
            <w:pPr>
              <w:pStyle w:val="ListParagraph"/>
              <w:numPr>
                <w:ilvl w:val="0"/>
                <w:numId w:val="34"/>
              </w:numPr>
              <w:spacing w:line="276" w:lineRule="auto"/>
              <w:jc w:val="both"/>
              <w:rPr>
                <w:rFonts w:ascii="Tahoma" w:hAnsi="Tahoma" w:cs="Tahoma"/>
                <w:b/>
                <w:bCs/>
                <w:color w:val="FF0000"/>
              </w:rPr>
            </w:pPr>
            <w:r w:rsidRPr="00A936C5">
              <w:rPr>
                <w:rFonts w:ascii="Tahoma" w:hAnsi="Tahoma" w:cs="Tahoma"/>
                <w:b/>
                <w:bCs/>
                <w:color w:val="FF0000"/>
              </w:rPr>
              <w:t xml:space="preserve">16 June – </w:t>
            </w:r>
            <w:r>
              <w:rPr>
                <w:rFonts w:ascii="Tahoma" w:hAnsi="Tahoma" w:cs="Tahoma"/>
                <w:b/>
                <w:bCs/>
                <w:color w:val="FF0000"/>
              </w:rPr>
              <w:t>15</w:t>
            </w:r>
            <w:r w:rsidRPr="00A936C5">
              <w:rPr>
                <w:rFonts w:ascii="Tahoma" w:hAnsi="Tahoma" w:cs="Tahoma"/>
                <w:b/>
                <w:bCs/>
                <w:color w:val="FF0000"/>
              </w:rPr>
              <w:t xml:space="preserve"> </w:t>
            </w:r>
            <w:r>
              <w:rPr>
                <w:rFonts w:ascii="Tahoma" w:hAnsi="Tahoma" w:cs="Tahoma"/>
                <w:b/>
                <w:bCs/>
                <w:color w:val="FF0000"/>
              </w:rPr>
              <w:t>August</w:t>
            </w:r>
            <w:r w:rsidRPr="00A936C5">
              <w:rPr>
                <w:rFonts w:ascii="Tahoma" w:hAnsi="Tahoma" w:cs="Tahoma"/>
                <w:b/>
                <w:bCs/>
                <w:color w:val="FF0000"/>
              </w:rPr>
              <w:t xml:space="preserve"> 2023 </w:t>
            </w:r>
          </w:p>
          <w:p w14:paraId="2BFC8170" w14:textId="77777777" w:rsidR="00462CF8" w:rsidRPr="0050446C" w:rsidRDefault="00462CF8" w:rsidP="0012781A">
            <w:pPr>
              <w:spacing w:line="276" w:lineRule="auto"/>
              <w:jc w:val="both"/>
            </w:pPr>
          </w:p>
          <w:p w14:paraId="10FE5E30" w14:textId="77777777" w:rsidR="00462CF8" w:rsidRPr="00D7515D" w:rsidRDefault="00462CF8" w:rsidP="0012781A">
            <w:pPr>
              <w:widowControl w:val="0"/>
              <w:tabs>
                <w:tab w:val="left" w:pos="406"/>
                <w:tab w:val="left" w:pos="946"/>
              </w:tabs>
              <w:jc w:val="both"/>
              <w:rPr>
                <w:rFonts w:ascii="Tahoma" w:hAnsi="Tahoma" w:cs="Tahoma"/>
              </w:rPr>
            </w:pPr>
          </w:p>
        </w:tc>
      </w:tr>
      <w:tr w:rsidR="00462CF8" w:rsidRPr="00D7515D" w14:paraId="701831E7" w14:textId="77777777" w:rsidTr="0012781A">
        <w:tc>
          <w:tcPr>
            <w:tcW w:w="10345" w:type="dxa"/>
          </w:tcPr>
          <w:p w14:paraId="2A204787" w14:textId="77777777" w:rsidR="00462CF8" w:rsidRPr="00D7515D" w:rsidRDefault="00462CF8" w:rsidP="0012781A">
            <w:pPr>
              <w:rPr>
                <w:rFonts w:ascii="Tahoma" w:hAnsi="Tahoma" w:cs="Tahoma"/>
              </w:rPr>
            </w:pPr>
          </w:p>
          <w:p w14:paraId="3364C702" w14:textId="77777777" w:rsidR="00462CF8" w:rsidRPr="00D7515D" w:rsidRDefault="00462CF8" w:rsidP="0012781A">
            <w:pPr>
              <w:spacing w:line="276" w:lineRule="auto"/>
              <w:rPr>
                <w:rFonts w:ascii="Tahoma" w:hAnsi="Tahoma" w:cs="Tahoma"/>
                <w:b/>
                <w:bCs/>
              </w:rPr>
            </w:pPr>
            <w:r w:rsidRPr="00D7515D">
              <w:rPr>
                <w:rFonts w:ascii="Tahoma" w:hAnsi="Tahoma" w:cs="Tahoma"/>
                <w:b/>
                <w:bCs/>
              </w:rPr>
              <w:t xml:space="preserve">Responsibility of the Provider </w:t>
            </w:r>
            <w:r>
              <w:rPr>
                <w:rFonts w:ascii="Tahoma" w:hAnsi="Tahoma" w:cs="Tahoma"/>
                <w:b/>
                <w:bCs/>
              </w:rPr>
              <w:t xml:space="preserve">for the reports of the research studies for Survey and Focus Group Discussions; </w:t>
            </w:r>
          </w:p>
          <w:p w14:paraId="3C335DB6" w14:textId="77777777" w:rsidR="00462CF8" w:rsidRDefault="00462CF8" w:rsidP="0012781A">
            <w:pPr>
              <w:spacing w:line="276" w:lineRule="auto"/>
              <w:jc w:val="both"/>
              <w:rPr>
                <w:rFonts w:ascii="Tahoma" w:hAnsi="Tahoma" w:cs="Tahoma"/>
              </w:rPr>
            </w:pPr>
          </w:p>
          <w:p w14:paraId="199EDB9F" w14:textId="77777777" w:rsidR="00462CF8" w:rsidRPr="00D7515D" w:rsidRDefault="00462CF8">
            <w:pPr>
              <w:numPr>
                <w:ilvl w:val="0"/>
                <w:numId w:val="29"/>
              </w:numPr>
              <w:spacing w:line="276" w:lineRule="auto"/>
              <w:jc w:val="both"/>
              <w:rPr>
                <w:rFonts w:ascii="Tahoma" w:hAnsi="Tahoma" w:cs="Tahoma"/>
              </w:rPr>
            </w:pPr>
            <w:r w:rsidRPr="00D7515D">
              <w:rPr>
                <w:rFonts w:ascii="Tahoma" w:hAnsi="Tahoma" w:cs="Tahoma"/>
              </w:rPr>
              <w:t xml:space="preserve">Submission of the first preliminary presentation of the survey results in English </w:t>
            </w:r>
            <w:r>
              <w:rPr>
                <w:rFonts w:ascii="Tahoma" w:hAnsi="Tahoma" w:cs="Tahoma"/>
              </w:rPr>
              <w:t xml:space="preserve">and Turkish </w:t>
            </w:r>
            <w:r w:rsidRPr="00D7515D">
              <w:rPr>
                <w:rFonts w:ascii="Tahoma" w:hAnsi="Tahoma" w:cs="Tahoma"/>
              </w:rPr>
              <w:t>with analytical issues, numerical and graphic representation for samples and broken down for target groups to the CoE Project team and project consultants in order to relate the results to the objectives of the training impact assessment.</w:t>
            </w:r>
          </w:p>
          <w:p w14:paraId="7E5C27B1" w14:textId="77777777" w:rsidR="00462CF8" w:rsidRPr="00D7515D" w:rsidRDefault="00462CF8">
            <w:pPr>
              <w:numPr>
                <w:ilvl w:val="0"/>
                <w:numId w:val="29"/>
              </w:numPr>
              <w:spacing w:line="276" w:lineRule="auto"/>
              <w:jc w:val="both"/>
              <w:rPr>
                <w:rFonts w:ascii="Tahoma" w:hAnsi="Tahoma" w:cs="Tahoma"/>
              </w:rPr>
            </w:pPr>
            <w:r w:rsidRPr="00D7515D">
              <w:rPr>
                <w:rFonts w:ascii="Tahoma" w:hAnsi="Tahoma" w:cs="Tahoma"/>
              </w:rPr>
              <w:t xml:space="preserve">Produce final report in English on significant outputs of data analysis be anonymised after further analysis and interpretation of the results by the CoE team and project consultants. </w:t>
            </w:r>
          </w:p>
          <w:p w14:paraId="306BB5B3" w14:textId="77777777" w:rsidR="00462CF8" w:rsidRPr="00D7515D" w:rsidRDefault="00462CF8">
            <w:pPr>
              <w:numPr>
                <w:ilvl w:val="0"/>
                <w:numId w:val="29"/>
              </w:numPr>
              <w:spacing w:line="276" w:lineRule="auto"/>
              <w:jc w:val="both"/>
              <w:rPr>
                <w:rFonts w:ascii="Tahoma" w:hAnsi="Tahoma" w:cs="Tahoma"/>
              </w:rPr>
            </w:pPr>
            <w:r w:rsidRPr="00D7515D">
              <w:rPr>
                <w:rFonts w:ascii="Tahoma" w:hAnsi="Tahoma" w:cs="Tahoma"/>
              </w:rPr>
              <w:t xml:space="preserve">Submission of the final report </w:t>
            </w:r>
            <w:r>
              <w:rPr>
                <w:rFonts w:ascii="Tahoma" w:hAnsi="Tahoma" w:cs="Tahoma"/>
              </w:rPr>
              <w:t xml:space="preserve">both </w:t>
            </w:r>
            <w:r w:rsidRPr="00D7515D">
              <w:rPr>
                <w:rFonts w:ascii="Tahoma" w:hAnsi="Tahoma" w:cs="Tahoma"/>
              </w:rPr>
              <w:t>in English</w:t>
            </w:r>
            <w:r>
              <w:rPr>
                <w:rFonts w:ascii="Tahoma" w:hAnsi="Tahoma" w:cs="Tahoma"/>
              </w:rPr>
              <w:t xml:space="preserve"> and Turkish.</w:t>
            </w:r>
            <w:r w:rsidRPr="00D7515D">
              <w:rPr>
                <w:rFonts w:ascii="Tahoma" w:hAnsi="Tahoma" w:cs="Tahoma"/>
              </w:rPr>
              <w:t xml:space="preserve"> </w:t>
            </w:r>
          </w:p>
          <w:p w14:paraId="2F266C5F" w14:textId="77777777" w:rsidR="00462CF8" w:rsidRPr="00D7515D" w:rsidRDefault="00462CF8" w:rsidP="0012781A">
            <w:pPr>
              <w:spacing w:line="276" w:lineRule="auto"/>
              <w:ind w:left="453" w:hanging="425"/>
              <w:jc w:val="both"/>
              <w:rPr>
                <w:rFonts w:ascii="Tahoma" w:hAnsi="Tahoma" w:cs="Tahoma"/>
              </w:rPr>
            </w:pPr>
          </w:p>
        </w:tc>
      </w:tr>
    </w:tbl>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6ECDF70C" w14:textId="77777777" w:rsidR="0066745F" w:rsidRPr="0066745F" w:rsidRDefault="00261462" w:rsidP="00261462">
      <w:pPr>
        <w:spacing w:line="276" w:lineRule="auto"/>
        <w:jc w:val="both"/>
        <w:rPr>
          <w:rFonts w:ascii="Tahoma" w:hAnsi="Tahoma" w:cs="Tahoma"/>
          <w:b/>
          <w:bCs/>
          <w:color w:val="000000"/>
          <w:sz w:val="20"/>
          <w:szCs w:val="20"/>
          <w:lang w:eastAsia="en-US"/>
        </w:rPr>
      </w:pPr>
      <w:r w:rsidRPr="0066745F">
        <w:rPr>
          <w:rFonts w:ascii="Tahoma" w:hAnsi="Tahoma" w:cs="Tahoma"/>
          <w:b/>
          <w:bCs/>
          <w:color w:val="000000"/>
          <w:sz w:val="20"/>
          <w:szCs w:val="20"/>
          <w:lang w:eastAsia="en-US"/>
        </w:rPr>
        <w:t xml:space="preserve">Prices are indicated in Euro without VAT. </w:t>
      </w:r>
    </w:p>
    <w:p w14:paraId="7946F7C8" w14:textId="77777777" w:rsidR="0066745F" w:rsidRDefault="0066745F" w:rsidP="00261462">
      <w:pPr>
        <w:spacing w:line="276" w:lineRule="auto"/>
        <w:jc w:val="both"/>
        <w:rPr>
          <w:rFonts w:ascii="Tahoma" w:hAnsi="Tahoma" w:cs="Tahoma"/>
          <w:color w:val="000000"/>
          <w:sz w:val="20"/>
          <w:szCs w:val="20"/>
          <w:lang w:eastAsia="en-US"/>
        </w:rPr>
      </w:pPr>
    </w:p>
    <w:p w14:paraId="3F4860B5" w14:textId="77777777" w:rsidR="0066745F" w:rsidRDefault="0066745F" w:rsidP="0066745F">
      <w:pPr>
        <w:spacing w:line="276" w:lineRule="auto"/>
        <w:jc w:val="both"/>
        <w:rPr>
          <w:rFonts w:ascii="Tahoma" w:hAnsi="Tahoma" w:cs="Tahoma"/>
          <w:b/>
          <w:color w:val="000000"/>
          <w:sz w:val="20"/>
          <w:szCs w:val="20"/>
          <w:u w:val="single"/>
          <w:lang w:eastAsia="en-US"/>
        </w:rPr>
      </w:pPr>
      <w:r w:rsidRPr="006A45AA">
        <w:rPr>
          <w:rFonts w:ascii="Tahoma" w:hAnsi="Tahoma" w:cs="Tahoma"/>
          <w:color w:val="000000"/>
          <w:sz w:val="20"/>
          <w:szCs w:val="20"/>
          <w:lang w:eastAsia="en-US"/>
        </w:rPr>
        <w:t xml:space="preserve">For the VAT regime to be mentioned on the invoice(s), please refer to Article 4.2 of the Legal Conditions (See Section C. below). </w:t>
      </w:r>
      <w:r w:rsidRPr="006A45AA">
        <w:rPr>
          <w:rFonts w:ascii="Tahoma" w:hAnsi="Tahoma" w:cs="Tahoma"/>
          <w:b/>
          <w:color w:val="000000"/>
          <w:sz w:val="20"/>
          <w:szCs w:val="20"/>
          <w:u w:val="single"/>
          <w:lang w:eastAsia="en-US"/>
        </w:rPr>
        <w:t>Tenders proposing a total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027B06F1" w:rsidR="006A1C4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44C5F85C" w14:textId="79D5ACB9" w:rsidR="0066745F" w:rsidRDefault="0066745F" w:rsidP="006A1C42">
      <w:pPr>
        <w:ind w:left="-284"/>
        <w:rPr>
          <w:rFonts w:ascii="Tahoma" w:eastAsia="Calibri" w:hAnsi="Tahoma" w:cs="Tahoma"/>
          <w:b/>
          <w:sz w:val="20"/>
          <w:szCs w:val="20"/>
          <w:lang w:val="en-US" w:eastAsia="en-US"/>
        </w:rPr>
      </w:pPr>
    </w:p>
    <w:p w14:paraId="15503B1B" w14:textId="41F84510" w:rsidR="0066745F" w:rsidRDefault="0066745F" w:rsidP="006A1C42">
      <w:pPr>
        <w:ind w:left="-284"/>
        <w:rPr>
          <w:rFonts w:ascii="Tahoma" w:eastAsia="Calibri" w:hAnsi="Tahoma" w:cs="Tahoma"/>
          <w:b/>
          <w:sz w:val="20"/>
          <w:szCs w:val="20"/>
          <w:lang w:val="en-US" w:eastAsia="en-US"/>
        </w:rPr>
      </w:pPr>
    </w:p>
    <w:p w14:paraId="6C7E50E0" w14:textId="44F187F4" w:rsidR="0066745F" w:rsidRDefault="0066745F" w:rsidP="006A1C42">
      <w:pPr>
        <w:ind w:left="-284"/>
        <w:rPr>
          <w:rFonts w:ascii="Tahoma" w:eastAsia="Calibri" w:hAnsi="Tahoma" w:cs="Tahoma"/>
          <w:b/>
          <w:sz w:val="20"/>
          <w:szCs w:val="20"/>
          <w:lang w:val="en-US" w:eastAsia="en-US"/>
        </w:rPr>
      </w:pPr>
    </w:p>
    <w:p w14:paraId="00F968BF" w14:textId="7B341756" w:rsidR="0066745F" w:rsidRDefault="0066745F" w:rsidP="006A1C42">
      <w:pPr>
        <w:ind w:left="-284"/>
        <w:rPr>
          <w:rFonts w:ascii="Tahoma" w:eastAsia="Calibri" w:hAnsi="Tahoma" w:cs="Tahoma"/>
          <w:b/>
          <w:sz w:val="20"/>
          <w:szCs w:val="20"/>
          <w:lang w:val="en-US" w:eastAsia="en-US"/>
        </w:rPr>
      </w:pPr>
    </w:p>
    <w:p w14:paraId="1870480A" w14:textId="26886826" w:rsidR="0066745F" w:rsidRDefault="0066745F" w:rsidP="006A1C42">
      <w:pPr>
        <w:ind w:left="-284"/>
        <w:rPr>
          <w:rFonts w:ascii="Tahoma" w:eastAsia="Calibri" w:hAnsi="Tahoma" w:cs="Tahoma"/>
          <w:b/>
          <w:sz w:val="20"/>
          <w:szCs w:val="20"/>
          <w:lang w:val="en-US" w:eastAsia="en-US"/>
        </w:rPr>
      </w:pPr>
    </w:p>
    <w:p w14:paraId="5A103C57" w14:textId="3BE7BAD6" w:rsidR="0066745F" w:rsidRDefault="0066745F" w:rsidP="006A1C42">
      <w:pPr>
        <w:ind w:left="-284"/>
        <w:rPr>
          <w:rFonts w:ascii="Tahoma" w:eastAsia="Calibri" w:hAnsi="Tahoma" w:cs="Tahoma"/>
          <w:b/>
          <w:sz w:val="20"/>
          <w:szCs w:val="20"/>
          <w:lang w:val="en-US" w:eastAsia="en-US"/>
        </w:rPr>
      </w:pPr>
    </w:p>
    <w:p w14:paraId="43F7666E" w14:textId="052156C4" w:rsidR="0066745F" w:rsidRDefault="0066745F" w:rsidP="006A1C42">
      <w:pPr>
        <w:ind w:left="-284"/>
        <w:rPr>
          <w:rFonts w:ascii="Tahoma" w:eastAsia="Calibri" w:hAnsi="Tahoma" w:cs="Tahoma"/>
          <w:b/>
          <w:sz w:val="20"/>
          <w:szCs w:val="20"/>
          <w:lang w:val="en-US" w:eastAsia="en-US"/>
        </w:rPr>
      </w:pPr>
    </w:p>
    <w:p w14:paraId="6B0A57A5" w14:textId="06D148DC" w:rsidR="0066745F" w:rsidRDefault="0066745F" w:rsidP="006A1C42">
      <w:pPr>
        <w:ind w:left="-284"/>
        <w:rPr>
          <w:rFonts w:ascii="Tahoma" w:eastAsia="Calibri" w:hAnsi="Tahoma" w:cs="Tahoma"/>
          <w:b/>
          <w:sz w:val="20"/>
          <w:szCs w:val="20"/>
          <w:lang w:val="en-US" w:eastAsia="en-US"/>
        </w:rPr>
      </w:pPr>
    </w:p>
    <w:p w14:paraId="25E4D366" w14:textId="568EC1BA" w:rsidR="0066745F" w:rsidRDefault="0066745F" w:rsidP="006A1C42">
      <w:pPr>
        <w:ind w:left="-284"/>
        <w:rPr>
          <w:rFonts w:ascii="Tahoma" w:eastAsia="Calibri" w:hAnsi="Tahoma" w:cs="Tahoma"/>
          <w:b/>
          <w:sz w:val="20"/>
          <w:szCs w:val="20"/>
          <w:lang w:val="en-US" w:eastAsia="en-US"/>
        </w:rPr>
      </w:pPr>
    </w:p>
    <w:p w14:paraId="3DAAD5F6" w14:textId="77777777" w:rsidR="0066745F" w:rsidRDefault="0066745F" w:rsidP="006A1C42">
      <w:pPr>
        <w:ind w:left="-284"/>
        <w:rPr>
          <w:rFonts w:ascii="Tahoma" w:eastAsia="Calibri" w:hAnsi="Tahoma" w:cs="Tahoma"/>
          <w:b/>
          <w:sz w:val="20"/>
          <w:szCs w:val="20"/>
          <w:lang w:val="en-US" w:eastAsia="en-US"/>
        </w:rPr>
      </w:pPr>
    </w:p>
    <w:p w14:paraId="7F9D30E4" w14:textId="77777777" w:rsidR="0066745F" w:rsidRPr="00203FCB" w:rsidRDefault="0066745F" w:rsidP="0066745F">
      <w:pPr>
        <w:pBdr>
          <w:top w:val="single" w:sz="2" w:space="1" w:color="FF0000"/>
          <w:left w:val="single" w:sz="2" w:space="31" w:color="FF0000"/>
          <w:bottom w:val="single" w:sz="2" w:space="1" w:color="FF0000"/>
          <w:right w:val="single" w:sz="2" w:space="27" w:color="FF0000"/>
        </w:pBdr>
        <w:spacing w:line="276" w:lineRule="auto"/>
        <w:ind w:left="4395" w:right="-284"/>
        <w:jc w:val="right"/>
        <w:rPr>
          <w:rFonts w:ascii="Tahoma" w:hAnsi="Tahoma" w:cs="Tahoma"/>
          <w:b/>
          <w:bCs/>
          <w:color w:val="FF0000"/>
          <w:sz w:val="20"/>
          <w:szCs w:val="20"/>
        </w:rPr>
      </w:pPr>
      <w:r w:rsidRPr="00203FCB">
        <w:rPr>
          <w:rFonts w:ascii="Tahoma" w:hAnsi="Tahoma" w:cs="Tahoma"/>
          <w:b/>
          <w:bCs/>
          <w:color w:val="FF0000"/>
          <w:sz w:val="20"/>
          <w:szCs w:val="20"/>
        </w:rPr>
        <w:lastRenderedPageBreak/>
        <w:t>Provider shall indicate its proposed fees in the boxes below. Proposed fees for all deliverables in total cannot be higher than the exclusion level</w:t>
      </w:r>
    </w:p>
    <w:tbl>
      <w:tblPr>
        <w:tblpPr w:leftFromText="181" w:rightFromText="181" w:vertAnchor="text" w:horzAnchor="margin" w:tblpY="715"/>
        <w:tblOverlap w:val="never"/>
        <w:tblW w:w="10203" w:type="dxa"/>
        <w:tblBorders>
          <w:top w:val="single" w:sz="2" w:space="0" w:color="000000"/>
          <w:left w:val="single" w:sz="2" w:space="0" w:color="808080"/>
          <w:bottom w:val="single" w:sz="2" w:space="0" w:color="000000"/>
          <w:right w:val="single" w:sz="2" w:space="0" w:color="808080"/>
          <w:insideH w:val="single" w:sz="2" w:space="0" w:color="000000"/>
          <w:insideV w:val="single" w:sz="2" w:space="0" w:color="000000"/>
        </w:tblBorders>
        <w:tblLayout w:type="fixed"/>
        <w:tblLook w:val="04A0" w:firstRow="1" w:lastRow="0" w:firstColumn="1" w:lastColumn="0" w:noHBand="0" w:noVBand="1"/>
      </w:tblPr>
      <w:tblGrid>
        <w:gridCol w:w="3541"/>
        <w:gridCol w:w="992"/>
        <w:gridCol w:w="954"/>
        <w:gridCol w:w="1031"/>
        <w:gridCol w:w="992"/>
        <w:gridCol w:w="1276"/>
        <w:gridCol w:w="1417"/>
      </w:tblGrid>
      <w:tr w:rsidR="0066745F" w:rsidRPr="00203FCB" w14:paraId="7FDEDD81" w14:textId="77777777" w:rsidTr="0012781A">
        <w:trPr>
          <w:trHeight w:val="688"/>
        </w:trPr>
        <w:tc>
          <w:tcPr>
            <w:tcW w:w="3541" w:type="dxa"/>
            <w:shd w:val="clear" w:color="auto" w:fill="DBE5F1"/>
            <w:vAlign w:val="center"/>
          </w:tcPr>
          <w:p w14:paraId="4C6995C9"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rFonts w:ascii="Tahoma" w:hAnsi="Tahoma" w:cs="Tahoma"/>
                <w:b/>
                <w:sz w:val="18"/>
                <w:szCs w:val="18"/>
              </w:rPr>
              <w:t xml:space="preserve">Deliverables </w:t>
            </w:r>
            <w:r w:rsidRPr="00203FCB">
              <w:rPr>
                <w:b/>
                <w:sz w:val="18"/>
                <w:szCs w:val="18"/>
              </w:rPr>
              <w:t>▼</w:t>
            </w:r>
          </w:p>
        </w:tc>
        <w:tc>
          <w:tcPr>
            <w:tcW w:w="992" w:type="dxa"/>
            <w:shd w:val="clear" w:color="auto" w:fill="DBE5F1"/>
          </w:tcPr>
          <w:p w14:paraId="09A41CB6" w14:textId="77777777" w:rsidR="0066745F" w:rsidRPr="00203FCB" w:rsidRDefault="0066745F" w:rsidP="0012781A">
            <w:pPr>
              <w:tabs>
                <w:tab w:val="left" w:pos="-139"/>
              </w:tabs>
              <w:spacing w:line="276" w:lineRule="auto"/>
              <w:ind w:right="-140"/>
              <w:jc w:val="center"/>
              <w:rPr>
                <w:rFonts w:ascii="Tahoma" w:hAnsi="Tahoma" w:cs="Tahoma"/>
                <w:b/>
                <w:sz w:val="18"/>
                <w:szCs w:val="18"/>
              </w:rPr>
            </w:pPr>
          </w:p>
          <w:p w14:paraId="77EE19AD"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rFonts w:ascii="Tahoma" w:hAnsi="Tahoma" w:cs="Tahoma"/>
                <w:b/>
                <w:sz w:val="18"/>
                <w:szCs w:val="18"/>
              </w:rPr>
              <w:t>Unit</w:t>
            </w:r>
          </w:p>
          <w:p w14:paraId="045BFE75"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b/>
                <w:sz w:val="18"/>
                <w:szCs w:val="18"/>
              </w:rPr>
              <w:t>▼</w:t>
            </w:r>
          </w:p>
        </w:tc>
        <w:tc>
          <w:tcPr>
            <w:tcW w:w="954" w:type="dxa"/>
            <w:shd w:val="clear" w:color="auto" w:fill="DBE5F1"/>
          </w:tcPr>
          <w:p w14:paraId="583D84AD"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rFonts w:ascii="Tahoma" w:hAnsi="Tahoma" w:cs="Tahoma"/>
                <w:b/>
                <w:sz w:val="18"/>
                <w:szCs w:val="18"/>
              </w:rPr>
              <w:t>Number of Units</w:t>
            </w:r>
          </w:p>
          <w:p w14:paraId="4B17C733"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b/>
                <w:sz w:val="18"/>
                <w:szCs w:val="18"/>
              </w:rPr>
              <w:t>▼</w:t>
            </w:r>
          </w:p>
        </w:tc>
        <w:tc>
          <w:tcPr>
            <w:tcW w:w="1031" w:type="dxa"/>
            <w:shd w:val="clear" w:color="auto" w:fill="DBE5F1"/>
          </w:tcPr>
          <w:p w14:paraId="6A41CE02"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rFonts w:ascii="Tahoma" w:hAnsi="Tahoma" w:cs="Tahoma"/>
                <w:b/>
                <w:sz w:val="18"/>
                <w:szCs w:val="18"/>
              </w:rPr>
              <w:t>Price per Unit</w:t>
            </w:r>
          </w:p>
          <w:p w14:paraId="798924CD"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b/>
                <w:sz w:val="18"/>
                <w:szCs w:val="18"/>
              </w:rPr>
              <w:t>▼</w:t>
            </w:r>
          </w:p>
        </w:tc>
        <w:tc>
          <w:tcPr>
            <w:tcW w:w="992" w:type="dxa"/>
            <w:shd w:val="clear" w:color="auto" w:fill="DBE5F1"/>
            <w:vAlign w:val="center"/>
          </w:tcPr>
          <w:p w14:paraId="1D55B2E7"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rFonts w:ascii="Tahoma" w:hAnsi="Tahoma" w:cs="Tahoma"/>
                <w:b/>
                <w:sz w:val="18"/>
                <w:szCs w:val="18"/>
              </w:rPr>
              <w:t>Deadline for</w:t>
            </w:r>
          </w:p>
          <w:p w14:paraId="7BBD0714"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rFonts w:ascii="Tahoma" w:hAnsi="Tahoma" w:cs="Tahoma"/>
                <w:b/>
                <w:sz w:val="18"/>
                <w:szCs w:val="18"/>
              </w:rPr>
              <w:t xml:space="preserve">delivery </w:t>
            </w:r>
          </w:p>
          <w:p w14:paraId="1DC58F31"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b/>
                <w:sz w:val="18"/>
                <w:szCs w:val="18"/>
              </w:rPr>
              <w:t>▼</w:t>
            </w:r>
          </w:p>
        </w:tc>
        <w:tc>
          <w:tcPr>
            <w:tcW w:w="1276" w:type="dxa"/>
            <w:shd w:val="clear" w:color="auto" w:fill="DBE5F1"/>
            <w:vAlign w:val="center"/>
          </w:tcPr>
          <w:p w14:paraId="3F130745" w14:textId="77777777" w:rsidR="0066745F" w:rsidRPr="00203FCB" w:rsidRDefault="0066745F" w:rsidP="0012781A">
            <w:pPr>
              <w:tabs>
                <w:tab w:val="left" w:pos="-99"/>
              </w:tabs>
              <w:spacing w:line="276" w:lineRule="auto"/>
              <w:ind w:right="-140" w:hanging="99"/>
              <w:jc w:val="center"/>
              <w:rPr>
                <w:rFonts w:ascii="Tahoma" w:hAnsi="Tahoma" w:cs="Tahoma"/>
                <w:b/>
                <w:sz w:val="18"/>
                <w:szCs w:val="18"/>
              </w:rPr>
            </w:pPr>
            <w:r w:rsidRPr="00203FCB">
              <w:rPr>
                <w:rFonts w:ascii="Tahoma" w:hAnsi="Tahoma" w:cs="Tahoma"/>
                <w:noProof/>
              </w:rPr>
              <mc:AlternateContent>
                <mc:Choice Requires="wps">
                  <w:drawing>
                    <wp:anchor distT="0" distB="0" distL="114300" distR="114300" simplePos="0" relativeHeight="251660290" behindDoc="0" locked="1" layoutInCell="1" allowOverlap="1" wp14:anchorId="03A41604" wp14:editId="48ED4083">
                      <wp:simplePos x="0" y="0"/>
                      <wp:positionH relativeFrom="column">
                        <wp:posOffset>39370</wp:posOffset>
                      </wp:positionH>
                      <wp:positionV relativeFrom="paragraph">
                        <wp:posOffset>-612775</wp:posOffset>
                      </wp:positionV>
                      <wp:extent cx="163195" cy="525145"/>
                      <wp:effectExtent l="19050" t="0" r="27305" b="46355"/>
                      <wp:wrapNone/>
                      <wp:docPr id="3"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5D48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1pt;margin-top:-48.25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" adj="3973" strokecolor="red">
                      <o:lock v:ext="edit" aspectratio="t"/>
                      <v:textbox style="layout-flow:vertical-ideographic"/>
                      <w10:anchorlock/>
                    </v:shape>
                  </w:pict>
                </mc:Fallback>
              </mc:AlternateContent>
            </w:r>
            <w:r w:rsidRPr="00203FCB">
              <w:rPr>
                <w:rFonts w:ascii="Tahoma" w:hAnsi="Tahoma" w:cs="Tahoma"/>
                <w:b/>
                <w:sz w:val="18"/>
                <w:szCs w:val="18"/>
              </w:rPr>
              <w:t>Fees, EUR</w:t>
            </w:r>
          </w:p>
          <w:p w14:paraId="580AABF2" w14:textId="77777777" w:rsidR="0066745F" w:rsidRPr="00203FCB" w:rsidRDefault="0066745F" w:rsidP="0012781A">
            <w:pPr>
              <w:tabs>
                <w:tab w:val="left" w:pos="-139"/>
              </w:tabs>
              <w:spacing w:line="276" w:lineRule="auto"/>
              <w:ind w:right="-140"/>
              <w:jc w:val="center"/>
              <w:rPr>
                <w:rFonts w:ascii="Tahoma" w:hAnsi="Tahoma" w:cs="Tahoma"/>
                <w:b/>
                <w:sz w:val="18"/>
                <w:szCs w:val="18"/>
              </w:rPr>
            </w:pPr>
            <w:r w:rsidRPr="00203FCB">
              <w:rPr>
                <w:b/>
                <w:sz w:val="18"/>
                <w:szCs w:val="18"/>
              </w:rPr>
              <w:t>▼</w:t>
            </w:r>
          </w:p>
        </w:tc>
        <w:tc>
          <w:tcPr>
            <w:tcW w:w="1417" w:type="dxa"/>
            <w:shd w:val="clear" w:color="auto" w:fill="DBE5F1"/>
          </w:tcPr>
          <w:p w14:paraId="2C734080" w14:textId="77777777" w:rsidR="0066745F" w:rsidRPr="00203FCB" w:rsidRDefault="0066745F" w:rsidP="0012781A">
            <w:pPr>
              <w:tabs>
                <w:tab w:val="left" w:pos="-139"/>
              </w:tabs>
              <w:spacing w:line="276" w:lineRule="auto"/>
              <w:ind w:left="-193" w:right="-140" w:firstLine="79"/>
              <w:jc w:val="center"/>
              <w:rPr>
                <w:rFonts w:ascii="Tahoma" w:hAnsi="Tahoma" w:cs="Tahoma"/>
                <w:b/>
                <w:sz w:val="18"/>
                <w:szCs w:val="18"/>
              </w:rPr>
            </w:pPr>
          </w:p>
          <w:p w14:paraId="5C7E4351" w14:textId="77777777" w:rsidR="0066745F" w:rsidRPr="00203FCB" w:rsidRDefault="0066745F" w:rsidP="0012781A">
            <w:pPr>
              <w:tabs>
                <w:tab w:val="left" w:pos="-139"/>
              </w:tabs>
              <w:spacing w:line="276" w:lineRule="auto"/>
              <w:ind w:left="-193" w:right="-140" w:firstLine="79"/>
              <w:jc w:val="center"/>
              <w:rPr>
                <w:rFonts w:ascii="Tahoma" w:hAnsi="Tahoma" w:cs="Tahoma"/>
                <w:b/>
                <w:sz w:val="18"/>
                <w:szCs w:val="18"/>
              </w:rPr>
            </w:pPr>
            <w:r w:rsidRPr="00203FCB">
              <w:rPr>
                <w:rFonts w:ascii="Tahoma" w:hAnsi="Tahoma" w:cs="Tahoma"/>
                <w:b/>
                <w:sz w:val="18"/>
                <w:szCs w:val="18"/>
                <w:u w:val="single"/>
              </w:rPr>
              <w:t>EXCLUSION LEVEL,</w:t>
            </w:r>
            <w:r w:rsidRPr="00203FCB">
              <w:rPr>
                <w:rFonts w:ascii="Tahoma" w:hAnsi="Tahoma" w:cs="Tahoma"/>
                <w:b/>
                <w:sz w:val="18"/>
                <w:szCs w:val="18"/>
              </w:rPr>
              <w:t xml:space="preserve"> EUR</w:t>
            </w:r>
          </w:p>
          <w:p w14:paraId="72E96BF0" w14:textId="77777777" w:rsidR="0066745F" w:rsidRPr="00203FCB" w:rsidRDefault="0066745F" w:rsidP="0012781A">
            <w:pPr>
              <w:tabs>
                <w:tab w:val="left" w:pos="-99"/>
              </w:tabs>
              <w:spacing w:line="276" w:lineRule="auto"/>
              <w:ind w:right="-140" w:hanging="99"/>
              <w:jc w:val="center"/>
              <w:rPr>
                <w:rFonts w:ascii="Tahoma" w:hAnsi="Tahoma" w:cs="Tahoma"/>
                <w:b/>
                <w:sz w:val="18"/>
                <w:szCs w:val="18"/>
              </w:rPr>
            </w:pPr>
            <w:r w:rsidRPr="00203FCB">
              <w:rPr>
                <w:b/>
                <w:sz w:val="18"/>
                <w:szCs w:val="18"/>
              </w:rPr>
              <w:t>▼</w:t>
            </w:r>
          </w:p>
        </w:tc>
      </w:tr>
      <w:tr w:rsidR="0066745F" w:rsidRPr="00203FCB" w14:paraId="6B47420D" w14:textId="77777777" w:rsidTr="0012781A">
        <w:trPr>
          <w:trHeight w:val="581"/>
        </w:trPr>
        <w:tc>
          <w:tcPr>
            <w:tcW w:w="3541" w:type="dxa"/>
            <w:shd w:val="clear" w:color="auto" w:fill="F2F2F2"/>
            <w:vAlign w:val="center"/>
          </w:tcPr>
          <w:p w14:paraId="23E49FDE" w14:textId="77777777" w:rsidR="0066745F" w:rsidRPr="00203FCB" w:rsidRDefault="0066745F">
            <w:pPr>
              <w:numPr>
                <w:ilvl w:val="0"/>
                <w:numId w:val="36"/>
              </w:numPr>
              <w:ind w:left="313" w:hanging="313"/>
              <w:rPr>
                <w:sz w:val="20"/>
                <w:szCs w:val="20"/>
              </w:rPr>
            </w:pPr>
            <w:r w:rsidRPr="00203FCB">
              <w:rPr>
                <w:sz w:val="20"/>
                <w:szCs w:val="20"/>
              </w:rPr>
              <w:t>Finalisation of</w:t>
            </w:r>
            <w:r>
              <w:rPr>
                <w:sz w:val="20"/>
                <w:szCs w:val="20"/>
              </w:rPr>
              <w:t xml:space="preserve"> </w:t>
            </w:r>
            <w:r w:rsidRPr="00203FCB">
              <w:rPr>
                <w:sz w:val="20"/>
                <w:szCs w:val="20"/>
              </w:rPr>
              <w:t xml:space="preserve">the methodology and </w:t>
            </w:r>
            <w:r>
              <w:rPr>
                <w:sz w:val="20"/>
                <w:szCs w:val="20"/>
              </w:rPr>
              <w:t xml:space="preserve">online </w:t>
            </w:r>
            <w:r w:rsidRPr="00203FCB">
              <w:rPr>
                <w:sz w:val="20"/>
                <w:szCs w:val="20"/>
              </w:rPr>
              <w:t>questionaries.</w:t>
            </w:r>
          </w:p>
        </w:tc>
        <w:tc>
          <w:tcPr>
            <w:tcW w:w="992" w:type="dxa"/>
            <w:vMerge w:val="restart"/>
            <w:shd w:val="clear" w:color="auto" w:fill="F2F2F2"/>
          </w:tcPr>
          <w:p w14:paraId="14D5C0D2" w14:textId="77777777" w:rsidR="0066745F" w:rsidRDefault="0066745F" w:rsidP="0012781A">
            <w:pPr>
              <w:rPr>
                <w:sz w:val="20"/>
                <w:szCs w:val="20"/>
              </w:rPr>
            </w:pPr>
          </w:p>
          <w:p w14:paraId="67530277" w14:textId="77777777" w:rsidR="0066745F" w:rsidRDefault="0066745F" w:rsidP="0012781A">
            <w:pPr>
              <w:rPr>
                <w:sz w:val="20"/>
                <w:szCs w:val="20"/>
              </w:rPr>
            </w:pPr>
          </w:p>
          <w:p w14:paraId="769288B0" w14:textId="77777777" w:rsidR="0066745F" w:rsidRDefault="0066745F" w:rsidP="0012781A">
            <w:pPr>
              <w:rPr>
                <w:sz w:val="20"/>
                <w:szCs w:val="20"/>
              </w:rPr>
            </w:pPr>
          </w:p>
          <w:p w14:paraId="6E92B2A2" w14:textId="77777777" w:rsidR="0066745F" w:rsidRDefault="0066745F" w:rsidP="0012781A">
            <w:pPr>
              <w:rPr>
                <w:sz w:val="20"/>
                <w:szCs w:val="20"/>
              </w:rPr>
            </w:pPr>
          </w:p>
          <w:p w14:paraId="0CDBE3DF" w14:textId="77777777" w:rsidR="0066745F" w:rsidRDefault="0066745F" w:rsidP="0012781A">
            <w:pPr>
              <w:rPr>
                <w:sz w:val="20"/>
                <w:szCs w:val="20"/>
              </w:rPr>
            </w:pPr>
          </w:p>
          <w:p w14:paraId="6AC18E97" w14:textId="77777777" w:rsidR="0066745F" w:rsidRDefault="0066745F" w:rsidP="0012781A">
            <w:pPr>
              <w:rPr>
                <w:sz w:val="20"/>
                <w:szCs w:val="20"/>
              </w:rPr>
            </w:pPr>
          </w:p>
          <w:p w14:paraId="1E8839FB" w14:textId="77777777" w:rsidR="0066745F" w:rsidRDefault="0066745F" w:rsidP="0012781A">
            <w:pPr>
              <w:rPr>
                <w:sz w:val="20"/>
                <w:szCs w:val="20"/>
              </w:rPr>
            </w:pPr>
          </w:p>
          <w:p w14:paraId="6B252713" w14:textId="77777777" w:rsidR="0066745F" w:rsidRDefault="0066745F" w:rsidP="0012781A">
            <w:pPr>
              <w:rPr>
                <w:sz w:val="20"/>
                <w:szCs w:val="20"/>
              </w:rPr>
            </w:pPr>
          </w:p>
          <w:p w14:paraId="0B58FC64" w14:textId="77777777" w:rsidR="0066745F" w:rsidRDefault="0066745F" w:rsidP="0012781A">
            <w:pPr>
              <w:rPr>
                <w:sz w:val="20"/>
                <w:szCs w:val="20"/>
              </w:rPr>
            </w:pPr>
          </w:p>
          <w:p w14:paraId="6FD73ECC" w14:textId="77777777" w:rsidR="0066745F" w:rsidRDefault="0066745F" w:rsidP="0012781A">
            <w:pPr>
              <w:rPr>
                <w:sz w:val="20"/>
                <w:szCs w:val="20"/>
              </w:rPr>
            </w:pPr>
          </w:p>
          <w:p w14:paraId="2F911A56" w14:textId="77777777" w:rsidR="0066745F" w:rsidRDefault="0066745F" w:rsidP="0012781A">
            <w:pPr>
              <w:rPr>
                <w:sz w:val="20"/>
                <w:szCs w:val="20"/>
              </w:rPr>
            </w:pPr>
          </w:p>
          <w:p w14:paraId="6CAC2364" w14:textId="77777777" w:rsidR="0066745F" w:rsidRDefault="0066745F" w:rsidP="0012781A">
            <w:pPr>
              <w:rPr>
                <w:sz w:val="20"/>
                <w:szCs w:val="20"/>
              </w:rPr>
            </w:pPr>
          </w:p>
          <w:p w14:paraId="22D69E7A" w14:textId="77777777" w:rsidR="0066745F" w:rsidRPr="00203FCB" w:rsidRDefault="0066745F" w:rsidP="0012781A">
            <w:pPr>
              <w:rPr>
                <w:sz w:val="20"/>
                <w:szCs w:val="20"/>
              </w:rPr>
            </w:pPr>
            <w:r>
              <w:rPr>
                <w:sz w:val="20"/>
                <w:szCs w:val="20"/>
              </w:rPr>
              <w:t>Per day</w:t>
            </w:r>
          </w:p>
        </w:tc>
        <w:tc>
          <w:tcPr>
            <w:tcW w:w="954" w:type="dxa"/>
            <w:shd w:val="clear" w:color="auto" w:fill="F2F2F2"/>
          </w:tcPr>
          <w:p w14:paraId="1E8A7E92" w14:textId="77777777" w:rsidR="0066745F" w:rsidRPr="00203FCB" w:rsidRDefault="0066745F" w:rsidP="0012781A">
            <w:pPr>
              <w:rPr>
                <w:sz w:val="20"/>
                <w:szCs w:val="20"/>
              </w:rPr>
            </w:pPr>
          </w:p>
        </w:tc>
        <w:tc>
          <w:tcPr>
            <w:tcW w:w="1031" w:type="dxa"/>
            <w:shd w:val="clear" w:color="auto" w:fill="F2F2F2"/>
          </w:tcPr>
          <w:p w14:paraId="42266F1F" w14:textId="77777777" w:rsidR="0066745F" w:rsidRPr="00203FCB" w:rsidRDefault="0066745F" w:rsidP="0012781A">
            <w:pPr>
              <w:rPr>
                <w:sz w:val="20"/>
                <w:szCs w:val="20"/>
              </w:rPr>
            </w:pPr>
          </w:p>
        </w:tc>
        <w:tc>
          <w:tcPr>
            <w:tcW w:w="992" w:type="dxa"/>
            <w:vMerge w:val="restart"/>
            <w:shd w:val="clear" w:color="auto" w:fill="F2F2F2"/>
          </w:tcPr>
          <w:p w14:paraId="5781C80F" w14:textId="77777777" w:rsidR="0066745F" w:rsidRPr="00203FCB" w:rsidRDefault="0066745F" w:rsidP="0012781A">
            <w:pPr>
              <w:rPr>
                <w:sz w:val="20"/>
                <w:szCs w:val="20"/>
              </w:rPr>
            </w:pPr>
          </w:p>
          <w:p w14:paraId="28E4D273" w14:textId="77777777" w:rsidR="0066745F" w:rsidRPr="00203FCB" w:rsidRDefault="0066745F" w:rsidP="0012781A">
            <w:pPr>
              <w:rPr>
                <w:sz w:val="20"/>
                <w:szCs w:val="20"/>
              </w:rPr>
            </w:pPr>
          </w:p>
          <w:p w14:paraId="6D6A47F0" w14:textId="77777777" w:rsidR="0066745F" w:rsidRPr="00203FCB" w:rsidRDefault="0066745F" w:rsidP="0012781A">
            <w:pPr>
              <w:rPr>
                <w:sz w:val="20"/>
                <w:szCs w:val="20"/>
              </w:rPr>
            </w:pPr>
          </w:p>
          <w:p w14:paraId="2156AAF1" w14:textId="77777777" w:rsidR="0066745F" w:rsidRPr="00203FCB" w:rsidRDefault="0066745F" w:rsidP="0012781A">
            <w:pPr>
              <w:rPr>
                <w:sz w:val="20"/>
                <w:szCs w:val="20"/>
              </w:rPr>
            </w:pPr>
          </w:p>
          <w:p w14:paraId="14E890A2" w14:textId="77777777" w:rsidR="0066745F" w:rsidRPr="00203FCB" w:rsidRDefault="0066745F" w:rsidP="0012781A">
            <w:pPr>
              <w:rPr>
                <w:sz w:val="20"/>
                <w:szCs w:val="20"/>
              </w:rPr>
            </w:pPr>
          </w:p>
          <w:p w14:paraId="3901495B" w14:textId="77777777" w:rsidR="0066745F" w:rsidRPr="00203FCB" w:rsidRDefault="0066745F" w:rsidP="0012781A">
            <w:pPr>
              <w:rPr>
                <w:sz w:val="20"/>
                <w:szCs w:val="20"/>
              </w:rPr>
            </w:pPr>
          </w:p>
          <w:p w14:paraId="0167EBDF" w14:textId="77777777" w:rsidR="0066745F" w:rsidRPr="00203FCB" w:rsidRDefault="0066745F" w:rsidP="0012781A">
            <w:pPr>
              <w:rPr>
                <w:sz w:val="20"/>
                <w:szCs w:val="20"/>
              </w:rPr>
            </w:pPr>
          </w:p>
          <w:p w14:paraId="0AD08C40" w14:textId="77777777" w:rsidR="0066745F" w:rsidRPr="00203FCB" w:rsidRDefault="0066745F" w:rsidP="0012781A">
            <w:pPr>
              <w:rPr>
                <w:sz w:val="20"/>
                <w:szCs w:val="20"/>
              </w:rPr>
            </w:pPr>
          </w:p>
          <w:p w14:paraId="7DA13C9A" w14:textId="77777777" w:rsidR="0066745F" w:rsidRPr="00203FCB" w:rsidRDefault="0066745F" w:rsidP="0012781A">
            <w:pPr>
              <w:rPr>
                <w:sz w:val="20"/>
                <w:szCs w:val="20"/>
              </w:rPr>
            </w:pPr>
          </w:p>
          <w:p w14:paraId="2D9EE4FB" w14:textId="77777777" w:rsidR="0066745F" w:rsidRPr="00203FCB" w:rsidRDefault="0066745F" w:rsidP="0012781A">
            <w:pPr>
              <w:rPr>
                <w:b/>
                <w:bCs/>
                <w:sz w:val="20"/>
                <w:szCs w:val="20"/>
              </w:rPr>
            </w:pPr>
          </w:p>
          <w:p w14:paraId="43C34B2C" w14:textId="77777777" w:rsidR="0066745F" w:rsidRPr="00203FCB" w:rsidRDefault="0066745F" w:rsidP="0012781A">
            <w:pPr>
              <w:rPr>
                <w:sz w:val="20"/>
                <w:szCs w:val="20"/>
              </w:rPr>
            </w:pPr>
          </w:p>
          <w:p w14:paraId="3627B698" w14:textId="77777777" w:rsidR="0066745F" w:rsidRPr="00203FCB" w:rsidRDefault="0066745F" w:rsidP="0012781A">
            <w:pPr>
              <w:rPr>
                <w:sz w:val="20"/>
                <w:szCs w:val="20"/>
              </w:rPr>
            </w:pPr>
          </w:p>
          <w:p w14:paraId="2C94B65E" w14:textId="77777777" w:rsidR="0066745F" w:rsidRPr="00203FCB" w:rsidRDefault="0066745F" w:rsidP="0012781A">
            <w:pPr>
              <w:rPr>
                <w:sz w:val="20"/>
                <w:szCs w:val="20"/>
              </w:rPr>
            </w:pPr>
          </w:p>
          <w:p w14:paraId="6025031F" w14:textId="77777777" w:rsidR="0066745F" w:rsidRPr="00203FCB" w:rsidRDefault="0066745F" w:rsidP="0012781A">
            <w:pPr>
              <w:rPr>
                <w:sz w:val="20"/>
                <w:szCs w:val="20"/>
              </w:rPr>
            </w:pPr>
          </w:p>
          <w:p w14:paraId="06F5A757" w14:textId="6E59F12B" w:rsidR="0066745F" w:rsidRPr="00203FCB" w:rsidRDefault="0066745F" w:rsidP="0012781A">
            <w:pPr>
              <w:rPr>
                <w:sz w:val="20"/>
                <w:szCs w:val="20"/>
              </w:rPr>
            </w:pPr>
            <w:r>
              <w:rPr>
                <w:b/>
                <w:bCs/>
                <w:color w:val="FF0000"/>
                <w:sz w:val="20"/>
                <w:szCs w:val="20"/>
              </w:rPr>
              <w:t>1</w:t>
            </w:r>
            <w:r w:rsidRPr="0099133D">
              <w:rPr>
                <w:b/>
                <w:bCs/>
                <w:color w:val="FF0000"/>
                <w:sz w:val="20"/>
                <w:szCs w:val="20"/>
              </w:rPr>
              <w:t xml:space="preserve"> </w:t>
            </w:r>
            <w:r>
              <w:rPr>
                <w:b/>
                <w:bCs/>
                <w:color w:val="FF0000"/>
                <w:sz w:val="20"/>
                <w:szCs w:val="20"/>
              </w:rPr>
              <w:t>September</w:t>
            </w:r>
            <w:r w:rsidRPr="0099133D">
              <w:rPr>
                <w:b/>
                <w:bCs/>
                <w:color w:val="FF0000"/>
                <w:sz w:val="20"/>
                <w:szCs w:val="20"/>
              </w:rPr>
              <w:t xml:space="preserve">  2023 (*) </w:t>
            </w:r>
          </w:p>
        </w:tc>
        <w:tc>
          <w:tcPr>
            <w:tcW w:w="1276" w:type="dxa"/>
            <w:shd w:val="clear" w:color="auto" w:fill="FFFFFF"/>
          </w:tcPr>
          <w:p w14:paraId="19215760" w14:textId="77777777" w:rsidR="0066745F" w:rsidRPr="00203FCB" w:rsidRDefault="0066745F" w:rsidP="0012781A">
            <w:pPr>
              <w:rPr>
                <w:sz w:val="20"/>
                <w:szCs w:val="20"/>
              </w:rPr>
            </w:pPr>
          </w:p>
        </w:tc>
        <w:tc>
          <w:tcPr>
            <w:tcW w:w="1417" w:type="dxa"/>
            <w:vMerge w:val="restart"/>
            <w:shd w:val="clear" w:color="auto" w:fill="F2F2F2"/>
          </w:tcPr>
          <w:p w14:paraId="2F21BC24" w14:textId="77777777" w:rsidR="0066745F" w:rsidRPr="00203FCB" w:rsidRDefault="0066745F" w:rsidP="0012781A">
            <w:pPr>
              <w:rPr>
                <w:sz w:val="20"/>
                <w:szCs w:val="20"/>
              </w:rPr>
            </w:pPr>
          </w:p>
          <w:p w14:paraId="3C3B88BF" w14:textId="77777777" w:rsidR="0066745F" w:rsidRPr="00203FCB" w:rsidRDefault="0066745F" w:rsidP="0012781A">
            <w:pPr>
              <w:rPr>
                <w:sz w:val="20"/>
                <w:szCs w:val="20"/>
              </w:rPr>
            </w:pPr>
          </w:p>
          <w:p w14:paraId="52F9CECB" w14:textId="77777777" w:rsidR="0066745F" w:rsidRPr="00203FCB" w:rsidRDefault="0066745F" w:rsidP="0012781A">
            <w:pPr>
              <w:rPr>
                <w:sz w:val="20"/>
                <w:szCs w:val="20"/>
              </w:rPr>
            </w:pPr>
          </w:p>
          <w:p w14:paraId="547F1F8E" w14:textId="77777777" w:rsidR="0066745F" w:rsidRPr="00203FCB" w:rsidRDefault="0066745F" w:rsidP="0012781A">
            <w:pPr>
              <w:rPr>
                <w:sz w:val="20"/>
                <w:szCs w:val="20"/>
              </w:rPr>
            </w:pPr>
          </w:p>
          <w:p w14:paraId="2BEA7450" w14:textId="77777777" w:rsidR="0066745F" w:rsidRPr="00203FCB" w:rsidRDefault="0066745F" w:rsidP="0012781A">
            <w:pPr>
              <w:rPr>
                <w:sz w:val="20"/>
                <w:szCs w:val="20"/>
              </w:rPr>
            </w:pPr>
          </w:p>
          <w:p w14:paraId="5C7CDFDA" w14:textId="77777777" w:rsidR="0066745F" w:rsidRPr="00203FCB" w:rsidRDefault="0066745F" w:rsidP="0012781A">
            <w:pPr>
              <w:rPr>
                <w:sz w:val="20"/>
                <w:szCs w:val="20"/>
              </w:rPr>
            </w:pPr>
          </w:p>
          <w:p w14:paraId="3DA49047" w14:textId="77777777" w:rsidR="0066745F" w:rsidRPr="00203FCB" w:rsidRDefault="0066745F" w:rsidP="0012781A">
            <w:pPr>
              <w:rPr>
                <w:sz w:val="20"/>
                <w:szCs w:val="20"/>
              </w:rPr>
            </w:pPr>
          </w:p>
          <w:p w14:paraId="6D3FC4B7" w14:textId="77777777" w:rsidR="0066745F" w:rsidRPr="00203FCB" w:rsidRDefault="0066745F" w:rsidP="0012781A">
            <w:pPr>
              <w:rPr>
                <w:sz w:val="20"/>
                <w:szCs w:val="20"/>
              </w:rPr>
            </w:pPr>
          </w:p>
          <w:p w14:paraId="426A80EA" w14:textId="77777777" w:rsidR="0066745F" w:rsidRPr="00203FCB" w:rsidRDefault="0066745F" w:rsidP="0012781A">
            <w:pPr>
              <w:rPr>
                <w:sz w:val="20"/>
                <w:szCs w:val="20"/>
              </w:rPr>
            </w:pPr>
          </w:p>
          <w:p w14:paraId="0AE06229" w14:textId="77777777" w:rsidR="0066745F" w:rsidRPr="00203FCB" w:rsidRDefault="0066745F" w:rsidP="0012781A">
            <w:pPr>
              <w:rPr>
                <w:sz w:val="20"/>
                <w:szCs w:val="20"/>
              </w:rPr>
            </w:pPr>
          </w:p>
          <w:p w14:paraId="5D226781" w14:textId="77777777" w:rsidR="0066745F" w:rsidRPr="00203FCB" w:rsidRDefault="0066745F" w:rsidP="0012781A">
            <w:pPr>
              <w:rPr>
                <w:sz w:val="20"/>
                <w:szCs w:val="20"/>
              </w:rPr>
            </w:pPr>
          </w:p>
          <w:p w14:paraId="0BE9AAF0" w14:textId="77777777" w:rsidR="0066745F" w:rsidRPr="00203FCB" w:rsidRDefault="0066745F" w:rsidP="0012781A">
            <w:pPr>
              <w:rPr>
                <w:sz w:val="20"/>
                <w:szCs w:val="20"/>
              </w:rPr>
            </w:pPr>
          </w:p>
          <w:p w14:paraId="1E4F8252" w14:textId="77777777" w:rsidR="0066745F" w:rsidRPr="008F7B7C" w:rsidRDefault="0066745F" w:rsidP="0012781A">
            <w:pPr>
              <w:rPr>
                <w:b/>
                <w:bCs/>
                <w:sz w:val="20"/>
                <w:szCs w:val="20"/>
              </w:rPr>
            </w:pPr>
            <w:r w:rsidRPr="008F7B7C">
              <w:rPr>
                <w:b/>
                <w:bCs/>
                <w:sz w:val="20"/>
                <w:szCs w:val="20"/>
              </w:rPr>
              <w:t>2</w:t>
            </w:r>
            <w:r>
              <w:rPr>
                <w:b/>
                <w:bCs/>
                <w:sz w:val="20"/>
                <w:szCs w:val="20"/>
              </w:rPr>
              <w:t>0</w:t>
            </w:r>
            <w:r w:rsidRPr="008F7B7C">
              <w:rPr>
                <w:b/>
                <w:bCs/>
                <w:sz w:val="20"/>
                <w:szCs w:val="20"/>
              </w:rPr>
              <w:t>,000 EUR (for all deliverables in total)</w:t>
            </w:r>
          </w:p>
        </w:tc>
      </w:tr>
      <w:tr w:rsidR="0066745F" w:rsidRPr="00203FCB" w14:paraId="1984A964" w14:textId="77777777" w:rsidTr="0012781A">
        <w:trPr>
          <w:trHeight w:val="432"/>
        </w:trPr>
        <w:tc>
          <w:tcPr>
            <w:tcW w:w="3541" w:type="dxa"/>
            <w:shd w:val="clear" w:color="auto" w:fill="F2F2F2"/>
            <w:vAlign w:val="center"/>
          </w:tcPr>
          <w:p w14:paraId="27BDEAC1" w14:textId="77777777" w:rsidR="0066745F" w:rsidRPr="00203FCB" w:rsidRDefault="0066745F">
            <w:pPr>
              <w:numPr>
                <w:ilvl w:val="0"/>
                <w:numId w:val="36"/>
              </w:numPr>
              <w:ind w:left="313" w:hanging="284"/>
              <w:rPr>
                <w:sz w:val="20"/>
                <w:szCs w:val="20"/>
              </w:rPr>
            </w:pPr>
            <w:r>
              <w:rPr>
                <w:sz w:val="20"/>
                <w:szCs w:val="20"/>
              </w:rPr>
              <w:t xml:space="preserve">Organisation of the focus group discussions. </w:t>
            </w:r>
          </w:p>
        </w:tc>
        <w:tc>
          <w:tcPr>
            <w:tcW w:w="992" w:type="dxa"/>
            <w:vMerge/>
            <w:shd w:val="clear" w:color="auto" w:fill="F2F2F2"/>
          </w:tcPr>
          <w:p w14:paraId="3BE3B5AC" w14:textId="77777777" w:rsidR="0066745F" w:rsidRPr="00203FCB" w:rsidRDefault="0066745F" w:rsidP="0012781A">
            <w:pPr>
              <w:rPr>
                <w:sz w:val="20"/>
                <w:szCs w:val="20"/>
              </w:rPr>
            </w:pPr>
          </w:p>
        </w:tc>
        <w:tc>
          <w:tcPr>
            <w:tcW w:w="954" w:type="dxa"/>
            <w:shd w:val="clear" w:color="auto" w:fill="F2F2F2"/>
          </w:tcPr>
          <w:p w14:paraId="29BD4CDF" w14:textId="77777777" w:rsidR="0066745F" w:rsidRPr="00203FCB" w:rsidRDefault="0066745F" w:rsidP="0012781A">
            <w:pPr>
              <w:rPr>
                <w:sz w:val="20"/>
                <w:szCs w:val="20"/>
              </w:rPr>
            </w:pPr>
          </w:p>
        </w:tc>
        <w:tc>
          <w:tcPr>
            <w:tcW w:w="1031" w:type="dxa"/>
            <w:shd w:val="clear" w:color="auto" w:fill="F2F2F2"/>
          </w:tcPr>
          <w:p w14:paraId="5E3AC221" w14:textId="77777777" w:rsidR="0066745F" w:rsidRPr="00203FCB" w:rsidRDefault="0066745F" w:rsidP="0012781A">
            <w:pPr>
              <w:rPr>
                <w:sz w:val="20"/>
                <w:szCs w:val="20"/>
              </w:rPr>
            </w:pPr>
          </w:p>
        </w:tc>
        <w:tc>
          <w:tcPr>
            <w:tcW w:w="992" w:type="dxa"/>
            <w:vMerge/>
            <w:shd w:val="clear" w:color="auto" w:fill="F2F2F2"/>
          </w:tcPr>
          <w:p w14:paraId="0F3651E5" w14:textId="77777777" w:rsidR="0066745F" w:rsidRPr="00203FCB" w:rsidRDefault="0066745F" w:rsidP="0012781A">
            <w:pPr>
              <w:rPr>
                <w:sz w:val="20"/>
                <w:szCs w:val="20"/>
              </w:rPr>
            </w:pPr>
          </w:p>
        </w:tc>
        <w:tc>
          <w:tcPr>
            <w:tcW w:w="1276" w:type="dxa"/>
            <w:shd w:val="clear" w:color="auto" w:fill="FFFFFF"/>
          </w:tcPr>
          <w:p w14:paraId="31F072DE" w14:textId="77777777" w:rsidR="0066745F" w:rsidRPr="00203FCB" w:rsidRDefault="0066745F" w:rsidP="0012781A">
            <w:pPr>
              <w:rPr>
                <w:sz w:val="20"/>
                <w:szCs w:val="20"/>
              </w:rPr>
            </w:pPr>
          </w:p>
        </w:tc>
        <w:tc>
          <w:tcPr>
            <w:tcW w:w="1417" w:type="dxa"/>
            <w:vMerge/>
            <w:shd w:val="clear" w:color="auto" w:fill="F2F2F2"/>
          </w:tcPr>
          <w:p w14:paraId="70737CB9" w14:textId="77777777" w:rsidR="0066745F" w:rsidRPr="00203FCB" w:rsidRDefault="0066745F" w:rsidP="0012781A">
            <w:pPr>
              <w:rPr>
                <w:sz w:val="20"/>
                <w:szCs w:val="20"/>
              </w:rPr>
            </w:pPr>
          </w:p>
        </w:tc>
      </w:tr>
      <w:tr w:rsidR="0066745F" w:rsidRPr="00203FCB" w14:paraId="7B3AE1E2" w14:textId="77777777" w:rsidTr="0012781A">
        <w:trPr>
          <w:trHeight w:val="432"/>
        </w:trPr>
        <w:tc>
          <w:tcPr>
            <w:tcW w:w="3541" w:type="dxa"/>
            <w:shd w:val="clear" w:color="auto" w:fill="F2F2F2"/>
            <w:vAlign w:val="center"/>
          </w:tcPr>
          <w:p w14:paraId="11630F43" w14:textId="77777777" w:rsidR="0066745F" w:rsidRPr="00203FCB" w:rsidRDefault="0066745F">
            <w:pPr>
              <w:numPr>
                <w:ilvl w:val="0"/>
                <w:numId w:val="36"/>
              </w:numPr>
              <w:ind w:left="313" w:hanging="284"/>
              <w:rPr>
                <w:sz w:val="20"/>
                <w:szCs w:val="20"/>
              </w:rPr>
            </w:pPr>
            <w:r>
              <w:rPr>
                <w:sz w:val="20"/>
                <w:szCs w:val="20"/>
              </w:rPr>
              <w:t>Preparation and submission of the f</w:t>
            </w:r>
            <w:r w:rsidRPr="00203FCB">
              <w:rPr>
                <w:sz w:val="20"/>
                <w:szCs w:val="20"/>
              </w:rPr>
              <w:t>ocus group meetings report with transcripts in Turkish</w:t>
            </w:r>
            <w:r>
              <w:rPr>
                <w:sz w:val="20"/>
                <w:szCs w:val="20"/>
              </w:rPr>
              <w:t>.</w:t>
            </w:r>
          </w:p>
        </w:tc>
        <w:tc>
          <w:tcPr>
            <w:tcW w:w="992" w:type="dxa"/>
            <w:vMerge/>
            <w:shd w:val="clear" w:color="auto" w:fill="F2F2F2"/>
          </w:tcPr>
          <w:p w14:paraId="204D3E15" w14:textId="77777777" w:rsidR="0066745F" w:rsidRPr="00203FCB" w:rsidRDefault="0066745F" w:rsidP="0012781A">
            <w:pPr>
              <w:rPr>
                <w:sz w:val="20"/>
                <w:szCs w:val="20"/>
              </w:rPr>
            </w:pPr>
          </w:p>
        </w:tc>
        <w:tc>
          <w:tcPr>
            <w:tcW w:w="954" w:type="dxa"/>
            <w:shd w:val="clear" w:color="auto" w:fill="F2F2F2"/>
          </w:tcPr>
          <w:p w14:paraId="4E535CB5" w14:textId="77777777" w:rsidR="0066745F" w:rsidRPr="00203FCB" w:rsidRDefault="0066745F" w:rsidP="0012781A">
            <w:pPr>
              <w:rPr>
                <w:sz w:val="20"/>
                <w:szCs w:val="20"/>
              </w:rPr>
            </w:pPr>
          </w:p>
        </w:tc>
        <w:tc>
          <w:tcPr>
            <w:tcW w:w="1031" w:type="dxa"/>
            <w:shd w:val="clear" w:color="auto" w:fill="F2F2F2"/>
          </w:tcPr>
          <w:p w14:paraId="6F18649E" w14:textId="77777777" w:rsidR="0066745F" w:rsidRPr="00203FCB" w:rsidRDefault="0066745F" w:rsidP="0012781A">
            <w:pPr>
              <w:rPr>
                <w:sz w:val="20"/>
                <w:szCs w:val="20"/>
              </w:rPr>
            </w:pPr>
          </w:p>
        </w:tc>
        <w:tc>
          <w:tcPr>
            <w:tcW w:w="992" w:type="dxa"/>
            <w:vMerge/>
            <w:shd w:val="clear" w:color="auto" w:fill="F2F2F2"/>
          </w:tcPr>
          <w:p w14:paraId="15D8EB93" w14:textId="77777777" w:rsidR="0066745F" w:rsidRPr="00203FCB" w:rsidRDefault="0066745F" w:rsidP="0012781A">
            <w:pPr>
              <w:rPr>
                <w:sz w:val="20"/>
                <w:szCs w:val="20"/>
              </w:rPr>
            </w:pPr>
          </w:p>
        </w:tc>
        <w:tc>
          <w:tcPr>
            <w:tcW w:w="1276" w:type="dxa"/>
            <w:shd w:val="clear" w:color="auto" w:fill="FFFFFF"/>
          </w:tcPr>
          <w:p w14:paraId="3DD228B7" w14:textId="77777777" w:rsidR="0066745F" w:rsidRPr="00203FCB" w:rsidRDefault="0066745F" w:rsidP="0012781A">
            <w:pPr>
              <w:rPr>
                <w:sz w:val="20"/>
                <w:szCs w:val="20"/>
              </w:rPr>
            </w:pPr>
          </w:p>
        </w:tc>
        <w:tc>
          <w:tcPr>
            <w:tcW w:w="1417" w:type="dxa"/>
            <w:vMerge/>
            <w:shd w:val="clear" w:color="auto" w:fill="F2F2F2"/>
          </w:tcPr>
          <w:p w14:paraId="4270C4CE" w14:textId="77777777" w:rsidR="0066745F" w:rsidRPr="00203FCB" w:rsidRDefault="0066745F" w:rsidP="0012781A">
            <w:pPr>
              <w:rPr>
                <w:sz w:val="20"/>
                <w:szCs w:val="20"/>
              </w:rPr>
            </w:pPr>
          </w:p>
        </w:tc>
      </w:tr>
      <w:tr w:rsidR="0066745F" w:rsidRPr="00203FCB" w14:paraId="22D8D2A6" w14:textId="77777777" w:rsidTr="0012781A">
        <w:trPr>
          <w:trHeight w:val="432"/>
        </w:trPr>
        <w:tc>
          <w:tcPr>
            <w:tcW w:w="3541" w:type="dxa"/>
            <w:shd w:val="clear" w:color="auto" w:fill="F2F2F2"/>
            <w:vAlign w:val="center"/>
          </w:tcPr>
          <w:p w14:paraId="1CF88D25" w14:textId="77777777" w:rsidR="0066745F" w:rsidRPr="00203FCB" w:rsidRDefault="0066745F">
            <w:pPr>
              <w:numPr>
                <w:ilvl w:val="0"/>
                <w:numId w:val="36"/>
              </w:numPr>
              <w:ind w:left="313" w:hanging="284"/>
              <w:rPr>
                <w:sz w:val="20"/>
                <w:szCs w:val="20"/>
              </w:rPr>
            </w:pPr>
            <w:r w:rsidRPr="00203FCB">
              <w:rPr>
                <w:sz w:val="20"/>
                <w:szCs w:val="20"/>
              </w:rPr>
              <w:t xml:space="preserve">Assist for obtaining necessary approvals and testing the sample </w:t>
            </w:r>
            <w:r>
              <w:rPr>
                <w:sz w:val="20"/>
                <w:szCs w:val="20"/>
              </w:rPr>
              <w:t xml:space="preserve">online </w:t>
            </w:r>
            <w:r w:rsidRPr="00203FCB">
              <w:rPr>
                <w:sz w:val="20"/>
                <w:szCs w:val="20"/>
              </w:rPr>
              <w:t>questionnaires</w:t>
            </w:r>
            <w:r>
              <w:rPr>
                <w:sz w:val="20"/>
                <w:szCs w:val="20"/>
              </w:rPr>
              <w:t>.</w:t>
            </w:r>
            <w:r w:rsidRPr="00203FCB">
              <w:rPr>
                <w:sz w:val="20"/>
                <w:szCs w:val="20"/>
              </w:rPr>
              <w:t xml:space="preserve"> Fine-tuning all questionaries and methodology prior to wider application. </w:t>
            </w:r>
          </w:p>
        </w:tc>
        <w:tc>
          <w:tcPr>
            <w:tcW w:w="992" w:type="dxa"/>
            <w:vMerge/>
            <w:shd w:val="clear" w:color="auto" w:fill="F2F2F2"/>
          </w:tcPr>
          <w:p w14:paraId="064B899B" w14:textId="77777777" w:rsidR="0066745F" w:rsidRPr="00203FCB" w:rsidRDefault="0066745F" w:rsidP="0012781A">
            <w:pPr>
              <w:rPr>
                <w:sz w:val="20"/>
                <w:szCs w:val="20"/>
              </w:rPr>
            </w:pPr>
          </w:p>
        </w:tc>
        <w:tc>
          <w:tcPr>
            <w:tcW w:w="954" w:type="dxa"/>
            <w:shd w:val="clear" w:color="auto" w:fill="F2F2F2"/>
          </w:tcPr>
          <w:p w14:paraId="1AEAA586" w14:textId="77777777" w:rsidR="0066745F" w:rsidRPr="00203FCB" w:rsidRDefault="0066745F" w:rsidP="0012781A">
            <w:pPr>
              <w:rPr>
                <w:sz w:val="20"/>
                <w:szCs w:val="20"/>
              </w:rPr>
            </w:pPr>
          </w:p>
        </w:tc>
        <w:tc>
          <w:tcPr>
            <w:tcW w:w="1031" w:type="dxa"/>
            <w:shd w:val="clear" w:color="auto" w:fill="F2F2F2"/>
          </w:tcPr>
          <w:p w14:paraId="36DCD195" w14:textId="77777777" w:rsidR="0066745F" w:rsidRPr="00203FCB" w:rsidRDefault="0066745F" w:rsidP="0012781A">
            <w:pPr>
              <w:rPr>
                <w:sz w:val="20"/>
                <w:szCs w:val="20"/>
              </w:rPr>
            </w:pPr>
          </w:p>
        </w:tc>
        <w:tc>
          <w:tcPr>
            <w:tcW w:w="992" w:type="dxa"/>
            <w:vMerge/>
            <w:shd w:val="clear" w:color="auto" w:fill="F2F2F2"/>
          </w:tcPr>
          <w:p w14:paraId="50611B0B" w14:textId="77777777" w:rsidR="0066745F" w:rsidRPr="00203FCB" w:rsidRDefault="0066745F" w:rsidP="0012781A">
            <w:pPr>
              <w:rPr>
                <w:sz w:val="20"/>
                <w:szCs w:val="20"/>
              </w:rPr>
            </w:pPr>
          </w:p>
        </w:tc>
        <w:tc>
          <w:tcPr>
            <w:tcW w:w="1276" w:type="dxa"/>
            <w:shd w:val="clear" w:color="auto" w:fill="FFFFFF"/>
          </w:tcPr>
          <w:p w14:paraId="38574DA3" w14:textId="77777777" w:rsidR="0066745F" w:rsidRPr="00203FCB" w:rsidRDefault="0066745F" w:rsidP="0012781A">
            <w:pPr>
              <w:rPr>
                <w:sz w:val="20"/>
                <w:szCs w:val="20"/>
              </w:rPr>
            </w:pPr>
          </w:p>
        </w:tc>
        <w:tc>
          <w:tcPr>
            <w:tcW w:w="1417" w:type="dxa"/>
            <w:vMerge/>
            <w:shd w:val="clear" w:color="auto" w:fill="F2F2F2"/>
          </w:tcPr>
          <w:p w14:paraId="084A3B7D" w14:textId="77777777" w:rsidR="0066745F" w:rsidRPr="00203FCB" w:rsidRDefault="0066745F" w:rsidP="0012781A">
            <w:pPr>
              <w:rPr>
                <w:sz w:val="20"/>
                <w:szCs w:val="20"/>
              </w:rPr>
            </w:pPr>
          </w:p>
        </w:tc>
      </w:tr>
      <w:tr w:rsidR="0066745F" w:rsidRPr="00203FCB" w14:paraId="7688756A" w14:textId="77777777" w:rsidTr="0012781A">
        <w:trPr>
          <w:trHeight w:val="432"/>
        </w:trPr>
        <w:tc>
          <w:tcPr>
            <w:tcW w:w="3541" w:type="dxa"/>
            <w:shd w:val="clear" w:color="auto" w:fill="F2F2F2"/>
            <w:vAlign w:val="center"/>
          </w:tcPr>
          <w:p w14:paraId="7315F288" w14:textId="77777777" w:rsidR="0066745F" w:rsidRPr="00203FCB" w:rsidRDefault="0066745F">
            <w:pPr>
              <w:numPr>
                <w:ilvl w:val="0"/>
                <w:numId w:val="36"/>
              </w:numPr>
              <w:ind w:left="313" w:hanging="284"/>
              <w:rPr>
                <w:sz w:val="20"/>
                <w:szCs w:val="20"/>
              </w:rPr>
            </w:pPr>
            <w:r>
              <w:rPr>
                <w:sz w:val="20"/>
                <w:szCs w:val="20"/>
              </w:rPr>
              <w:t xml:space="preserve">Implementation of the online surveys. </w:t>
            </w:r>
          </w:p>
        </w:tc>
        <w:tc>
          <w:tcPr>
            <w:tcW w:w="992" w:type="dxa"/>
            <w:vMerge/>
            <w:shd w:val="clear" w:color="auto" w:fill="F2F2F2"/>
          </w:tcPr>
          <w:p w14:paraId="2C064F82" w14:textId="77777777" w:rsidR="0066745F" w:rsidRPr="00203FCB" w:rsidRDefault="0066745F" w:rsidP="0012781A">
            <w:pPr>
              <w:rPr>
                <w:sz w:val="20"/>
                <w:szCs w:val="20"/>
              </w:rPr>
            </w:pPr>
          </w:p>
        </w:tc>
        <w:tc>
          <w:tcPr>
            <w:tcW w:w="954" w:type="dxa"/>
            <w:shd w:val="clear" w:color="auto" w:fill="F2F2F2"/>
          </w:tcPr>
          <w:p w14:paraId="0924EAB3" w14:textId="77777777" w:rsidR="0066745F" w:rsidRPr="00203FCB" w:rsidRDefault="0066745F" w:rsidP="0012781A">
            <w:pPr>
              <w:rPr>
                <w:sz w:val="20"/>
                <w:szCs w:val="20"/>
              </w:rPr>
            </w:pPr>
          </w:p>
        </w:tc>
        <w:tc>
          <w:tcPr>
            <w:tcW w:w="1031" w:type="dxa"/>
            <w:shd w:val="clear" w:color="auto" w:fill="F2F2F2"/>
          </w:tcPr>
          <w:p w14:paraId="684C788B" w14:textId="77777777" w:rsidR="0066745F" w:rsidRPr="00203FCB" w:rsidRDefault="0066745F" w:rsidP="0012781A">
            <w:pPr>
              <w:rPr>
                <w:sz w:val="20"/>
                <w:szCs w:val="20"/>
              </w:rPr>
            </w:pPr>
          </w:p>
        </w:tc>
        <w:tc>
          <w:tcPr>
            <w:tcW w:w="992" w:type="dxa"/>
            <w:vMerge/>
            <w:shd w:val="clear" w:color="auto" w:fill="F2F2F2"/>
          </w:tcPr>
          <w:p w14:paraId="58B94A15" w14:textId="77777777" w:rsidR="0066745F" w:rsidRPr="00203FCB" w:rsidRDefault="0066745F" w:rsidP="0012781A">
            <w:pPr>
              <w:rPr>
                <w:sz w:val="20"/>
                <w:szCs w:val="20"/>
              </w:rPr>
            </w:pPr>
          </w:p>
        </w:tc>
        <w:tc>
          <w:tcPr>
            <w:tcW w:w="1276" w:type="dxa"/>
            <w:shd w:val="clear" w:color="auto" w:fill="FFFFFF"/>
          </w:tcPr>
          <w:p w14:paraId="575BDC72" w14:textId="77777777" w:rsidR="0066745F" w:rsidRPr="00203FCB" w:rsidRDefault="0066745F" w:rsidP="0012781A">
            <w:pPr>
              <w:rPr>
                <w:sz w:val="20"/>
                <w:szCs w:val="20"/>
              </w:rPr>
            </w:pPr>
          </w:p>
        </w:tc>
        <w:tc>
          <w:tcPr>
            <w:tcW w:w="1417" w:type="dxa"/>
            <w:vMerge/>
            <w:shd w:val="clear" w:color="auto" w:fill="F2F2F2"/>
          </w:tcPr>
          <w:p w14:paraId="7A24F2ED" w14:textId="77777777" w:rsidR="0066745F" w:rsidRPr="00203FCB" w:rsidRDefault="0066745F" w:rsidP="0012781A">
            <w:pPr>
              <w:rPr>
                <w:sz w:val="20"/>
                <w:szCs w:val="20"/>
              </w:rPr>
            </w:pPr>
          </w:p>
        </w:tc>
      </w:tr>
      <w:tr w:rsidR="0066745F" w:rsidRPr="00203FCB" w14:paraId="03F45983" w14:textId="77777777" w:rsidTr="0012781A">
        <w:trPr>
          <w:trHeight w:val="432"/>
        </w:trPr>
        <w:tc>
          <w:tcPr>
            <w:tcW w:w="3541" w:type="dxa"/>
            <w:shd w:val="clear" w:color="auto" w:fill="F2F2F2"/>
            <w:vAlign w:val="center"/>
          </w:tcPr>
          <w:p w14:paraId="6C0D6582" w14:textId="77777777" w:rsidR="0066745F" w:rsidRPr="00203FCB" w:rsidRDefault="0066745F">
            <w:pPr>
              <w:pStyle w:val="ListParagraph"/>
              <w:numPr>
                <w:ilvl w:val="0"/>
                <w:numId w:val="36"/>
              </w:numPr>
              <w:ind w:left="321" w:hanging="284"/>
              <w:contextualSpacing/>
              <w:rPr>
                <w:sz w:val="20"/>
                <w:szCs w:val="20"/>
              </w:rPr>
            </w:pPr>
            <w:r w:rsidRPr="00203FCB">
              <w:rPr>
                <w:sz w:val="20"/>
                <w:szCs w:val="20"/>
              </w:rPr>
              <w:t>Compiling the results of the online surveys and preparation of the following data for the report;</w:t>
            </w:r>
          </w:p>
          <w:p w14:paraId="58FC0BC2" w14:textId="77777777" w:rsidR="0066745F" w:rsidRPr="00203FCB" w:rsidRDefault="0066745F">
            <w:pPr>
              <w:pStyle w:val="ListParagraph"/>
              <w:numPr>
                <w:ilvl w:val="0"/>
                <w:numId w:val="37"/>
              </w:numPr>
              <w:ind w:left="462" w:hanging="283"/>
              <w:contextualSpacing/>
              <w:rPr>
                <w:sz w:val="20"/>
                <w:szCs w:val="20"/>
              </w:rPr>
            </w:pPr>
            <w:r w:rsidRPr="00203FCB">
              <w:rPr>
                <w:sz w:val="20"/>
                <w:szCs w:val="20"/>
              </w:rPr>
              <w:t xml:space="preserve">A cleaned datafile in Excel format and in SPSS format with clear coding explanations; </w:t>
            </w:r>
          </w:p>
          <w:p w14:paraId="585C0218" w14:textId="77777777" w:rsidR="0066745F" w:rsidRPr="00203FCB" w:rsidRDefault="0066745F">
            <w:pPr>
              <w:numPr>
                <w:ilvl w:val="0"/>
                <w:numId w:val="37"/>
              </w:numPr>
              <w:ind w:left="462" w:hanging="283"/>
              <w:rPr>
                <w:sz w:val="20"/>
                <w:szCs w:val="20"/>
              </w:rPr>
            </w:pPr>
            <w:r w:rsidRPr="00203FCB">
              <w:rPr>
                <w:sz w:val="20"/>
                <w:szCs w:val="20"/>
              </w:rPr>
              <w:t>Results per closed-ended question in table format and graphic format, to be defined;</w:t>
            </w:r>
          </w:p>
          <w:p w14:paraId="5CC92CC8" w14:textId="77777777" w:rsidR="0066745F" w:rsidRPr="00203FCB" w:rsidRDefault="0066745F">
            <w:pPr>
              <w:numPr>
                <w:ilvl w:val="0"/>
                <w:numId w:val="37"/>
              </w:numPr>
              <w:ind w:left="462" w:hanging="283"/>
              <w:rPr>
                <w:sz w:val="20"/>
                <w:szCs w:val="20"/>
              </w:rPr>
            </w:pPr>
            <w:r w:rsidRPr="00203FCB">
              <w:rPr>
                <w:sz w:val="20"/>
                <w:szCs w:val="20"/>
              </w:rPr>
              <w:t xml:space="preserve">Results of coded open-ended question with clear coding explanations; </w:t>
            </w:r>
          </w:p>
          <w:p w14:paraId="2CC7DB3C" w14:textId="77777777" w:rsidR="0066745F" w:rsidRPr="00203FCB" w:rsidRDefault="0066745F">
            <w:pPr>
              <w:numPr>
                <w:ilvl w:val="0"/>
                <w:numId w:val="37"/>
              </w:numPr>
              <w:ind w:left="462" w:hanging="283"/>
              <w:rPr>
                <w:sz w:val="20"/>
                <w:szCs w:val="20"/>
              </w:rPr>
            </w:pPr>
            <w:r w:rsidRPr="00203FCB">
              <w:rPr>
                <w:sz w:val="20"/>
                <w:szCs w:val="20"/>
              </w:rPr>
              <w:t xml:space="preserve">Basic cross tables of some specific crossings of variables, to be defined; </w:t>
            </w:r>
          </w:p>
          <w:p w14:paraId="0A3259D4" w14:textId="77777777" w:rsidR="0066745F" w:rsidRPr="00203FCB" w:rsidRDefault="0066745F">
            <w:pPr>
              <w:numPr>
                <w:ilvl w:val="0"/>
                <w:numId w:val="37"/>
              </w:numPr>
              <w:ind w:left="462" w:hanging="283"/>
              <w:rPr>
                <w:sz w:val="20"/>
                <w:szCs w:val="20"/>
              </w:rPr>
            </w:pPr>
            <w:r w:rsidRPr="00203FCB">
              <w:rPr>
                <w:sz w:val="20"/>
                <w:szCs w:val="20"/>
              </w:rPr>
              <w:t xml:space="preserve">Response analysis; </w:t>
            </w:r>
          </w:p>
          <w:p w14:paraId="48ACC300" w14:textId="77777777" w:rsidR="0066745F" w:rsidRPr="00203FCB" w:rsidRDefault="0066745F" w:rsidP="0012781A">
            <w:pPr>
              <w:ind w:left="313"/>
              <w:rPr>
                <w:sz w:val="20"/>
                <w:szCs w:val="20"/>
              </w:rPr>
            </w:pPr>
          </w:p>
        </w:tc>
        <w:tc>
          <w:tcPr>
            <w:tcW w:w="992" w:type="dxa"/>
            <w:vMerge/>
            <w:shd w:val="clear" w:color="auto" w:fill="F2F2F2"/>
          </w:tcPr>
          <w:p w14:paraId="26C1BE8E" w14:textId="77777777" w:rsidR="0066745F" w:rsidRPr="00203FCB" w:rsidRDefault="0066745F" w:rsidP="0012781A">
            <w:pPr>
              <w:rPr>
                <w:sz w:val="20"/>
                <w:szCs w:val="20"/>
              </w:rPr>
            </w:pPr>
          </w:p>
        </w:tc>
        <w:tc>
          <w:tcPr>
            <w:tcW w:w="954" w:type="dxa"/>
            <w:shd w:val="clear" w:color="auto" w:fill="F2F2F2"/>
          </w:tcPr>
          <w:p w14:paraId="71B8021C" w14:textId="77777777" w:rsidR="0066745F" w:rsidRPr="00203FCB" w:rsidRDefault="0066745F" w:rsidP="0012781A">
            <w:pPr>
              <w:rPr>
                <w:sz w:val="20"/>
                <w:szCs w:val="20"/>
              </w:rPr>
            </w:pPr>
          </w:p>
        </w:tc>
        <w:tc>
          <w:tcPr>
            <w:tcW w:w="1031" w:type="dxa"/>
            <w:shd w:val="clear" w:color="auto" w:fill="F2F2F2"/>
          </w:tcPr>
          <w:p w14:paraId="3B35D2AD" w14:textId="77777777" w:rsidR="0066745F" w:rsidRPr="00203FCB" w:rsidRDefault="0066745F" w:rsidP="0012781A">
            <w:pPr>
              <w:rPr>
                <w:sz w:val="20"/>
                <w:szCs w:val="20"/>
              </w:rPr>
            </w:pPr>
          </w:p>
        </w:tc>
        <w:tc>
          <w:tcPr>
            <w:tcW w:w="992" w:type="dxa"/>
            <w:vMerge/>
            <w:shd w:val="clear" w:color="auto" w:fill="F2F2F2"/>
          </w:tcPr>
          <w:p w14:paraId="1ADFFCE9" w14:textId="77777777" w:rsidR="0066745F" w:rsidRPr="00203FCB" w:rsidRDefault="0066745F" w:rsidP="0012781A">
            <w:pPr>
              <w:rPr>
                <w:sz w:val="20"/>
                <w:szCs w:val="20"/>
              </w:rPr>
            </w:pPr>
          </w:p>
        </w:tc>
        <w:tc>
          <w:tcPr>
            <w:tcW w:w="1276" w:type="dxa"/>
            <w:shd w:val="clear" w:color="auto" w:fill="FFFFFF"/>
          </w:tcPr>
          <w:p w14:paraId="1DF623C1" w14:textId="77777777" w:rsidR="0066745F" w:rsidRPr="00203FCB" w:rsidRDefault="0066745F" w:rsidP="0012781A">
            <w:pPr>
              <w:rPr>
                <w:sz w:val="20"/>
                <w:szCs w:val="20"/>
              </w:rPr>
            </w:pPr>
          </w:p>
        </w:tc>
        <w:tc>
          <w:tcPr>
            <w:tcW w:w="1417" w:type="dxa"/>
            <w:vMerge/>
            <w:shd w:val="clear" w:color="auto" w:fill="F2F2F2"/>
          </w:tcPr>
          <w:p w14:paraId="06C663EE" w14:textId="77777777" w:rsidR="0066745F" w:rsidRPr="00203FCB" w:rsidRDefault="0066745F" w:rsidP="0012781A">
            <w:pPr>
              <w:rPr>
                <w:sz w:val="20"/>
                <w:szCs w:val="20"/>
              </w:rPr>
            </w:pPr>
          </w:p>
        </w:tc>
      </w:tr>
      <w:tr w:rsidR="0066745F" w:rsidRPr="00203FCB" w14:paraId="77F17107" w14:textId="77777777" w:rsidTr="0012781A">
        <w:trPr>
          <w:trHeight w:val="432"/>
        </w:trPr>
        <w:tc>
          <w:tcPr>
            <w:tcW w:w="3541" w:type="dxa"/>
            <w:shd w:val="clear" w:color="auto" w:fill="F2F2F2"/>
            <w:vAlign w:val="center"/>
          </w:tcPr>
          <w:p w14:paraId="501AA4F8" w14:textId="77777777" w:rsidR="0066745F" w:rsidRPr="00203FCB" w:rsidRDefault="0066745F">
            <w:pPr>
              <w:pStyle w:val="ListParagraph"/>
              <w:numPr>
                <w:ilvl w:val="0"/>
                <w:numId w:val="36"/>
              </w:numPr>
              <w:ind w:left="179" w:hanging="179"/>
              <w:contextualSpacing/>
              <w:jc w:val="both"/>
              <w:rPr>
                <w:sz w:val="20"/>
                <w:szCs w:val="20"/>
              </w:rPr>
            </w:pPr>
            <w:r>
              <w:rPr>
                <w:sz w:val="20"/>
                <w:szCs w:val="20"/>
              </w:rPr>
              <w:t xml:space="preserve"> </w:t>
            </w:r>
            <w:r w:rsidRPr="00203FCB">
              <w:rPr>
                <w:sz w:val="20"/>
                <w:szCs w:val="20"/>
              </w:rPr>
              <w:t>Submission of preliminary report and its presentation in English</w:t>
            </w:r>
            <w:r>
              <w:rPr>
                <w:sz w:val="20"/>
                <w:szCs w:val="20"/>
              </w:rPr>
              <w:t xml:space="preserve"> and Turkish</w:t>
            </w:r>
            <w:r w:rsidRPr="00203FCB">
              <w:rPr>
                <w:sz w:val="20"/>
                <w:szCs w:val="20"/>
              </w:rPr>
              <w:t>.</w:t>
            </w:r>
          </w:p>
        </w:tc>
        <w:tc>
          <w:tcPr>
            <w:tcW w:w="992" w:type="dxa"/>
            <w:vMerge/>
            <w:shd w:val="clear" w:color="auto" w:fill="F2F2F2"/>
          </w:tcPr>
          <w:p w14:paraId="2937A8A5" w14:textId="77777777" w:rsidR="0066745F" w:rsidRPr="00203FCB" w:rsidRDefault="0066745F" w:rsidP="0012781A">
            <w:pPr>
              <w:rPr>
                <w:sz w:val="20"/>
                <w:szCs w:val="20"/>
              </w:rPr>
            </w:pPr>
          </w:p>
        </w:tc>
        <w:tc>
          <w:tcPr>
            <w:tcW w:w="954" w:type="dxa"/>
            <w:shd w:val="clear" w:color="auto" w:fill="F2F2F2"/>
          </w:tcPr>
          <w:p w14:paraId="574D80A8" w14:textId="77777777" w:rsidR="0066745F" w:rsidRPr="00203FCB" w:rsidRDefault="0066745F" w:rsidP="0012781A">
            <w:pPr>
              <w:rPr>
                <w:sz w:val="20"/>
                <w:szCs w:val="20"/>
              </w:rPr>
            </w:pPr>
          </w:p>
        </w:tc>
        <w:tc>
          <w:tcPr>
            <w:tcW w:w="1031" w:type="dxa"/>
            <w:shd w:val="clear" w:color="auto" w:fill="F2F2F2"/>
          </w:tcPr>
          <w:p w14:paraId="534D8825" w14:textId="77777777" w:rsidR="0066745F" w:rsidRPr="00203FCB" w:rsidRDefault="0066745F" w:rsidP="0012781A">
            <w:pPr>
              <w:rPr>
                <w:sz w:val="20"/>
                <w:szCs w:val="20"/>
              </w:rPr>
            </w:pPr>
          </w:p>
        </w:tc>
        <w:tc>
          <w:tcPr>
            <w:tcW w:w="992" w:type="dxa"/>
            <w:vMerge/>
            <w:shd w:val="clear" w:color="auto" w:fill="F2F2F2"/>
          </w:tcPr>
          <w:p w14:paraId="606CC87C" w14:textId="77777777" w:rsidR="0066745F" w:rsidRPr="00203FCB" w:rsidRDefault="0066745F" w:rsidP="0012781A">
            <w:pPr>
              <w:rPr>
                <w:sz w:val="20"/>
                <w:szCs w:val="20"/>
              </w:rPr>
            </w:pPr>
          </w:p>
        </w:tc>
        <w:tc>
          <w:tcPr>
            <w:tcW w:w="1276" w:type="dxa"/>
            <w:shd w:val="clear" w:color="auto" w:fill="FFFFFF"/>
          </w:tcPr>
          <w:p w14:paraId="48541D1B" w14:textId="77777777" w:rsidR="0066745F" w:rsidRPr="00203FCB" w:rsidRDefault="0066745F" w:rsidP="0012781A">
            <w:pPr>
              <w:rPr>
                <w:sz w:val="20"/>
                <w:szCs w:val="20"/>
              </w:rPr>
            </w:pPr>
          </w:p>
        </w:tc>
        <w:tc>
          <w:tcPr>
            <w:tcW w:w="1417" w:type="dxa"/>
            <w:vMerge/>
            <w:shd w:val="clear" w:color="auto" w:fill="F2F2F2"/>
          </w:tcPr>
          <w:p w14:paraId="5DED6967" w14:textId="77777777" w:rsidR="0066745F" w:rsidRPr="00203FCB" w:rsidRDefault="0066745F" w:rsidP="0012781A">
            <w:pPr>
              <w:rPr>
                <w:sz w:val="20"/>
                <w:szCs w:val="20"/>
              </w:rPr>
            </w:pPr>
          </w:p>
        </w:tc>
      </w:tr>
      <w:tr w:rsidR="0066745F" w:rsidRPr="00203FCB" w14:paraId="655CC29B" w14:textId="77777777" w:rsidTr="0012781A">
        <w:trPr>
          <w:trHeight w:val="432"/>
        </w:trPr>
        <w:tc>
          <w:tcPr>
            <w:tcW w:w="3541" w:type="dxa"/>
            <w:shd w:val="clear" w:color="auto" w:fill="F2F2F2"/>
            <w:vAlign w:val="center"/>
          </w:tcPr>
          <w:p w14:paraId="048A06DE" w14:textId="77777777" w:rsidR="0066745F" w:rsidRPr="00203FCB" w:rsidRDefault="0066745F">
            <w:pPr>
              <w:numPr>
                <w:ilvl w:val="0"/>
                <w:numId w:val="36"/>
              </w:numPr>
              <w:ind w:left="313" w:hanging="284"/>
              <w:rPr>
                <w:sz w:val="20"/>
                <w:szCs w:val="20"/>
              </w:rPr>
            </w:pPr>
            <w:r w:rsidRPr="00203FCB">
              <w:rPr>
                <w:sz w:val="20"/>
                <w:szCs w:val="20"/>
              </w:rPr>
              <w:t>Produce final report</w:t>
            </w:r>
            <w:r>
              <w:rPr>
                <w:sz w:val="20"/>
                <w:szCs w:val="20"/>
              </w:rPr>
              <w:t xml:space="preserve"> both</w:t>
            </w:r>
            <w:r w:rsidRPr="00203FCB">
              <w:rPr>
                <w:sz w:val="20"/>
                <w:szCs w:val="20"/>
              </w:rPr>
              <w:t xml:space="preserve"> in English</w:t>
            </w:r>
            <w:r>
              <w:rPr>
                <w:sz w:val="20"/>
                <w:szCs w:val="20"/>
              </w:rPr>
              <w:t xml:space="preserve"> and Turkish</w:t>
            </w:r>
            <w:r w:rsidRPr="00203FCB">
              <w:rPr>
                <w:sz w:val="20"/>
                <w:szCs w:val="20"/>
              </w:rPr>
              <w:t xml:space="preserve"> on significant outputs of data analysis and presentation of the results</w:t>
            </w:r>
          </w:p>
        </w:tc>
        <w:tc>
          <w:tcPr>
            <w:tcW w:w="992" w:type="dxa"/>
            <w:vMerge/>
            <w:shd w:val="clear" w:color="auto" w:fill="F2F2F2"/>
          </w:tcPr>
          <w:p w14:paraId="3E3626B9" w14:textId="77777777" w:rsidR="0066745F" w:rsidRPr="00203FCB" w:rsidRDefault="0066745F" w:rsidP="0012781A">
            <w:pPr>
              <w:rPr>
                <w:sz w:val="20"/>
                <w:szCs w:val="20"/>
              </w:rPr>
            </w:pPr>
          </w:p>
        </w:tc>
        <w:tc>
          <w:tcPr>
            <w:tcW w:w="954" w:type="dxa"/>
            <w:shd w:val="clear" w:color="auto" w:fill="F2F2F2"/>
          </w:tcPr>
          <w:p w14:paraId="3E786A43" w14:textId="77777777" w:rsidR="0066745F" w:rsidRPr="00203FCB" w:rsidRDefault="0066745F" w:rsidP="0012781A">
            <w:pPr>
              <w:rPr>
                <w:sz w:val="20"/>
                <w:szCs w:val="20"/>
              </w:rPr>
            </w:pPr>
          </w:p>
        </w:tc>
        <w:tc>
          <w:tcPr>
            <w:tcW w:w="1031" w:type="dxa"/>
            <w:shd w:val="clear" w:color="auto" w:fill="F2F2F2"/>
          </w:tcPr>
          <w:p w14:paraId="2C916B20" w14:textId="77777777" w:rsidR="0066745F" w:rsidRPr="00203FCB" w:rsidRDefault="0066745F" w:rsidP="0012781A">
            <w:pPr>
              <w:rPr>
                <w:sz w:val="20"/>
                <w:szCs w:val="20"/>
              </w:rPr>
            </w:pPr>
          </w:p>
        </w:tc>
        <w:tc>
          <w:tcPr>
            <w:tcW w:w="992" w:type="dxa"/>
            <w:vMerge/>
            <w:shd w:val="clear" w:color="auto" w:fill="F2F2F2"/>
          </w:tcPr>
          <w:p w14:paraId="61C77BD8" w14:textId="77777777" w:rsidR="0066745F" w:rsidRPr="00203FCB" w:rsidRDefault="0066745F" w:rsidP="0012781A">
            <w:pPr>
              <w:rPr>
                <w:b/>
                <w:bCs/>
                <w:sz w:val="20"/>
                <w:szCs w:val="20"/>
              </w:rPr>
            </w:pPr>
          </w:p>
        </w:tc>
        <w:tc>
          <w:tcPr>
            <w:tcW w:w="1276" w:type="dxa"/>
            <w:shd w:val="clear" w:color="auto" w:fill="FFFFFF"/>
          </w:tcPr>
          <w:p w14:paraId="3CE709C6" w14:textId="77777777" w:rsidR="0066745F" w:rsidRPr="00203FCB" w:rsidRDefault="0066745F" w:rsidP="0012781A">
            <w:pPr>
              <w:rPr>
                <w:sz w:val="20"/>
                <w:szCs w:val="20"/>
              </w:rPr>
            </w:pPr>
          </w:p>
        </w:tc>
        <w:tc>
          <w:tcPr>
            <w:tcW w:w="1417" w:type="dxa"/>
            <w:vMerge/>
            <w:shd w:val="clear" w:color="auto" w:fill="F2F2F2"/>
          </w:tcPr>
          <w:p w14:paraId="066ED7E3" w14:textId="77777777" w:rsidR="0066745F" w:rsidRPr="00203FCB" w:rsidRDefault="0066745F" w:rsidP="0012781A">
            <w:pPr>
              <w:rPr>
                <w:sz w:val="20"/>
                <w:szCs w:val="20"/>
              </w:rPr>
            </w:pPr>
          </w:p>
        </w:tc>
      </w:tr>
    </w:tbl>
    <w:p w14:paraId="32A2956B" w14:textId="77777777" w:rsidR="0066745F" w:rsidRDefault="0066745F" w:rsidP="0066745F"/>
    <w:p w14:paraId="224AECEF" w14:textId="77777777" w:rsidR="0066745F" w:rsidRPr="00F42F8F" w:rsidRDefault="0066745F" w:rsidP="0066745F"/>
    <w:p w14:paraId="2F70561B" w14:textId="4621F376" w:rsidR="0066745F" w:rsidRPr="00F42F8F" w:rsidRDefault="0066745F" w:rsidP="0066745F">
      <w:pPr>
        <w:jc w:val="both"/>
      </w:pPr>
      <w:r>
        <w:t xml:space="preserve">(*) There is a fix date (1 September 2023) for the final delivery, which is the final report, subject to payment. 30% of the total cost will be paid to the provider as an advance payment when the contract was signed. The Provider will submit an implementation schedule with concrete date (s) for the main deliverables. </w:t>
      </w:r>
    </w:p>
    <w:p w14:paraId="41FC1ACE" w14:textId="77777777" w:rsidR="0066745F" w:rsidRPr="0066745F" w:rsidRDefault="0066745F" w:rsidP="006A1C42">
      <w:pPr>
        <w:ind w:left="-284"/>
        <w:rPr>
          <w:rFonts w:ascii="Tahoma" w:eastAsia="Calibri" w:hAnsi="Tahoma" w:cs="Tahoma"/>
          <w:b/>
          <w:sz w:val="20"/>
          <w:szCs w:val="20"/>
          <w:lang w:eastAsia="en-US"/>
        </w:rPr>
      </w:pP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07D1D094" w14:textId="2E43016A"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lastRenderedPageBreak/>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Declare that neither I, nor the Provider I represent, are in any of the situations listed in the exclusion criteria as reproduced in the Tender File;</w:t>
      </w:r>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E534FFF" w14:textId="77777777" w:rsidR="00C92B98" w:rsidRPr="00C92B98"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eclare that I am not a retired Council of Europe staff member or a Council of Europe staff member having benefitted from an early departure scheme;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6"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C5AF9"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8BF0269" w14:textId="2D4D1525" w:rsidR="009A6460" w:rsidRPr="00461D85" w:rsidRDefault="00461D85" w:rsidP="00461D85">
            <w:pPr>
              <w:jc w:val="center"/>
              <w:rPr>
                <w:rFonts w:ascii="Tahoma" w:hAnsi="Tahoma" w:cs="Tahoma"/>
                <w:b/>
                <w:bCs/>
                <w:sz w:val="20"/>
                <w:szCs w:val="20"/>
              </w:rPr>
            </w:pPr>
            <w:r w:rsidRPr="00461D85">
              <w:rPr>
                <w:rFonts w:ascii="Tahoma" w:hAnsi="Tahoma" w:cs="Tahoma"/>
                <w:b/>
                <w:bCs/>
                <w:sz w:val="20"/>
                <w:szCs w:val="20"/>
              </w:rPr>
              <w:t xml:space="preserve">William </w:t>
            </w:r>
            <w:proofErr w:type="spellStart"/>
            <w:r w:rsidRPr="00461D85">
              <w:rPr>
                <w:rFonts w:ascii="Tahoma" w:hAnsi="Tahoma" w:cs="Tahoma"/>
                <w:b/>
                <w:bCs/>
                <w:sz w:val="20"/>
                <w:szCs w:val="20"/>
              </w:rPr>
              <w:t>Massolin</w:t>
            </w:r>
            <w:proofErr w:type="spellEnd"/>
          </w:p>
          <w:p w14:paraId="19364A6D" w14:textId="0130F8F3" w:rsidR="00461D85" w:rsidRDefault="00461D85" w:rsidP="00461D85">
            <w:pPr>
              <w:jc w:val="center"/>
              <w:rPr>
                <w:rFonts w:ascii="Tahoma" w:hAnsi="Tahoma" w:cs="Tahoma"/>
                <w:sz w:val="20"/>
                <w:szCs w:val="20"/>
              </w:rPr>
            </w:pPr>
            <w:r>
              <w:rPr>
                <w:rFonts w:ascii="Tahoma" w:hAnsi="Tahoma" w:cs="Tahoma"/>
                <w:sz w:val="20"/>
                <w:szCs w:val="20"/>
              </w:rPr>
              <w:t>Head of Office</w:t>
            </w:r>
          </w:p>
          <w:p w14:paraId="200831FE" w14:textId="4ECB20D9" w:rsidR="00461D85" w:rsidRPr="00EA2362" w:rsidRDefault="00461D85" w:rsidP="00461D85">
            <w:pPr>
              <w:jc w:val="center"/>
              <w:rPr>
                <w:rFonts w:ascii="Tahoma" w:hAnsi="Tahoma" w:cs="Tahoma"/>
                <w:sz w:val="20"/>
                <w:szCs w:val="20"/>
              </w:rPr>
            </w:pPr>
            <w:r>
              <w:rPr>
                <w:rFonts w:ascii="Tahoma" w:hAnsi="Tahoma" w:cs="Tahoma"/>
                <w:sz w:val="20"/>
                <w:szCs w:val="20"/>
              </w:rPr>
              <w:t>Council of Europe Ankara Programme Office</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54FC5755" w:rsidR="009A6460" w:rsidRPr="00EA2362" w:rsidRDefault="009A6460" w:rsidP="00FC7772">
            <w:pPr>
              <w:rPr>
                <w:rFonts w:ascii="Tahoma" w:hAnsi="Tahoma" w:cs="Tahoma"/>
                <w:sz w:val="20"/>
                <w:szCs w:val="20"/>
              </w:rPr>
            </w:pPr>
            <w:r w:rsidRPr="00EA2362">
              <w:rPr>
                <w:rFonts w:ascii="Tahoma" w:hAnsi="Tahoma" w:cs="Tahoma"/>
                <w:sz w:val="20"/>
                <w:szCs w:val="20"/>
              </w:rPr>
              <w:t>In</w:t>
            </w:r>
            <w:r w:rsidR="006F7F0D">
              <w:rPr>
                <w:rFonts w:ascii="Tahoma" w:hAnsi="Tahoma" w:cs="Tahoma"/>
                <w:sz w:val="20"/>
                <w:szCs w:val="20"/>
              </w:rPr>
              <w:t xml:space="preserve"> Ankara</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461D85">
        <w:trPr>
          <w:trHeight w:val="21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1E5FFF93" w14:textId="77777777" w:rsidR="000A2F9E" w:rsidRDefault="000A2F9E" w:rsidP="00FC7772">
            <w:pPr>
              <w:ind w:left="-35"/>
              <w:jc w:val="right"/>
              <w:rPr>
                <w:rFonts w:ascii="Tahoma" w:hAnsi="Tahoma" w:cs="Tahoma"/>
                <w:sz w:val="18"/>
                <w:szCs w:val="18"/>
              </w:rPr>
            </w:pPr>
          </w:p>
          <w:p w14:paraId="191E45FF" w14:textId="77777777" w:rsidR="000A2F9E" w:rsidRDefault="000A2F9E" w:rsidP="00FC7772">
            <w:pPr>
              <w:ind w:left="-35"/>
              <w:jc w:val="right"/>
              <w:rPr>
                <w:rFonts w:ascii="Tahoma" w:hAnsi="Tahoma" w:cs="Tahoma"/>
                <w:sz w:val="18"/>
                <w:szCs w:val="18"/>
              </w:rPr>
            </w:pPr>
          </w:p>
          <w:p w14:paraId="1BE3EC76" w14:textId="77777777" w:rsidR="000A2F9E" w:rsidRDefault="000A2F9E" w:rsidP="00FC7772">
            <w:pPr>
              <w:ind w:left="-35"/>
              <w:jc w:val="right"/>
              <w:rPr>
                <w:rFonts w:ascii="Tahoma" w:hAnsi="Tahoma" w:cs="Tahoma"/>
                <w:sz w:val="18"/>
                <w:szCs w:val="18"/>
              </w:rPr>
            </w:pPr>
          </w:p>
          <w:p w14:paraId="3B973153" w14:textId="77777777" w:rsidR="000A2F9E" w:rsidRDefault="000A2F9E" w:rsidP="00FC7772">
            <w:pPr>
              <w:ind w:left="-35"/>
              <w:jc w:val="right"/>
              <w:rPr>
                <w:rFonts w:ascii="Tahoma" w:hAnsi="Tahoma" w:cs="Tahoma"/>
                <w:sz w:val="18"/>
                <w:szCs w:val="18"/>
              </w:rPr>
            </w:pPr>
          </w:p>
          <w:p w14:paraId="2B5D287B" w14:textId="77777777" w:rsidR="000A2F9E" w:rsidRDefault="000A2F9E" w:rsidP="00FC7772">
            <w:pPr>
              <w:ind w:left="-35"/>
              <w:jc w:val="right"/>
              <w:rPr>
                <w:rFonts w:ascii="Tahoma" w:hAnsi="Tahoma" w:cs="Tahoma"/>
                <w:sz w:val="18"/>
                <w:szCs w:val="18"/>
              </w:rPr>
            </w:pPr>
          </w:p>
          <w:p w14:paraId="454D712E" w14:textId="77777777" w:rsidR="000A2F9E" w:rsidRDefault="000A2F9E" w:rsidP="00FC7772">
            <w:pPr>
              <w:ind w:left="-35"/>
              <w:jc w:val="right"/>
              <w:rPr>
                <w:rFonts w:ascii="Tahoma" w:hAnsi="Tahoma" w:cs="Tahoma"/>
                <w:sz w:val="18"/>
                <w:szCs w:val="18"/>
              </w:rPr>
            </w:pPr>
          </w:p>
          <w:p w14:paraId="42F68654" w14:textId="77777777" w:rsidR="000A2F9E" w:rsidRDefault="000A2F9E" w:rsidP="00FC7772">
            <w:pPr>
              <w:ind w:left="-35"/>
              <w:jc w:val="right"/>
              <w:rPr>
                <w:rFonts w:ascii="Tahoma" w:hAnsi="Tahoma" w:cs="Tahoma"/>
                <w:sz w:val="18"/>
                <w:szCs w:val="18"/>
              </w:rPr>
            </w:pPr>
          </w:p>
          <w:p w14:paraId="483BDD51" w14:textId="77777777" w:rsidR="000A2F9E" w:rsidRDefault="000A2F9E" w:rsidP="00FC7772">
            <w:pPr>
              <w:ind w:left="-35"/>
              <w:jc w:val="right"/>
              <w:rPr>
                <w:rFonts w:ascii="Tahoma" w:hAnsi="Tahoma" w:cs="Tahoma"/>
                <w:sz w:val="18"/>
                <w:szCs w:val="18"/>
              </w:rPr>
            </w:pPr>
          </w:p>
          <w:p w14:paraId="75ABA752" w14:textId="77777777" w:rsidR="000A2F9E" w:rsidRDefault="000A2F9E" w:rsidP="00FC7772">
            <w:pPr>
              <w:ind w:left="-35"/>
              <w:jc w:val="right"/>
              <w:rPr>
                <w:rFonts w:ascii="Tahoma" w:hAnsi="Tahoma" w:cs="Tahoma"/>
                <w:sz w:val="18"/>
                <w:szCs w:val="18"/>
              </w:rPr>
            </w:pPr>
          </w:p>
          <w:p w14:paraId="683BA932" w14:textId="77777777" w:rsidR="000A2F9E" w:rsidRDefault="000A2F9E" w:rsidP="00FC7772">
            <w:pPr>
              <w:ind w:left="-35"/>
              <w:jc w:val="right"/>
              <w:rPr>
                <w:rFonts w:ascii="Tahoma" w:hAnsi="Tahoma" w:cs="Tahoma"/>
                <w:sz w:val="18"/>
                <w:szCs w:val="18"/>
              </w:rPr>
            </w:pPr>
          </w:p>
          <w:p w14:paraId="7259A74C" w14:textId="77777777" w:rsidR="000A2F9E" w:rsidRDefault="000A2F9E" w:rsidP="00FC7772">
            <w:pPr>
              <w:ind w:left="-35"/>
              <w:jc w:val="right"/>
              <w:rPr>
                <w:rFonts w:ascii="Tahoma" w:hAnsi="Tahoma" w:cs="Tahoma"/>
                <w:sz w:val="18"/>
                <w:szCs w:val="18"/>
              </w:rPr>
            </w:pPr>
          </w:p>
          <w:p w14:paraId="212D0CF9"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lastRenderedPageBreak/>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8"/>
          <w:footerReference w:type="default" r:id="rId19"/>
          <w:headerReference w:type="first" r:id="rId20"/>
          <w:footerReference w:type="first" r:id="rId21"/>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19293194" w14:textId="77777777" w:rsidR="002321F7" w:rsidRDefault="002321F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2"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EA4563C" w14:textId="7328F9C6" w:rsidR="002321F7" w:rsidRPr="002321F7" w:rsidRDefault="002321F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DD74F1" w:rsidRDefault="005920E6">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186AE2B" w14:textId="77777777" w:rsidR="001013C9" w:rsidRDefault="005920E6">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lastRenderedPageBreak/>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in order to verify the state of performance of the Deliverables under </w:t>
      </w:r>
      <w:r w:rsidRPr="00361FA3">
        <w:rPr>
          <w:rFonts w:ascii="Tahoma" w:hAnsi="Tahoma" w:cs="Tahoma"/>
          <w:color w:val="000000"/>
          <w:sz w:val="18"/>
          <w:szCs w:val="18"/>
        </w:rPr>
        <w:lastRenderedPageBreak/>
        <w:t>the contract, the proper implementation of the contract and compliance with the other obligations under the contract.</w:t>
      </w:r>
    </w:p>
    <w:p w14:paraId="32379656" w14:textId="77777777" w:rsidR="00361FA3" w:rsidRPr="00361FA3" w:rsidRDefault="00361FA3">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8"/>
    </w:p>
    <w:bookmarkEnd w:id="9"/>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39D46A32" w:rsidR="005920E6" w:rsidRPr="00D0286A"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15D3173" w14:textId="1AB6C5B8" w:rsidR="005920E6" w:rsidRPr="00D0286A"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3"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A54F" w14:textId="77777777" w:rsidR="00AB2A77" w:rsidRDefault="00AB2A77" w:rsidP="00D50F13">
      <w:r>
        <w:separator/>
      </w:r>
    </w:p>
  </w:endnote>
  <w:endnote w:type="continuationSeparator" w:id="0">
    <w:p w14:paraId="079F72DE" w14:textId="77777777" w:rsidR="00AB2A77" w:rsidRDefault="00AB2A77" w:rsidP="00D50F13">
      <w:r>
        <w:continuationSeparator/>
      </w:r>
    </w:p>
  </w:endnote>
  <w:endnote w:type="continuationNotice" w:id="1">
    <w:p w14:paraId="0E4E3E8B" w14:textId="77777777" w:rsidR="00AB2A77" w:rsidRDefault="00AB2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519950C6" w:rsidR="00F96680" w:rsidRPr="00AE2D2B" w:rsidRDefault="00F96680" w:rsidP="00FC7772">
          <w:pPr>
            <w:rPr>
              <w:rFonts w:ascii="Arial Narrow" w:hAnsi="Arial Narrow"/>
              <w:caps/>
              <w:color w:val="000000"/>
              <w:sz w:val="18"/>
              <w:szCs w:val="18"/>
              <w:highlight w:val="cyan"/>
            </w:rPr>
          </w:pP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4292" w14:textId="77777777" w:rsidR="00AB2A77" w:rsidRDefault="00AB2A77" w:rsidP="00D50F13">
      <w:r>
        <w:separator/>
      </w:r>
    </w:p>
  </w:footnote>
  <w:footnote w:type="continuationSeparator" w:id="0">
    <w:p w14:paraId="52CEED69" w14:textId="77777777" w:rsidR="00AB2A77" w:rsidRDefault="00AB2A77" w:rsidP="00D50F13">
      <w:r>
        <w:continuationSeparator/>
      </w:r>
    </w:p>
  </w:footnote>
  <w:footnote w:type="continuationNotice" w:id="1">
    <w:p w14:paraId="4F128BFE" w14:textId="77777777" w:rsidR="00AB2A77" w:rsidRDefault="00AB2A77"/>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Pr="0024691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677A"/>
    <w:multiLevelType w:val="hybridMultilevel"/>
    <w:tmpl w:val="5928F082"/>
    <w:lvl w:ilvl="0" w:tplc="D904FDDE">
      <w:start w:val="1"/>
      <w:numFmt w:val="lowerRoman"/>
      <w:lvlText w:val="%1."/>
      <w:lvlJc w:val="left"/>
      <w:pPr>
        <w:ind w:left="1450" w:hanging="720"/>
      </w:pPr>
      <w:rPr>
        <w:rFonts w:hint="default"/>
        <w:b w:val="0"/>
        <w:bCs w:val="0"/>
      </w:rPr>
    </w:lvl>
    <w:lvl w:ilvl="1" w:tplc="0C000019" w:tentative="1">
      <w:start w:val="1"/>
      <w:numFmt w:val="lowerLetter"/>
      <w:lvlText w:val="%2."/>
      <w:lvlJc w:val="left"/>
      <w:pPr>
        <w:ind w:left="1810" w:hanging="360"/>
      </w:pPr>
    </w:lvl>
    <w:lvl w:ilvl="2" w:tplc="0C00001B" w:tentative="1">
      <w:start w:val="1"/>
      <w:numFmt w:val="lowerRoman"/>
      <w:lvlText w:val="%3."/>
      <w:lvlJc w:val="right"/>
      <w:pPr>
        <w:ind w:left="2530" w:hanging="180"/>
      </w:pPr>
    </w:lvl>
    <w:lvl w:ilvl="3" w:tplc="0C00000F" w:tentative="1">
      <w:start w:val="1"/>
      <w:numFmt w:val="decimal"/>
      <w:lvlText w:val="%4."/>
      <w:lvlJc w:val="left"/>
      <w:pPr>
        <w:ind w:left="3250" w:hanging="360"/>
      </w:pPr>
    </w:lvl>
    <w:lvl w:ilvl="4" w:tplc="0C000019" w:tentative="1">
      <w:start w:val="1"/>
      <w:numFmt w:val="lowerLetter"/>
      <w:lvlText w:val="%5."/>
      <w:lvlJc w:val="left"/>
      <w:pPr>
        <w:ind w:left="3970" w:hanging="360"/>
      </w:pPr>
    </w:lvl>
    <w:lvl w:ilvl="5" w:tplc="0C00001B" w:tentative="1">
      <w:start w:val="1"/>
      <w:numFmt w:val="lowerRoman"/>
      <w:lvlText w:val="%6."/>
      <w:lvlJc w:val="right"/>
      <w:pPr>
        <w:ind w:left="4690" w:hanging="180"/>
      </w:pPr>
    </w:lvl>
    <w:lvl w:ilvl="6" w:tplc="0C00000F" w:tentative="1">
      <w:start w:val="1"/>
      <w:numFmt w:val="decimal"/>
      <w:lvlText w:val="%7."/>
      <w:lvlJc w:val="left"/>
      <w:pPr>
        <w:ind w:left="5410" w:hanging="360"/>
      </w:pPr>
    </w:lvl>
    <w:lvl w:ilvl="7" w:tplc="0C000019" w:tentative="1">
      <w:start w:val="1"/>
      <w:numFmt w:val="lowerLetter"/>
      <w:lvlText w:val="%8."/>
      <w:lvlJc w:val="left"/>
      <w:pPr>
        <w:ind w:left="6130" w:hanging="360"/>
      </w:pPr>
    </w:lvl>
    <w:lvl w:ilvl="8" w:tplc="0C00001B" w:tentative="1">
      <w:start w:val="1"/>
      <w:numFmt w:val="lowerRoman"/>
      <w:lvlText w:val="%9."/>
      <w:lvlJc w:val="right"/>
      <w:pPr>
        <w:ind w:left="6850" w:hanging="180"/>
      </w:p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63411"/>
    <w:multiLevelType w:val="hybridMultilevel"/>
    <w:tmpl w:val="E64A4448"/>
    <w:lvl w:ilvl="0" w:tplc="E3C0C5B0">
      <w:start w:val="1"/>
      <w:numFmt w:val="lowerLetter"/>
      <w:lvlText w:val="(%1)"/>
      <w:lvlJc w:val="left"/>
      <w:pPr>
        <w:ind w:left="720" w:hanging="360"/>
      </w:pPr>
      <w:rPr>
        <w:rFonts w:ascii="Arial" w:eastAsia="Times New Roman" w:hAnsi="Arial" w:cs="Aria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C66AF8"/>
    <w:multiLevelType w:val="hybridMultilevel"/>
    <w:tmpl w:val="12D82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350C5F"/>
    <w:multiLevelType w:val="hybridMultilevel"/>
    <w:tmpl w:val="A2A06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B66341"/>
    <w:multiLevelType w:val="hybridMultilevel"/>
    <w:tmpl w:val="18D60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C5D7F"/>
    <w:multiLevelType w:val="hybridMultilevel"/>
    <w:tmpl w:val="13225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4425219"/>
    <w:multiLevelType w:val="hybridMultilevel"/>
    <w:tmpl w:val="4F06EF8C"/>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A821A6"/>
    <w:multiLevelType w:val="hybridMultilevel"/>
    <w:tmpl w:val="851AA978"/>
    <w:lvl w:ilvl="0" w:tplc="DE3099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AA4F68"/>
    <w:multiLevelType w:val="hybridMultilevel"/>
    <w:tmpl w:val="411C4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810AC4"/>
    <w:multiLevelType w:val="hybridMultilevel"/>
    <w:tmpl w:val="57665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878646">
    <w:abstractNumId w:val="34"/>
  </w:num>
  <w:num w:numId="2" w16cid:durableId="228424069">
    <w:abstractNumId w:val="35"/>
  </w:num>
  <w:num w:numId="3" w16cid:durableId="430971522">
    <w:abstractNumId w:val="32"/>
  </w:num>
  <w:num w:numId="4" w16cid:durableId="548496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2935117">
    <w:abstractNumId w:val="18"/>
  </w:num>
  <w:num w:numId="6" w16cid:durableId="208616775">
    <w:abstractNumId w:val="13"/>
  </w:num>
  <w:num w:numId="7" w16cid:durableId="747918340">
    <w:abstractNumId w:val="31"/>
  </w:num>
  <w:num w:numId="8" w16cid:durableId="936253561">
    <w:abstractNumId w:val="0"/>
  </w:num>
  <w:num w:numId="9" w16cid:durableId="1498615373">
    <w:abstractNumId w:val="15"/>
  </w:num>
  <w:num w:numId="10" w16cid:durableId="1295915589">
    <w:abstractNumId w:val="22"/>
  </w:num>
  <w:num w:numId="11" w16cid:durableId="1033195293">
    <w:abstractNumId w:val="33"/>
  </w:num>
  <w:num w:numId="12" w16cid:durableId="514854148">
    <w:abstractNumId w:val="5"/>
  </w:num>
  <w:num w:numId="13" w16cid:durableId="1576547998">
    <w:abstractNumId w:val="27"/>
  </w:num>
  <w:num w:numId="14" w16cid:durableId="2088726356">
    <w:abstractNumId w:val="17"/>
  </w:num>
  <w:num w:numId="15" w16cid:durableId="1849442478">
    <w:abstractNumId w:val="3"/>
  </w:num>
  <w:num w:numId="16" w16cid:durableId="1782528886">
    <w:abstractNumId w:val="14"/>
  </w:num>
  <w:num w:numId="17" w16cid:durableId="271982143">
    <w:abstractNumId w:val="6"/>
  </w:num>
  <w:num w:numId="18" w16cid:durableId="520628095">
    <w:abstractNumId w:val="4"/>
  </w:num>
  <w:num w:numId="19" w16cid:durableId="527187127">
    <w:abstractNumId w:val="23"/>
  </w:num>
  <w:num w:numId="20" w16cid:durableId="411196266">
    <w:abstractNumId w:val="7"/>
  </w:num>
  <w:num w:numId="21" w16cid:durableId="820537630">
    <w:abstractNumId w:val="36"/>
  </w:num>
  <w:num w:numId="22" w16cid:durableId="2002198782">
    <w:abstractNumId w:val="10"/>
  </w:num>
  <w:num w:numId="23" w16cid:durableId="1684933765">
    <w:abstractNumId w:val="2"/>
  </w:num>
  <w:num w:numId="24" w16cid:durableId="1000036711">
    <w:abstractNumId w:val="28"/>
  </w:num>
  <w:num w:numId="25" w16cid:durableId="30690857">
    <w:abstractNumId w:val="26"/>
  </w:num>
  <w:num w:numId="26" w16cid:durableId="1252086475">
    <w:abstractNumId w:val="16"/>
  </w:num>
  <w:num w:numId="27" w16cid:durableId="579022587">
    <w:abstractNumId w:val="24"/>
  </w:num>
  <w:num w:numId="28" w16cid:durableId="462775387">
    <w:abstractNumId w:val="1"/>
  </w:num>
  <w:num w:numId="29" w16cid:durableId="1148940374">
    <w:abstractNumId w:val="21"/>
  </w:num>
  <w:num w:numId="30" w16cid:durableId="1984237968">
    <w:abstractNumId w:val="9"/>
  </w:num>
  <w:num w:numId="31" w16cid:durableId="1857839669">
    <w:abstractNumId w:val="29"/>
  </w:num>
  <w:num w:numId="32" w16cid:durableId="1671325017">
    <w:abstractNumId w:val="30"/>
  </w:num>
  <w:num w:numId="33" w16cid:durableId="1339577900">
    <w:abstractNumId w:val="12"/>
  </w:num>
  <w:num w:numId="34" w16cid:durableId="299385415">
    <w:abstractNumId w:val="11"/>
  </w:num>
  <w:num w:numId="35" w16cid:durableId="1422989697">
    <w:abstractNumId w:val="19"/>
  </w:num>
  <w:num w:numId="36" w16cid:durableId="1965306950">
    <w:abstractNumId w:val="25"/>
  </w:num>
  <w:num w:numId="37" w16cid:durableId="264970648">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09C6"/>
    <w:rsid w:val="0016172B"/>
    <w:rsid w:val="00163DF5"/>
    <w:rsid w:val="001666FE"/>
    <w:rsid w:val="00182FB2"/>
    <w:rsid w:val="00183E4D"/>
    <w:rsid w:val="0019283C"/>
    <w:rsid w:val="00194446"/>
    <w:rsid w:val="001A207E"/>
    <w:rsid w:val="001A39F3"/>
    <w:rsid w:val="001A5371"/>
    <w:rsid w:val="001A77F3"/>
    <w:rsid w:val="001B0127"/>
    <w:rsid w:val="001B138A"/>
    <w:rsid w:val="001C48CD"/>
    <w:rsid w:val="001C4BA2"/>
    <w:rsid w:val="001C5064"/>
    <w:rsid w:val="001C6878"/>
    <w:rsid w:val="001D2A20"/>
    <w:rsid w:val="001D40AD"/>
    <w:rsid w:val="001D5926"/>
    <w:rsid w:val="001E5424"/>
    <w:rsid w:val="001F5A87"/>
    <w:rsid w:val="002019A5"/>
    <w:rsid w:val="00202926"/>
    <w:rsid w:val="00206F03"/>
    <w:rsid w:val="00212B69"/>
    <w:rsid w:val="00213B7C"/>
    <w:rsid w:val="00225B0D"/>
    <w:rsid w:val="00226241"/>
    <w:rsid w:val="0023030E"/>
    <w:rsid w:val="002321F7"/>
    <w:rsid w:val="002336A0"/>
    <w:rsid w:val="002370A9"/>
    <w:rsid w:val="0024057A"/>
    <w:rsid w:val="00246919"/>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2325B"/>
    <w:rsid w:val="0043746B"/>
    <w:rsid w:val="00437926"/>
    <w:rsid w:val="00441D52"/>
    <w:rsid w:val="004470B4"/>
    <w:rsid w:val="00453769"/>
    <w:rsid w:val="00454D25"/>
    <w:rsid w:val="00461D85"/>
    <w:rsid w:val="00462CF8"/>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6745F"/>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6F7F0D"/>
    <w:rsid w:val="00704102"/>
    <w:rsid w:val="00711683"/>
    <w:rsid w:val="00714D53"/>
    <w:rsid w:val="00724107"/>
    <w:rsid w:val="00740755"/>
    <w:rsid w:val="007434E5"/>
    <w:rsid w:val="00743F00"/>
    <w:rsid w:val="00747ADB"/>
    <w:rsid w:val="007515A4"/>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78DF"/>
    <w:rsid w:val="00A8461F"/>
    <w:rsid w:val="00A85379"/>
    <w:rsid w:val="00A96A37"/>
    <w:rsid w:val="00AA1957"/>
    <w:rsid w:val="00AA7B01"/>
    <w:rsid w:val="00AB03AB"/>
    <w:rsid w:val="00AB13EF"/>
    <w:rsid w:val="00AB2A77"/>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06B"/>
    <w:rsid w:val="00C8439C"/>
    <w:rsid w:val="00C8528A"/>
    <w:rsid w:val="00C865A7"/>
    <w:rsid w:val="00C91120"/>
    <w:rsid w:val="00CA4416"/>
    <w:rsid w:val="00CA6E6F"/>
    <w:rsid w:val="00CB5C26"/>
    <w:rsid w:val="00CD061B"/>
    <w:rsid w:val="00CD0677"/>
    <w:rsid w:val="00CD22FC"/>
    <w:rsid w:val="00CD6081"/>
    <w:rsid w:val="00CD7AE3"/>
    <w:rsid w:val="00CE0F61"/>
    <w:rsid w:val="00CE4E5E"/>
    <w:rsid w:val="00CE58F8"/>
    <w:rsid w:val="00CF653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customStyle="1" w:styleId="ListParagraphChar">
    <w:name w:val="List Paragraph Char"/>
    <w:link w:val="ListParagraph"/>
    <w:uiPriority w:val="34"/>
    <w:locked/>
    <w:rsid w:val="00462CF8"/>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ankara/strengthening-the-criminal-justice-system-in-turke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e.entreprises-etrangeres@dgfip.finances.gouv.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m.coe.int/methodology-for-evaluation-of-hr-training-eng-/1680a2732f" TargetMode="External"/><Relationship Id="rId23"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methodology-for-evaluation-of-hr-training-eng-/1680a2732f" TargetMode="External"/><Relationship Id="rId22"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4.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7585</Words>
  <Characters>43241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2023-05-16T07:42:00Z</dcterms:created>
  <dcterms:modified xsi:type="dcterms:W3CDTF">2023-05-16T07:42:00Z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