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9E0F9D" w14:paraId="4BC18A60" w14:textId="77777777" w:rsidTr="00E54322">
        <w:trPr>
          <w:trHeight w:val="737"/>
        </w:trPr>
        <w:tc>
          <w:tcPr>
            <w:tcW w:w="1250" w:type="pct"/>
            <w:vAlign w:val="center"/>
          </w:tcPr>
          <w:p w14:paraId="6A0BE981" w14:textId="77777777" w:rsidR="002D11B8" w:rsidRPr="009E0F9D" w:rsidRDefault="003D6AC2" w:rsidP="00E54322">
            <w:pPr>
              <w:widowControl w:val="0"/>
              <w:autoSpaceDE w:val="0"/>
              <w:autoSpaceDN w:val="0"/>
              <w:adjustRightInd w:val="0"/>
              <w:rPr>
                <w:rFonts w:ascii="Arial Narrow" w:hAnsi="Arial Narrow" w:cs="Calibri"/>
                <w:szCs w:val="20"/>
              </w:rPr>
            </w:pPr>
            <w:r w:rsidRPr="009E0F9D">
              <w:rPr>
                <w:rFonts w:ascii="Arial Narrow" w:hAnsi="Arial Narrow" w:cs="Calibri"/>
                <w:b/>
                <w:bCs/>
                <w:szCs w:val="20"/>
              </w:rPr>
              <w:t>MINISTERS’ DEPUTIES</w:t>
            </w:r>
          </w:p>
        </w:tc>
        <w:tc>
          <w:tcPr>
            <w:tcW w:w="1250" w:type="pct"/>
            <w:vAlign w:val="center"/>
          </w:tcPr>
          <w:p w14:paraId="6609F5CB" w14:textId="77777777" w:rsidR="002D11B8" w:rsidRPr="009E0F9D" w:rsidRDefault="003D6AC2" w:rsidP="00E54322">
            <w:pPr>
              <w:ind w:left="-108"/>
              <w:jc w:val="center"/>
              <w:rPr>
                <w:rFonts w:ascii="Arial Narrow" w:hAnsi="Arial Narrow" w:cs="Arial"/>
                <w:szCs w:val="20"/>
              </w:rPr>
            </w:pPr>
            <w:r w:rsidRPr="009E0F9D">
              <w:rPr>
                <w:rFonts w:ascii="Arial Narrow" w:hAnsi="Arial Narrow" w:cs="Calibri"/>
                <w:szCs w:val="20"/>
              </w:rPr>
              <w:t>CM Documents</w:t>
            </w:r>
          </w:p>
        </w:tc>
        <w:tc>
          <w:tcPr>
            <w:tcW w:w="1250" w:type="pct"/>
            <w:vAlign w:val="center"/>
          </w:tcPr>
          <w:p w14:paraId="27275739" w14:textId="4E2FB621" w:rsidR="002D11B8" w:rsidRPr="000474A6" w:rsidRDefault="000474A6" w:rsidP="00E0341E">
            <w:pPr>
              <w:ind w:left="-40"/>
              <w:jc w:val="center"/>
              <w:rPr>
                <w:rFonts w:ascii="Arial Narrow" w:hAnsi="Arial Narrow" w:cs="Arial"/>
                <w:b/>
                <w:sz w:val="24"/>
                <w:szCs w:val="24"/>
              </w:rPr>
            </w:pPr>
            <w:proofErr w:type="gramStart"/>
            <w:r w:rsidRPr="000474A6">
              <w:rPr>
                <w:rFonts w:ascii="Arial Narrow" w:hAnsi="Arial Narrow" w:cs="Calibri"/>
                <w:b/>
                <w:sz w:val="24"/>
                <w:szCs w:val="24"/>
              </w:rPr>
              <w:t>CM(</w:t>
            </w:r>
            <w:proofErr w:type="gramEnd"/>
            <w:r w:rsidRPr="000474A6">
              <w:rPr>
                <w:rFonts w:ascii="Arial Narrow" w:hAnsi="Arial Narrow" w:cs="Calibri"/>
                <w:b/>
                <w:sz w:val="24"/>
                <w:szCs w:val="24"/>
              </w:rPr>
              <w:t>2026)131-add2final</w:t>
            </w:r>
          </w:p>
        </w:tc>
        <w:tc>
          <w:tcPr>
            <w:tcW w:w="1250" w:type="pct"/>
            <w:vAlign w:val="center"/>
          </w:tcPr>
          <w:p w14:paraId="2B49DD75" w14:textId="023C5291" w:rsidR="002D11B8" w:rsidRPr="009E0F9D" w:rsidRDefault="00796EA1" w:rsidP="00E0341E">
            <w:pPr>
              <w:jc w:val="right"/>
              <w:rPr>
                <w:rFonts w:ascii="Arial Narrow" w:hAnsi="Arial Narrow" w:cs="Arial"/>
                <w:sz w:val="16"/>
                <w:szCs w:val="16"/>
              </w:rPr>
            </w:pPr>
            <w:r>
              <w:rPr>
                <w:rFonts w:ascii="Arial Narrow" w:hAnsi="Arial Narrow" w:cs="Calibri"/>
                <w:sz w:val="16"/>
                <w:szCs w:val="16"/>
              </w:rPr>
              <w:t>7 October</w:t>
            </w:r>
            <w:r w:rsidR="002D11B8" w:rsidRPr="009E0F9D">
              <w:rPr>
                <w:rFonts w:ascii="Arial Narrow" w:hAnsi="Arial Narrow" w:cs="Calibri"/>
                <w:sz w:val="16"/>
                <w:szCs w:val="16"/>
              </w:rPr>
              <w:t xml:space="preserve"> </w:t>
            </w:r>
            <w:r w:rsidR="002147DF" w:rsidRPr="009E0F9D">
              <w:rPr>
                <w:rFonts w:ascii="Arial Narrow" w:hAnsi="Arial Narrow" w:cs="Calibri"/>
                <w:sz w:val="16"/>
                <w:szCs w:val="16"/>
              </w:rPr>
              <w:t>20</w:t>
            </w:r>
            <w:r w:rsidR="009922A4" w:rsidRPr="009E0F9D">
              <w:rPr>
                <w:rFonts w:ascii="Arial Narrow" w:hAnsi="Arial Narrow" w:cs="Calibri"/>
                <w:sz w:val="16"/>
                <w:szCs w:val="16"/>
              </w:rPr>
              <w:t>26</w:t>
            </w:r>
          </w:p>
        </w:tc>
      </w:tr>
    </w:tbl>
    <w:p w14:paraId="5AE6598B" w14:textId="77777777" w:rsidR="00D554E6" w:rsidRPr="009E0F9D"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9E0F9D" w14:paraId="7E6BCD76" w14:textId="77777777" w:rsidTr="00E54322">
        <w:tc>
          <w:tcPr>
            <w:tcW w:w="9399" w:type="dxa"/>
            <w:tcMar>
              <w:top w:w="227" w:type="dxa"/>
              <w:bottom w:w="227" w:type="dxa"/>
            </w:tcMar>
            <w:vAlign w:val="center"/>
          </w:tcPr>
          <w:p w14:paraId="734FD3DD" w14:textId="582B961F" w:rsidR="005711C8" w:rsidRPr="009E0F9D" w:rsidRDefault="005711C8" w:rsidP="005711C8">
            <w:pPr>
              <w:widowControl w:val="0"/>
              <w:autoSpaceDE w:val="0"/>
              <w:autoSpaceDN w:val="0"/>
              <w:adjustRightInd w:val="0"/>
              <w:rPr>
                <w:rFonts w:ascii="Arial Narrow" w:hAnsi="Arial Narrow" w:cs="Calibri"/>
                <w:b/>
                <w:bCs/>
                <w:sz w:val="32"/>
                <w:szCs w:val="32"/>
              </w:rPr>
            </w:pPr>
            <w:r w:rsidRPr="009E0F9D">
              <w:rPr>
                <w:rFonts w:ascii="Arial Narrow" w:hAnsi="Arial Narrow" w:cs="Calibri"/>
                <w:b/>
                <w:bCs/>
                <w:sz w:val="32"/>
                <w:szCs w:val="32"/>
              </w:rPr>
              <w:t>157</w:t>
            </w:r>
            <w:r w:rsidR="00C919AF" w:rsidRPr="009E0F9D">
              <w:rPr>
                <w:rFonts w:ascii="Arial Narrow" w:hAnsi="Arial Narrow" w:cs="Calibri"/>
                <w:b/>
                <w:bCs/>
                <w:sz w:val="32"/>
                <w:szCs w:val="32"/>
              </w:rPr>
              <w:t>1</w:t>
            </w:r>
            <w:r w:rsidR="00C919AF" w:rsidRPr="009E0F9D">
              <w:rPr>
                <w:rFonts w:ascii="Arial Narrow" w:hAnsi="Arial Narrow" w:cs="Calibri"/>
                <w:b/>
                <w:bCs/>
                <w:sz w:val="32"/>
                <w:szCs w:val="32"/>
                <w:vertAlign w:val="superscript"/>
              </w:rPr>
              <w:t>st</w:t>
            </w:r>
            <w:r w:rsidRPr="009E0F9D">
              <w:rPr>
                <w:rFonts w:ascii="Arial Narrow" w:hAnsi="Arial Narrow" w:cs="Calibri"/>
                <w:b/>
                <w:bCs/>
                <w:sz w:val="32"/>
                <w:szCs w:val="32"/>
              </w:rPr>
              <w:t xml:space="preserve"> meeting, </w:t>
            </w:r>
            <w:r w:rsidR="0041617C" w:rsidRPr="009E0F9D">
              <w:rPr>
                <w:rFonts w:ascii="Arial Narrow" w:hAnsi="Arial Narrow" w:cs="Calibri"/>
                <w:b/>
                <w:bCs/>
                <w:sz w:val="32"/>
                <w:szCs w:val="32"/>
              </w:rPr>
              <w:t>7</w:t>
            </w:r>
            <w:r w:rsidR="00C919AF" w:rsidRPr="009E0F9D">
              <w:rPr>
                <w:rFonts w:ascii="Arial Narrow" w:hAnsi="Arial Narrow" w:cs="Calibri"/>
                <w:b/>
                <w:bCs/>
                <w:sz w:val="32"/>
                <w:szCs w:val="32"/>
              </w:rPr>
              <w:t xml:space="preserve"> October</w:t>
            </w:r>
            <w:r w:rsidRPr="009E0F9D">
              <w:rPr>
                <w:rFonts w:ascii="Arial Narrow" w:hAnsi="Arial Narrow" w:cs="Calibri"/>
                <w:b/>
                <w:bCs/>
                <w:sz w:val="32"/>
                <w:szCs w:val="32"/>
              </w:rPr>
              <w:t xml:space="preserve"> 2026</w:t>
            </w:r>
          </w:p>
          <w:p w14:paraId="587FC21D" w14:textId="77777777" w:rsidR="005711C8" w:rsidRPr="009E0F9D" w:rsidRDefault="005711C8" w:rsidP="005711C8">
            <w:pPr>
              <w:rPr>
                <w:rFonts w:ascii="Arial Narrow" w:hAnsi="Arial Narrow" w:cs="Calibri"/>
                <w:sz w:val="22"/>
              </w:rPr>
            </w:pPr>
            <w:r w:rsidRPr="009E0F9D">
              <w:rPr>
                <w:rFonts w:ascii="Arial Narrow" w:hAnsi="Arial Narrow" w:cs="Calibri"/>
                <w:sz w:val="22"/>
              </w:rPr>
              <w:t>10 Legal questions</w:t>
            </w:r>
          </w:p>
          <w:p w14:paraId="3846C40D" w14:textId="77777777" w:rsidR="005711C8" w:rsidRPr="009E0F9D" w:rsidRDefault="005711C8" w:rsidP="005711C8">
            <w:pPr>
              <w:rPr>
                <w:rFonts w:ascii="Arial Narrow" w:hAnsi="Arial Narrow" w:cs="Calibri"/>
                <w:i/>
                <w:szCs w:val="20"/>
              </w:rPr>
            </w:pPr>
            <w:r w:rsidRPr="009E0F9D">
              <w:rPr>
                <w:rFonts w:ascii="Arial Narrow" w:hAnsi="Arial Narrow" w:cs="Calibri"/>
                <w:i/>
                <w:szCs w:val="20"/>
              </w:rPr>
              <w:t xml:space="preserve"> </w:t>
            </w:r>
          </w:p>
          <w:p w14:paraId="2C511FAD" w14:textId="0C377E54" w:rsidR="00C919AF" w:rsidRPr="009E0F9D" w:rsidRDefault="00436E20" w:rsidP="00C919AF">
            <w:pPr>
              <w:rPr>
                <w:rFonts w:ascii="Arial Narrow" w:hAnsi="Arial Narrow" w:cs="Calibri"/>
                <w:b/>
                <w:sz w:val="28"/>
                <w:szCs w:val="28"/>
              </w:rPr>
            </w:pPr>
            <w:r>
              <w:rPr>
                <w:rFonts w:ascii="Arial Narrow" w:hAnsi="Arial Narrow" w:cs="Calibri"/>
                <w:b/>
                <w:sz w:val="28"/>
                <w:szCs w:val="28"/>
              </w:rPr>
              <w:t>10.3</w:t>
            </w:r>
            <w:r w:rsidR="005711C8" w:rsidRPr="009E0F9D">
              <w:rPr>
                <w:rFonts w:ascii="Arial Narrow" w:hAnsi="Arial Narrow" w:cs="Calibri"/>
                <w:b/>
                <w:sz w:val="28"/>
                <w:szCs w:val="28"/>
              </w:rPr>
              <w:t xml:space="preserve"> </w:t>
            </w:r>
            <w:r w:rsidR="00C919AF" w:rsidRPr="009E0F9D">
              <w:rPr>
                <w:rFonts w:ascii="Arial Narrow" w:hAnsi="Arial Narrow" w:cs="Calibri"/>
                <w:b/>
                <w:sz w:val="28"/>
                <w:szCs w:val="28"/>
              </w:rPr>
              <w:t xml:space="preserve">Council of Europe Committee on </w:t>
            </w:r>
            <w:proofErr w:type="gramStart"/>
            <w:r w:rsidR="00C919AF" w:rsidRPr="009E0F9D">
              <w:rPr>
                <w:rFonts w:ascii="Arial Narrow" w:hAnsi="Arial Narrow" w:cs="Calibri"/>
                <w:b/>
                <w:sz w:val="28"/>
                <w:szCs w:val="28"/>
              </w:rPr>
              <w:t>Counter-Terrorism</w:t>
            </w:r>
            <w:proofErr w:type="gramEnd"/>
            <w:r w:rsidR="00C919AF" w:rsidRPr="009E0F9D">
              <w:rPr>
                <w:rFonts w:ascii="Arial Narrow" w:hAnsi="Arial Narrow" w:cs="Calibri"/>
                <w:b/>
                <w:sz w:val="28"/>
                <w:szCs w:val="28"/>
              </w:rPr>
              <w:t xml:space="preserve"> (CDCT)</w:t>
            </w:r>
          </w:p>
          <w:p w14:paraId="3F39002C" w14:textId="78C93799" w:rsidR="00C919AF" w:rsidRPr="009E0F9D" w:rsidRDefault="009922A4" w:rsidP="00C919AF">
            <w:pPr>
              <w:rPr>
                <w:rFonts w:ascii="Arial Narrow" w:hAnsi="Arial Narrow" w:cs="Calibri"/>
                <w:sz w:val="22"/>
              </w:rPr>
            </w:pPr>
            <w:r w:rsidRPr="009E0F9D">
              <w:rPr>
                <w:rFonts w:ascii="Arial Narrow" w:hAnsi="Arial Narrow" w:cs="Calibri"/>
                <w:sz w:val="22"/>
              </w:rPr>
              <w:t>b</w:t>
            </w:r>
            <w:r w:rsidR="00C919AF" w:rsidRPr="009E0F9D">
              <w:rPr>
                <w:rFonts w:ascii="Arial Narrow" w:hAnsi="Arial Narrow" w:cs="Calibri"/>
                <w:sz w:val="22"/>
              </w:rPr>
              <w:t xml:space="preserve">. </w:t>
            </w:r>
            <w:r w:rsidRPr="009E0F9D">
              <w:rPr>
                <w:rFonts w:ascii="Arial Narrow" w:hAnsi="Arial Narrow" w:cs="Calibri"/>
                <w:sz w:val="22"/>
              </w:rPr>
              <w:t xml:space="preserve">Recommendation </w:t>
            </w:r>
            <w:bookmarkStart w:id="0" w:name="_ML_000000000001_VALID"/>
            <w:r w:rsidR="000474A6" w:rsidRPr="000474A6">
              <w:rPr>
                <w:rFonts w:ascii="Arial Narrow" w:hAnsi="Arial Narrow" w:cs="Calibri"/>
                <w:sz w:val="22"/>
              </w:rPr>
              <w:fldChar w:fldCharType="begin"/>
            </w:r>
            <w:r w:rsidR="000474A6" w:rsidRPr="000474A6">
              <w:rPr>
                <w:rFonts w:ascii="Arial Narrow" w:hAnsi="Arial Narrow" w:cs="Calibri"/>
                <w:sz w:val="22"/>
              </w:rPr>
              <w:instrText>HYPERLINK "https://search.coe.int/cm/eng#%7B%22CoEReference%22:[%22CM/Rec(2026)13%22],%22CoELanguageId%22:[%22eng%22],%22CoECollection%22:[%22COE_DOC%22],%22po%22:%7B%22ref%22:%22=%22%7D%7D" \o "Recommendation of the Committee of Ministers to member States on prosecuting terrorist offences, serious violations of international humanitarian law and other core international crimes committed in the context of a non-international armed conflict (Adopted by the Committee of Ministers on 7 October 2026 at the 1571st meeting of the Ministers' Deputies)"</w:instrText>
            </w:r>
            <w:r w:rsidR="000474A6" w:rsidRPr="000474A6">
              <w:rPr>
                <w:rFonts w:ascii="Arial Narrow" w:hAnsi="Arial Narrow" w:cs="Calibri"/>
                <w:sz w:val="22"/>
              </w:rPr>
            </w:r>
            <w:r w:rsidR="000474A6" w:rsidRPr="000474A6">
              <w:rPr>
                <w:rFonts w:ascii="Arial Narrow" w:hAnsi="Arial Narrow" w:cs="Calibri"/>
                <w:sz w:val="22"/>
              </w:rPr>
              <w:fldChar w:fldCharType="separate"/>
            </w:r>
            <w:bookmarkEnd w:id="0"/>
            <w:r w:rsidR="000474A6" w:rsidRPr="000474A6">
              <w:rPr>
                <w:rStyle w:val="Lienhypertexte"/>
                <w:rFonts w:ascii="Arial Narrow" w:hAnsi="Arial Narrow" w:cs="Calibri"/>
                <w:sz w:val="22"/>
              </w:rPr>
              <w:t>CM/Rec(2026)13</w:t>
            </w:r>
            <w:r w:rsidR="000474A6" w:rsidRPr="000474A6">
              <w:rPr>
                <w:rFonts w:ascii="Arial Narrow" w:hAnsi="Arial Narrow" w:cs="Calibri"/>
                <w:sz w:val="22"/>
              </w:rPr>
              <w:fldChar w:fldCharType="end"/>
            </w:r>
            <w:r w:rsidRPr="009E0F9D">
              <w:rPr>
                <w:rFonts w:ascii="Arial Narrow" w:hAnsi="Arial Narrow" w:cs="Calibri"/>
                <w:sz w:val="22"/>
              </w:rPr>
              <w:t xml:space="preserve"> of the Committee of Ministers to member States on prosecuting terrorist offences, serious violations of international humanitarian law and other core international crimes committed in the context of a non-international armed conflict</w:t>
            </w:r>
          </w:p>
          <w:p w14:paraId="5556CFB9" w14:textId="45B5CBD5" w:rsidR="00E457C3" w:rsidRPr="009E0F9D" w:rsidRDefault="004D3230" w:rsidP="005711C8">
            <w:pPr>
              <w:rPr>
                <w:rFonts w:ascii="Arial Narrow" w:hAnsi="Arial Narrow" w:cs="Calibri"/>
                <w:sz w:val="22"/>
              </w:rPr>
            </w:pPr>
            <w:r w:rsidRPr="009E0F9D">
              <w:rPr>
                <w:rFonts w:ascii="Arial Narrow" w:hAnsi="Arial Narrow" w:cs="Calibri"/>
                <w:sz w:val="22"/>
              </w:rPr>
              <w:t xml:space="preserve">Explanatory </w:t>
            </w:r>
            <w:r w:rsidR="00BE20AB" w:rsidRPr="009E0F9D">
              <w:rPr>
                <w:rFonts w:ascii="Arial Narrow" w:hAnsi="Arial Narrow" w:cs="Calibri"/>
                <w:sz w:val="22"/>
              </w:rPr>
              <w:t>Memorandum</w:t>
            </w:r>
          </w:p>
        </w:tc>
      </w:tr>
    </w:tbl>
    <w:p w14:paraId="08B61F3B" w14:textId="77777777" w:rsidR="00D41C91" w:rsidRPr="009E0F9D" w:rsidRDefault="00D41C91" w:rsidP="0037200F">
      <w:pPr>
        <w:rPr>
          <w:rFonts w:eastAsia="Times New Roman"/>
          <w:szCs w:val="24"/>
        </w:rPr>
      </w:pPr>
      <w:r w:rsidRPr="009E0F9D">
        <w:rPr>
          <w:rFonts w:eastAsia="Times New Roman"/>
          <w:szCs w:val="24"/>
        </w:rPr>
        <w:t xml:space="preserve"> </w:t>
      </w:r>
    </w:p>
    <w:p w14:paraId="2EEAD7D7" w14:textId="30E1C3AD" w:rsidR="00C919AF" w:rsidRPr="009E0F9D" w:rsidRDefault="00E54322" w:rsidP="00162B23">
      <w:pPr>
        <w:widowControl w:val="0"/>
        <w:rPr>
          <w:rFonts w:eastAsia="Times New Roman" w:cs="Arial"/>
          <w:szCs w:val="20"/>
        </w:rPr>
      </w:pPr>
      <w:r w:rsidRPr="009E0F9D">
        <w:rPr>
          <w:rFonts w:eastAsia="Times New Roman"/>
          <w:szCs w:val="24"/>
        </w:rPr>
        <w:t xml:space="preserve"> </w:t>
      </w:r>
    </w:p>
    <w:p w14:paraId="17D89A47" w14:textId="77777777" w:rsidR="004D3230" w:rsidRPr="009E0F9D" w:rsidRDefault="004D3230" w:rsidP="00162B23">
      <w:pPr>
        <w:pStyle w:val="Titre1"/>
        <w:keepNext w:val="0"/>
        <w:keepLines w:val="0"/>
        <w:widowControl w:val="0"/>
        <w:rPr>
          <w:rFonts w:cs="Arial"/>
          <w:szCs w:val="20"/>
        </w:rPr>
      </w:pPr>
      <w:bookmarkStart w:id="1" w:name="_Toc94775407"/>
      <w:bookmarkStart w:id="2" w:name="_Toc222735672"/>
      <w:r w:rsidRPr="009E0F9D">
        <w:rPr>
          <w:rFonts w:cs="Arial"/>
          <w:szCs w:val="20"/>
        </w:rPr>
        <w:t>Background</w:t>
      </w:r>
      <w:bookmarkEnd w:id="1"/>
      <w:bookmarkEnd w:id="2"/>
    </w:p>
    <w:p w14:paraId="6BA344B2" w14:textId="77777777" w:rsidR="004D3230" w:rsidRPr="009E0F9D" w:rsidRDefault="004D3230" w:rsidP="00162B23">
      <w:pPr>
        <w:widowControl w:val="0"/>
        <w:rPr>
          <w:rFonts w:cs="Arial"/>
          <w:szCs w:val="20"/>
        </w:rPr>
      </w:pPr>
    </w:p>
    <w:p w14:paraId="718F55A0"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bookmarkStart w:id="3" w:name="_Hlk217224058"/>
      <w:r w:rsidRPr="009E0F9D">
        <w:rPr>
          <w:rFonts w:ascii="Arial" w:hAnsi="Arial" w:cs="Arial"/>
          <w:sz w:val="20"/>
          <w:szCs w:val="20"/>
        </w:rPr>
        <w:t>Terrorism, in all its forms and manifestations, constitutes one of the most serious threats to international peace and security. Member States and their competent authorities have the primary role in and responsibility for preventing and countering terrorism and for holding accountable</w:t>
      </w:r>
      <w:r w:rsidRPr="009E0F9D">
        <w:rPr>
          <w:rFonts w:ascii="Arial" w:hAnsi="Arial" w:cs="Arial"/>
          <w:sz w:val="20"/>
          <w:szCs w:val="20"/>
          <w:lang w:eastAsia="fr-FR"/>
        </w:rPr>
        <w:t xml:space="preserve"> those under their jurisdiction who commit terrorist offences, including during an armed conflict.</w:t>
      </w:r>
    </w:p>
    <w:p w14:paraId="22D4C9CC" w14:textId="77777777" w:rsidR="004D3230" w:rsidRPr="009E0F9D" w:rsidRDefault="004D3230" w:rsidP="00162B23">
      <w:pPr>
        <w:pStyle w:val="Paragraphedeliste"/>
        <w:widowControl w:val="0"/>
        <w:ind w:left="0"/>
        <w:rPr>
          <w:rFonts w:ascii="Arial" w:hAnsi="Arial" w:cs="Arial"/>
          <w:sz w:val="20"/>
          <w:szCs w:val="20"/>
        </w:rPr>
      </w:pPr>
    </w:p>
    <w:p w14:paraId="584E558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In discharging their responsibility, States have faced legal issues of criminal liability arising from the intersection of armed conflict and terrorist activity. These issues became apparent notably in the context of the armed conflict in Syria and Iraq in relation to the return and relocation of foreign terrorist fighters suspected of involvement in the atrocities committed in this context. </w:t>
      </w:r>
    </w:p>
    <w:p w14:paraId="5033DB48" w14:textId="77777777" w:rsidR="004D3230" w:rsidRPr="009E0F9D" w:rsidRDefault="004D3230" w:rsidP="00162B23">
      <w:pPr>
        <w:pStyle w:val="Paragraphedeliste"/>
        <w:widowControl w:val="0"/>
        <w:rPr>
          <w:rFonts w:ascii="Arial" w:hAnsi="Arial" w:cs="Arial"/>
          <w:sz w:val="20"/>
          <w:szCs w:val="20"/>
        </w:rPr>
      </w:pPr>
    </w:p>
    <w:p w14:paraId="70703EAE"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fact that certain groups designated as terrorist or involved in acts of terrorism, such as ISIL(Daesh), could also commit acts of violence as non-State armed groups has led to the applicability of counter-terrorism legal frameworks in situations of armed conflict, which has raised the question of the interaction of those legal frameworks with international humanitarian law (IHL) and of potential overlaps between the two legal regimes. Such overlaps between the legal framework governing terrorism and armed conflict have in turn presented challenges for criminal justice authorities in Europe when investigating and prosecuting foreign terrorist fighters and other individuals within their jurisdiction for acts of violence committed abroad. Since such acts of violence could potentially fall within the framework of counter</w:t>
      </w:r>
      <w:r w:rsidRPr="009E0F9D">
        <w:rPr>
          <w:rFonts w:ascii="Arial" w:hAnsi="Arial" w:cs="Arial"/>
          <w:sz w:val="20"/>
          <w:szCs w:val="20"/>
        </w:rPr>
        <w:noBreakHyphen/>
        <w:t>terrorism legislation as well as IHL, the same criminal conduct may amount to a terrorist offence and to a serious violation of IHL; or to acts criminalised by counter-terrorism legislation that are not prohibited by IHL.</w:t>
      </w:r>
    </w:p>
    <w:p w14:paraId="1D219E23" w14:textId="77777777" w:rsidR="004D3230" w:rsidRPr="009E0F9D" w:rsidRDefault="004D3230" w:rsidP="00162B23">
      <w:pPr>
        <w:pStyle w:val="Paragraphedeliste"/>
        <w:widowControl w:val="0"/>
        <w:rPr>
          <w:rFonts w:ascii="Arial" w:hAnsi="Arial" w:cs="Arial"/>
          <w:sz w:val="20"/>
          <w:szCs w:val="20"/>
        </w:rPr>
      </w:pPr>
    </w:p>
    <w:p w14:paraId="2DBC612F" w14:textId="73BA9889" w:rsidR="004D3230" w:rsidRPr="00861836"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Although both prohibit deliberate or indiscriminate attacks against civilians, counter-terrorism frameworks and IHL are two distinct legal regimes with different objectives and rationales. A crucial difference is that in a situation of armed conflict certain acts of violence are not prohibited by IHL, while all acts of terrorism are </w:t>
      </w:r>
      <w:proofErr w:type="gramStart"/>
      <w:r w:rsidRPr="009E0F9D">
        <w:rPr>
          <w:rFonts w:ascii="Arial" w:hAnsi="Arial" w:cs="Arial"/>
          <w:sz w:val="20"/>
          <w:szCs w:val="20"/>
        </w:rPr>
        <w:t>by definition unlawful</w:t>
      </w:r>
      <w:proofErr w:type="gramEnd"/>
      <w:r w:rsidRPr="009E0F9D">
        <w:rPr>
          <w:rFonts w:ascii="Arial" w:hAnsi="Arial" w:cs="Arial"/>
          <w:sz w:val="20"/>
          <w:szCs w:val="20"/>
        </w:rPr>
        <w:t xml:space="preserve"> irrespective of the circumstances. Since the </w:t>
      </w:r>
      <w:proofErr w:type="gramStart"/>
      <w:r w:rsidRPr="009E0F9D">
        <w:rPr>
          <w:rFonts w:ascii="Arial" w:hAnsi="Arial" w:cs="Arial"/>
          <w:sz w:val="20"/>
          <w:szCs w:val="20"/>
        </w:rPr>
        <w:t>ultimate goal</w:t>
      </w:r>
      <w:proofErr w:type="gramEnd"/>
      <w:r w:rsidRPr="009E0F9D">
        <w:rPr>
          <w:rFonts w:ascii="Arial" w:hAnsi="Arial" w:cs="Arial"/>
          <w:sz w:val="20"/>
          <w:szCs w:val="20"/>
        </w:rPr>
        <w:t xml:space="preserve"> of armed conflict is to prevail over the enemy, parties to the conflict are not prohibited by IHL from attacking each other’s military objectives or individuals not entitled to protection. The interplay between counter</w:t>
      </w:r>
      <w:r w:rsidRPr="009E0F9D">
        <w:rPr>
          <w:rFonts w:ascii="Arial" w:hAnsi="Arial" w:cs="Arial"/>
          <w:sz w:val="20"/>
          <w:szCs w:val="20"/>
        </w:rPr>
        <w:noBreakHyphen/>
        <w:t xml:space="preserve">terrorism legislation and IHL can therefore create concurrent obligations, notably the obligation on States to bring terrorist suspects to justice, while also respecting and ensuring respect for IHL, which provides, in particular, for the respect and protection of impartial humanitarian aid, including objects, persons and organisations necessary for this purpose, to all parties to the non-international armed conflict </w:t>
      </w:r>
      <w:r w:rsidRPr="00861836">
        <w:rPr>
          <w:rFonts w:ascii="Arial" w:hAnsi="Arial" w:cs="Arial"/>
          <w:sz w:val="20"/>
          <w:szCs w:val="20"/>
        </w:rPr>
        <w:t>or which encourages State authorities to “grant the broadest possible amnesty to persons who have participated in the armed conflict, or those deprived of their liberty for reasons related to the armed conflict, whether they are interned or detained”, at the end of hostilities.</w:t>
      </w:r>
      <w:r w:rsidRPr="009E0F9D">
        <w:rPr>
          <w:rStyle w:val="Appelnotedebasdep"/>
          <w:rFonts w:ascii="Arial" w:hAnsi="Arial" w:cs="Arial"/>
          <w:sz w:val="20"/>
          <w:szCs w:val="20"/>
        </w:rPr>
        <w:footnoteReference w:id="1"/>
      </w:r>
      <w:r w:rsidRPr="00861836">
        <w:rPr>
          <w:rFonts w:ascii="Arial" w:hAnsi="Arial" w:cs="Arial"/>
          <w:sz w:val="20"/>
          <w:szCs w:val="20"/>
        </w:rPr>
        <w:t xml:space="preserve"> </w:t>
      </w:r>
    </w:p>
    <w:p w14:paraId="2EE911F4" w14:textId="587AB75B" w:rsidR="00861836" w:rsidRDefault="00861836">
      <w:pPr>
        <w:rPr>
          <w:rFonts w:eastAsia="Arial Unicode MS" w:cs="Arial"/>
          <w:szCs w:val="20"/>
          <w:bdr w:val="nil"/>
          <w:lang w:val="en-US"/>
        </w:rPr>
      </w:pPr>
      <w:r>
        <w:rPr>
          <w:rFonts w:cs="Arial"/>
          <w:szCs w:val="20"/>
        </w:rPr>
        <w:br w:type="page"/>
      </w:r>
    </w:p>
    <w:p w14:paraId="76D8F400" w14:textId="77777777" w:rsidR="004D3230" w:rsidRPr="009E0F9D" w:rsidRDefault="004D3230" w:rsidP="00162B23">
      <w:pPr>
        <w:pStyle w:val="Paragraphedeliste"/>
        <w:widowControl w:val="0"/>
        <w:rPr>
          <w:rFonts w:ascii="Arial" w:hAnsi="Arial" w:cs="Arial"/>
          <w:sz w:val="20"/>
          <w:szCs w:val="20"/>
        </w:rPr>
      </w:pPr>
    </w:p>
    <w:p w14:paraId="3E629B3A"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co-existence of legal obligations under both legal regimes has resulted in different national strategies for prosecuting terrorist offences and/or serious violations of IHL committed in the context of an armed conflict. In particular, while some jurisdictions have adopted a dual legal qualification approach, whereby such conduct is assessed as falling within the scope of both counter</w:t>
      </w:r>
      <w:r w:rsidRPr="009E0F9D">
        <w:rPr>
          <w:rFonts w:ascii="Arial" w:hAnsi="Arial" w:cs="Arial"/>
          <w:sz w:val="20"/>
          <w:szCs w:val="20"/>
        </w:rPr>
        <w:noBreakHyphen/>
        <w:t>terrorism law and IHL, and have pursued cumulative prosecutions for both terrorist offences and serious violations of IHL, this approach has proved unfeasible under the procedural rules of others, notably those that do not provide or have not provided yet for universal jurisdiction in their legislation.</w:t>
      </w:r>
    </w:p>
    <w:p w14:paraId="67E9D4E3" w14:textId="77777777" w:rsidR="004D3230" w:rsidRPr="009E0F9D" w:rsidRDefault="004D3230" w:rsidP="00162B23">
      <w:pPr>
        <w:pStyle w:val="Paragraphedeliste"/>
        <w:widowControl w:val="0"/>
        <w:rPr>
          <w:rFonts w:ascii="Arial" w:hAnsi="Arial" w:cs="Arial"/>
          <w:sz w:val="20"/>
          <w:szCs w:val="20"/>
        </w:rPr>
      </w:pPr>
    </w:p>
    <w:p w14:paraId="1098F9FC"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diversity of country practices and the absence of clear and consistent approaches to securing full criminal liability for violations of counter-terrorism legislation and the rules of international humanitarian law have indicated a need for developing resources to support the use of effective investigation tools and prosecution strategies to ensure respect for the integrity of IHL and prevent accountability gaps. In this respect, the Parliamentary Assembly of the Council of Europe called on member States to “prioritise where possible cumulative prosecution of Daesh foreign fighters for both terrorism-related offences and international crimes such as genocide, crimes against humanity and war crimes, […] duly reflecting the gravity and the different nature of the offences committed”.</w:t>
      </w:r>
      <w:r w:rsidRPr="009E0F9D">
        <w:rPr>
          <w:rStyle w:val="Appelnotedebasdep"/>
          <w:rFonts w:ascii="Arial" w:hAnsi="Arial" w:cs="Arial"/>
          <w:sz w:val="20"/>
          <w:szCs w:val="20"/>
        </w:rPr>
        <w:footnoteReference w:id="2"/>
      </w:r>
    </w:p>
    <w:p w14:paraId="57BAF324" w14:textId="77777777" w:rsidR="004D3230" w:rsidRPr="009E0F9D" w:rsidRDefault="004D3230" w:rsidP="00162B23">
      <w:pPr>
        <w:widowControl w:val="0"/>
        <w:rPr>
          <w:rFonts w:cs="Arial"/>
          <w:szCs w:val="20"/>
        </w:rPr>
      </w:pPr>
    </w:p>
    <w:p w14:paraId="3A0E8791" w14:textId="77777777" w:rsidR="004D3230" w:rsidRPr="009E0F9D" w:rsidRDefault="004D3230" w:rsidP="00162B23">
      <w:pPr>
        <w:pStyle w:val="Titre1"/>
        <w:keepNext w:val="0"/>
        <w:keepLines w:val="0"/>
        <w:widowControl w:val="0"/>
        <w:rPr>
          <w:rFonts w:cs="Arial"/>
          <w:szCs w:val="20"/>
        </w:rPr>
      </w:pPr>
      <w:bookmarkStart w:id="4" w:name="_Toc222735673"/>
      <w:r w:rsidRPr="009E0F9D">
        <w:rPr>
          <w:rFonts w:cs="Arial"/>
          <w:szCs w:val="20"/>
        </w:rPr>
        <w:t>General comments</w:t>
      </w:r>
      <w:bookmarkEnd w:id="4"/>
      <w:r w:rsidRPr="009E0F9D">
        <w:rPr>
          <w:rFonts w:cs="Arial"/>
          <w:szCs w:val="20"/>
        </w:rPr>
        <w:t xml:space="preserve"> </w:t>
      </w:r>
    </w:p>
    <w:p w14:paraId="5A739732" w14:textId="77777777" w:rsidR="004D3230" w:rsidRPr="009E0F9D" w:rsidRDefault="004D3230" w:rsidP="00162B23">
      <w:pPr>
        <w:pStyle w:val="Paragraphedeliste"/>
        <w:widowControl w:val="0"/>
        <w:rPr>
          <w:rFonts w:ascii="Arial" w:hAnsi="Arial" w:cs="Arial"/>
          <w:sz w:val="20"/>
          <w:szCs w:val="20"/>
        </w:rPr>
      </w:pPr>
    </w:p>
    <w:p w14:paraId="1F7C4AFC"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In the past, a comprehensive approach capturing the entire range of criminal activities in which terrorist suspects had engaged in an armed conflict proved difficult due to a number of factors, notably difficulties with obtaining evidence of concrete involvement in acts that would be deemed admissible in criminal courts or using information collected by other actors present in conflict zones. Based on this assessment, the Council of Europe Committee on Counter</w:t>
      </w:r>
      <w:r w:rsidRPr="009E0F9D">
        <w:rPr>
          <w:rFonts w:ascii="Arial" w:hAnsi="Arial" w:cs="Arial"/>
          <w:sz w:val="20"/>
          <w:szCs w:val="20"/>
        </w:rPr>
        <w:noBreakHyphen/>
        <w:t>Terrorism (CDCT) identified the interaction between terrorism and international humanitarian law, including issues of criminal liability for terrorist offences and serious violations of IHL, as one of its main areas of focus and undertook various initiatives to help member States to overcome such difficulties.</w:t>
      </w:r>
      <w:bookmarkEnd w:id="3"/>
    </w:p>
    <w:p w14:paraId="7E5555A6" w14:textId="77777777" w:rsidR="004D3230" w:rsidRPr="009E0F9D" w:rsidRDefault="004D3230" w:rsidP="00162B23">
      <w:pPr>
        <w:pStyle w:val="Paragraphedeliste"/>
        <w:widowControl w:val="0"/>
        <w:ind w:left="0"/>
        <w:rPr>
          <w:rFonts w:ascii="Arial" w:hAnsi="Arial" w:cs="Arial"/>
          <w:sz w:val="20"/>
          <w:szCs w:val="20"/>
        </w:rPr>
      </w:pPr>
    </w:p>
    <w:p w14:paraId="2AC3B2AC"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Among those initiatives, the second Council of Europe Counter-Terrorism Strategy (2023-2027), in the section on “prosecution”, envisages “[p]roviding guidance through a draft Recommendation on prosecuting terrorist offences and serious violations of international humanitarian law committed in the context of an armed conflict”. The objective of the Recommendation is to “support national efforts to find common approaches and enhanced legal procedures to prosecuting individuals suspected of committing these offences”. The outcome sought is that “States have the legal means to ensure that persons suspected of committing terrorist offences, international crimes, or violations of international humanitarian law in the context of an armed conflict are brought to justice”.</w:t>
      </w:r>
    </w:p>
    <w:p w14:paraId="30AA4395" w14:textId="77777777" w:rsidR="004D3230" w:rsidRPr="009E0F9D" w:rsidRDefault="004D3230" w:rsidP="00162B23">
      <w:pPr>
        <w:pStyle w:val="Paragraphedeliste"/>
        <w:widowControl w:val="0"/>
        <w:rPr>
          <w:rFonts w:ascii="Arial" w:hAnsi="Arial" w:cs="Arial"/>
          <w:sz w:val="20"/>
          <w:szCs w:val="20"/>
        </w:rPr>
      </w:pPr>
    </w:p>
    <w:p w14:paraId="0EEF6F78"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Accordingly, the CDCT has produced a draft recommendation providing guidance in support of national efforts to establish common approaches and enhanced legal procedures for the effective prosecution of terrorist offences, serious violations of IHL and other core international crimes committed in the context of a non-international armed conflict. The Recommendation’s focus on unlawful acts of violence perpetrated in a non-international armed conflict and the exclusion of those occurring in an international armed conflict which involves the military forces of two or more States, is justified by the fact that individuals suspected of the said offences and crimes are alleged members or affiliates of terrorist associations or groups, or individuals acting in support of such associations or groups, which could also qualify as non</w:t>
      </w:r>
      <w:r w:rsidRPr="009E0F9D">
        <w:rPr>
          <w:rFonts w:ascii="Arial" w:hAnsi="Arial" w:cs="Arial"/>
          <w:sz w:val="20"/>
          <w:szCs w:val="20"/>
        </w:rPr>
        <w:noBreakHyphen/>
        <w:t>state armed groups and are commonly involved in non-international armed conflicts.</w:t>
      </w:r>
    </w:p>
    <w:p w14:paraId="1293F4E3" w14:textId="77777777" w:rsidR="004D3230" w:rsidRPr="009E0F9D" w:rsidRDefault="004D3230" w:rsidP="00162B23">
      <w:pPr>
        <w:pStyle w:val="Paragraphedeliste"/>
        <w:widowControl w:val="0"/>
        <w:ind w:left="0"/>
        <w:rPr>
          <w:rFonts w:ascii="Arial" w:hAnsi="Arial" w:cs="Arial"/>
          <w:sz w:val="20"/>
          <w:szCs w:val="20"/>
        </w:rPr>
      </w:pPr>
    </w:p>
    <w:p w14:paraId="45A65916" w14:textId="77777777" w:rsidR="0099298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present Recommendation has been drafted in the light of binding United Nations Security Council resolutions, in particular resolutions 1373, 2178, 2396, 2462, 2664, and 2761, adopted under Chapter VII of the Charter of the United Nations and requiring that States comply with international law, including international human rights law and IHL, when prosecuting foreign terrorist fighters and other </w:t>
      </w:r>
    </w:p>
    <w:p w14:paraId="2F7D9A53" w14:textId="77777777" w:rsidR="00861836"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hAnsi="Arial" w:cs="Arial"/>
          <w:sz w:val="20"/>
          <w:szCs w:val="20"/>
        </w:rPr>
        <w:t xml:space="preserve">individuals for terrorist offences committed in the context of an armed conflict. The benchmark text in this regard is Resolution 2396 (2017), according to which “States must ensure that any measures taken to </w:t>
      </w:r>
    </w:p>
    <w:p w14:paraId="1E7CD177" w14:textId="77777777" w:rsidR="00861836" w:rsidRDefault="00861836">
      <w:pPr>
        <w:rPr>
          <w:rFonts w:eastAsia="Arial Unicode MS" w:cs="Arial"/>
          <w:szCs w:val="20"/>
          <w:bdr w:val="nil"/>
          <w:lang w:val="en-US"/>
        </w:rPr>
      </w:pPr>
      <w:r>
        <w:rPr>
          <w:rFonts w:cs="Arial"/>
          <w:szCs w:val="20"/>
        </w:rPr>
        <w:br w:type="page"/>
      </w:r>
    </w:p>
    <w:p w14:paraId="512654F9" w14:textId="00963BB2"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hAnsi="Arial" w:cs="Arial"/>
          <w:sz w:val="20"/>
          <w:szCs w:val="20"/>
        </w:rPr>
        <w:lastRenderedPageBreak/>
        <w:t xml:space="preserve">counter terrorism </w:t>
      </w:r>
      <w:proofErr w:type="gramStart"/>
      <w:r w:rsidRPr="009E0F9D">
        <w:rPr>
          <w:rFonts w:ascii="Arial" w:hAnsi="Arial" w:cs="Arial"/>
          <w:sz w:val="20"/>
          <w:szCs w:val="20"/>
        </w:rPr>
        <w:t>comply</w:t>
      </w:r>
      <w:proofErr w:type="gramEnd"/>
      <w:r w:rsidRPr="009E0F9D">
        <w:rPr>
          <w:rFonts w:ascii="Arial" w:hAnsi="Arial" w:cs="Arial"/>
          <w:sz w:val="20"/>
          <w:szCs w:val="20"/>
        </w:rPr>
        <w:t xml:space="preserve"> with all their obligations under international law, in particular international human rights law, international refugee law, and international humanitarian law”. This resolution urges States, “in accordance with domestic and applicable international human rights law and international humanitarian law, to develop and implement appropriate investigative and prosecutorial strategies” so that “those responsible for committing or otherwise responsible for terrorist acts, and violations of international humanitarian law or violations or abuses of human rights in this context, […] be held accountable”.</w:t>
      </w:r>
    </w:p>
    <w:p w14:paraId="4696AA40" w14:textId="77777777" w:rsidR="004D3230" w:rsidRPr="009E0F9D" w:rsidRDefault="004D3230" w:rsidP="00162B23">
      <w:pPr>
        <w:pStyle w:val="Paragraphedeliste"/>
        <w:widowControl w:val="0"/>
        <w:rPr>
          <w:rFonts w:ascii="Arial" w:hAnsi="Arial" w:cs="Arial"/>
          <w:sz w:val="20"/>
          <w:szCs w:val="20"/>
        </w:rPr>
      </w:pPr>
    </w:p>
    <w:p w14:paraId="1D0E3244" w14:textId="2CEC13FF"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 builds on previous work by the CDCT including Recommendation </w:t>
      </w:r>
      <w:bookmarkStart w:id="5" w:name="_ML_000000000002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"https://search.coe.int/cm/eng#%7B%22CoEReference%22:[%22CM/Rec(2022)8%22],%22CoELanguageId%22:[%22eng%22],%22CoECollection%22:[%22COE_DOC%22],%22po%22:%7B%22ref%22:%22=%22%7D%7D" \o "Recommendation of the Committee of Ministers to member States on the use of information collected in conflict zones as evidence in criminal proceedings related to terrorist offences (Adopted by the Committee of Ministers on 30 March 2022 at the 1430th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5"/>
      <w:r w:rsidR="000474A6" w:rsidRPr="000474A6">
        <w:rPr>
          <w:rStyle w:val="Lienhypertexte"/>
          <w:rFonts w:ascii="Arial" w:hAnsi="Arial" w:cs="Arial"/>
          <w:sz w:val="20"/>
          <w:szCs w:val="20"/>
        </w:rPr>
        <w:t>CM/Rec(2022)8</w:t>
      </w:r>
      <w:r w:rsidR="000474A6" w:rsidRPr="000474A6">
        <w:rPr>
          <w:rFonts w:ascii="Arial" w:hAnsi="Arial" w:cs="Arial"/>
          <w:sz w:val="20"/>
          <w:szCs w:val="20"/>
        </w:rPr>
        <w:fldChar w:fldCharType="end"/>
      </w:r>
      <w:r w:rsidRPr="009E0F9D">
        <w:rPr>
          <w:rFonts w:ascii="Arial" w:hAnsi="Arial" w:cs="Arial"/>
          <w:sz w:val="20"/>
          <w:szCs w:val="20"/>
        </w:rPr>
        <w:t xml:space="preserve"> of the Committee of Ministers to member States on the use of information collected in conflict zones as evidence in criminal proceedings related to terrorist offences, adopted pursuant to the first Counter</w:t>
      </w:r>
      <w:r w:rsidRPr="009E0F9D">
        <w:rPr>
          <w:rFonts w:ascii="Arial" w:hAnsi="Arial" w:cs="Arial"/>
          <w:sz w:val="20"/>
          <w:szCs w:val="20"/>
        </w:rPr>
        <w:noBreakHyphen/>
        <w:t>Terrorism Strategy (2018-2022). It also benefits from other previous activities carried out by the CDCT in this field under the current strategy, such as the Comparative Practices on the Use of Information Collected in Conflict Zones as Evidence in Criminal Proceedings, approved at the 12</w:t>
      </w:r>
      <w:r w:rsidRPr="009E0F9D">
        <w:rPr>
          <w:rFonts w:ascii="Arial" w:hAnsi="Arial" w:cs="Arial"/>
          <w:sz w:val="20"/>
          <w:szCs w:val="20"/>
          <w:vertAlign w:val="superscript"/>
        </w:rPr>
        <w:t>th</w:t>
      </w:r>
      <w:r w:rsidRPr="009E0F9D">
        <w:rPr>
          <w:rFonts w:ascii="Arial" w:hAnsi="Arial" w:cs="Arial"/>
          <w:sz w:val="20"/>
          <w:szCs w:val="20"/>
        </w:rPr>
        <w:t xml:space="preserve"> CDCT Plenary meeting in May 2024, and the International Conference on the Investigation and Prosecution of Terrorist Offences Committed in the Context of Armed Conflict, organised back-to-back with that meeting. Lastly, the Recommendation reflects the standards established in the European Convention on Human Rights and the case law of the European Court of Human Rights.</w:t>
      </w:r>
    </w:p>
    <w:p w14:paraId="44AB2C73" w14:textId="77777777" w:rsidR="004D3230" w:rsidRPr="009E0F9D" w:rsidRDefault="004D3230" w:rsidP="00162B23">
      <w:pPr>
        <w:pStyle w:val="Paragraphedeliste"/>
        <w:widowControl w:val="0"/>
        <w:ind w:left="0"/>
        <w:rPr>
          <w:rFonts w:ascii="Arial" w:hAnsi="Arial" w:cs="Arial"/>
          <w:sz w:val="20"/>
          <w:szCs w:val="20"/>
        </w:rPr>
      </w:pPr>
    </w:p>
    <w:p w14:paraId="75D51822"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Additionally, the Recommendation draws on the valuable experience acquired by some member States that allow the cumulative prosecution of both terrorist offenses and serious violations of IHL as well as other core international crimes committed in the context of an armed conflict. It moreover draws on the available dataset and studies on this </w:t>
      </w:r>
      <w:proofErr w:type="gramStart"/>
      <w:r w:rsidRPr="009E0F9D">
        <w:rPr>
          <w:rFonts w:ascii="Arial" w:hAnsi="Arial" w:cs="Arial"/>
          <w:sz w:val="20"/>
          <w:szCs w:val="20"/>
        </w:rPr>
        <w:t>subject-matter</w:t>
      </w:r>
      <w:proofErr w:type="gramEnd"/>
      <w:r w:rsidRPr="009E0F9D">
        <w:rPr>
          <w:rFonts w:ascii="Arial" w:hAnsi="Arial" w:cs="Arial"/>
          <w:sz w:val="20"/>
          <w:szCs w:val="20"/>
        </w:rPr>
        <w:t xml:space="preserve"> that have been produced in recent years.</w:t>
      </w:r>
      <w:r w:rsidRPr="009E0F9D">
        <w:rPr>
          <w:rStyle w:val="Appelnotedebasdep"/>
          <w:rFonts w:ascii="Arial" w:hAnsi="Arial" w:cs="Arial"/>
          <w:sz w:val="20"/>
          <w:szCs w:val="20"/>
        </w:rPr>
        <w:footnoteReference w:id="3"/>
      </w:r>
    </w:p>
    <w:p w14:paraId="0B0BC0D3" w14:textId="77777777" w:rsidR="004D3230" w:rsidRPr="009E0F9D" w:rsidRDefault="004D3230" w:rsidP="00162B23">
      <w:pPr>
        <w:pStyle w:val="Paragraphedeliste"/>
        <w:widowControl w:val="0"/>
        <w:rPr>
          <w:rFonts w:ascii="Arial" w:hAnsi="Arial" w:cs="Arial"/>
          <w:sz w:val="20"/>
          <w:szCs w:val="20"/>
        </w:rPr>
      </w:pPr>
    </w:p>
    <w:p w14:paraId="5CF1047D"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Recommendation is a non-binding legal instrument of the Council of Europe. As such, it is intended to lay down broad principles to guide member States, which are then free to implement them in their national systems in the way that seems most relevant.</w:t>
      </w:r>
    </w:p>
    <w:p w14:paraId="25462533" w14:textId="77777777" w:rsidR="004D3230" w:rsidRPr="009E0F9D" w:rsidRDefault="004D3230" w:rsidP="00162B23">
      <w:pPr>
        <w:pStyle w:val="Paragraphedeliste"/>
        <w:widowControl w:val="0"/>
        <w:rPr>
          <w:rFonts w:ascii="Arial" w:hAnsi="Arial" w:cs="Arial"/>
          <w:sz w:val="20"/>
          <w:szCs w:val="20"/>
        </w:rPr>
      </w:pPr>
    </w:p>
    <w:p w14:paraId="0F0DDDB0"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This Recommendation </w:t>
      </w:r>
      <w:proofErr w:type="gramStart"/>
      <w:r w:rsidRPr="009E0F9D">
        <w:rPr>
          <w:rFonts w:ascii="Arial" w:hAnsi="Arial" w:cs="Arial"/>
          <w:sz w:val="20"/>
          <w:szCs w:val="20"/>
        </w:rPr>
        <w:t>takes into account</w:t>
      </w:r>
      <w:proofErr w:type="gramEnd"/>
      <w:r w:rsidRPr="009E0F9D">
        <w:rPr>
          <w:rFonts w:ascii="Arial" w:hAnsi="Arial" w:cs="Arial"/>
          <w:sz w:val="20"/>
          <w:szCs w:val="20"/>
        </w:rPr>
        <w:t xml:space="preserve"> both binding and non-binding legal standards. The frequent use in this instrument of the conditional “should” must not be understood as reducing the legal effect of relevant rules taken from binding Council of Europe or other international legal instruments as well as of relevant international customary rules.</w:t>
      </w:r>
    </w:p>
    <w:p w14:paraId="21FE5958" w14:textId="77777777" w:rsidR="004D3230" w:rsidRPr="009E0F9D" w:rsidRDefault="004D3230" w:rsidP="00162B23">
      <w:pPr>
        <w:pStyle w:val="Notedebasdepage"/>
        <w:widowControl w:val="0"/>
        <w:rPr>
          <w:rFonts w:cs="Arial"/>
          <w:sz w:val="20"/>
        </w:rPr>
      </w:pPr>
    </w:p>
    <w:p w14:paraId="35B6457C" w14:textId="77777777" w:rsidR="004D3230" w:rsidRPr="009E0F9D" w:rsidRDefault="004D3230" w:rsidP="00162B23">
      <w:pPr>
        <w:pStyle w:val="Titre1"/>
        <w:keepNext w:val="0"/>
        <w:keepLines w:val="0"/>
        <w:widowControl w:val="0"/>
        <w:rPr>
          <w:rFonts w:cs="Arial"/>
          <w:szCs w:val="20"/>
        </w:rPr>
      </w:pPr>
      <w:bookmarkStart w:id="6" w:name="lt_pId030"/>
      <w:bookmarkStart w:id="7" w:name="_Toc94775409"/>
      <w:bookmarkStart w:id="8" w:name="_Toc222735674"/>
      <w:r w:rsidRPr="009E0F9D">
        <w:rPr>
          <w:rFonts w:eastAsia="Calibri" w:cs="Arial"/>
          <w:szCs w:val="20"/>
        </w:rPr>
        <w:t>Working method and</w:t>
      </w:r>
      <w:r w:rsidRPr="009E0F9D">
        <w:rPr>
          <w:rFonts w:cs="Arial"/>
          <w:szCs w:val="20"/>
        </w:rPr>
        <w:t xml:space="preserve"> drafting process</w:t>
      </w:r>
      <w:bookmarkEnd w:id="6"/>
      <w:bookmarkEnd w:id="7"/>
      <w:bookmarkEnd w:id="8"/>
    </w:p>
    <w:p w14:paraId="2C946896" w14:textId="77777777" w:rsidR="004D3230" w:rsidRPr="009E0F9D" w:rsidRDefault="004D3230" w:rsidP="00162B23">
      <w:pPr>
        <w:widowControl w:val="0"/>
        <w:rPr>
          <w:rFonts w:cs="Arial"/>
          <w:szCs w:val="20"/>
        </w:rPr>
      </w:pPr>
    </w:p>
    <w:p w14:paraId="547D015B" w14:textId="4083E2E2"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interaction between terrorism and IHL falls within the competence of the CDCT, which is the Council of Europe intergovernmental steering committee co-ordinating all actions related to preventing and combating terrorism. The CDCT has explored various aspects of this interaction mainly through its work on the Recommendation </w:t>
      </w:r>
      <w:bookmarkStart w:id="9" w:name="_ML_000000000003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"https://search.coe.int/cm/eng#%7B%22CoEReference%22:[%22CM/Rec(2022)8%22],%22CoELanguageId%22:[%22eng%22],%22CoECollection%22:[%22COE_DOC%22],%22po%22:%7B%22ref%22:%22=%22%7D%7D" \o "Recommendation of the Committee of Ministers to member States on the use of information collected in conflict zones as evidence in criminal proceedings related to terrorist offences (Adopted by the Committee of Ministers on 30 March 2022 at the 1430th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9"/>
      <w:r w:rsidR="000474A6" w:rsidRPr="000474A6">
        <w:rPr>
          <w:rStyle w:val="Lienhypertexte"/>
          <w:rFonts w:ascii="Arial" w:hAnsi="Arial" w:cs="Arial"/>
          <w:sz w:val="20"/>
          <w:szCs w:val="20"/>
        </w:rPr>
        <w:t>CM/Rec(2022)8</w:t>
      </w:r>
      <w:r w:rsidR="000474A6" w:rsidRPr="000474A6">
        <w:rPr>
          <w:rFonts w:ascii="Arial" w:hAnsi="Arial" w:cs="Arial"/>
          <w:sz w:val="20"/>
          <w:szCs w:val="20"/>
        </w:rPr>
        <w:fldChar w:fldCharType="end"/>
      </w:r>
      <w:r w:rsidRPr="009E0F9D">
        <w:rPr>
          <w:rFonts w:ascii="Arial" w:hAnsi="Arial" w:cs="Arial"/>
          <w:sz w:val="20"/>
          <w:szCs w:val="20"/>
        </w:rPr>
        <w:t xml:space="preserve"> on the use of information collected in conflict zones as evidence in criminal proceedings related to terrorist offences, which provides guidance on possible avenues for using information acquired in conflict zones by non</w:t>
      </w:r>
      <w:r w:rsidRPr="009E0F9D">
        <w:rPr>
          <w:rFonts w:ascii="Arial" w:hAnsi="Arial" w:cs="Arial"/>
          <w:sz w:val="20"/>
          <w:szCs w:val="20"/>
        </w:rPr>
        <w:noBreakHyphen/>
        <w:t>criminal justice sector actors in criminal proceedings for both terrorism and war crime charges.</w:t>
      </w:r>
    </w:p>
    <w:p w14:paraId="5AA9E91B" w14:textId="77777777" w:rsidR="004D3230" w:rsidRPr="009E0F9D" w:rsidRDefault="004D3230" w:rsidP="00162B23">
      <w:pPr>
        <w:pStyle w:val="Paragraphedeliste"/>
        <w:widowControl w:val="0"/>
        <w:ind w:left="0"/>
        <w:rPr>
          <w:rFonts w:ascii="Arial" w:hAnsi="Arial" w:cs="Arial"/>
          <w:sz w:val="20"/>
          <w:szCs w:val="20"/>
        </w:rPr>
      </w:pPr>
    </w:p>
    <w:p w14:paraId="0FD2DA29" w14:textId="77777777" w:rsidR="00992980" w:rsidRPr="009E0F9D" w:rsidRDefault="00992980" w:rsidP="00162B23">
      <w:pPr>
        <w:widowControl w:val="0"/>
        <w:rPr>
          <w:rFonts w:eastAsia="Arial Unicode MS" w:cs="Arial"/>
          <w:szCs w:val="20"/>
          <w:bdr w:val="nil"/>
          <w:lang w:val="en-US"/>
        </w:rPr>
      </w:pPr>
      <w:r w:rsidRPr="009E0F9D">
        <w:rPr>
          <w:rFonts w:cs="Arial"/>
          <w:szCs w:val="20"/>
        </w:rPr>
        <w:br w:type="page"/>
      </w:r>
    </w:p>
    <w:p w14:paraId="4360A3F9" w14:textId="27B2C240"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lastRenderedPageBreak/>
        <w:t>In accordance with Activity 2.4 of the Council of Europe 2023-2027 Counter-Terrorism Strategy, the CDCT decided, at its 13</w:t>
      </w:r>
      <w:r w:rsidRPr="009E0F9D">
        <w:rPr>
          <w:rFonts w:ascii="Arial" w:hAnsi="Arial" w:cs="Arial"/>
          <w:sz w:val="20"/>
          <w:szCs w:val="20"/>
          <w:vertAlign w:val="superscript"/>
        </w:rPr>
        <w:t>th</w:t>
      </w:r>
      <w:r w:rsidRPr="009E0F9D">
        <w:rPr>
          <w:rFonts w:ascii="Arial" w:hAnsi="Arial" w:cs="Arial"/>
          <w:sz w:val="20"/>
          <w:szCs w:val="20"/>
        </w:rPr>
        <w:t> Plenary meeting in November 2024, to set up the Working Group on prosecuting terrorist offences and serious violations of international humanitarian law committed in the context of an armed conflict (CDCT</w:t>
      </w:r>
      <w:r w:rsidRPr="009E0F9D">
        <w:rPr>
          <w:rFonts w:ascii="Arial" w:hAnsi="Arial" w:cs="Arial"/>
          <w:sz w:val="20"/>
          <w:szCs w:val="20"/>
        </w:rPr>
        <w:noBreakHyphen/>
        <w:t>IHL). This working group was tasked with producing the draft Recommendation of the Council of Europe Committee of Ministers to member States providing guidance on ensuring accountability for terrorist offences and serious violations of IHL committed in this context.</w:t>
      </w:r>
    </w:p>
    <w:p w14:paraId="6D7F6843" w14:textId="77777777" w:rsidR="004D3230" w:rsidRPr="009E0F9D" w:rsidRDefault="004D3230" w:rsidP="00162B23">
      <w:pPr>
        <w:pStyle w:val="Paragraphedeliste"/>
        <w:widowControl w:val="0"/>
        <w:rPr>
          <w:rFonts w:ascii="Arial" w:hAnsi="Arial" w:cs="Arial"/>
          <w:sz w:val="20"/>
          <w:szCs w:val="20"/>
        </w:rPr>
      </w:pPr>
    </w:p>
    <w:p w14:paraId="4BCFC641" w14:textId="12BBB29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group was composed of national experts nominated by CDCT members and by experts designated by the United States of America, European Union Agency for Criminal Justice Cooperation (Eurojust), the European Network of contact points in respect of persons responsible for genocide, crimes against humanity and war crimes (Genocide Prosecution Network), the United Nations Security Council Couter-Terrorism Committee Executive Directorate (CTED) and the International Committee of the Red Cross (ICRC). It held its first meeting in Paris on 13 and 14 March 2025 and elected Ms Päivi KAIRAMO (Finland) and Mr Nicola PIACENTE (Italy) as co-Presidents, to take turns in presiding over meetings. Ms Kairamo chaired this first meeting. To set the stage for the discussions, Ms Tanya MEHRA, Senior Research Fellow and Programme Lead on Rule of Law Responses to Terrorism at the International Centre for Counter</w:t>
      </w:r>
      <w:r w:rsidRPr="009E0F9D">
        <w:rPr>
          <w:rFonts w:ascii="Arial" w:hAnsi="Arial" w:cs="Arial"/>
          <w:sz w:val="20"/>
          <w:szCs w:val="20"/>
        </w:rPr>
        <w:noBreakHyphen/>
        <w:t>Terrorism (ICCT), was invited to present the key issues raised by the future Recommendation.</w:t>
      </w:r>
    </w:p>
    <w:p w14:paraId="7CF58573" w14:textId="77777777" w:rsidR="004D3230" w:rsidRPr="009E0F9D" w:rsidRDefault="004D3230" w:rsidP="00162B23">
      <w:pPr>
        <w:pStyle w:val="Paragraphedeliste"/>
        <w:widowControl w:val="0"/>
        <w:rPr>
          <w:rFonts w:ascii="Arial" w:hAnsi="Arial" w:cs="Arial"/>
          <w:sz w:val="20"/>
          <w:szCs w:val="20"/>
        </w:rPr>
      </w:pPr>
    </w:p>
    <w:p w14:paraId="720D84CF" w14:textId="2590F4D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initial meeting provided an opportunity to discuss the background to the drafting of this Recommendation and questions relating to its purpose, scope and terminology. Based also on a preliminary </w:t>
      </w:r>
      <w:proofErr w:type="gramStart"/>
      <w:r w:rsidRPr="009E0F9D">
        <w:rPr>
          <w:rFonts w:ascii="Arial" w:hAnsi="Arial" w:cs="Arial"/>
          <w:sz w:val="20"/>
          <w:szCs w:val="20"/>
        </w:rPr>
        <w:t>outline</w:t>
      </w:r>
      <w:proofErr w:type="gramEnd"/>
      <w:r w:rsidRPr="009E0F9D">
        <w:rPr>
          <w:rFonts w:ascii="Arial" w:hAnsi="Arial" w:cs="Arial"/>
          <w:sz w:val="20"/>
          <w:szCs w:val="20"/>
        </w:rPr>
        <w:t xml:space="preserve"> document prepared by the Secretariat, the Working Group identified the following key topics to be included in the Recommendation:</w:t>
      </w:r>
    </w:p>
    <w:p w14:paraId="17C43886" w14:textId="77777777" w:rsidR="00992980" w:rsidRPr="009E0F9D" w:rsidRDefault="0099298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p>
    <w:p w14:paraId="0BACF91B"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the domestic-law approaches to and rules regulating the relationship between counter-terrorism measures and IHL, including IHL exclusion and humanitarian exemption clauses;</w:t>
      </w:r>
    </w:p>
    <w:p w14:paraId="05DD36B0"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the principle of universal jurisdiction and the conditions for its use;</w:t>
      </w:r>
    </w:p>
    <w:p w14:paraId="1287A20E"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prosecution strategies with a focus on cumulative prosecution of terrorist offences as well as of serious violations of IHL and other core international crimes;</w:t>
      </w:r>
    </w:p>
    <w:p w14:paraId="7860BBB0"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investigation tools and the use of evidence collected in conflict zones to bring terrorist suspects to justice for those offences and crimes;</w:t>
      </w:r>
    </w:p>
    <w:p w14:paraId="320D4F84"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procedural matters, including due process safeguards and the participation and protection of victims of terrorism and core international crimes;</w:t>
      </w:r>
    </w:p>
    <w:p w14:paraId="43B0491A"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organisational structures involved in the investigation and prosecution of terrorist offences and/or serious violations of IHL and other core international crimes, and co-ordination mechanisms; and</w:t>
      </w:r>
    </w:p>
    <w:p w14:paraId="5CF15597" w14:textId="77777777" w:rsidR="004D3230" w:rsidRPr="009E0F9D" w:rsidRDefault="004D3230" w:rsidP="00162B23">
      <w:pPr>
        <w:pStyle w:val="Paragraphedeliste"/>
        <w:widowControl w:val="0"/>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ind w:hanging="720"/>
        <w:rPr>
          <w:rFonts w:ascii="Arial" w:hAnsi="Arial" w:cs="Arial"/>
          <w:sz w:val="20"/>
          <w:szCs w:val="20"/>
        </w:rPr>
      </w:pPr>
      <w:r w:rsidRPr="009E0F9D">
        <w:rPr>
          <w:rFonts w:ascii="Arial" w:hAnsi="Arial" w:cs="Arial"/>
          <w:sz w:val="20"/>
          <w:szCs w:val="20"/>
        </w:rPr>
        <w:t>international co-operation mechanisms.</w:t>
      </w:r>
    </w:p>
    <w:p w14:paraId="316D7851" w14:textId="77777777" w:rsidR="004D3230" w:rsidRPr="009E0F9D" w:rsidRDefault="004D3230" w:rsidP="00162B23">
      <w:pPr>
        <w:pStyle w:val="Paragraphedeliste"/>
        <w:widowControl w:val="0"/>
        <w:ind w:hanging="720"/>
        <w:rPr>
          <w:rFonts w:ascii="Arial" w:hAnsi="Arial" w:cs="Arial"/>
          <w:sz w:val="20"/>
          <w:szCs w:val="20"/>
        </w:rPr>
      </w:pPr>
    </w:p>
    <w:p w14:paraId="4FAD9BEF"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At the first meeting, the CDCT-IHL agreed to have a questionnaire distributed to member States to gather information on domestic legal frameworks and practices in order to draw up a comparative picture reflecting the differences in terms of organisational structures, types of evidence, investigation techniques, prosecution strategies and procedural rules applicable to terrorist offences and core international crimes, respectively. It also agreed in principle on the structure of the future Recommendation and instructed the Secretariat to prepare a first draft and submit it in advance of the second meeting.</w:t>
      </w:r>
    </w:p>
    <w:p w14:paraId="5243F7DD" w14:textId="77777777" w:rsidR="004D3230" w:rsidRPr="009E0F9D" w:rsidRDefault="004D3230" w:rsidP="00162B23">
      <w:pPr>
        <w:pStyle w:val="Notedebasdepage"/>
        <w:widowControl w:val="0"/>
        <w:rPr>
          <w:rFonts w:cs="Arial"/>
          <w:sz w:val="20"/>
          <w:lang w:val="en-US"/>
        </w:rPr>
      </w:pPr>
    </w:p>
    <w:p w14:paraId="1488C389"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second meeting was held in Paris on 23 and 24 September 2025 and was chaired by Mr Piacente. </w:t>
      </w:r>
      <w:bookmarkStart w:id="10" w:name="lt_pId046"/>
      <w:r w:rsidRPr="009E0F9D">
        <w:rPr>
          <w:rFonts w:ascii="Arial" w:hAnsi="Arial" w:cs="Arial"/>
          <w:sz w:val="20"/>
          <w:szCs w:val="20"/>
        </w:rPr>
        <w:t>Participants examined the first draft of the Recommendation prepared by the Secretariat with guidance from the co</w:t>
      </w:r>
      <w:r w:rsidRPr="009E0F9D">
        <w:rPr>
          <w:rFonts w:ascii="Arial" w:hAnsi="Arial" w:cs="Arial"/>
          <w:sz w:val="20"/>
          <w:szCs w:val="20"/>
        </w:rPr>
        <w:noBreakHyphen/>
        <w:t>Presidents. The draft, organised in eight chapters preceded by a Preamble, was based on:</w:t>
      </w:r>
      <w:bookmarkEnd w:id="10"/>
    </w:p>
    <w:p w14:paraId="24F59638" w14:textId="77777777" w:rsidR="00992980" w:rsidRPr="009E0F9D" w:rsidRDefault="0099298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p>
    <w:p w14:paraId="5DC227F9" w14:textId="77777777" w:rsidR="004D3230" w:rsidRPr="009E0F9D" w:rsidRDefault="004D3230" w:rsidP="00162B23">
      <w:pPr>
        <w:pStyle w:val="Paragraphedeliste"/>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714"/>
        <w:rPr>
          <w:rFonts w:ascii="Arial" w:hAnsi="Arial" w:cs="Arial"/>
          <w:sz w:val="20"/>
          <w:szCs w:val="20"/>
        </w:rPr>
      </w:pPr>
      <w:bookmarkStart w:id="11" w:name="lt_pId047"/>
      <w:r w:rsidRPr="009E0F9D">
        <w:rPr>
          <w:rFonts w:ascii="Arial" w:hAnsi="Arial" w:cs="Arial"/>
          <w:sz w:val="20"/>
          <w:szCs w:val="20"/>
        </w:rPr>
        <w:t>the input gathered from the first CDCT-IHL meeting held in March 2025;</w:t>
      </w:r>
      <w:bookmarkEnd w:id="11"/>
      <w:r w:rsidRPr="009E0F9D">
        <w:rPr>
          <w:rFonts w:ascii="Arial" w:hAnsi="Arial" w:cs="Arial"/>
          <w:sz w:val="20"/>
          <w:szCs w:val="20"/>
        </w:rPr>
        <w:t xml:space="preserve"> </w:t>
      </w:r>
    </w:p>
    <w:p w14:paraId="7C84670D" w14:textId="77777777" w:rsidR="004D3230" w:rsidRPr="009E0F9D" w:rsidRDefault="004D3230" w:rsidP="00162B23">
      <w:pPr>
        <w:pStyle w:val="Paragraphedeliste"/>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714"/>
        <w:rPr>
          <w:rFonts w:ascii="Arial" w:hAnsi="Arial" w:cs="Arial"/>
          <w:sz w:val="20"/>
          <w:szCs w:val="20"/>
        </w:rPr>
      </w:pPr>
      <w:bookmarkStart w:id="12" w:name="lt_pId048"/>
      <w:r w:rsidRPr="009E0F9D">
        <w:rPr>
          <w:rFonts w:ascii="Arial" w:hAnsi="Arial" w:cs="Arial"/>
          <w:sz w:val="20"/>
          <w:szCs w:val="20"/>
        </w:rPr>
        <w:t xml:space="preserve">the replies to the questionnaire distributed after that meeting; </w:t>
      </w:r>
    </w:p>
    <w:p w14:paraId="7E7257A1" w14:textId="77777777" w:rsidR="004D3230" w:rsidRPr="009E0F9D" w:rsidRDefault="004D3230" w:rsidP="00162B23">
      <w:pPr>
        <w:pStyle w:val="Paragraphedeliste"/>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714"/>
        <w:rPr>
          <w:rFonts w:ascii="Arial" w:hAnsi="Arial" w:cs="Arial"/>
          <w:sz w:val="20"/>
          <w:szCs w:val="20"/>
        </w:rPr>
      </w:pPr>
      <w:bookmarkStart w:id="13" w:name="lt_pId049"/>
      <w:bookmarkEnd w:id="12"/>
      <w:r w:rsidRPr="009E0F9D">
        <w:rPr>
          <w:rFonts w:ascii="Arial" w:hAnsi="Arial" w:cs="Arial"/>
          <w:sz w:val="20"/>
          <w:szCs w:val="20"/>
        </w:rPr>
        <w:t>existing Council of Europe, UN and European Union documents as well as other relevant public information and reports; and</w:t>
      </w:r>
    </w:p>
    <w:p w14:paraId="0398A9B6" w14:textId="77777777" w:rsidR="004D3230" w:rsidRPr="009E0F9D" w:rsidRDefault="004D3230" w:rsidP="00162B23">
      <w:pPr>
        <w:pStyle w:val="Paragraphedeliste"/>
        <w:widowControl w:val="0"/>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714"/>
        <w:rPr>
          <w:rFonts w:ascii="Arial" w:hAnsi="Arial" w:cs="Arial"/>
          <w:sz w:val="20"/>
          <w:szCs w:val="20"/>
        </w:rPr>
      </w:pPr>
      <w:r w:rsidRPr="009E0F9D">
        <w:rPr>
          <w:rFonts w:ascii="Arial" w:hAnsi="Arial" w:cs="Arial"/>
          <w:sz w:val="20"/>
          <w:szCs w:val="20"/>
        </w:rPr>
        <w:t>the written comments on the first draft received from some members prior to the second meeting.</w:t>
      </w:r>
      <w:bookmarkEnd w:id="13"/>
    </w:p>
    <w:p w14:paraId="12B36617" w14:textId="77777777" w:rsidR="004D3230" w:rsidRPr="009E0F9D" w:rsidRDefault="004D3230" w:rsidP="00162B23">
      <w:pPr>
        <w:widowControl w:val="0"/>
        <w:rPr>
          <w:rFonts w:cs="Arial"/>
          <w:szCs w:val="20"/>
        </w:rPr>
      </w:pPr>
    </w:p>
    <w:p w14:paraId="076031F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Working Group discussed at length the Preamble and Chapters I to VI, approved in principle most recommendations, and instructed the Secretariat to revise specific paragraphs and present a new draft. The last two chapters of the first draft and certain debated issues were left for further examination at the following meeting to allow members to consult their authorities in relation to those issues, if necessary.</w:t>
      </w:r>
    </w:p>
    <w:p w14:paraId="1069674A" w14:textId="77777777" w:rsidR="004D3230" w:rsidRPr="009E0F9D" w:rsidRDefault="004D3230" w:rsidP="00162B23">
      <w:pPr>
        <w:pStyle w:val="Paragraphedeliste"/>
        <w:widowControl w:val="0"/>
        <w:ind w:left="0"/>
        <w:rPr>
          <w:rFonts w:ascii="Arial" w:hAnsi="Arial" w:cs="Arial"/>
          <w:sz w:val="20"/>
          <w:szCs w:val="20"/>
        </w:rPr>
      </w:pPr>
    </w:p>
    <w:p w14:paraId="2BC5AE4C" w14:textId="77777777" w:rsidR="00162B23" w:rsidRPr="009E0F9D" w:rsidRDefault="00162B23" w:rsidP="00162B23">
      <w:pPr>
        <w:widowControl w:val="0"/>
        <w:rPr>
          <w:rFonts w:eastAsia="Arial Unicode MS" w:cs="Arial"/>
          <w:szCs w:val="20"/>
          <w:bdr w:val="nil"/>
          <w:lang w:val="en-US"/>
        </w:rPr>
      </w:pPr>
      <w:r w:rsidRPr="009E0F9D">
        <w:rPr>
          <w:rFonts w:cs="Arial"/>
          <w:szCs w:val="20"/>
        </w:rPr>
        <w:br w:type="page"/>
      </w:r>
    </w:p>
    <w:p w14:paraId="36AC28D9" w14:textId="779B5C53"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lastRenderedPageBreak/>
        <w:t xml:space="preserve">The third meeting took place in Strasbourg on 2 and 3 December 2025 under Ms Kairamo’s presidency. At this meeting, the CDCT-IHL finished the first reading by examining the outstanding chapters and had a second reading of the whole text in view of a final approval of the draft Recommendation. At the end of the meeting, the Working Group approved, with some amendments from members, all paragraphs except one and the changes made by the Secretariat in the text to improve readability and avoid redundancy. It moreover decided to return to the remaining paragraph of the draft Recommendation, including the proposal by one delegation to amend it, at the next meeting, and instructed the Secretariat to prepare and distribute the draft </w:t>
      </w:r>
      <w:r w:rsidR="00BE20AB" w:rsidRPr="009E0F9D">
        <w:rPr>
          <w:rFonts w:ascii="Arial" w:hAnsi="Arial" w:cs="Arial"/>
          <w:sz w:val="20"/>
          <w:szCs w:val="20"/>
        </w:rPr>
        <w:t>Explanatory Memorandum</w:t>
      </w:r>
      <w:r w:rsidRPr="009E0F9D">
        <w:rPr>
          <w:rFonts w:ascii="Arial" w:hAnsi="Arial" w:cs="Arial"/>
          <w:sz w:val="20"/>
          <w:szCs w:val="20"/>
        </w:rPr>
        <w:t xml:space="preserve"> to all members for discussion at that meeting.</w:t>
      </w:r>
    </w:p>
    <w:p w14:paraId="05A7D1B2" w14:textId="77777777" w:rsidR="004D3230" w:rsidRPr="009E0F9D" w:rsidRDefault="004D3230" w:rsidP="00162B23">
      <w:pPr>
        <w:pStyle w:val="Paragraphedeliste"/>
        <w:widowControl w:val="0"/>
        <w:rPr>
          <w:rFonts w:ascii="Arial" w:hAnsi="Arial" w:cs="Arial"/>
          <w:iCs/>
          <w:sz w:val="20"/>
          <w:szCs w:val="20"/>
          <w:highlight w:val="yellow"/>
        </w:rPr>
      </w:pPr>
    </w:p>
    <w:p w14:paraId="12244A5F" w14:textId="703998F5"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iCs/>
          <w:sz w:val="20"/>
          <w:szCs w:val="20"/>
        </w:rPr>
        <w:t xml:space="preserve">The fourth and last meeting was held in Paris on 24 and 25 March 2026. Chaired by Mr Piacente, the Working Group reviewed and agreed on the draft </w:t>
      </w:r>
      <w:r w:rsidR="00BE20AB" w:rsidRPr="009E0F9D">
        <w:rPr>
          <w:rFonts w:ascii="Arial" w:hAnsi="Arial" w:cs="Arial"/>
          <w:iCs/>
          <w:sz w:val="20"/>
          <w:szCs w:val="20"/>
        </w:rPr>
        <w:t>Explanatory Memorandum</w:t>
      </w:r>
      <w:r w:rsidRPr="009E0F9D">
        <w:rPr>
          <w:rFonts w:ascii="Arial" w:hAnsi="Arial" w:cs="Arial"/>
          <w:iCs/>
          <w:sz w:val="20"/>
          <w:szCs w:val="20"/>
        </w:rPr>
        <w:t xml:space="preserve"> produced by the Secretariat with input from the co-Presidents. </w:t>
      </w:r>
      <w:r w:rsidRPr="009E0F9D">
        <w:rPr>
          <w:rFonts w:ascii="Arial" w:hAnsi="Arial" w:cs="Arial"/>
          <w:sz w:val="20"/>
          <w:szCs w:val="20"/>
        </w:rPr>
        <w:t xml:space="preserve">Following this final meeting, the texts of the draft Recommendation and the </w:t>
      </w:r>
      <w:r w:rsidR="00BE20AB" w:rsidRPr="009E0F9D">
        <w:rPr>
          <w:rFonts w:ascii="Arial" w:hAnsi="Arial" w:cs="Arial"/>
          <w:sz w:val="20"/>
          <w:szCs w:val="20"/>
        </w:rPr>
        <w:t>Explanatory Memorandum</w:t>
      </w:r>
      <w:r w:rsidRPr="009E0F9D">
        <w:rPr>
          <w:rFonts w:ascii="Arial" w:hAnsi="Arial" w:cs="Arial"/>
          <w:sz w:val="20"/>
          <w:szCs w:val="20"/>
        </w:rPr>
        <w:t xml:space="preserve"> thereto were examined, revised and approved by the CDCT during its 16</w:t>
      </w:r>
      <w:r w:rsidRPr="009E0F9D">
        <w:rPr>
          <w:rFonts w:ascii="Arial" w:hAnsi="Arial" w:cs="Arial"/>
          <w:sz w:val="20"/>
          <w:szCs w:val="20"/>
          <w:vertAlign w:val="superscript"/>
        </w:rPr>
        <w:t>th</w:t>
      </w:r>
      <w:r w:rsidRPr="009E0F9D">
        <w:rPr>
          <w:rFonts w:ascii="Arial" w:hAnsi="Arial" w:cs="Arial"/>
          <w:sz w:val="20"/>
          <w:szCs w:val="20"/>
        </w:rPr>
        <w:t xml:space="preserve"> Plenary meeting, held in Strasbourg on 27</w:t>
      </w:r>
      <w:r w:rsidRPr="009E0F9D">
        <w:rPr>
          <w:rFonts w:ascii="Arial" w:hAnsi="Arial" w:cs="Arial"/>
          <w:sz w:val="20"/>
          <w:szCs w:val="20"/>
        </w:rPr>
        <w:noBreakHyphen/>
        <w:t xml:space="preserve">28 May 2026. The CDCT decided to submit the draft Recommendation to the Committee of Ministers for adoption, and the draft </w:t>
      </w:r>
      <w:r w:rsidR="00BE20AB" w:rsidRPr="009E0F9D">
        <w:rPr>
          <w:rFonts w:ascii="Arial" w:hAnsi="Arial" w:cs="Arial"/>
          <w:sz w:val="20"/>
          <w:szCs w:val="20"/>
        </w:rPr>
        <w:t>Explanatory Memorandum</w:t>
      </w:r>
      <w:r w:rsidRPr="009E0F9D">
        <w:rPr>
          <w:rFonts w:ascii="Arial" w:hAnsi="Arial" w:cs="Arial"/>
          <w:sz w:val="20"/>
          <w:szCs w:val="20"/>
        </w:rPr>
        <w:t xml:space="preserve"> for information.</w:t>
      </w:r>
    </w:p>
    <w:p w14:paraId="1545D48A" w14:textId="77777777" w:rsidR="004D3230" w:rsidRPr="009E0F9D" w:rsidRDefault="004D3230" w:rsidP="00162B23">
      <w:pPr>
        <w:pStyle w:val="Paragraphedeliste"/>
        <w:widowControl w:val="0"/>
        <w:rPr>
          <w:rFonts w:ascii="Arial" w:hAnsi="Arial" w:cs="Arial"/>
          <w:sz w:val="20"/>
          <w:szCs w:val="20"/>
        </w:rPr>
      </w:pPr>
    </w:p>
    <w:p w14:paraId="32F76430" w14:textId="72F713EF"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i/>
          <w:iCs/>
          <w:sz w:val="20"/>
          <w:szCs w:val="20"/>
        </w:rPr>
        <w:t xml:space="preserve">The Committee of Ministers at its </w:t>
      </w:r>
      <w:r w:rsidR="00796EA1">
        <w:rPr>
          <w:rFonts w:ascii="Arial" w:hAnsi="Arial" w:cs="Arial"/>
          <w:i/>
          <w:iCs/>
          <w:sz w:val="20"/>
          <w:szCs w:val="20"/>
        </w:rPr>
        <w:t>1571</w:t>
      </w:r>
      <w:r w:rsidR="00796EA1" w:rsidRPr="00796EA1">
        <w:rPr>
          <w:rFonts w:ascii="Arial" w:hAnsi="Arial" w:cs="Arial"/>
          <w:i/>
          <w:iCs/>
          <w:sz w:val="20"/>
          <w:szCs w:val="20"/>
          <w:vertAlign w:val="superscript"/>
        </w:rPr>
        <w:t>st</w:t>
      </w:r>
      <w:r w:rsidR="00796EA1">
        <w:rPr>
          <w:rFonts w:ascii="Arial" w:hAnsi="Arial" w:cs="Arial"/>
          <w:i/>
          <w:iCs/>
          <w:sz w:val="20"/>
          <w:szCs w:val="20"/>
        </w:rPr>
        <w:t xml:space="preserve"> </w:t>
      </w:r>
      <w:r w:rsidRPr="009E0F9D">
        <w:rPr>
          <w:rFonts w:ascii="Arial" w:hAnsi="Arial" w:cs="Arial"/>
          <w:i/>
          <w:iCs/>
          <w:sz w:val="20"/>
          <w:szCs w:val="20"/>
        </w:rPr>
        <w:t xml:space="preserve">meeting of the Ministers’ Deputies on </w:t>
      </w:r>
      <w:bookmarkStart w:id="14" w:name="lt_pId058"/>
      <w:r w:rsidR="00796EA1">
        <w:rPr>
          <w:rFonts w:ascii="Arial" w:hAnsi="Arial" w:cs="Arial"/>
          <w:i/>
          <w:iCs/>
          <w:sz w:val="20"/>
          <w:szCs w:val="20"/>
        </w:rPr>
        <w:t xml:space="preserve">7 October </w:t>
      </w:r>
      <w:proofErr w:type="gramStart"/>
      <w:r w:rsidR="00796EA1">
        <w:rPr>
          <w:rFonts w:ascii="Arial" w:hAnsi="Arial" w:cs="Arial"/>
          <w:i/>
          <w:iCs/>
          <w:sz w:val="20"/>
          <w:szCs w:val="20"/>
        </w:rPr>
        <w:t>2026</w:t>
      </w:r>
      <w:r w:rsidRPr="009E0F9D">
        <w:rPr>
          <w:rFonts w:ascii="Arial" w:hAnsi="Arial" w:cs="Arial"/>
          <w:i/>
          <w:iCs/>
          <w:sz w:val="20"/>
          <w:szCs w:val="20"/>
        </w:rPr>
        <w:t>,</w:t>
      </w:r>
      <w:proofErr w:type="gramEnd"/>
      <w:r w:rsidRPr="009E0F9D">
        <w:rPr>
          <w:rFonts w:ascii="Arial" w:hAnsi="Arial" w:cs="Arial"/>
          <w:i/>
          <w:iCs/>
          <w:sz w:val="20"/>
          <w:szCs w:val="20"/>
        </w:rPr>
        <w:t xml:space="preserve"> adopted the Recommendation and took note of the </w:t>
      </w:r>
      <w:r w:rsidR="00BE20AB" w:rsidRPr="009E0F9D">
        <w:rPr>
          <w:rFonts w:ascii="Arial" w:hAnsi="Arial" w:cs="Arial"/>
          <w:i/>
          <w:iCs/>
          <w:sz w:val="20"/>
          <w:szCs w:val="20"/>
        </w:rPr>
        <w:t>Explanatory Memorandum</w:t>
      </w:r>
      <w:r w:rsidRPr="009E0F9D">
        <w:rPr>
          <w:rFonts w:ascii="Arial" w:hAnsi="Arial" w:cs="Arial"/>
          <w:i/>
          <w:iCs/>
          <w:sz w:val="20"/>
          <w:szCs w:val="20"/>
        </w:rPr>
        <w:t xml:space="preserve"> thereto</w:t>
      </w:r>
      <w:r w:rsidRPr="009E0F9D">
        <w:rPr>
          <w:rFonts w:ascii="Arial" w:hAnsi="Arial" w:cs="Arial"/>
          <w:sz w:val="20"/>
          <w:szCs w:val="20"/>
        </w:rPr>
        <w:t>.</w:t>
      </w:r>
      <w:bookmarkEnd w:id="14"/>
    </w:p>
    <w:p w14:paraId="57CB45CD" w14:textId="77777777" w:rsidR="004D3230" w:rsidRPr="009E0F9D" w:rsidRDefault="004D3230" w:rsidP="00162B23">
      <w:pPr>
        <w:pStyle w:val="Notedebasdepage"/>
        <w:widowControl w:val="0"/>
        <w:rPr>
          <w:rFonts w:cs="Arial"/>
          <w:sz w:val="20"/>
        </w:rPr>
      </w:pPr>
    </w:p>
    <w:p w14:paraId="2C41A470" w14:textId="77777777" w:rsidR="004D3230" w:rsidRPr="009E0F9D" w:rsidRDefault="004D3230" w:rsidP="00162B23">
      <w:pPr>
        <w:pStyle w:val="Titre1"/>
        <w:keepNext w:val="0"/>
        <w:keepLines w:val="0"/>
        <w:widowControl w:val="0"/>
        <w:rPr>
          <w:rFonts w:cs="Arial"/>
          <w:szCs w:val="20"/>
        </w:rPr>
      </w:pPr>
      <w:bookmarkStart w:id="15" w:name="lt_pId059"/>
      <w:bookmarkStart w:id="16" w:name="_Toc94775410"/>
      <w:bookmarkStart w:id="17" w:name="_Toc222735675"/>
      <w:r w:rsidRPr="009E0F9D">
        <w:rPr>
          <w:rFonts w:cs="Arial"/>
          <w:szCs w:val="20"/>
        </w:rPr>
        <w:t>Preamble</w:t>
      </w:r>
      <w:bookmarkEnd w:id="15"/>
      <w:bookmarkEnd w:id="16"/>
      <w:bookmarkEnd w:id="17"/>
    </w:p>
    <w:p w14:paraId="6D4E23CB" w14:textId="77777777" w:rsidR="004D3230" w:rsidRPr="009E0F9D" w:rsidRDefault="004D3230" w:rsidP="00162B23">
      <w:pPr>
        <w:widowControl w:val="0"/>
        <w:rPr>
          <w:rFonts w:cs="Arial"/>
          <w:szCs w:val="20"/>
        </w:rPr>
      </w:pPr>
    </w:p>
    <w:p w14:paraId="69C00B0B"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Preamble recalls member States’ responsibility to prosecute individuals suspected of committing terrorist offences in the context of a non-international armed conflict</w:t>
      </w:r>
      <w:r w:rsidRPr="009E0F9D">
        <w:rPr>
          <w:rFonts w:ascii="Arial" w:hAnsi="Arial" w:cs="Arial"/>
          <w:sz w:val="20"/>
          <w:szCs w:val="20"/>
          <w:lang w:eastAsia="fr-FR"/>
        </w:rPr>
        <w:t xml:space="preserve"> while also complying with their obligation to respect</w:t>
      </w:r>
      <w:r w:rsidRPr="009E0F9D">
        <w:rPr>
          <w:rFonts w:ascii="Arial" w:hAnsi="Arial" w:cs="Arial"/>
          <w:sz w:val="20"/>
          <w:szCs w:val="20"/>
        </w:rPr>
        <w:t xml:space="preserve"> and ensure respect for IHL. This reminder finds support in the “savings clause” set out in Article 26, paragraph 4 of the Council of Europe Convention on the Prevention of Terrorism (CETS No. 196) stating that “[n]othing in this Convention shall affect other rights, obligations and responsibilities of a Party and individuals under international law, including international humanitarian law”. This can also be inferred from Article 26, paragraph 5 of the Convention, reading as follows: “The activities of armed forces during an armed conflict, as those terms are understood under international humanitarian law, which are governed by that law, are not governed by this Convention, and the activities undertaken by military forces of a Party in the exercise of their official duties, inasmuch as they are governed by other rules of international law, are not governed by this Convention”.</w:t>
      </w:r>
    </w:p>
    <w:p w14:paraId="07749F35" w14:textId="77777777" w:rsidR="004D3230" w:rsidRPr="009E0F9D" w:rsidRDefault="004D3230" w:rsidP="00162B23">
      <w:pPr>
        <w:pStyle w:val="Paragraphedeliste"/>
        <w:widowControl w:val="0"/>
        <w:ind w:left="0"/>
        <w:rPr>
          <w:rFonts w:ascii="Arial" w:hAnsi="Arial" w:cs="Arial"/>
          <w:sz w:val="20"/>
          <w:szCs w:val="20"/>
        </w:rPr>
      </w:pPr>
    </w:p>
    <w:p w14:paraId="200C718C"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In the same vein, the Preamble underlines the requirement that counter</w:t>
      </w:r>
      <w:r w:rsidRPr="009E0F9D">
        <w:rPr>
          <w:rFonts w:ascii="Arial" w:hAnsi="Arial" w:cs="Arial"/>
          <w:sz w:val="20"/>
          <w:szCs w:val="20"/>
        </w:rPr>
        <w:noBreakHyphen/>
        <w:t>terrorism frameworks be compatible with IHL and</w:t>
      </w:r>
      <w:proofErr w:type="gramStart"/>
      <w:r w:rsidRPr="009E0F9D">
        <w:rPr>
          <w:rFonts w:ascii="Arial" w:hAnsi="Arial" w:cs="Arial"/>
          <w:sz w:val="20"/>
          <w:szCs w:val="20"/>
        </w:rPr>
        <w:t>, in particular, the</w:t>
      </w:r>
      <w:proofErr w:type="gramEnd"/>
      <w:r w:rsidRPr="009E0F9D">
        <w:rPr>
          <w:rFonts w:ascii="Arial" w:hAnsi="Arial" w:cs="Arial"/>
          <w:sz w:val="20"/>
          <w:szCs w:val="20"/>
        </w:rPr>
        <w:t xml:space="preserve"> importance of safeguarding exclusively humanitarian activities carried out during an armed conflict by impartial humanitarian organisations, such as the ICRC. In so doing, it echoes language in UN Security Council Resolutions 2462 (2019) and 2664 (2022) urging States “to take into account the potential effect of [</w:t>
      </w:r>
      <w:proofErr w:type="gramStart"/>
      <w:r w:rsidRPr="009E0F9D">
        <w:rPr>
          <w:rFonts w:ascii="Arial" w:hAnsi="Arial" w:cs="Arial"/>
          <w:sz w:val="20"/>
          <w:szCs w:val="20"/>
        </w:rPr>
        <w:t>counter-terrorism</w:t>
      </w:r>
      <w:proofErr w:type="gramEnd"/>
      <w:r w:rsidRPr="009E0F9D">
        <w:rPr>
          <w:rFonts w:ascii="Arial" w:hAnsi="Arial" w:cs="Arial"/>
          <w:sz w:val="20"/>
          <w:szCs w:val="20"/>
        </w:rPr>
        <w:t>] measures on exclusively humanitarian activities, including medical activities, that are carried out by impartial humanitarian actors in a manner consistent with international humanitarian law”. Moreover, similar language can be found in recital (38) of Directive (EU) 2017/541 of the European Parliament and the Council on combating terrorism excluding from its scope the “provision of humanitarian activities by impartial humanitarian organisations recognised by international law, including international humanitarian law”.</w:t>
      </w:r>
    </w:p>
    <w:p w14:paraId="186CD1AB" w14:textId="77777777" w:rsidR="004D3230" w:rsidRPr="009E0F9D" w:rsidRDefault="004D3230" w:rsidP="00162B23">
      <w:pPr>
        <w:widowControl w:val="0"/>
        <w:rPr>
          <w:rFonts w:cs="Arial"/>
          <w:szCs w:val="20"/>
        </w:rPr>
      </w:pPr>
    </w:p>
    <w:p w14:paraId="21B43D61"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Preamble also emphasises the Recommendation’s victim</w:t>
      </w:r>
      <w:r w:rsidRPr="009E0F9D">
        <w:rPr>
          <w:rFonts w:ascii="Arial" w:hAnsi="Arial" w:cs="Arial"/>
          <w:sz w:val="20"/>
          <w:szCs w:val="20"/>
        </w:rPr>
        <w:noBreakHyphen/>
        <w:t xml:space="preserve">centred approach by acknowledging the positive impact of comprehensive prosecution strategies on securing justice and appropriate support to victims of terrorism and core international crimes to safeguard their dignity and rights. </w:t>
      </w:r>
    </w:p>
    <w:p w14:paraId="1AA364D1" w14:textId="77777777" w:rsidR="004D3230" w:rsidRPr="009E0F9D" w:rsidRDefault="004D3230" w:rsidP="00162B23">
      <w:pPr>
        <w:pStyle w:val="Paragraphedeliste"/>
        <w:widowControl w:val="0"/>
        <w:rPr>
          <w:rFonts w:ascii="Arial" w:hAnsi="Arial" w:cs="Arial"/>
          <w:sz w:val="20"/>
          <w:szCs w:val="20"/>
        </w:rPr>
      </w:pPr>
    </w:p>
    <w:p w14:paraId="095F70B5"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More generally, the Preamble reaffirms that the protection of human rights, the rule of law and democratic principles are complementary and mutually reinforcing with effective </w:t>
      </w:r>
      <w:proofErr w:type="gramStart"/>
      <w:r w:rsidRPr="009E0F9D">
        <w:rPr>
          <w:rFonts w:ascii="Arial" w:hAnsi="Arial" w:cs="Arial"/>
          <w:sz w:val="20"/>
          <w:szCs w:val="20"/>
        </w:rPr>
        <w:t>counter-terrorism</w:t>
      </w:r>
      <w:proofErr w:type="gramEnd"/>
      <w:r w:rsidRPr="009E0F9D">
        <w:rPr>
          <w:rFonts w:ascii="Arial" w:hAnsi="Arial" w:cs="Arial"/>
          <w:sz w:val="20"/>
          <w:szCs w:val="20"/>
        </w:rPr>
        <w:t xml:space="preserve"> </w:t>
      </w:r>
      <w:proofErr w:type="gramStart"/>
      <w:r w:rsidRPr="009E0F9D">
        <w:rPr>
          <w:rFonts w:ascii="Arial" w:hAnsi="Arial" w:cs="Arial"/>
          <w:sz w:val="20"/>
          <w:szCs w:val="20"/>
        </w:rPr>
        <w:t>measures, and</w:t>
      </w:r>
      <w:proofErr w:type="gramEnd"/>
      <w:r w:rsidRPr="009E0F9D">
        <w:rPr>
          <w:rFonts w:ascii="Arial" w:hAnsi="Arial" w:cs="Arial"/>
          <w:sz w:val="20"/>
          <w:szCs w:val="20"/>
        </w:rPr>
        <w:t xml:space="preserve"> is therefore essential to successful counter-terrorism efforts. </w:t>
      </w:r>
    </w:p>
    <w:p w14:paraId="2D738DDF" w14:textId="77777777" w:rsidR="004D3230" w:rsidRPr="009E0F9D" w:rsidRDefault="004D3230" w:rsidP="00162B23">
      <w:pPr>
        <w:pStyle w:val="Paragraphedeliste"/>
        <w:widowControl w:val="0"/>
        <w:rPr>
          <w:rFonts w:ascii="Arial" w:hAnsi="Arial" w:cs="Arial"/>
          <w:sz w:val="20"/>
          <w:szCs w:val="20"/>
        </w:rPr>
      </w:pPr>
    </w:p>
    <w:p w14:paraId="45166DBE"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bookmarkStart w:id="18" w:name="lt_pId074"/>
      <w:r w:rsidRPr="009E0F9D">
        <w:rPr>
          <w:rFonts w:ascii="Arial" w:hAnsi="Arial" w:cs="Arial"/>
          <w:sz w:val="20"/>
          <w:szCs w:val="20"/>
        </w:rPr>
        <w:t xml:space="preserve">Following the preambular paragraphs, the Recommendation makes a series of recommendations to </w:t>
      </w:r>
      <w:proofErr w:type="gramStart"/>
      <w:r w:rsidRPr="009E0F9D">
        <w:rPr>
          <w:rFonts w:ascii="Arial" w:hAnsi="Arial" w:cs="Arial"/>
          <w:sz w:val="20"/>
          <w:szCs w:val="20"/>
        </w:rPr>
        <w:t>member</w:t>
      </w:r>
      <w:proofErr w:type="gramEnd"/>
      <w:r w:rsidRPr="009E0F9D">
        <w:rPr>
          <w:rFonts w:ascii="Arial" w:hAnsi="Arial" w:cs="Arial"/>
          <w:sz w:val="20"/>
          <w:szCs w:val="20"/>
        </w:rPr>
        <w:t xml:space="preserve"> States</w:t>
      </w:r>
      <w:bookmarkEnd w:id="18"/>
      <w:r w:rsidRPr="009E0F9D">
        <w:rPr>
          <w:rFonts w:ascii="Arial" w:hAnsi="Arial" w:cs="Arial"/>
          <w:sz w:val="20"/>
          <w:szCs w:val="20"/>
        </w:rPr>
        <w:t xml:space="preserve">. These </w:t>
      </w:r>
      <w:proofErr w:type="gramStart"/>
      <w:r w:rsidRPr="009E0F9D">
        <w:rPr>
          <w:rFonts w:ascii="Arial" w:hAnsi="Arial" w:cs="Arial"/>
          <w:sz w:val="20"/>
          <w:szCs w:val="20"/>
        </w:rPr>
        <w:t>take into account</w:t>
      </w:r>
      <w:proofErr w:type="gramEnd"/>
      <w:r w:rsidRPr="009E0F9D">
        <w:rPr>
          <w:rFonts w:ascii="Arial" w:hAnsi="Arial" w:cs="Arial"/>
          <w:sz w:val="20"/>
          <w:szCs w:val="20"/>
        </w:rPr>
        <w:t xml:space="preserve"> Council of Europe conventions, recommendations and guidelines of the Committee of Ministers to the member States as well as international treaties and relevant United Nations General Assembly and Security Council resolutions, including those mentioned above. The Recommendation also has regard to the work carried out by the CDCT-IHL.</w:t>
      </w:r>
    </w:p>
    <w:p w14:paraId="087CE1AD" w14:textId="77777777" w:rsidR="004D3230" w:rsidRPr="009E0F9D" w:rsidRDefault="004D3230" w:rsidP="00162B23">
      <w:pPr>
        <w:pStyle w:val="Paragraphedeliste"/>
        <w:widowControl w:val="0"/>
        <w:rPr>
          <w:rFonts w:ascii="Arial" w:hAnsi="Arial" w:cs="Arial"/>
          <w:sz w:val="20"/>
          <w:szCs w:val="20"/>
        </w:rPr>
      </w:pPr>
    </w:p>
    <w:p w14:paraId="5668ED1A" w14:textId="77777777" w:rsidR="00162B23" w:rsidRPr="009E0F9D" w:rsidRDefault="00162B23" w:rsidP="00162B23">
      <w:pPr>
        <w:widowControl w:val="0"/>
        <w:rPr>
          <w:rFonts w:eastAsia="Arial Unicode MS" w:cs="Arial"/>
          <w:szCs w:val="20"/>
          <w:bdr w:val="nil"/>
          <w:lang w:val="en-US"/>
        </w:rPr>
      </w:pPr>
      <w:r w:rsidRPr="009E0F9D">
        <w:rPr>
          <w:rFonts w:cs="Arial"/>
          <w:szCs w:val="20"/>
        </w:rPr>
        <w:br w:type="page"/>
      </w:r>
    </w:p>
    <w:p w14:paraId="39EA608C" w14:textId="5FEB0698"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lastRenderedPageBreak/>
        <w:t>Due to shifting dynamics in Iraq and Syria and in other areas affected or having been affected by a non-international armed conflict, the Recommendation may be revised, following regular examination, to reflect any developments in the prosecution of terrorist offences, serious violations of IHL and other core international crimes committed by non-state armed groups designated as terrorist during the conflict.</w:t>
      </w:r>
    </w:p>
    <w:p w14:paraId="6F86A543" w14:textId="2B6499CA" w:rsidR="004D3230" w:rsidRPr="009E0F9D" w:rsidRDefault="004D3230" w:rsidP="00162B23">
      <w:pPr>
        <w:pStyle w:val="Titre1"/>
        <w:keepNext w:val="0"/>
        <w:keepLines w:val="0"/>
        <w:widowControl w:val="0"/>
        <w:rPr>
          <w:rFonts w:cs="Arial"/>
          <w:szCs w:val="20"/>
        </w:rPr>
      </w:pPr>
    </w:p>
    <w:p w14:paraId="5B81E073" w14:textId="77777777" w:rsidR="00162B23" w:rsidRPr="009E0F9D" w:rsidRDefault="00162B23" w:rsidP="00162B23">
      <w:pPr>
        <w:widowControl w:val="0"/>
      </w:pPr>
    </w:p>
    <w:p w14:paraId="1E6E7EC1" w14:textId="4B0535D4" w:rsidR="00796EA1" w:rsidRPr="00796EA1" w:rsidRDefault="004D3230" w:rsidP="00162B23">
      <w:pPr>
        <w:widowControl w:val="0"/>
        <w:rPr>
          <w:rFonts w:eastAsia="Arial" w:cs="Arial"/>
          <w:i/>
          <w:iCs/>
          <w:szCs w:val="20"/>
        </w:rPr>
      </w:pPr>
      <w:r w:rsidRPr="009E0F9D">
        <w:rPr>
          <w:rFonts w:eastAsia="Arial" w:cs="Arial"/>
          <w:i/>
          <w:iCs/>
          <w:szCs w:val="20"/>
        </w:rPr>
        <w:t xml:space="preserve">Appendix to </w:t>
      </w:r>
      <w:r w:rsidR="009E0F9D" w:rsidRPr="009E0F9D">
        <w:rPr>
          <w:rFonts w:eastAsia="Arial" w:cs="Arial"/>
          <w:i/>
          <w:iCs/>
          <w:szCs w:val="20"/>
        </w:rPr>
        <w:t xml:space="preserve">Recommendation </w:t>
      </w:r>
      <w:bookmarkStart w:id="19" w:name="_ML_000000000004_VALID"/>
      <w:r w:rsidR="000474A6" w:rsidRPr="000474A6">
        <w:rPr>
          <w:rFonts w:eastAsia="Arial" w:cs="Arial"/>
          <w:i/>
          <w:iCs/>
          <w:szCs w:val="20"/>
        </w:rPr>
        <w:fldChar w:fldCharType="begin"/>
      </w:r>
      <w:r w:rsidR="000474A6" w:rsidRPr="000474A6">
        <w:rPr>
          <w:rFonts w:eastAsia="Arial" w:cs="Arial"/>
          <w:i/>
          <w:iCs/>
          <w:szCs w:val="20"/>
        </w:rPr>
        <w:instrText>HYPERLINK "https://search.coe.int/cm/eng#%7B%22CoEReference%22:[%22CM/Rec(2026)13%22],%22CoELanguageId%22:[%22eng%22],%22CoECollection%22:[%22COE_DOC%22],%22po%22:%7B%22ref%22:%22=%22%7D%7D" \o "Recommendation of the Committee of Ministers to member States on prosecuting terrorist offences, serious violations of international humanitarian law and other core international crimes committed in the context of a non-international armed conflict (Adopted by the Committee of Ministers on 7 October 2026 at the 1571st meeting of the Ministers' Deputies)"</w:instrText>
      </w:r>
      <w:r w:rsidR="000474A6" w:rsidRPr="000474A6">
        <w:rPr>
          <w:rFonts w:eastAsia="Arial" w:cs="Arial"/>
          <w:i/>
          <w:iCs/>
          <w:szCs w:val="20"/>
        </w:rPr>
      </w:r>
      <w:r w:rsidR="000474A6" w:rsidRPr="000474A6">
        <w:rPr>
          <w:rFonts w:eastAsia="Arial" w:cs="Arial"/>
          <w:i/>
          <w:iCs/>
          <w:szCs w:val="20"/>
        </w:rPr>
        <w:fldChar w:fldCharType="separate"/>
      </w:r>
      <w:bookmarkEnd w:id="19"/>
      <w:r w:rsidR="000474A6" w:rsidRPr="000474A6">
        <w:rPr>
          <w:rStyle w:val="Lienhypertexte"/>
          <w:rFonts w:eastAsia="Arial" w:cs="Arial"/>
          <w:i/>
          <w:iCs/>
          <w:szCs w:val="20"/>
        </w:rPr>
        <w:t>CM/Rec(2026)13</w:t>
      </w:r>
      <w:r w:rsidR="000474A6" w:rsidRPr="000474A6">
        <w:rPr>
          <w:rFonts w:eastAsia="Arial" w:cs="Arial"/>
          <w:i/>
          <w:iCs/>
          <w:szCs w:val="20"/>
        </w:rPr>
        <w:fldChar w:fldCharType="end"/>
      </w:r>
    </w:p>
    <w:p w14:paraId="6DE45EF0" w14:textId="77777777" w:rsidR="004D3230" w:rsidRPr="009E0F9D" w:rsidRDefault="004D3230" w:rsidP="00162B23">
      <w:pPr>
        <w:widowControl w:val="0"/>
        <w:rPr>
          <w:rFonts w:cs="Arial"/>
          <w:szCs w:val="20"/>
        </w:rPr>
      </w:pPr>
    </w:p>
    <w:p w14:paraId="6D1B1153" w14:textId="77777777" w:rsidR="004D3230" w:rsidRPr="009E0F9D" w:rsidRDefault="004D3230" w:rsidP="00162B23">
      <w:pPr>
        <w:pStyle w:val="Titre1"/>
        <w:keepNext w:val="0"/>
        <w:keepLines w:val="0"/>
        <w:widowControl w:val="0"/>
        <w:rPr>
          <w:rFonts w:cs="Arial"/>
          <w:szCs w:val="20"/>
        </w:rPr>
      </w:pPr>
      <w:bookmarkStart w:id="20" w:name="_Toc222735676"/>
      <w:bookmarkStart w:id="21" w:name="lt_pId079"/>
      <w:bookmarkStart w:id="22" w:name="_Toc94775412"/>
      <w:r w:rsidRPr="009E0F9D">
        <w:rPr>
          <w:rFonts w:cs="Arial"/>
          <w:szCs w:val="20"/>
        </w:rPr>
        <w:t>Chapter I – Purpose, scope and terminology</w:t>
      </w:r>
      <w:bookmarkEnd w:id="20"/>
      <w:r w:rsidRPr="009E0F9D">
        <w:rPr>
          <w:rFonts w:cs="Arial"/>
          <w:szCs w:val="20"/>
        </w:rPr>
        <w:t xml:space="preserve"> </w:t>
      </w:r>
    </w:p>
    <w:bookmarkEnd w:id="21"/>
    <w:bookmarkEnd w:id="22"/>
    <w:p w14:paraId="42748BF9" w14:textId="77777777" w:rsidR="004D3230" w:rsidRPr="009E0F9D" w:rsidRDefault="004D3230" w:rsidP="00162B23">
      <w:pPr>
        <w:pStyle w:val="Titre2"/>
        <w:keepNext w:val="0"/>
        <w:keepLines w:val="0"/>
        <w:widowControl w:val="0"/>
        <w:rPr>
          <w:rFonts w:cs="Arial"/>
          <w:szCs w:val="20"/>
        </w:rPr>
      </w:pPr>
    </w:p>
    <w:p w14:paraId="0C2A9BD0" w14:textId="77777777" w:rsidR="004D3230" w:rsidRPr="009E0F9D" w:rsidRDefault="004D3230" w:rsidP="00162B23">
      <w:pPr>
        <w:pStyle w:val="Titre1"/>
        <w:keepNext w:val="0"/>
        <w:keepLines w:val="0"/>
        <w:widowControl w:val="0"/>
        <w:rPr>
          <w:rFonts w:cs="Arial"/>
          <w:i/>
          <w:szCs w:val="20"/>
        </w:rPr>
      </w:pPr>
      <w:bookmarkStart w:id="23" w:name="_Toc222735677"/>
      <w:r w:rsidRPr="009E0F9D">
        <w:rPr>
          <w:rFonts w:cs="Arial"/>
          <w:szCs w:val="20"/>
        </w:rPr>
        <w:t>Purpose</w:t>
      </w:r>
      <w:bookmarkEnd w:id="23"/>
    </w:p>
    <w:p w14:paraId="59A8318F" w14:textId="77777777" w:rsidR="004D3230" w:rsidRPr="009E0F9D" w:rsidRDefault="004D3230" w:rsidP="00162B23">
      <w:pPr>
        <w:widowControl w:val="0"/>
        <w:rPr>
          <w:rFonts w:cs="Arial"/>
          <w:szCs w:val="20"/>
        </w:rPr>
      </w:pPr>
    </w:p>
    <w:p w14:paraId="2482213A"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fight against impunity is at the heart of the present Recommendation, which calls on m</w:t>
      </w:r>
      <w:r w:rsidRPr="009E0F9D">
        <w:rPr>
          <w:rFonts w:ascii="Arial" w:eastAsia="Times New Roman" w:hAnsi="Arial" w:cs="Arial"/>
          <w:sz w:val="20"/>
          <w:szCs w:val="20"/>
        </w:rPr>
        <w:t xml:space="preserve">ember States to adopt counter-terrorism measures that are grounded in a clear, precise and foreseeable legal framework and are at all times in compliance with the applicable rules and principles of international human rights law and IHL. </w:t>
      </w:r>
      <w:r w:rsidRPr="009E0F9D">
        <w:rPr>
          <w:rFonts w:ascii="Arial" w:hAnsi="Arial" w:cs="Arial"/>
          <w:sz w:val="20"/>
          <w:szCs w:val="20"/>
        </w:rPr>
        <w:t>Against this background, the Recommendation aims to assist member States and their competent authorities to identify effective investigation means and appropriate prosecution strategies to hold accountable foreign terrorist fighters and other terrorist suspects within their jurisdiction, including those who have participated in hostilities and the members of groups designated as terrorist, for the full range of the criminal conduct in which they engaged in the context of a non-international armed conflict, all while respecting international law, in particular IHL.</w:t>
      </w:r>
    </w:p>
    <w:p w14:paraId="2F418597" w14:textId="77777777" w:rsidR="004D3230" w:rsidRPr="009E0F9D" w:rsidRDefault="004D3230" w:rsidP="00162B23">
      <w:pPr>
        <w:widowControl w:val="0"/>
        <w:rPr>
          <w:rFonts w:cs="Arial"/>
          <w:szCs w:val="20"/>
        </w:rPr>
      </w:pPr>
    </w:p>
    <w:p w14:paraId="7FAEAB52" w14:textId="77777777" w:rsidR="004D3230" w:rsidRPr="009E0F9D" w:rsidRDefault="004D3230" w:rsidP="00162B23">
      <w:pPr>
        <w:pStyle w:val="Titre1"/>
        <w:keepNext w:val="0"/>
        <w:keepLines w:val="0"/>
        <w:widowControl w:val="0"/>
        <w:rPr>
          <w:rFonts w:cs="Arial"/>
          <w:i/>
          <w:szCs w:val="20"/>
        </w:rPr>
      </w:pPr>
      <w:bookmarkStart w:id="24" w:name="_Toc222735678"/>
      <w:r w:rsidRPr="009E0F9D">
        <w:rPr>
          <w:rFonts w:cs="Arial"/>
          <w:szCs w:val="20"/>
        </w:rPr>
        <w:t>Scope and terminology</w:t>
      </w:r>
      <w:bookmarkEnd w:id="24"/>
    </w:p>
    <w:p w14:paraId="6AEF7534" w14:textId="77777777" w:rsidR="004D3230" w:rsidRPr="009E0F9D" w:rsidRDefault="004D3230" w:rsidP="00162B23">
      <w:pPr>
        <w:widowControl w:val="0"/>
        <w:rPr>
          <w:rFonts w:cs="Arial"/>
          <w:szCs w:val="20"/>
        </w:rPr>
      </w:pPr>
    </w:p>
    <w:p w14:paraId="7F703503" w14:textId="77777777" w:rsidR="004D3230" w:rsidRPr="009E0F9D" w:rsidRDefault="004D3230" w:rsidP="00162B23">
      <w:pPr>
        <w:widowControl w:val="0"/>
        <w:rPr>
          <w:rFonts w:cs="Arial"/>
          <w:i/>
          <w:iCs/>
          <w:szCs w:val="20"/>
        </w:rPr>
      </w:pPr>
      <w:r w:rsidRPr="009E0F9D">
        <w:rPr>
          <w:rFonts w:cs="Arial"/>
          <w:i/>
          <w:iCs/>
          <w:szCs w:val="20"/>
        </w:rPr>
        <w:t>Suspects and criminal conduct covered</w:t>
      </w:r>
    </w:p>
    <w:p w14:paraId="0EAEAE4D" w14:textId="77777777" w:rsidR="004D3230" w:rsidRPr="009E0F9D" w:rsidRDefault="004D3230" w:rsidP="00162B23">
      <w:pPr>
        <w:widowControl w:val="0"/>
        <w:rPr>
          <w:rFonts w:cs="Arial"/>
          <w:szCs w:val="20"/>
        </w:rPr>
      </w:pPr>
    </w:p>
    <w:p w14:paraId="5E617D5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This Recommendation primarily addresses those cases involving individuals under the jurisdiction of member States who are believed to have participated in acts of terrorism and serious violations of IHL perpetrated by terrorist associations or groups in the context of a non-international armed conflict abroad, including, but not limited to, the conflicts in Syria and Iraq.</w:t>
      </w:r>
    </w:p>
    <w:p w14:paraId="5D124360" w14:textId="77777777" w:rsidR="004D3230" w:rsidRPr="009E0F9D" w:rsidRDefault="004D3230" w:rsidP="00162B23">
      <w:pPr>
        <w:pStyle w:val="Paragraphedeliste"/>
        <w:widowControl w:val="0"/>
        <w:ind w:left="0"/>
        <w:rPr>
          <w:rFonts w:ascii="Arial" w:hAnsi="Arial" w:cs="Arial"/>
          <w:sz w:val="20"/>
          <w:szCs w:val="20"/>
        </w:rPr>
      </w:pPr>
    </w:p>
    <w:p w14:paraId="20AFB2BD"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 explicitly excludes from its </w:t>
      </w:r>
      <w:proofErr w:type="gramStart"/>
      <w:r w:rsidRPr="009E0F9D">
        <w:rPr>
          <w:rFonts w:ascii="Arial" w:hAnsi="Arial" w:cs="Arial"/>
          <w:sz w:val="20"/>
          <w:szCs w:val="20"/>
        </w:rPr>
        <w:t>ambit</w:t>
      </w:r>
      <w:proofErr w:type="gramEnd"/>
      <w:r w:rsidRPr="009E0F9D">
        <w:rPr>
          <w:rFonts w:ascii="Arial" w:hAnsi="Arial" w:cs="Arial"/>
          <w:sz w:val="20"/>
          <w:szCs w:val="20"/>
        </w:rPr>
        <w:t xml:space="preserve"> member States’ military forces, as defined in domestic law. This exclusion is consistent with Article 26, paragraph 5 of the Council of Europe Convention on the Prevention of Terrorism providing that “the activities undertaken by military forces of a Party in the exercise of their official duties, inasmuch as they are governed by other rules of international law, are not governed by this Convention”. As implied by the caveat in this provision, the exclusion of military forces from the scope of the Recommendation does not exempt those forces from responsibility under IHL and does not legitimise behaviour incriminated by counter-terrorism frameworks, including the Convention.</w:t>
      </w:r>
    </w:p>
    <w:p w14:paraId="0F68AF9D" w14:textId="77777777" w:rsidR="004D3230" w:rsidRPr="009E0F9D" w:rsidRDefault="004D3230" w:rsidP="00162B23">
      <w:pPr>
        <w:pStyle w:val="Paragraphedeliste"/>
        <w:widowControl w:val="0"/>
        <w:ind w:left="0"/>
        <w:rPr>
          <w:rFonts w:ascii="Arial" w:hAnsi="Arial" w:cs="Arial"/>
          <w:sz w:val="20"/>
          <w:szCs w:val="20"/>
        </w:rPr>
      </w:pPr>
    </w:p>
    <w:p w14:paraId="3E25E14B"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In most cases, the individuals concerned by the Recommendation are “foreign terrorist fighters”, defined, in accordance with United Nations Security Council Resolution 2178 (2014), as those who “travel to a State other than their States of residence or nationality with the intent to engage in terrorist activities”.</w:t>
      </w:r>
      <w:r w:rsidRPr="009E0F9D">
        <w:rPr>
          <w:rFonts w:ascii="Arial" w:hAnsi="Arial" w:cs="Arial"/>
          <w:i/>
          <w:iCs/>
          <w:sz w:val="20"/>
          <w:szCs w:val="20"/>
        </w:rPr>
        <w:t xml:space="preserve"> </w:t>
      </w:r>
      <w:r w:rsidRPr="009E0F9D">
        <w:rPr>
          <w:rFonts w:ascii="Arial" w:hAnsi="Arial" w:cs="Arial"/>
          <w:sz w:val="20"/>
          <w:szCs w:val="20"/>
        </w:rPr>
        <w:t xml:space="preserve">The Recommendation also covers other members or affiliates of </w:t>
      </w:r>
      <w:r w:rsidRPr="009E0F9D">
        <w:rPr>
          <w:rFonts w:ascii="Arial" w:eastAsia="Times New Roman" w:hAnsi="Arial" w:cs="Arial"/>
          <w:sz w:val="20"/>
          <w:szCs w:val="20"/>
        </w:rPr>
        <w:t>“terrorist associations or groups”, a term that has no binding definition and mirrors wording in the Additional Protocol to the Council of Europe Convention on the Prevention of Terrorism (CETS No. 217).</w:t>
      </w:r>
      <w:r w:rsidRPr="009E0F9D">
        <w:rPr>
          <w:rFonts w:ascii="Arial" w:hAnsi="Arial" w:cs="Arial"/>
          <w:sz w:val="20"/>
          <w:szCs w:val="20"/>
        </w:rPr>
        <w:t xml:space="preserve"> </w:t>
      </w:r>
      <w:r w:rsidRPr="009E0F9D">
        <w:rPr>
          <w:rFonts w:ascii="Arial" w:eastAsia="Times New Roman" w:hAnsi="Arial" w:cs="Arial"/>
          <w:sz w:val="20"/>
          <w:szCs w:val="20"/>
        </w:rPr>
        <w:t>Under Article 2, paragraph 1 of the Additional Protocol, a Party may qualify or define the associations or groups within the meaning of this provision, including by interpreting the terms “association or group” to mean “proscribed” (i.e. prohibited by law) organisations or groups in accordance with its domestic law. For the purposes of this Recommendation, this term therefore refers to associations and groups designated as terrorist on the relevant lists of the United Nations or the European Union or designated as such by relevant member States in accordance with domestic law.</w:t>
      </w:r>
    </w:p>
    <w:p w14:paraId="4E40CA1E" w14:textId="77777777" w:rsidR="004D3230" w:rsidRPr="009E0F9D" w:rsidRDefault="004D3230" w:rsidP="00162B23">
      <w:pPr>
        <w:pStyle w:val="Paragraphedeliste"/>
        <w:widowControl w:val="0"/>
        <w:rPr>
          <w:rFonts w:ascii="Arial" w:hAnsi="Arial" w:cs="Arial"/>
          <w:sz w:val="20"/>
          <w:szCs w:val="20"/>
        </w:rPr>
      </w:pPr>
    </w:p>
    <w:p w14:paraId="38613AEE" w14:textId="77777777" w:rsidR="00162B23"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Recommendation’s scope has been expanded to include legal </w:t>
      </w:r>
      <w:proofErr w:type="gramStart"/>
      <w:r w:rsidRPr="009E0F9D">
        <w:rPr>
          <w:rFonts w:ascii="Arial" w:hAnsi="Arial" w:cs="Arial"/>
          <w:sz w:val="20"/>
          <w:szCs w:val="20"/>
        </w:rPr>
        <w:t>persons</w:t>
      </w:r>
      <w:proofErr w:type="gramEnd"/>
      <w:r w:rsidRPr="009E0F9D">
        <w:rPr>
          <w:rFonts w:ascii="Arial" w:hAnsi="Arial" w:cs="Arial"/>
          <w:sz w:val="20"/>
          <w:szCs w:val="20"/>
        </w:rPr>
        <w:t>. These entities may be held liable for terrorist offences, especially the financing of terrorism, and core international crimes, such as being complicit in crimes against humanity,</w:t>
      </w:r>
      <w:r w:rsidRPr="009E0F9D">
        <w:rPr>
          <w:rStyle w:val="Appelnotedebasdep"/>
          <w:rFonts w:ascii="Arial" w:hAnsi="Arial" w:cs="Arial"/>
          <w:sz w:val="20"/>
          <w:szCs w:val="20"/>
        </w:rPr>
        <w:footnoteReference w:id="4"/>
      </w:r>
      <w:r w:rsidRPr="009E0F9D">
        <w:rPr>
          <w:rFonts w:ascii="Arial" w:hAnsi="Arial" w:cs="Arial"/>
          <w:sz w:val="20"/>
          <w:szCs w:val="20"/>
        </w:rPr>
        <w:t xml:space="preserve"> committed by individuals, where domestic law allows for the criminal or administrative liability of legal persons. This is in line with member States’ obligations under the Council of Europe Convention on Laundering, Search, Seizure and Confiscation of the Proceeds from Crime and on the Financing of Terrorism (CETS No. 198, Article 10) and the International Convention for the Suppression of the Financing of Terrorism (Article 5),</w:t>
      </w:r>
      <w:r w:rsidRPr="009E0F9D">
        <w:rPr>
          <w:rStyle w:val="Appelnotedebasdep"/>
          <w:rFonts w:ascii="Arial" w:hAnsi="Arial" w:cs="Arial"/>
          <w:sz w:val="20"/>
          <w:szCs w:val="20"/>
        </w:rPr>
        <w:footnoteReference w:id="5"/>
      </w:r>
      <w:r w:rsidRPr="009E0F9D">
        <w:rPr>
          <w:rFonts w:ascii="Arial" w:hAnsi="Arial" w:cs="Arial"/>
          <w:sz w:val="20"/>
          <w:szCs w:val="20"/>
        </w:rPr>
        <w:t xml:space="preserve"> whereby a legal person can be held liable when </w:t>
      </w:r>
    </w:p>
    <w:p w14:paraId="7DA4A5BE" w14:textId="77777777" w:rsidR="00162B23" w:rsidRPr="009E0F9D" w:rsidRDefault="00162B23" w:rsidP="00162B23">
      <w:pPr>
        <w:widowControl w:val="0"/>
        <w:rPr>
          <w:rFonts w:eastAsia="Arial Unicode MS" w:cs="Arial"/>
          <w:szCs w:val="20"/>
          <w:bdr w:val="nil"/>
          <w:lang w:val="en-US"/>
        </w:rPr>
      </w:pPr>
      <w:r w:rsidRPr="009E0F9D">
        <w:rPr>
          <w:rFonts w:cs="Arial"/>
          <w:szCs w:val="20"/>
        </w:rPr>
        <w:br w:type="page"/>
      </w:r>
    </w:p>
    <w:p w14:paraId="2696D2DE" w14:textId="051E7CC1"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eastAsia="Times New Roman" w:hAnsi="Arial" w:cs="Arial"/>
          <w:sz w:val="20"/>
          <w:szCs w:val="20"/>
        </w:rPr>
      </w:pPr>
      <w:r w:rsidRPr="009E0F9D">
        <w:rPr>
          <w:rFonts w:ascii="Arial" w:hAnsi="Arial" w:cs="Arial"/>
          <w:sz w:val="20"/>
          <w:szCs w:val="20"/>
        </w:rPr>
        <w:lastRenderedPageBreak/>
        <w:t>relevant offences were committed by a natural person (acting either individually or as part of an organ of the legal person who has a leading position within the legal person) for the benefit of or in the interest of that legal person, on its behalf, or due to a lack of supervision or control, in accordance with domestic legal principles.</w:t>
      </w:r>
    </w:p>
    <w:p w14:paraId="03244CB1" w14:textId="77777777" w:rsidR="004D3230" w:rsidRPr="009E0F9D" w:rsidRDefault="004D3230" w:rsidP="00162B23">
      <w:pPr>
        <w:pStyle w:val="Paragraphedeliste"/>
        <w:widowControl w:val="0"/>
        <w:ind w:left="0"/>
        <w:rPr>
          <w:rFonts w:ascii="Arial" w:eastAsia="Times New Roman" w:hAnsi="Arial" w:cs="Arial"/>
          <w:sz w:val="20"/>
          <w:szCs w:val="20"/>
        </w:rPr>
      </w:pPr>
    </w:p>
    <w:p w14:paraId="229EE510"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Terms and definitions used in the Recommendation generally reflect text codified in Council of Europe binding and non-binding legal instruments. The Recommendation therefore refers to “terrorism” and “terrorist offences” as defined by Article 1 of the Council of Europe Convention on the Prevention of Terrorism and its Amending Protocol.</w:t>
      </w:r>
    </w:p>
    <w:p w14:paraId="44C66A96" w14:textId="77777777" w:rsidR="004D3230" w:rsidRPr="009E0F9D" w:rsidRDefault="004D3230" w:rsidP="00162B23">
      <w:pPr>
        <w:pStyle w:val="Paragraphedeliste"/>
        <w:widowControl w:val="0"/>
        <w:rPr>
          <w:rFonts w:ascii="Arial" w:hAnsi="Arial" w:cs="Arial"/>
          <w:sz w:val="20"/>
          <w:szCs w:val="20"/>
        </w:rPr>
      </w:pPr>
    </w:p>
    <w:p w14:paraId="0AF3C9D2"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Having regard to member States’ judicial practice, the scope of the Recommendation extends beyond terrorist offences and serious violations of IHL to other core international crimes, namely crimes against humanity and genocide, committed in a non-international armed conflict, as understood in international law.</w:t>
      </w:r>
    </w:p>
    <w:p w14:paraId="45924226" w14:textId="77777777" w:rsidR="004D3230" w:rsidRPr="009E0F9D" w:rsidRDefault="004D3230" w:rsidP="00162B23">
      <w:pPr>
        <w:widowControl w:val="0"/>
        <w:rPr>
          <w:rFonts w:cs="Arial"/>
          <w:szCs w:val="20"/>
        </w:rPr>
      </w:pPr>
    </w:p>
    <w:p w14:paraId="170082E0" w14:textId="77777777" w:rsidR="004D3230" w:rsidRPr="009E0F9D" w:rsidRDefault="004D3230" w:rsidP="00162B23">
      <w:pPr>
        <w:widowControl w:val="0"/>
        <w:rPr>
          <w:rFonts w:cs="Arial"/>
          <w:i/>
          <w:iCs/>
          <w:szCs w:val="20"/>
        </w:rPr>
      </w:pPr>
      <w:r w:rsidRPr="009E0F9D">
        <w:rPr>
          <w:rFonts w:cs="Arial"/>
          <w:i/>
          <w:iCs/>
          <w:szCs w:val="20"/>
        </w:rPr>
        <w:t>Limitations regarding the concepts of armed conflict and conflict zone</w:t>
      </w:r>
    </w:p>
    <w:p w14:paraId="09A98167" w14:textId="77777777" w:rsidR="004D3230" w:rsidRPr="009E0F9D" w:rsidRDefault="004D3230" w:rsidP="00162B23">
      <w:pPr>
        <w:widowControl w:val="0"/>
        <w:rPr>
          <w:rFonts w:cs="Arial"/>
          <w:szCs w:val="20"/>
        </w:rPr>
      </w:pPr>
    </w:p>
    <w:p w14:paraId="46D5FE78"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As already explained, the Recommendation only applies to the prosecution of terrorist offences, serious violations of IHL and other core international crimes committed in the context of a non-international armed conflict since non-state armed groups also designated as terrorist engage in this type of conflict.</w:t>
      </w:r>
      <w:r w:rsidRPr="009E0F9D">
        <w:rPr>
          <w:rFonts w:ascii="Arial" w:eastAsia="Times New Roman" w:hAnsi="Arial" w:cs="Arial"/>
          <w:sz w:val="20"/>
          <w:szCs w:val="20"/>
        </w:rPr>
        <w:t xml:space="preserve"> </w:t>
      </w:r>
      <w:r w:rsidRPr="009E0F9D">
        <w:rPr>
          <w:rFonts w:ascii="Arial" w:hAnsi="Arial" w:cs="Arial"/>
          <w:sz w:val="20"/>
          <w:szCs w:val="20"/>
        </w:rPr>
        <w:t xml:space="preserve">The scope of the IHL rules applicable to non-international armed conflicts differs from that of the rules applicable to international armed conflicts. </w:t>
      </w:r>
      <w:r w:rsidRPr="009E0F9D">
        <w:rPr>
          <w:rFonts w:ascii="Arial" w:eastAsia="Times New Roman" w:hAnsi="Arial" w:cs="Arial"/>
          <w:sz w:val="20"/>
          <w:szCs w:val="20"/>
        </w:rPr>
        <w:t>Non-international armed conflicts are mainly governed by Common Article 3 of the 1949 Geneva Conventions, customary international law and, where applicable, Additional Protocol II to those conventions.</w:t>
      </w:r>
      <w:r w:rsidRPr="009E0F9D">
        <w:rPr>
          <w:rStyle w:val="Appelnotedebasdep"/>
          <w:rFonts w:ascii="Arial" w:hAnsi="Arial" w:cs="Arial"/>
          <w:sz w:val="20"/>
          <w:szCs w:val="20"/>
        </w:rPr>
        <w:footnoteReference w:id="6"/>
      </w:r>
    </w:p>
    <w:p w14:paraId="1A902853" w14:textId="77777777" w:rsidR="004D3230" w:rsidRPr="009E0F9D" w:rsidRDefault="004D3230" w:rsidP="00162B23">
      <w:pPr>
        <w:pStyle w:val="Paragraphedeliste"/>
        <w:widowControl w:val="0"/>
        <w:ind w:left="0"/>
        <w:rPr>
          <w:rFonts w:ascii="Arial" w:hAnsi="Arial" w:cs="Arial"/>
          <w:sz w:val="20"/>
          <w:szCs w:val="20"/>
        </w:rPr>
      </w:pPr>
    </w:p>
    <w:p w14:paraId="2767ACC1"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 xml:space="preserve">Depending on the situation, non-international armed conflicts may occur between governmental armed forces and non-state armed groups within a State or between such groups only. In addition to the armed conflict in Syria and Iraq against ISIL(Daesh), well-known examples of </w:t>
      </w:r>
      <w:r w:rsidRPr="009E0F9D">
        <w:rPr>
          <w:rFonts w:ascii="Arial" w:hAnsi="Arial" w:cs="Arial"/>
          <w:sz w:val="20"/>
          <w:szCs w:val="20"/>
        </w:rPr>
        <w:t>non-international armed conflicts</w:t>
      </w:r>
      <w:r w:rsidRPr="009E0F9D">
        <w:rPr>
          <w:rFonts w:ascii="Arial" w:eastAsia="Times New Roman" w:hAnsi="Arial" w:cs="Arial"/>
          <w:sz w:val="20"/>
          <w:szCs w:val="20"/>
        </w:rPr>
        <w:t xml:space="preserve"> in which non-state armed groups also designated as terrorist were parties include the Sri Lankan civil war from 1983 to 2009 involving the Liberation Tigers of Tamil Eelam and the conflict between the Colombian governmental forces and the Revolutionary Armed Forces of Colombia (</w:t>
      </w:r>
      <w:r w:rsidRPr="009E0F9D">
        <w:rPr>
          <w:rFonts w:ascii="Arial" w:eastAsia="Times New Roman" w:hAnsi="Arial" w:cs="Arial"/>
          <w:i/>
          <w:iCs/>
          <w:sz w:val="20"/>
          <w:szCs w:val="20"/>
        </w:rPr>
        <w:t>Fuerzas Armadas Revolucionarias de Colombia</w:t>
      </w:r>
      <w:r w:rsidRPr="009E0F9D">
        <w:rPr>
          <w:rFonts w:ascii="Arial" w:eastAsia="Times New Roman" w:hAnsi="Arial" w:cs="Arial"/>
          <w:sz w:val="20"/>
          <w:szCs w:val="20"/>
        </w:rPr>
        <w:t xml:space="preserve"> – FARC), which ended in 2016.</w:t>
      </w:r>
      <w:r w:rsidRPr="009E0F9D">
        <w:rPr>
          <w:rStyle w:val="Appelnotedebasdep"/>
          <w:rFonts w:ascii="Arial" w:eastAsia="Times New Roman" w:hAnsi="Arial" w:cs="Arial"/>
          <w:sz w:val="20"/>
          <w:szCs w:val="20"/>
        </w:rPr>
        <w:footnoteReference w:id="7"/>
      </w:r>
    </w:p>
    <w:p w14:paraId="4F5B2F38" w14:textId="77777777" w:rsidR="004D3230" w:rsidRPr="009E0F9D" w:rsidRDefault="004D3230" w:rsidP="00162B23">
      <w:pPr>
        <w:pStyle w:val="Paragraphedeliste"/>
        <w:widowControl w:val="0"/>
        <w:rPr>
          <w:rFonts w:ascii="Arial" w:hAnsi="Arial" w:cs="Arial"/>
          <w:sz w:val="20"/>
          <w:szCs w:val="20"/>
        </w:rPr>
      </w:pPr>
    </w:p>
    <w:p w14:paraId="782F5FA4"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proofErr w:type="gramStart"/>
      <w:r w:rsidRPr="009E0F9D">
        <w:rPr>
          <w:rFonts w:ascii="Arial" w:hAnsi="Arial" w:cs="Arial"/>
          <w:sz w:val="20"/>
          <w:szCs w:val="20"/>
        </w:rPr>
        <w:t>For the purpose of</w:t>
      </w:r>
      <w:proofErr w:type="gramEnd"/>
      <w:r w:rsidRPr="009E0F9D">
        <w:rPr>
          <w:rFonts w:ascii="Arial" w:hAnsi="Arial" w:cs="Arial"/>
          <w:sz w:val="20"/>
          <w:szCs w:val="20"/>
        </w:rPr>
        <w:t xml:space="preserve"> this Recommendation, the term “conflict zone” only relates to the collection of evidence and refers to an area affected by a non-international armed conflict where terrorist offences have been perpetrated. This means an area “being affected” or “having been affected” by a non-international armed conflict. </w:t>
      </w:r>
      <w:proofErr w:type="gramStart"/>
      <w:r w:rsidRPr="009E0F9D">
        <w:rPr>
          <w:rFonts w:ascii="Arial" w:hAnsi="Arial" w:cs="Arial"/>
          <w:sz w:val="20"/>
          <w:szCs w:val="20"/>
        </w:rPr>
        <w:t>That being said, a</w:t>
      </w:r>
      <w:proofErr w:type="gramEnd"/>
      <w:r w:rsidRPr="009E0F9D">
        <w:rPr>
          <w:rFonts w:ascii="Arial" w:hAnsi="Arial" w:cs="Arial"/>
          <w:sz w:val="20"/>
          <w:szCs w:val="20"/>
        </w:rPr>
        <w:t xml:space="preserve"> conflict zone is not restricted to the area of </w:t>
      </w:r>
      <w:proofErr w:type="gramStart"/>
      <w:r w:rsidRPr="009E0F9D">
        <w:rPr>
          <w:rFonts w:ascii="Arial" w:hAnsi="Arial" w:cs="Arial"/>
          <w:sz w:val="20"/>
          <w:szCs w:val="20"/>
        </w:rPr>
        <w:t>hostilities</w:t>
      </w:r>
      <w:proofErr w:type="gramEnd"/>
      <w:r w:rsidRPr="009E0F9D">
        <w:rPr>
          <w:rFonts w:ascii="Arial" w:hAnsi="Arial" w:cs="Arial"/>
          <w:sz w:val="20"/>
          <w:szCs w:val="20"/>
        </w:rPr>
        <w:t>. It extends to the whole territory of the State concerned and may spill over the borders into the territory of a neighbouring State.</w:t>
      </w:r>
    </w:p>
    <w:p w14:paraId="4C7510C9" w14:textId="77777777" w:rsidR="004D3230" w:rsidRPr="009E0F9D" w:rsidRDefault="004D3230" w:rsidP="00162B23">
      <w:pPr>
        <w:widowControl w:val="0"/>
        <w:rPr>
          <w:rFonts w:cs="Arial"/>
          <w:szCs w:val="20"/>
        </w:rPr>
      </w:pPr>
    </w:p>
    <w:p w14:paraId="4211D2C0" w14:textId="77777777" w:rsidR="004D3230" w:rsidRPr="009E0F9D" w:rsidRDefault="004D3230" w:rsidP="00162B23">
      <w:pPr>
        <w:widowControl w:val="0"/>
        <w:rPr>
          <w:rFonts w:cs="Arial"/>
          <w:i/>
          <w:iCs/>
          <w:szCs w:val="20"/>
        </w:rPr>
      </w:pPr>
      <w:r w:rsidRPr="009E0F9D">
        <w:rPr>
          <w:rFonts w:cs="Arial"/>
          <w:i/>
          <w:iCs/>
          <w:szCs w:val="20"/>
        </w:rPr>
        <w:t>Prosecution-related concepts</w:t>
      </w:r>
    </w:p>
    <w:p w14:paraId="40CEE086" w14:textId="77777777" w:rsidR="004D3230" w:rsidRPr="009E0F9D" w:rsidRDefault="004D3230" w:rsidP="00162B23">
      <w:pPr>
        <w:pStyle w:val="Paragraphedeliste"/>
        <w:widowControl w:val="0"/>
        <w:rPr>
          <w:rFonts w:ascii="Arial" w:hAnsi="Arial" w:cs="Arial"/>
          <w:sz w:val="20"/>
          <w:szCs w:val="20"/>
        </w:rPr>
      </w:pPr>
    </w:p>
    <w:p w14:paraId="5B88472D"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To enable prosecutions and combat impunity, the Recommendation points to “universal jurisdiction” as a key jurisdictional ground. The term refers to a </w:t>
      </w:r>
      <w:proofErr w:type="gramStart"/>
      <w:r w:rsidRPr="009E0F9D">
        <w:rPr>
          <w:rFonts w:ascii="Arial" w:hAnsi="Arial" w:cs="Arial"/>
          <w:sz w:val="20"/>
          <w:szCs w:val="20"/>
        </w:rPr>
        <w:t>State’s</w:t>
      </w:r>
      <w:proofErr w:type="gramEnd"/>
      <w:r w:rsidRPr="009E0F9D">
        <w:rPr>
          <w:rFonts w:ascii="Arial" w:hAnsi="Arial" w:cs="Arial"/>
          <w:sz w:val="20"/>
          <w:szCs w:val="20"/>
        </w:rPr>
        <w:t xml:space="preserve"> jurisdiction over crimes under international law, even when the crimes did not occur on the State’s territory, and neither the victim nor the perpetrator is a national of that State. This principle is recognised in many member States, with few exceptions.</w:t>
      </w:r>
      <w:r w:rsidRPr="009E0F9D">
        <w:rPr>
          <w:rStyle w:val="Appelnotedebasdep"/>
          <w:rFonts w:ascii="Arial" w:hAnsi="Arial" w:cs="Arial"/>
          <w:sz w:val="20"/>
          <w:szCs w:val="20"/>
        </w:rPr>
        <w:footnoteReference w:id="8"/>
      </w:r>
      <w:r w:rsidRPr="009E0F9D">
        <w:rPr>
          <w:rFonts w:ascii="Arial" w:hAnsi="Arial" w:cs="Arial"/>
          <w:sz w:val="20"/>
          <w:szCs w:val="20"/>
        </w:rPr>
        <w:t xml:space="preserve"> The relevant moment in time for assessing nationality is determined by domestic law. Moreover, pursuant to paragraph 2(e) of resolution 1373 (2001), the United Nations Security Council requires States to ensure that any person who participates in the financing, planning, preparation or perpetration of terrorist acts or in supporting terrorist acts is brought to justice. Additionally, in paragraph 2 of resolution 1566 (2004), the United Nations Security Council calls upon States to bring such individuals to justice </w:t>
      </w:r>
      <w:proofErr w:type="gramStart"/>
      <w:r w:rsidRPr="009E0F9D">
        <w:rPr>
          <w:rFonts w:ascii="Arial" w:hAnsi="Arial" w:cs="Arial"/>
          <w:sz w:val="20"/>
          <w:szCs w:val="20"/>
        </w:rPr>
        <w:t>on the basis of</w:t>
      </w:r>
      <w:proofErr w:type="gramEnd"/>
      <w:r w:rsidRPr="009E0F9D">
        <w:rPr>
          <w:rFonts w:ascii="Arial" w:hAnsi="Arial" w:cs="Arial"/>
          <w:sz w:val="20"/>
          <w:szCs w:val="20"/>
        </w:rPr>
        <w:t xml:space="preserve"> the principle </w:t>
      </w:r>
      <w:proofErr w:type="gramStart"/>
      <w:r w:rsidRPr="009E0F9D">
        <w:rPr>
          <w:rFonts w:ascii="Arial" w:hAnsi="Arial" w:cs="Arial"/>
          <w:sz w:val="20"/>
          <w:szCs w:val="20"/>
        </w:rPr>
        <w:t>to</w:t>
      </w:r>
      <w:proofErr w:type="gramEnd"/>
      <w:r w:rsidRPr="009E0F9D">
        <w:rPr>
          <w:rFonts w:ascii="Arial" w:hAnsi="Arial" w:cs="Arial"/>
          <w:sz w:val="20"/>
          <w:szCs w:val="20"/>
        </w:rPr>
        <w:t xml:space="preserve"> extradite or prosecute (</w:t>
      </w:r>
      <w:r w:rsidRPr="009E0F9D">
        <w:rPr>
          <w:rFonts w:ascii="Arial" w:hAnsi="Arial" w:cs="Arial"/>
          <w:i/>
          <w:iCs/>
          <w:sz w:val="20"/>
          <w:szCs w:val="20"/>
        </w:rPr>
        <w:t>aut dedere aut judicare</w:t>
      </w:r>
      <w:r w:rsidRPr="009E0F9D">
        <w:rPr>
          <w:rFonts w:ascii="Arial" w:hAnsi="Arial" w:cs="Arial"/>
          <w:sz w:val="20"/>
          <w:szCs w:val="20"/>
        </w:rPr>
        <w:t>).</w:t>
      </w:r>
    </w:p>
    <w:p w14:paraId="161F62AA" w14:textId="77777777" w:rsidR="004D3230" w:rsidRPr="009E0F9D" w:rsidRDefault="004D3230" w:rsidP="00162B23">
      <w:pPr>
        <w:pStyle w:val="Paragraphedeliste"/>
        <w:widowControl w:val="0"/>
        <w:ind w:left="0"/>
        <w:rPr>
          <w:rFonts w:ascii="Arial" w:hAnsi="Arial" w:cs="Arial"/>
          <w:sz w:val="20"/>
          <w:szCs w:val="20"/>
        </w:rPr>
      </w:pPr>
    </w:p>
    <w:p w14:paraId="562C8758" w14:textId="77777777" w:rsidR="00162B23" w:rsidRPr="009E0F9D" w:rsidRDefault="00162B23" w:rsidP="00162B23">
      <w:pPr>
        <w:widowControl w:val="0"/>
        <w:rPr>
          <w:rFonts w:eastAsia="Arial Unicode MS" w:cs="Arial"/>
          <w:szCs w:val="20"/>
          <w:bdr w:val="nil"/>
          <w:lang w:val="en-US"/>
        </w:rPr>
      </w:pPr>
      <w:r w:rsidRPr="009E0F9D">
        <w:rPr>
          <w:rFonts w:cs="Arial"/>
          <w:szCs w:val="20"/>
        </w:rPr>
        <w:br w:type="page"/>
      </w:r>
    </w:p>
    <w:p w14:paraId="4D18DB04" w14:textId="70A71DBB"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lastRenderedPageBreak/>
        <w:t xml:space="preserve">For the purposes of this Recommendation, the term “cumulative prosecution” </w:t>
      </w:r>
      <w:r w:rsidRPr="009E0F9D">
        <w:rPr>
          <w:rFonts w:ascii="Arial" w:eastAsia="Times New Roman" w:hAnsi="Arial" w:cs="Arial"/>
          <w:sz w:val="20"/>
          <w:szCs w:val="20"/>
        </w:rPr>
        <w:t>covers three different scenarios that account for the diversity of legal systems: i. the dual legal qualification and prosecution of the same fact as a terrorist offence and a core international crime; ii. the cumulative charging for and prosecution of different facts simultaneously under counter-terrorism legislation and IHL; and iii. the prosecution of different facts as terrorist offences and core international crimes, respectively, at separate moments in time. The third scenario envisions member States cumulatively prosecuting a series of facts that are all rooted in the same criminal intent. Domestic criminal law concerning “concurrent offences” may apply.</w:t>
      </w:r>
    </w:p>
    <w:p w14:paraId="4D96F854" w14:textId="77777777" w:rsidR="004D3230" w:rsidRPr="009E0F9D" w:rsidRDefault="004D3230" w:rsidP="00162B23">
      <w:pPr>
        <w:widowControl w:val="0"/>
        <w:rPr>
          <w:rFonts w:eastAsia="Times New Roman" w:cs="Arial"/>
          <w:szCs w:val="20"/>
        </w:rPr>
      </w:pPr>
    </w:p>
    <w:p w14:paraId="33C17A1F" w14:textId="520423EF"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 xml:space="preserve">The present Recommendation reproduces the definition of </w:t>
      </w:r>
      <w:r w:rsidRPr="009E0F9D">
        <w:rPr>
          <w:rFonts w:ascii="Arial" w:hAnsi="Arial" w:cs="Arial"/>
          <w:sz w:val="20"/>
          <w:szCs w:val="20"/>
        </w:rPr>
        <w:t>“special investigation techniques” set out in</w:t>
      </w:r>
      <w:r w:rsidRPr="009E0F9D">
        <w:rPr>
          <w:rFonts w:ascii="Arial" w:eastAsia="Times New Roman" w:hAnsi="Arial" w:cs="Arial"/>
          <w:sz w:val="20"/>
          <w:szCs w:val="20"/>
        </w:rPr>
        <w:t xml:space="preserve"> </w:t>
      </w:r>
      <w:r w:rsidRPr="009E0F9D">
        <w:rPr>
          <w:rFonts w:ascii="Arial" w:hAnsi="Arial" w:cs="Arial"/>
          <w:sz w:val="20"/>
          <w:szCs w:val="20"/>
        </w:rPr>
        <w:t xml:space="preserve">Recommendation </w:t>
      </w:r>
      <w:bookmarkStart w:id="25" w:name="_ML_000000000005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"https://search.coe.int/cm/eng#%7B%22CoEReference%22:[%22CM/Rec(2017)6%22],%22CoELanguageId%22:[%22eng%22],%22CoECollection%22:[%22COE_DOC%22],%22po%22:%7B%22ref%22:%22=%22%7D%7D" \o "Recommendation of the Committee of Ministers to member States on \“special investigation techniques\” in relation to serious crimes including acts of terrorism (Adopted by the Committee of Ministers on 5 July 2017 at the 1291st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25"/>
      <w:r w:rsidR="000474A6" w:rsidRPr="000474A6">
        <w:rPr>
          <w:rStyle w:val="Lienhypertexte"/>
          <w:rFonts w:ascii="Arial" w:hAnsi="Arial" w:cs="Arial"/>
          <w:sz w:val="20"/>
          <w:szCs w:val="20"/>
        </w:rPr>
        <w:t>CM/Rec(2017)6</w:t>
      </w:r>
      <w:r w:rsidR="000474A6" w:rsidRPr="000474A6">
        <w:rPr>
          <w:rFonts w:ascii="Arial" w:hAnsi="Arial" w:cs="Arial"/>
          <w:sz w:val="20"/>
          <w:szCs w:val="20"/>
        </w:rPr>
        <w:fldChar w:fldCharType="end"/>
      </w:r>
      <w:r w:rsidRPr="009E0F9D">
        <w:rPr>
          <w:rFonts w:ascii="Arial" w:hAnsi="Arial" w:cs="Arial"/>
          <w:sz w:val="20"/>
          <w:szCs w:val="20"/>
        </w:rPr>
        <w:t xml:space="preserve"> on “special investigation techniques” in relation to serious crimes including acts of terrorism </w:t>
      </w:r>
      <w:r w:rsidRPr="009E0F9D">
        <w:rPr>
          <w:rFonts w:ascii="Arial" w:eastAsia="Times New Roman" w:hAnsi="Arial" w:cs="Arial"/>
          <w:sz w:val="20"/>
          <w:szCs w:val="20"/>
        </w:rPr>
        <w:t>and applies it to the offences and crimes within its scope.</w:t>
      </w:r>
    </w:p>
    <w:p w14:paraId="2076B54E" w14:textId="77777777" w:rsidR="004D3230" w:rsidRPr="009E0F9D" w:rsidRDefault="004D3230" w:rsidP="00162B23">
      <w:pPr>
        <w:pStyle w:val="Paragraphedeliste"/>
        <w:widowControl w:val="0"/>
        <w:rPr>
          <w:rFonts w:ascii="Arial" w:hAnsi="Arial" w:cs="Arial"/>
          <w:sz w:val="20"/>
          <w:szCs w:val="20"/>
        </w:rPr>
      </w:pPr>
    </w:p>
    <w:p w14:paraId="0516341A"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The Recommendation also refers to the “joint investigation team”, as defined in Article 20, paragraph 1, of the Second Additional Protocol to the European Convention on Mutual Assistance in Criminal Matters (CETS No. 182) and Article 13, paragraph 1, of the Convention on Mutual Legal Assistance in Criminal Matters between Member States of the European Union, which reads as follows: “By mutual agreement, the competent authorities of two or more Member States may set up a joint investigation team for a specific purpose and a limited period, which may be extended by mutual consent, to carry out criminal investigations in one or more of the Member States setting up the team. The composition of the team shall be set out in the agreement.”</w:t>
      </w:r>
      <w:r w:rsidRPr="009E0F9D">
        <w:rPr>
          <w:rStyle w:val="Appelnotedebasdep"/>
          <w:rFonts w:ascii="Arial" w:eastAsia="Times New Roman" w:hAnsi="Arial" w:cs="Arial"/>
          <w:sz w:val="20"/>
          <w:szCs w:val="20"/>
        </w:rPr>
        <w:footnoteReference w:id="9"/>
      </w:r>
      <w:r w:rsidRPr="009E0F9D">
        <w:rPr>
          <w:rFonts w:ascii="Arial" w:eastAsia="Times New Roman" w:hAnsi="Arial" w:cs="Arial"/>
          <w:sz w:val="20"/>
          <w:szCs w:val="20"/>
        </w:rPr>
        <w:t xml:space="preserve"> This is now an established efficient and effective judicial co-operation tool when tackling cross-border crime.</w:t>
      </w:r>
    </w:p>
    <w:p w14:paraId="3FD976DA" w14:textId="77777777" w:rsidR="004D3230" w:rsidRPr="009E0F9D" w:rsidRDefault="004D3230" w:rsidP="00162B23">
      <w:pPr>
        <w:widowControl w:val="0"/>
        <w:rPr>
          <w:rFonts w:cs="Arial"/>
          <w:szCs w:val="20"/>
        </w:rPr>
      </w:pPr>
    </w:p>
    <w:p w14:paraId="14B165E2" w14:textId="77777777" w:rsidR="004D3230" w:rsidRPr="009E0F9D" w:rsidRDefault="004D3230" w:rsidP="00162B23">
      <w:pPr>
        <w:pStyle w:val="Titre1"/>
        <w:keepNext w:val="0"/>
        <w:keepLines w:val="0"/>
        <w:widowControl w:val="0"/>
        <w:rPr>
          <w:rFonts w:eastAsia="Times New Roman" w:cs="Arial"/>
          <w:szCs w:val="20"/>
        </w:rPr>
      </w:pPr>
      <w:bookmarkStart w:id="26" w:name="_Toc222735679"/>
      <w:r w:rsidRPr="009E0F9D">
        <w:rPr>
          <w:rFonts w:eastAsia="Times New Roman" w:cs="Arial"/>
          <w:szCs w:val="20"/>
        </w:rPr>
        <w:t xml:space="preserve">Chapter II – Establishing jurisdiction over the full spectrum of the alleged criminal </w:t>
      </w:r>
      <w:r w:rsidRPr="009E0F9D">
        <w:rPr>
          <w:rFonts w:cs="Arial"/>
          <w:szCs w:val="20"/>
        </w:rPr>
        <w:t>conduct</w:t>
      </w:r>
      <w:bookmarkEnd w:id="26"/>
    </w:p>
    <w:p w14:paraId="749E5D06" w14:textId="77777777" w:rsidR="004D3230" w:rsidRPr="009E0F9D" w:rsidRDefault="004D3230" w:rsidP="00162B23">
      <w:pPr>
        <w:widowControl w:val="0"/>
        <w:rPr>
          <w:rFonts w:cs="Arial"/>
          <w:szCs w:val="20"/>
        </w:rPr>
      </w:pPr>
    </w:p>
    <w:p w14:paraId="7A63ABC8"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rPr>
      </w:pPr>
      <w:r w:rsidRPr="009E0F9D">
        <w:rPr>
          <w:rFonts w:ascii="Arial" w:hAnsi="Arial" w:cs="Arial"/>
          <w:sz w:val="20"/>
          <w:szCs w:val="20"/>
        </w:rPr>
        <w:t xml:space="preserve">Prosecuting members and affiliates of terrorist associations or groups for the entire spectrum of the criminal conduct in which they allegedly engaged in a non-international armed conflict on foreign soil can be challenging due, </w:t>
      </w:r>
      <w:r w:rsidRPr="009E0F9D">
        <w:rPr>
          <w:rFonts w:ascii="Arial" w:hAnsi="Arial" w:cs="Arial"/>
          <w:i/>
          <w:iCs/>
          <w:sz w:val="20"/>
          <w:szCs w:val="20"/>
        </w:rPr>
        <w:t>inter alia</w:t>
      </w:r>
      <w:r w:rsidRPr="009E0F9D">
        <w:rPr>
          <w:rFonts w:ascii="Arial" w:hAnsi="Arial" w:cs="Arial"/>
          <w:sz w:val="20"/>
          <w:szCs w:val="20"/>
        </w:rPr>
        <w:t>, to difficulties in establishing extraterritorial jurisdiction. To overcome these obstacles and ensure full accountability, the Recommendation calls on member States to envisage all possible jurisdictional grounds, including the protection of their national interests, in accordance with domestic law, including prosecutorial discretion or authorisation by a national competent authority to open a case, where appropriate.</w:t>
      </w:r>
    </w:p>
    <w:p w14:paraId="5CC21A8E" w14:textId="77777777" w:rsidR="004D3230" w:rsidRPr="009E0F9D" w:rsidRDefault="004D3230" w:rsidP="00162B23">
      <w:pPr>
        <w:pStyle w:val="Paragraphedeliste"/>
        <w:widowControl w:val="0"/>
        <w:ind w:left="0"/>
        <w:rPr>
          <w:rFonts w:ascii="Arial" w:hAnsi="Arial" w:cs="Arial"/>
          <w:sz w:val="20"/>
          <w:szCs w:val="20"/>
        </w:rPr>
      </w:pPr>
    </w:p>
    <w:p w14:paraId="1D81A004"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In support of the fight against impunity, the Recommendation reiterates the States’ right to </w:t>
      </w:r>
      <w:r w:rsidRPr="009E0F9D">
        <w:rPr>
          <w:rFonts w:ascii="Arial" w:eastAsia="Times New Roman" w:hAnsi="Arial" w:cs="Arial"/>
          <w:sz w:val="20"/>
          <w:szCs w:val="20"/>
        </w:rPr>
        <w:t>vest universal jurisdiction in their national laws over war crimes,</w:t>
      </w:r>
      <w:r w:rsidRPr="009E0F9D">
        <w:rPr>
          <w:rStyle w:val="Appelnotedebasdep"/>
          <w:rFonts w:ascii="Arial" w:eastAsia="Times New Roman" w:hAnsi="Arial" w:cs="Arial"/>
          <w:sz w:val="20"/>
          <w:szCs w:val="20"/>
        </w:rPr>
        <w:footnoteReference w:id="10"/>
      </w:r>
      <w:r w:rsidRPr="009E0F9D">
        <w:rPr>
          <w:rFonts w:ascii="Arial" w:eastAsia="Times New Roman" w:hAnsi="Arial" w:cs="Arial"/>
          <w:sz w:val="20"/>
          <w:szCs w:val="20"/>
        </w:rPr>
        <w:t xml:space="preserve"> crimes against humanity and genocide. </w:t>
      </w:r>
      <w:proofErr w:type="gramStart"/>
      <w:r w:rsidRPr="009E0F9D">
        <w:rPr>
          <w:rFonts w:ascii="Arial" w:hAnsi="Arial" w:cs="Arial"/>
          <w:sz w:val="20"/>
          <w:szCs w:val="20"/>
        </w:rPr>
        <w:t>The vast majority of</w:t>
      </w:r>
      <w:proofErr w:type="gramEnd"/>
      <w:r w:rsidRPr="009E0F9D">
        <w:rPr>
          <w:rFonts w:ascii="Arial" w:hAnsi="Arial" w:cs="Arial"/>
          <w:sz w:val="20"/>
          <w:szCs w:val="20"/>
        </w:rPr>
        <w:t xml:space="preserve"> member States are also parties to the Rome Statute of the International Criminal Court (ICC) and, in most cases, have incorporated in their national </w:t>
      </w:r>
      <w:proofErr w:type="gramStart"/>
      <w:r w:rsidRPr="009E0F9D">
        <w:rPr>
          <w:rFonts w:ascii="Arial" w:hAnsi="Arial" w:cs="Arial"/>
          <w:sz w:val="20"/>
          <w:szCs w:val="20"/>
        </w:rPr>
        <w:t>laws</w:t>
      </w:r>
      <w:proofErr w:type="gramEnd"/>
      <w:r w:rsidRPr="009E0F9D">
        <w:rPr>
          <w:rFonts w:ascii="Arial" w:hAnsi="Arial" w:cs="Arial"/>
          <w:sz w:val="20"/>
          <w:szCs w:val="20"/>
        </w:rPr>
        <w:t xml:space="preserve"> provisions establishing universal jurisdiction over these crimes. Where such provisions are absent, the Recommendation advocates for their inclusion in domestic law to allow the competent authorities to bring to justice alleged perpetrators according to the principle of complementarity. In parallel, the Recommendation encourages the small number of member States that are not parties to the ICC Rome Statute to incorporate serious violations of IHL and other core international crimes into their domestic legal frameworks, thereby enabling cumulative prosecutions when criminal conduct may fall under both counter-terrorism frameworks and IHL.</w:t>
      </w:r>
    </w:p>
    <w:p w14:paraId="10E4788C" w14:textId="77777777" w:rsidR="004D3230" w:rsidRPr="009E0F9D" w:rsidRDefault="004D3230" w:rsidP="00162B23">
      <w:pPr>
        <w:pStyle w:val="Paragraphedeliste"/>
        <w:widowControl w:val="0"/>
        <w:rPr>
          <w:rFonts w:ascii="Arial" w:hAnsi="Arial" w:cs="Arial"/>
          <w:sz w:val="20"/>
          <w:szCs w:val="20"/>
        </w:rPr>
      </w:pPr>
    </w:p>
    <w:p w14:paraId="27F14417"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At the same time, the Recommendation acknowledges that the scope of universal jurisdiction varies widely and depends on the conditions provided by the domestic legislation. For example, in some countries, criminal law imposes that suspects be present and/or have their habitual residence on the State’s territory to exert universal jurisdiction over their alleged criminal conduct.</w:t>
      </w:r>
      <w:r w:rsidRPr="009E0F9D">
        <w:rPr>
          <w:rStyle w:val="Appelnotedebasdep"/>
          <w:rFonts w:ascii="Arial" w:hAnsi="Arial" w:cs="Arial"/>
          <w:sz w:val="20"/>
          <w:szCs w:val="20"/>
        </w:rPr>
        <w:footnoteReference w:id="11"/>
      </w:r>
      <w:r w:rsidRPr="009E0F9D">
        <w:rPr>
          <w:rFonts w:ascii="Arial" w:hAnsi="Arial" w:cs="Arial"/>
          <w:sz w:val="20"/>
          <w:szCs w:val="20"/>
        </w:rPr>
        <w:t xml:space="preserve"> In other countries, procedural filters exist that require a prior request from a responsible </w:t>
      </w:r>
      <w:proofErr w:type="gramStart"/>
      <w:r w:rsidRPr="009E0F9D">
        <w:rPr>
          <w:rFonts w:ascii="Arial" w:hAnsi="Arial" w:cs="Arial"/>
          <w:sz w:val="20"/>
          <w:szCs w:val="20"/>
        </w:rPr>
        <w:t>governmental</w:t>
      </w:r>
      <w:proofErr w:type="gramEnd"/>
      <w:r w:rsidRPr="009E0F9D">
        <w:rPr>
          <w:rFonts w:ascii="Arial" w:hAnsi="Arial" w:cs="Arial"/>
          <w:sz w:val="20"/>
          <w:szCs w:val="20"/>
        </w:rPr>
        <w:t xml:space="preserve"> authority. Against this background, the Recommendation advises that the law explicitly specify the applicable conditions and, where universal jurisdiction encompasses terrorist offences, clearly identify these offences. Furthermore, the law should be interpreted in a manner that is consistent with the States’ international obligations under IHL, </w:t>
      </w:r>
      <w:proofErr w:type="gramStart"/>
      <w:r w:rsidRPr="009E0F9D">
        <w:rPr>
          <w:rFonts w:ascii="Arial" w:hAnsi="Arial" w:cs="Arial"/>
          <w:sz w:val="20"/>
          <w:szCs w:val="20"/>
        </w:rPr>
        <w:t>in order to</w:t>
      </w:r>
      <w:proofErr w:type="gramEnd"/>
      <w:r w:rsidRPr="009E0F9D">
        <w:rPr>
          <w:rFonts w:ascii="Arial" w:hAnsi="Arial" w:cs="Arial"/>
          <w:sz w:val="20"/>
          <w:szCs w:val="20"/>
        </w:rPr>
        <w:t xml:space="preserve"> avoid unduly restricting the possibility of prosecuting suspects.</w:t>
      </w:r>
    </w:p>
    <w:p w14:paraId="6DCDE6CB" w14:textId="77777777" w:rsidR="004D3230" w:rsidRPr="009E0F9D" w:rsidRDefault="004D3230" w:rsidP="00162B23">
      <w:pPr>
        <w:widowControl w:val="0"/>
        <w:rPr>
          <w:rFonts w:cs="Arial"/>
          <w:szCs w:val="20"/>
        </w:rPr>
      </w:pPr>
    </w:p>
    <w:p w14:paraId="2C2E8C47" w14:textId="77777777" w:rsidR="00162B23" w:rsidRPr="009E0F9D" w:rsidRDefault="00162B23" w:rsidP="00162B23">
      <w:pPr>
        <w:widowControl w:val="0"/>
        <w:rPr>
          <w:rFonts w:eastAsia="Arial Unicode MS" w:cs="Arial"/>
          <w:szCs w:val="20"/>
          <w:bdr w:val="nil"/>
          <w:lang w:val="en-US"/>
        </w:rPr>
      </w:pPr>
      <w:r w:rsidRPr="009E0F9D">
        <w:rPr>
          <w:rFonts w:cs="Arial"/>
          <w:szCs w:val="20"/>
        </w:rPr>
        <w:br w:type="page"/>
      </w:r>
    </w:p>
    <w:p w14:paraId="0F1BDBAE" w14:textId="2528E038"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lastRenderedPageBreak/>
        <w:t>Exercising universal jurisdiction over core international crimes and, as the case may be, terrorism</w:t>
      </w:r>
      <w:r w:rsidRPr="009E0F9D">
        <w:rPr>
          <w:rFonts w:ascii="Arial" w:hAnsi="Arial" w:cs="Arial"/>
          <w:sz w:val="20"/>
          <w:szCs w:val="20"/>
        </w:rPr>
        <w:noBreakHyphen/>
        <w:t xml:space="preserve">related offences allegedly committed in a non-international armed conflict should also comply with international and Council of Europe human rights standards, </w:t>
      </w:r>
      <w:r w:rsidRPr="009E0F9D">
        <w:rPr>
          <w:rFonts w:ascii="Arial" w:eastAsia="Times New Roman" w:hAnsi="Arial" w:cs="Arial"/>
          <w:sz w:val="20"/>
          <w:szCs w:val="20"/>
        </w:rPr>
        <w:t>particularly the right to a fair trial, the right to an effective remedy</w:t>
      </w:r>
      <w:r w:rsidRPr="009E0F9D">
        <w:rPr>
          <w:rFonts w:ascii="Arial" w:hAnsi="Arial" w:cs="Arial"/>
          <w:sz w:val="20"/>
          <w:szCs w:val="20"/>
        </w:rPr>
        <w:t xml:space="preserve"> and the right not to be tried or punished twice (the </w:t>
      </w:r>
      <w:r w:rsidRPr="009E0F9D">
        <w:rPr>
          <w:rFonts w:ascii="Arial" w:hAnsi="Arial" w:cs="Arial"/>
          <w:i/>
          <w:iCs/>
          <w:sz w:val="20"/>
          <w:szCs w:val="20"/>
        </w:rPr>
        <w:t>ne bis in idem</w:t>
      </w:r>
      <w:r w:rsidRPr="009E0F9D">
        <w:rPr>
          <w:rFonts w:ascii="Arial" w:hAnsi="Arial" w:cs="Arial"/>
          <w:sz w:val="20"/>
          <w:szCs w:val="20"/>
        </w:rPr>
        <w:t xml:space="preserve"> principle). This principle can be found in many treaty instruments, such as the European Convention on Extradition (ETS No. 24, Article 9), the Council of Europe Convention on Laundering, Search, Seizure and Confiscation of the Proceeds from Crime and on the Financing of Terrorism (CETS No. 198, Article 28(1)(f)) and the European Convention on Human Rights (Article 4 of Protocol No. 7). Article 4 of Protocol No. 7 enshrines a fundamental right guaranteeing that no one is to be tried or punished in criminal proceedings for an offence of which he or she has already been finally convicted or acquitted.</w:t>
      </w:r>
      <w:r w:rsidRPr="009E0F9D">
        <w:rPr>
          <w:rStyle w:val="Appelnotedebasdep"/>
          <w:rFonts w:ascii="Arial" w:hAnsi="Arial" w:cs="Arial"/>
          <w:sz w:val="20"/>
          <w:szCs w:val="20"/>
        </w:rPr>
        <w:footnoteReference w:id="12"/>
      </w:r>
    </w:p>
    <w:p w14:paraId="3AC76546" w14:textId="77777777" w:rsidR="004D3230" w:rsidRPr="009E0F9D" w:rsidRDefault="004D3230" w:rsidP="00162B23">
      <w:pPr>
        <w:pStyle w:val="Paragraphedeliste"/>
        <w:widowControl w:val="0"/>
        <w:rPr>
          <w:rFonts w:ascii="Arial" w:hAnsi="Arial" w:cs="Arial"/>
          <w:sz w:val="20"/>
          <w:szCs w:val="20"/>
        </w:rPr>
      </w:pPr>
    </w:p>
    <w:p w14:paraId="0E84F7B7"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scope of the </w:t>
      </w:r>
      <w:r w:rsidRPr="009E0F9D">
        <w:rPr>
          <w:rFonts w:ascii="Arial" w:hAnsi="Arial" w:cs="Arial"/>
          <w:i/>
          <w:iCs/>
          <w:sz w:val="20"/>
          <w:szCs w:val="20"/>
        </w:rPr>
        <w:t>ne bis in idem</w:t>
      </w:r>
      <w:r w:rsidRPr="009E0F9D">
        <w:rPr>
          <w:rFonts w:ascii="Arial" w:hAnsi="Arial" w:cs="Arial"/>
          <w:sz w:val="20"/>
          <w:szCs w:val="20"/>
        </w:rPr>
        <w:t xml:space="preserve"> principle differs from one treaty instrument to another. Article 4 of Protocol No. 7 to the European Convention on Human Rights applies only “to criminal proceedings under the jurisdiction of the same State”. In contrast, the EU Charter for Fundamental Rights (Article 50) offers a wider protection as it applies to criminal proceedings “within the Union in accordance with the law”. Lastly, some relevant Council of Europe conventions also apply to non-member States that are parties thereto and therefore extend the application of the principle in respect of those States. Therefore, the extent to which </w:t>
      </w:r>
      <w:r w:rsidRPr="009E0F9D">
        <w:rPr>
          <w:rFonts w:ascii="Arial" w:hAnsi="Arial" w:cs="Arial"/>
          <w:i/>
          <w:iCs/>
          <w:sz w:val="20"/>
          <w:szCs w:val="20"/>
        </w:rPr>
        <w:t>ne bis in idem</w:t>
      </w:r>
      <w:r w:rsidRPr="009E0F9D">
        <w:rPr>
          <w:rFonts w:ascii="Arial" w:hAnsi="Arial" w:cs="Arial"/>
          <w:sz w:val="20"/>
          <w:szCs w:val="20"/>
        </w:rPr>
        <w:t xml:space="preserve"> applies should be assessed on a case-by-case basis.</w:t>
      </w:r>
    </w:p>
    <w:p w14:paraId="1E1FCD52" w14:textId="77777777" w:rsidR="004D3230" w:rsidRPr="009E0F9D" w:rsidRDefault="004D3230" w:rsidP="00162B23">
      <w:pPr>
        <w:pStyle w:val="Paragraphedeliste"/>
        <w:widowControl w:val="0"/>
        <w:rPr>
          <w:rFonts w:ascii="Arial" w:hAnsi="Arial" w:cs="Arial"/>
          <w:sz w:val="20"/>
          <w:szCs w:val="20"/>
        </w:rPr>
      </w:pPr>
    </w:p>
    <w:p w14:paraId="45149237"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As regards other possible grounds for jurisdiction, the Recommendation points to the extension of the active and passive personality principles to non-nationals who are habitually resident </w:t>
      </w:r>
      <w:proofErr w:type="gramStart"/>
      <w:r w:rsidRPr="009E0F9D">
        <w:rPr>
          <w:rFonts w:ascii="Arial" w:hAnsi="Arial" w:cs="Arial"/>
          <w:sz w:val="20"/>
          <w:szCs w:val="20"/>
        </w:rPr>
        <w:t>on</w:t>
      </w:r>
      <w:proofErr w:type="gramEnd"/>
      <w:r w:rsidRPr="009E0F9D">
        <w:rPr>
          <w:rFonts w:ascii="Arial" w:hAnsi="Arial" w:cs="Arial"/>
          <w:sz w:val="20"/>
          <w:szCs w:val="20"/>
        </w:rPr>
        <w:t xml:space="preserve"> the State’s territory. Typically, for extended active personality, this criterion is assessed at the time the offence or crime is committed and/or when criminal proceedings are initiated, and for extended passive personality, at the time the facts occurred.</w:t>
      </w:r>
    </w:p>
    <w:p w14:paraId="413A1023" w14:textId="77777777" w:rsidR="004D3230" w:rsidRPr="009E0F9D" w:rsidRDefault="004D3230" w:rsidP="00162B23">
      <w:pPr>
        <w:pStyle w:val="Paragraphedeliste"/>
        <w:widowControl w:val="0"/>
        <w:rPr>
          <w:rFonts w:ascii="Arial" w:hAnsi="Arial" w:cs="Arial"/>
          <w:sz w:val="20"/>
          <w:szCs w:val="20"/>
        </w:rPr>
      </w:pPr>
    </w:p>
    <w:p w14:paraId="6B89E57B"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When establishing jurisdiction in cases covered by this Recommendation, member States should prioritise ensuring accountability for both terrorism-related offences and core international crimes. </w:t>
      </w:r>
      <w:r w:rsidRPr="009E0F9D">
        <w:rPr>
          <w:rFonts w:ascii="Arial" w:eastAsia="Times New Roman" w:hAnsi="Arial" w:cs="Arial"/>
          <w:sz w:val="20"/>
          <w:szCs w:val="20"/>
        </w:rPr>
        <w:t>According to international law</w:t>
      </w:r>
      <w:r w:rsidRPr="009E0F9D">
        <w:rPr>
          <w:rFonts w:ascii="Arial" w:hAnsi="Arial" w:cs="Arial"/>
          <w:sz w:val="20"/>
          <w:szCs w:val="20"/>
        </w:rPr>
        <w:t>,</w:t>
      </w:r>
      <w:r w:rsidRPr="009E0F9D">
        <w:rPr>
          <w:rStyle w:val="Appelnotedebasdep"/>
          <w:rFonts w:ascii="Arial" w:hAnsi="Arial" w:cs="Arial"/>
          <w:sz w:val="20"/>
          <w:szCs w:val="20"/>
        </w:rPr>
        <w:footnoteReference w:id="13"/>
      </w:r>
      <w:r w:rsidRPr="009E0F9D">
        <w:rPr>
          <w:rFonts w:ascii="Arial" w:hAnsi="Arial" w:cs="Arial"/>
          <w:sz w:val="20"/>
          <w:szCs w:val="20"/>
        </w:rPr>
        <w:t xml:space="preserve"> statutory limitations do not apply to </w:t>
      </w:r>
      <w:r w:rsidRPr="009E0F9D">
        <w:rPr>
          <w:rFonts w:ascii="Arial" w:eastAsia="Times New Roman" w:hAnsi="Arial" w:cs="Arial"/>
          <w:sz w:val="20"/>
          <w:szCs w:val="20"/>
        </w:rPr>
        <w:t>serious violations of IHL and other core international crimes, including when committed in the context of a non-international armed conflict in which non-state armed groups designated as terrorist are engaged</w:t>
      </w:r>
      <w:r w:rsidRPr="009E0F9D">
        <w:rPr>
          <w:rFonts w:ascii="Arial" w:hAnsi="Arial" w:cs="Arial"/>
          <w:sz w:val="20"/>
          <w:szCs w:val="20"/>
        </w:rPr>
        <w:t xml:space="preserve">. At the same time, multiple statutory rules regarding limitation periods may co-exist in the same case </w:t>
      </w:r>
      <w:proofErr w:type="gramStart"/>
      <w:r w:rsidRPr="009E0F9D">
        <w:rPr>
          <w:rFonts w:ascii="Arial" w:hAnsi="Arial" w:cs="Arial"/>
          <w:sz w:val="20"/>
          <w:szCs w:val="20"/>
        </w:rPr>
        <w:t>as a result of</w:t>
      </w:r>
      <w:proofErr w:type="gramEnd"/>
      <w:r w:rsidRPr="009E0F9D">
        <w:rPr>
          <w:rFonts w:ascii="Arial" w:hAnsi="Arial" w:cs="Arial"/>
          <w:sz w:val="20"/>
          <w:szCs w:val="20"/>
        </w:rPr>
        <w:t xml:space="preserve"> the cumulative prosecution of the said offences and crimes, which means that ineffective investigations and delayed prosecutions risk allowing the offences to become </w:t>
      </w:r>
      <w:proofErr w:type="gramStart"/>
      <w:r w:rsidRPr="009E0F9D">
        <w:rPr>
          <w:rFonts w:ascii="Arial" w:hAnsi="Arial" w:cs="Arial"/>
          <w:sz w:val="20"/>
          <w:szCs w:val="20"/>
        </w:rPr>
        <w:t>time-barred</w:t>
      </w:r>
      <w:proofErr w:type="gramEnd"/>
      <w:r w:rsidRPr="009E0F9D">
        <w:rPr>
          <w:rFonts w:ascii="Arial" w:hAnsi="Arial" w:cs="Arial"/>
          <w:sz w:val="20"/>
          <w:szCs w:val="20"/>
        </w:rPr>
        <w:t>.</w:t>
      </w:r>
    </w:p>
    <w:p w14:paraId="24358690" w14:textId="77777777" w:rsidR="004D3230" w:rsidRPr="009E0F9D" w:rsidRDefault="004D3230" w:rsidP="00162B23">
      <w:pPr>
        <w:widowControl w:val="0"/>
        <w:rPr>
          <w:rFonts w:cs="Arial"/>
          <w:szCs w:val="20"/>
        </w:rPr>
      </w:pPr>
    </w:p>
    <w:p w14:paraId="347804ED" w14:textId="77777777" w:rsidR="004D3230" w:rsidRPr="009E0F9D" w:rsidRDefault="004D3230" w:rsidP="00162B23">
      <w:pPr>
        <w:pStyle w:val="Titre1"/>
        <w:keepNext w:val="0"/>
        <w:keepLines w:val="0"/>
        <w:widowControl w:val="0"/>
        <w:rPr>
          <w:rFonts w:eastAsia="Times New Roman" w:cs="Arial"/>
          <w:szCs w:val="20"/>
        </w:rPr>
      </w:pPr>
      <w:bookmarkStart w:id="27" w:name="_Toc222735680"/>
      <w:r w:rsidRPr="009E0F9D">
        <w:rPr>
          <w:rFonts w:eastAsia="Times New Roman" w:cs="Arial"/>
          <w:szCs w:val="20"/>
        </w:rPr>
        <w:t>Chapter III – Using efficient investigation tools to obtain admissible evidence</w:t>
      </w:r>
      <w:bookmarkEnd w:id="27"/>
    </w:p>
    <w:p w14:paraId="7B61BDED" w14:textId="77777777" w:rsidR="004D3230" w:rsidRPr="009E0F9D" w:rsidRDefault="004D3230" w:rsidP="00162B23">
      <w:pPr>
        <w:widowControl w:val="0"/>
        <w:rPr>
          <w:rFonts w:cs="Arial"/>
          <w:szCs w:val="20"/>
        </w:rPr>
      </w:pPr>
    </w:p>
    <w:p w14:paraId="6FC03863"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By virtue of customary international law and a number of treaties that apply to acts committed in both international and non-international armed conflicts, such as the ICC Rome Statute, member States must investigate war crimes, crimes against humanity and acts of genocide over which they have jurisdiction and, if appropriate, prosecute the suspects.</w:t>
      </w:r>
      <w:r w:rsidRPr="009E0F9D">
        <w:rPr>
          <w:rStyle w:val="Appelnotedebasdep"/>
          <w:rFonts w:ascii="Arial" w:hAnsi="Arial" w:cs="Arial"/>
          <w:sz w:val="20"/>
          <w:szCs w:val="20"/>
        </w:rPr>
        <w:footnoteReference w:id="14"/>
      </w:r>
      <w:r w:rsidRPr="009E0F9D">
        <w:rPr>
          <w:rFonts w:ascii="Arial" w:hAnsi="Arial" w:cs="Arial"/>
          <w:sz w:val="20"/>
          <w:szCs w:val="20"/>
        </w:rPr>
        <w:t xml:space="preserve"> </w:t>
      </w:r>
    </w:p>
    <w:p w14:paraId="3C402194" w14:textId="77777777" w:rsidR="004D3230" w:rsidRPr="009E0F9D" w:rsidRDefault="004D3230" w:rsidP="00162B23">
      <w:pPr>
        <w:pStyle w:val="Paragraphedeliste"/>
        <w:widowControl w:val="0"/>
        <w:ind w:left="0"/>
        <w:rPr>
          <w:rFonts w:ascii="Arial" w:hAnsi="Arial" w:cs="Arial"/>
          <w:sz w:val="20"/>
          <w:szCs w:val="20"/>
        </w:rPr>
      </w:pPr>
    </w:p>
    <w:p w14:paraId="03550F19"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Under the European Convention on Human Rights, notably Article 2 (right to life), the procedural obligation to conduct an effective investigation arises irrespective of whether the alleged perpetrators are State agents or private persons or are unknown. The obligation entails an independent, prompt and adequate investigation, that </w:t>
      </w:r>
      <w:proofErr w:type="gramStart"/>
      <w:r w:rsidRPr="009E0F9D">
        <w:rPr>
          <w:rFonts w:ascii="Arial" w:hAnsi="Arial" w:cs="Arial"/>
          <w:sz w:val="20"/>
          <w:szCs w:val="20"/>
        </w:rPr>
        <w:t>is capable of leading</w:t>
      </w:r>
      <w:proofErr w:type="gramEnd"/>
      <w:r w:rsidRPr="009E0F9D">
        <w:rPr>
          <w:rFonts w:ascii="Arial" w:hAnsi="Arial" w:cs="Arial"/>
          <w:sz w:val="20"/>
          <w:szCs w:val="20"/>
        </w:rPr>
        <w:t xml:space="preserve"> to the identification and punishment of those responsible and involves the victims or their next</w:t>
      </w:r>
      <w:r w:rsidRPr="009E0F9D">
        <w:rPr>
          <w:rFonts w:ascii="Arial" w:hAnsi="Arial" w:cs="Arial"/>
          <w:sz w:val="20"/>
          <w:szCs w:val="20"/>
        </w:rPr>
        <w:noBreakHyphen/>
        <w:t>of</w:t>
      </w:r>
      <w:r w:rsidRPr="009E0F9D">
        <w:rPr>
          <w:rFonts w:ascii="Arial" w:hAnsi="Arial" w:cs="Arial"/>
          <w:sz w:val="20"/>
          <w:szCs w:val="20"/>
        </w:rPr>
        <w:noBreakHyphen/>
        <w:t>kin in the procedure to the extent necessary to safeguard their legitimate interests.</w:t>
      </w:r>
      <w:r w:rsidRPr="009E0F9D">
        <w:rPr>
          <w:rStyle w:val="Appelnotedebasdep"/>
          <w:rFonts w:ascii="Arial" w:hAnsi="Arial" w:cs="Arial"/>
          <w:sz w:val="20"/>
          <w:szCs w:val="20"/>
        </w:rPr>
        <w:footnoteReference w:id="15"/>
      </w:r>
    </w:p>
    <w:p w14:paraId="7130EDDF" w14:textId="77777777" w:rsidR="004D3230" w:rsidRPr="009E0F9D" w:rsidRDefault="004D3230" w:rsidP="00162B23">
      <w:pPr>
        <w:pStyle w:val="Paragraphedeliste"/>
        <w:widowControl w:val="0"/>
        <w:ind w:left="0"/>
        <w:rPr>
          <w:rFonts w:ascii="Arial" w:hAnsi="Arial" w:cs="Arial"/>
          <w:sz w:val="20"/>
          <w:szCs w:val="20"/>
        </w:rPr>
      </w:pPr>
    </w:p>
    <w:p w14:paraId="25262975" w14:textId="4B76C2E8" w:rsidR="00162B23"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To comply with their international obligations, member States have at their disposal a wide range of investigation tools. The Recommendation focuses on those provided by Recommendation </w:t>
      </w:r>
      <w:bookmarkStart w:id="28" w:name="_ML_000000000006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"https://search.coe.int/cm/eng#%7B%22CoEReference%22:[%22CM/Rec(2017)6%22],%22CoELanguageId%22:[%22eng%22],%22CoECollection%22:[%22COE_DOC%22],%22po%22:%7B%22ref%22:%22=%22%7D%7D" \o "Recommendation of the Committee of Ministers to member States on \“special investigation techniques\” in relation to serious crimes including acts of terrorism (Adopted by the Committee of Ministers on 5 July 2017 at the 1291st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28"/>
      <w:r w:rsidR="000474A6" w:rsidRPr="000474A6">
        <w:rPr>
          <w:rStyle w:val="Lienhypertexte"/>
          <w:rFonts w:ascii="Arial" w:hAnsi="Arial" w:cs="Arial"/>
          <w:sz w:val="20"/>
          <w:szCs w:val="20"/>
        </w:rPr>
        <w:t>CM/Rec(2017)6</w:t>
      </w:r>
      <w:r w:rsidR="000474A6" w:rsidRPr="000474A6">
        <w:rPr>
          <w:rFonts w:ascii="Arial" w:hAnsi="Arial" w:cs="Arial"/>
          <w:sz w:val="20"/>
          <w:szCs w:val="20"/>
        </w:rPr>
        <w:fldChar w:fldCharType="end"/>
      </w:r>
      <w:r w:rsidRPr="009E0F9D">
        <w:rPr>
          <w:rFonts w:ascii="Arial" w:hAnsi="Arial" w:cs="Arial"/>
          <w:sz w:val="20"/>
          <w:szCs w:val="20"/>
        </w:rPr>
        <w:t xml:space="preserve"> on “special investigation techniques” in relation to serious crimes including acts of terrorism, </w:t>
      </w:r>
      <w:r w:rsidRPr="009E0F9D">
        <w:rPr>
          <w:rFonts w:ascii="Arial" w:eastAsia="Times New Roman" w:hAnsi="Arial" w:cs="Arial"/>
          <w:sz w:val="20"/>
          <w:szCs w:val="20"/>
        </w:rPr>
        <w:t>such as undercover agents and secret surveillance measures</w:t>
      </w:r>
      <w:r w:rsidRPr="009E0F9D">
        <w:rPr>
          <w:rFonts w:ascii="Arial" w:hAnsi="Arial" w:cs="Arial"/>
          <w:sz w:val="20"/>
          <w:szCs w:val="20"/>
        </w:rPr>
        <w:t>.</w:t>
      </w:r>
      <w:r w:rsidRPr="009E0F9D">
        <w:rPr>
          <w:rFonts w:ascii="Arial" w:eastAsia="Times New Roman" w:hAnsi="Arial" w:cs="Arial"/>
          <w:sz w:val="20"/>
          <w:szCs w:val="20"/>
        </w:rPr>
        <w:t xml:space="preserve"> </w:t>
      </w:r>
      <w:r w:rsidRPr="009E0F9D">
        <w:rPr>
          <w:rFonts w:ascii="Arial" w:hAnsi="Arial" w:cs="Arial"/>
          <w:sz w:val="20"/>
          <w:szCs w:val="20"/>
        </w:rPr>
        <w:t xml:space="preserve">Where such techniques apply only to terrorist offences, member States concerned are encouraged to permit their use or the results thereof also for the investigation of patterns of misconduct associated with serious violations of IHL and other core international crimes committed by terrorist suspects during a non-international armed conflict. Given the high degree of </w:t>
      </w:r>
    </w:p>
    <w:p w14:paraId="6355AA62" w14:textId="77777777" w:rsidR="00162B23" w:rsidRPr="009E0F9D" w:rsidRDefault="00162B23">
      <w:pPr>
        <w:rPr>
          <w:rFonts w:eastAsia="Arial Unicode MS" w:cs="Arial"/>
          <w:szCs w:val="20"/>
          <w:bdr w:val="nil"/>
          <w:lang w:val="en-US"/>
        </w:rPr>
      </w:pPr>
      <w:r w:rsidRPr="009E0F9D">
        <w:rPr>
          <w:rFonts w:cs="Arial"/>
          <w:szCs w:val="20"/>
        </w:rPr>
        <w:br w:type="page"/>
      </w:r>
    </w:p>
    <w:p w14:paraId="7D228244" w14:textId="4411361C"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hAnsi="Arial" w:cs="Arial"/>
          <w:sz w:val="20"/>
          <w:szCs w:val="20"/>
        </w:rPr>
        <w:lastRenderedPageBreak/>
        <w:t>interference with fundamental rights and freedoms, especially the right to privacy, these investigation tools may be employed subject to adequate and sufficient safeguards against abuse and arbitrariness, as required by Article 8 of the European Convention on Human Rights and the relevant case law of the European Court of Human Rights.</w:t>
      </w:r>
    </w:p>
    <w:p w14:paraId="2FEC5E05" w14:textId="77777777" w:rsidR="004D3230" w:rsidRPr="009E0F9D" w:rsidRDefault="004D3230" w:rsidP="00162B23">
      <w:pPr>
        <w:pStyle w:val="Paragraphedeliste"/>
        <w:widowControl w:val="0"/>
        <w:rPr>
          <w:rFonts w:ascii="Arial" w:hAnsi="Arial" w:cs="Arial"/>
          <w:sz w:val="20"/>
          <w:szCs w:val="20"/>
        </w:rPr>
      </w:pPr>
    </w:p>
    <w:p w14:paraId="19DFAE4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Regarding the collection of information from conflict zones where </w:t>
      </w:r>
      <w:r w:rsidRPr="009E0F9D">
        <w:rPr>
          <w:rFonts w:ascii="Arial" w:eastAsia="Times New Roman" w:hAnsi="Arial" w:cs="Arial"/>
          <w:sz w:val="20"/>
          <w:szCs w:val="20"/>
        </w:rPr>
        <w:t>non-state armed groups designated as terrorist operate</w:t>
      </w:r>
      <w:r w:rsidRPr="009E0F9D">
        <w:rPr>
          <w:rFonts w:ascii="Arial" w:hAnsi="Arial" w:cs="Arial"/>
          <w:sz w:val="20"/>
          <w:szCs w:val="20"/>
        </w:rPr>
        <w:t xml:space="preserve">, the Recommendation also refers to </w:t>
      </w:r>
      <w:r w:rsidRPr="009E0F9D">
        <w:rPr>
          <w:rFonts w:ascii="Arial" w:eastAsia="Times New Roman" w:hAnsi="Arial" w:cs="Arial"/>
          <w:sz w:val="20"/>
          <w:szCs w:val="20"/>
        </w:rPr>
        <w:t>structural investigations or other forms of situational investigations, if provided by domestic law. These enable national authorities to collect information and gather evidence before a suspect has been identified</w:t>
      </w:r>
      <w:r w:rsidRPr="009E0F9D">
        <w:rPr>
          <w:rFonts w:ascii="Arial" w:hAnsi="Arial" w:cs="Arial"/>
          <w:sz w:val="20"/>
          <w:szCs w:val="20"/>
        </w:rPr>
        <w:t xml:space="preserve"> and seek to gather evidence on contextual elements of the crimes and structures or groupings of potential perpetrators operating in that context.</w:t>
      </w:r>
      <w:r w:rsidRPr="009E0F9D">
        <w:rPr>
          <w:rFonts w:ascii="Arial" w:eastAsia="Times New Roman" w:hAnsi="Arial" w:cs="Arial"/>
          <w:sz w:val="20"/>
          <w:szCs w:val="20"/>
        </w:rPr>
        <w:t xml:space="preserve"> </w:t>
      </w:r>
    </w:p>
    <w:p w14:paraId="352D7FB5" w14:textId="77777777" w:rsidR="004D3230" w:rsidRPr="009E0F9D" w:rsidRDefault="004D3230" w:rsidP="00162B23">
      <w:pPr>
        <w:pStyle w:val="Paragraphedeliste"/>
        <w:widowControl w:val="0"/>
        <w:rPr>
          <w:rFonts w:ascii="Arial" w:eastAsia="Times New Roman" w:hAnsi="Arial" w:cs="Arial"/>
          <w:sz w:val="20"/>
          <w:szCs w:val="20"/>
        </w:rPr>
      </w:pPr>
    </w:p>
    <w:p w14:paraId="2D891926" w14:textId="41C48B45"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 xml:space="preserve">For further guidance, the present Recommendation invites member States to draw on the Council of Europe Recommendation </w:t>
      </w:r>
      <w:bookmarkStart w:id="29" w:name="_ML_000000000007_VALID"/>
      <w:r w:rsidR="000474A6" w:rsidRPr="000474A6">
        <w:rPr>
          <w:rFonts w:ascii="Arial" w:eastAsia="Times New Roman" w:hAnsi="Arial" w:cs="Arial"/>
          <w:sz w:val="20"/>
          <w:szCs w:val="20"/>
        </w:rPr>
        <w:fldChar w:fldCharType="begin"/>
      </w:r>
      <w:r w:rsidR="000474A6" w:rsidRPr="000474A6">
        <w:rPr>
          <w:rFonts w:ascii="Arial" w:eastAsia="Times New Roman" w:hAnsi="Arial" w:cs="Arial"/>
          <w:sz w:val="20"/>
          <w:szCs w:val="20"/>
        </w:rPr>
        <w:instrText>HYPERLINK "https://search.coe.int/cm/eng#%7B%22CoEReference%22:[%22CM/Rec(2022)8%22],%22CoELanguageId%22:[%22eng%22],%22CoECollection%22:[%22COE_DOC%22],%22po%22:%7B%22ref%22:%22=%22%7D%7D" \o "Recommendation of the Committee of Ministers to member States on the use of information collected in conflict zones as evidence in criminal proceedings related to terrorist offences (Adopted by the Committee of Ministers on 30 March 2022 at the 1430th meeting of the Ministers' Deputies)"</w:instrText>
      </w:r>
      <w:r w:rsidR="000474A6" w:rsidRPr="000474A6">
        <w:rPr>
          <w:rFonts w:ascii="Arial" w:eastAsia="Times New Roman" w:hAnsi="Arial" w:cs="Arial"/>
          <w:sz w:val="20"/>
          <w:szCs w:val="20"/>
        </w:rPr>
      </w:r>
      <w:r w:rsidR="000474A6" w:rsidRPr="000474A6">
        <w:rPr>
          <w:rFonts w:ascii="Arial" w:eastAsia="Times New Roman" w:hAnsi="Arial" w:cs="Arial"/>
          <w:sz w:val="20"/>
          <w:szCs w:val="20"/>
        </w:rPr>
        <w:fldChar w:fldCharType="separate"/>
      </w:r>
      <w:bookmarkEnd w:id="29"/>
      <w:r w:rsidR="000474A6" w:rsidRPr="000474A6">
        <w:rPr>
          <w:rStyle w:val="Lienhypertexte"/>
          <w:rFonts w:ascii="Arial" w:eastAsia="Times New Roman" w:hAnsi="Arial" w:cs="Arial"/>
          <w:sz w:val="20"/>
          <w:szCs w:val="20"/>
        </w:rPr>
        <w:t>CM/Rec(2022)8</w:t>
      </w:r>
      <w:r w:rsidR="000474A6" w:rsidRPr="000474A6">
        <w:rPr>
          <w:rFonts w:ascii="Arial" w:eastAsia="Times New Roman" w:hAnsi="Arial" w:cs="Arial"/>
          <w:sz w:val="20"/>
          <w:szCs w:val="20"/>
        </w:rPr>
        <w:fldChar w:fldCharType="end"/>
      </w:r>
      <w:r w:rsidRPr="009E0F9D">
        <w:rPr>
          <w:rFonts w:ascii="Arial" w:eastAsia="Times New Roman" w:hAnsi="Arial" w:cs="Arial"/>
          <w:sz w:val="20"/>
          <w:szCs w:val="20"/>
        </w:rPr>
        <w:t xml:space="preserve"> on the use of information collected in conflict zones as evidence in criminal proceedings related to terrorist offences and compilation of Comparative Practices on the Use of Information Collected in Conflict Zones as Evidence in Criminal Proceedings.</w:t>
      </w:r>
    </w:p>
    <w:p w14:paraId="7F968AD6" w14:textId="77777777" w:rsidR="004D3230" w:rsidRPr="009E0F9D" w:rsidRDefault="004D3230" w:rsidP="00162B23">
      <w:pPr>
        <w:pStyle w:val="Paragraphedeliste"/>
        <w:widowControl w:val="0"/>
        <w:rPr>
          <w:rFonts w:ascii="Arial" w:hAnsi="Arial" w:cs="Arial"/>
          <w:sz w:val="20"/>
          <w:szCs w:val="20"/>
        </w:rPr>
      </w:pPr>
    </w:p>
    <w:p w14:paraId="4D59313F"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In relation to the rules of evidence, due regard should be paid to the confidentiality of information and documents produced or obtained by the ICRC in discharging its mandate under IHL as well as to the testimonial immunity of its representatives. These privileges and immunities, which are notably recognised by all Statutes and/or Rules of Procedure and Evidence of international tribunals, such as the ICC, are meant to safeguard the protection of ICRC’s impartial humanitarian activities and personnel and apply to all proceedings whether concerning serious violations of IHL or terrorist offences. A case-by-case approach is possible, where the ICRC can exceptionally </w:t>
      </w:r>
      <w:proofErr w:type="gramStart"/>
      <w:r w:rsidRPr="009E0F9D">
        <w:rPr>
          <w:rFonts w:ascii="Arial" w:hAnsi="Arial" w:cs="Arial"/>
          <w:sz w:val="20"/>
          <w:szCs w:val="20"/>
        </w:rPr>
        <w:t>waive</w:t>
      </w:r>
      <w:proofErr w:type="gramEnd"/>
      <w:r w:rsidRPr="009E0F9D">
        <w:rPr>
          <w:rFonts w:ascii="Arial" w:hAnsi="Arial" w:cs="Arial"/>
          <w:sz w:val="20"/>
          <w:szCs w:val="20"/>
        </w:rPr>
        <w:t xml:space="preserve"> the organisation’s privileges and immunities.</w:t>
      </w:r>
    </w:p>
    <w:p w14:paraId="71C32150" w14:textId="77777777" w:rsidR="004D3230" w:rsidRPr="009E0F9D" w:rsidRDefault="004D3230" w:rsidP="00162B23">
      <w:pPr>
        <w:widowControl w:val="0"/>
        <w:rPr>
          <w:rFonts w:cs="Arial"/>
          <w:szCs w:val="20"/>
        </w:rPr>
      </w:pPr>
    </w:p>
    <w:p w14:paraId="65E1FBB0" w14:textId="77777777" w:rsidR="004D3230" w:rsidRPr="009E0F9D" w:rsidRDefault="004D3230" w:rsidP="00162B23">
      <w:pPr>
        <w:pStyle w:val="Titre1"/>
        <w:keepNext w:val="0"/>
        <w:keepLines w:val="0"/>
        <w:widowControl w:val="0"/>
        <w:rPr>
          <w:rFonts w:eastAsia="Times New Roman" w:cs="Arial"/>
          <w:szCs w:val="20"/>
        </w:rPr>
      </w:pPr>
      <w:bookmarkStart w:id="30" w:name="_Toc222735681"/>
      <w:r w:rsidRPr="009E0F9D">
        <w:rPr>
          <w:rFonts w:eastAsia="Times New Roman" w:cs="Arial"/>
          <w:szCs w:val="20"/>
        </w:rPr>
        <w:t>Chapter IV – Pursuing prosecution strategies aimed at ensuring full accountability</w:t>
      </w:r>
      <w:bookmarkEnd w:id="30"/>
    </w:p>
    <w:p w14:paraId="29817212" w14:textId="77777777" w:rsidR="004D3230" w:rsidRPr="009E0F9D" w:rsidRDefault="004D3230" w:rsidP="00162B23">
      <w:pPr>
        <w:widowControl w:val="0"/>
        <w:rPr>
          <w:rFonts w:cs="Arial"/>
          <w:szCs w:val="20"/>
        </w:rPr>
      </w:pPr>
    </w:p>
    <w:p w14:paraId="6601DBED"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aim of this Chapter is to provide guidance to member States on how to prosecute effectively, and in a human </w:t>
      </w:r>
      <w:proofErr w:type="gramStart"/>
      <w:r w:rsidRPr="009E0F9D">
        <w:rPr>
          <w:rFonts w:ascii="Arial" w:hAnsi="Arial" w:cs="Arial"/>
          <w:sz w:val="20"/>
          <w:szCs w:val="20"/>
        </w:rPr>
        <w:t>rights</w:t>
      </w:r>
      <w:proofErr w:type="gramEnd"/>
      <w:r w:rsidRPr="009E0F9D">
        <w:rPr>
          <w:rFonts w:ascii="Arial" w:hAnsi="Arial" w:cs="Arial"/>
          <w:sz w:val="20"/>
          <w:szCs w:val="20"/>
        </w:rPr>
        <w:t xml:space="preserve"> compliant manner, terrorist suspects within their jurisdiction for all their criminal activities in the context of a bon-international armed conflict in order to comply with IHL obligations while also countering terrorism. Based on an analysis of domestic practices, especially from those jurisdictions that have developed cumulative prosecution approaches, this part of the Recommendation examines various scenarios and prosecutorial strategies and identifies some key principles that could apply in relevant cases, under </w:t>
      </w:r>
      <w:r w:rsidRPr="009E0F9D">
        <w:rPr>
          <w:rFonts w:ascii="Arial" w:eastAsia="Times New Roman" w:hAnsi="Arial" w:cs="Arial"/>
          <w:sz w:val="20"/>
          <w:szCs w:val="20"/>
        </w:rPr>
        <w:t xml:space="preserve">the conditions set out in domestic law. </w:t>
      </w:r>
    </w:p>
    <w:p w14:paraId="705F068F" w14:textId="77777777" w:rsidR="004D3230" w:rsidRPr="009E0F9D" w:rsidRDefault="004D3230" w:rsidP="00162B23">
      <w:pPr>
        <w:pStyle w:val="Paragraphedeliste"/>
        <w:widowControl w:val="0"/>
        <w:ind w:left="0"/>
        <w:rPr>
          <w:rFonts w:ascii="Arial" w:hAnsi="Arial" w:cs="Arial"/>
          <w:sz w:val="20"/>
          <w:szCs w:val="20"/>
        </w:rPr>
      </w:pPr>
    </w:p>
    <w:p w14:paraId="088B98A2"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As a first step, member States’ competent authorities should comprehensively assess the facts of each case under all the legal regimes that may apply to eliminate, insofar as possible, accountability gaps. Depending on the results of this assessment, they should consider the possibility of i. qualifying the same underlying act </w:t>
      </w:r>
      <w:r w:rsidRPr="009E0F9D">
        <w:rPr>
          <w:rFonts w:ascii="Arial" w:eastAsia="Times New Roman" w:hAnsi="Arial" w:cs="Arial"/>
          <w:sz w:val="20"/>
          <w:szCs w:val="20"/>
        </w:rPr>
        <w:t>both as a terrorist offence and as a core international crime and presenting charges cumulatively rather than alternatively, if permitted by the national legislation, and/or ii. bringing cumulative charges for various acts, each receiving a different qualification but having a factual, temporal and geographical connection, and prosecuting those acts separately as terrorist offences, core international crimes and other national offences.</w:t>
      </w:r>
      <w:r w:rsidRPr="009E0F9D">
        <w:rPr>
          <w:rStyle w:val="Appelnotedebasdep"/>
          <w:rFonts w:ascii="Arial" w:eastAsia="Times New Roman" w:hAnsi="Arial" w:cs="Arial"/>
          <w:sz w:val="20"/>
          <w:szCs w:val="20"/>
        </w:rPr>
        <w:footnoteReference w:id="16"/>
      </w:r>
    </w:p>
    <w:p w14:paraId="6E6B3BEA" w14:textId="77777777" w:rsidR="004D3230" w:rsidRPr="009E0F9D" w:rsidRDefault="004D3230" w:rsidP="00162B23">
      <w:pPr>
        <w:pStyle w:val="Paragraphedeliste"/>
        <w:widowControl w:val="0"/>
        <w:rPr>
          <w:rFonts w:ascii="Arial" w:eastAsia="Times New Roman" w:hAnsi="Arial" w:cs="Arial"/>
          <w:sz w:val="20"/>
          <w:szCs w:val="20"/>
        </w:rPr>
      </w:pPr>
    </w:p>
    <w:p w14:paraId="22E681A3"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Cumulative charges in the second scenario can be brought either simultaneously or successively, the latter being the case where, for example, evidence of serious violations of IHL and/or other core international crimes emerges during ongoing criminal proceedings for terrorist offences committed in the context of a non- international armed conflict, thereby justifying additional charges being brought against the alleged perpetrator.</w:t>
      </w:r>
    </w:p>
    <w:p w14:paraId="0CAA4140" w14:textId="213851AF" w:rsidR="00162B23" w:rsidRPr="009E0F9D" w:rsidRDefault="00162B23" w:rsidP="00162B23">
      <w:pPr>
        <w:widowControl w:val="0"/>
        <w:rPr>
          <w:rFonts w:eastAsia="Arial Unicode MS" w:cs="Arial"/>
          <w:szCs w:val="20"/>
          <w:bdr w:val="nil"/>
          <w:lang w:val="en-US"/>
        </w:rPr>
      </w:pPr>
    </w:p>
    <w:p w14:paraId="4F00B0F0" w14:textId="66816270"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To prevent impunity, the Recommendation also invites member States to envisage </w:t>
      </w:r>
      <w:r w:rsidRPr="009E0F9D">
        <w:rPr>
          <w:rFonts w:ascii="Arial" w:eastAsia="Times New Roman" w:hAnsi="Arial" w:cs="Arial"/>
          <w:sz w:val="20"/>
          <w:szCs w:val="20"/>
        </w:rPr>
        <w:t>prosecuting suspects for terrorist offences, serious violations of IHL and other core international crimes committed in a non-international armed conflict even though the suspects are not present in their territory</w:t>
      </w:r>
      <w:r w:rsidRPr="009E0F9D">
        <w:rPr>
          <w:rFonts w:ascii="Arial" w:hAnsi="Arial" w:cs="Arial"/>
          <w:sz w:val="20"/>
          <w:szCs w:val="20"/>
        </w:rPr>
        <w:t xml:space="preserve">, if national legislation permits it and in accordance with Council of Europe standards applicable to criminal proceedings held </w:t>
      </w:r>
      <w:r w:rsidRPr="009E0F9D">
        <w:rPr>
          <w:rFonts w:ascii="Arial" w:hAnsi="Arial" w:cs="Arial"/>
          <w:i/>
          <w:iCs/>
          <w:sz w:val="20"/>
          <w:szCs w:val="20"/>
        </w:rPr>
        <w:t>in absentia</w:t>
      </w:r>
      <w:r w:rsidRPr="009E0F9D">
        <w:rPr>
          <w:rFonts w:ascii="Arial" w:hAnsi="Arial" w:cs="Arial"/>
          <w:sz w:val="20"/>
          <w:szCs w:val="20"/>
        </w:rPr>
        <w:t>.</w:t>
      </w:r>
      <w:r w:rsidRPr="009E0F9D">
        <w:rPr>
          <w:rStyle w:val="Appelnotedebasdep"/>
          <w:rFonts w:ascii="Arial" w:hAnsi="Arial" w:cs="Arial"/>
          <w:sz w:val="20"/>
          <w:szCs w:val="20"/>
        </w:rPr>
        <w:footnoteReference w:id="17"/>
      </w:r>
    </w:p>
    <w:p w14:paraId="6890B44A" w14:textId="77777777" w:rsidR="004D3230" w:rsidRPr="009E0F9D" w:rsidRDefault="004D3230" w:rsidP="00162B23">
      <w:pPr>
        <w:widowControl w:val="0"/>
        <w:rPr>
          <w:rFonts w:cs="Arial"/>
          <w:szCs w:val="20"/>
        </w:rPr>
      </w:pPr>
    </w:p>
    <w:p w14:paraId="1849D350" w14:textId="77777777" w:rsidR="00162B23" w:rsidRPr="009E0F9D" w:rsidRDefault="00162B23">
      <w:pPr>
        <w:rPr>
          <w:rFonts w:eastAsia="Times New Roman" w:cs="Arial"/>
          <w:b/>
          <w:kern w:val="2"/>
          <w:szCs w:val="20"/>
          <w14:ligatures w14:val="standardContextual"/>
        </w:rPr>
      </w:pPr>
      <w:bookmarkStart w:id="31" w:name="_Toc222735682"/>
      <w:r w:rsidRPr="009E0F9D">
        <w:rPr>
          <w:rFonts w:eastAsia="Times New Roman" w:cs="Arial"/>
          <w:szCs w:val="20"/>
        </w:rPr>
        <w:br w:type="page"/>
      </w:r>
    </w:p>
    <w:p w14:paraId="12615ED7" w14:textId="778DDC50" w:rsidR="004D3230" w:rsidRPr="009E0F9D" w:rsidRDefault="004D3230" w:rsidP="00162B23">
      <w:pPr>
        <w:pStyle w:val="Titre1"/>
        <w:keepNext w:val="0"/>
        <w:keepLines w:val="0"/>
        <w:widowControl w:val="0"/>
        <w:rPr>
          <w:rFonts w:eastAsia="Times New Roman" w:cs="Arial"/>
          <w:szCs w:val="20"/>
        </w:rPr>
      </w:pPr>
      <w:r w:rsidRPr="009E0F9D">
        <w:rPr>
          <w:rFonts w:eastAsia="Times New Roman" w:cs="Arial"/>
          <w:szCs w:val="20"/>
        </w:rPr>
        <w:lastRenderedPageBreak/>
        <w:t>Chapter V – Relying on adequate procedures and improved co-ordination processes</w:t>
      </w:r>
      <w:bookmarkEnd w:id="31"/>
    </w:p>
    <w:p w14:paraId="3C801D6C" w14:textId="77777777" w:rsidR="004D3230" w:rsidRPr="009E0F9D" w:rsidRDefault="004D3230" w:rsidP="00162B23">
      <w:pPr>
        <w:pStyle w:val="Paragraphedeliste"/>
        <w:widowControl w:val="0"/>
        <w:rPr>
          <w:rFonts w:ascii="Arial" w:hAnsi="Arial" w:cs="Arial"/>
          <w:sz w:val="20"/>
          <w:szCs w:val="20"/>
        </w:rPr>
      </w:pPr>
    </w:p>
    <w:p w14:paraId="19F57E5F"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Criminal proceedings against those suspected or accused of participating in the offences and crimes covered by the Recommendation are subject to the </w:t>
      </w:r>
      <w:r w:rsidRPr="009E0F9D">
        <w:rPr>
          <w:rFonts w:ascii="Arial" w:eastAsia="Times New Roman" w:hAnsi="Arial" w:cs="Arial"/>
          <w:sz w:val="20"/>
          <w:szCs w:val="20"/>
        </w:rPr>
        <w:t>requirements of Article 6 of the European Convention on Human Rights concerning the right to a fair trial, which encompasses the presumption of innocence and the rights of the defence.</w:t>
      </w:r>
      <w:r w:rsidRPr="009E0F9D">
        <w:rPr>
          <w:rStyle w:val="Appelnotedebasdep"/>
          <w:rFonts w:ascii="Arial" w:eastAsia="Times New Roman" w:hAnsi="Arial" w:cs="Arial"/>
          <w:sz w:val="20"/>
          <w:szCs w:val="20"/>
        </w:rPr>
        <w:footnoteReference w:id="18"/>
      </w:r>
    </w:p>
    <w:p w14:paraId="79FDB695" w14:textId="77777777" w:rsidR="004D3230" w:rsidRPr="009E0F9D" w:rsidRDefault="004D3230" w:rsidP="00162B23">
      <w:pPr>
        <w:pStyle w:val="Paragraphedeliste"/>
        <w:widowControl w:val="0"/>
        <w:ind w:left="0"/>
        <w:rPr>
          <w:rFonts w:ascii="Arial" w:hAnsi="Arial" w:cs="Arial"/>
          <w:sz w:val="20"/>
          <w:szCs w:val="20"/>
        </w:rPr>
      </w:pPr>
    </w:p>
    <w:p w14:paraId="15527B8D" w14:textId="67A7601F"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When it comes to victims’ rights, the present Recommendation refers to Recommendation </w:t>
      </w:r>
      <w:bookmarkStart w:id="32" w:name="_ML_000000000008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"https://search.coe.int/cm/eng#%7B%22CoEReference%22:[%22CM/Rec(2023)2%22],%22CoELanguageId%22:[%22eng%22],%22CoECollection%22:[%22COE_DOC%22],%22po%22:%7B%22ref%22:%22=%22%7D%7D" \o "Recommendation of the Committee of Ministers to member States on rights, services and support for victims of crime (Adopted by the Committee of Ministers on 15 March 2023 at the 1460th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32"/>
      <w:r w:rsidR="000474A6" w:rsidRPr="000474A6">
        <w:rPr>
          <w:rStyle w:val="Lienhypertexte"/>
          <w:rFonts w:ascii="Arial" w:hAnsi="Arial" w:cs="Arial"/>
          <w:sz w:val="20"/>
          <w:szCs w:val="20"/>
        </w:rPr>
        <w:t>CM/Rec(2023)2</w:t>
      </w:r>
      <w:r w:rsidR="000474A6" w:rsidRPr="000474A6">
        <w:rPr>
          <w:rFonts w:ascii="Arial" w:hAnsi="Arial" w:cs="Arial"/>
          <w:sz w:val="20"/>
          <w:szCs w:val="20"/>
        </w:rPr>
        <w:fldChar w:fldCharType="end"/>
      </w:r>
      <w:r w:rsidRPr="009E0F9D">
        <w:rPr>
          <w:rFonts w:ascii="Arial" w:hAnsi="Arial" w:cs="Arial"/>
          <w:sz w:val="20"/>
          <w:szCs w:val="20"/>
        </w:rPr>
        <w:t xml:space="preserve"> on rights, services and support for victims of crime, Recommendation </w:t>
      </w:r>
      <w:bookmarkStart w:id="33" w:name="_ML_000000000009_VALID"/>
      <w:r w:rsidR="000474A6" w:rsidRPr="000474A6">
        <w:rPr>
          <w:rFonts w:ascii="Arial" w:hAnsi="Arial" w:cs="Arial"/>
          <w:sz w:val="20"/>
          <w:szCs w:val="20"/>
        </w:rPr>
        <w:fldChar w:fldCharType="begin"/>
      </w:r>
      <w:r w:rsidR="000474A6" w:rsidRPr="000474A6">
        <w:rPr>
          <w:rFonts w:ascii="Arial" w:hAnsi="Arial" w:cs="Arial"/>
          <w:sz w:val="20"/>
          <w:szCs w:val="20"/>
        </w:rPr>
        <w:instrText>HYPERLINK "https://search.coe.int/cm/eng#%7B%22CoEReference%22:[%22Rec(2005)9%22],%22CoELanguageId%22:[%22eng%22],%22CoECollection%22:[%22COE_DOC%22],%22po%22:%7B%22ref%22:%22=%22%7D%7D" \o "Recommendation Rec(2005)9 of the Committee of Ministers to member states on the protection of witnesses and collaborators of justice, (Adopted by the Committee of Ministers on 20 April 2005 at the 924th meeting of the Ministers’ Deputies)"</w:instrText>
      </w:r>
      <w:r w:rsidR="000474A6" w:rsidRPr="000474A6">
        <w:rPr>
          <w:rFonts w:ascii="Arial" w:hAnsi="Arial" w:cs="Arial"/>
          <w:sz w:val="20"/>
          <w:szCs w:val="20"/>
        </w:rPr>
      </w:r>
      <w:r w:rsidR="000474A6" w:rsidRPr="000474A6">
        <w:rPr>
          <w:rFonts w:ascii="Arial" w:hAnsi="Arial" w:cs="Arial"/>
          <w:sz w:val="20"/>
          <w:szCs w:val="20"/>
        </w:rPr>
        <w:fldChar w:fldCharType="separate"/>
      </w:r>
      <w:bookmarkEnd w:id="33"/>
      <w:r w:rsidR="000474A6" w:rsidRPr="000474A6">
        <w:rPr>
          <w:rStyle w:val="Lienhypertexte"/>
          <w:rFonts w:ascii="Arial" w:hAnsi="Arial" w:cs="Arial"/>
          <w:sz w:val="20"/>
          <w:szCs w:val="20"/>
        </w:rPr>
        <w:t>Rec(2005)9</w:t>
      </w:r>
      <w:r w:rsidR="000474A6" w:rsidRPr="000474A6">
        <w:rPr>
          <w:rFonts w:ascii="Arial" w:hAnsi="Arial" w:cs="Arial"/>
          <w:sz w:val="20"/>
          <w:szCs w:val="20"/>
        </w:rPr>
        <w:fldChar w:fldCharType="end"/>
      </w:r>
      <w:r w:rsidRPr="009E0F9D">
        <w:rPr>
          <w:rFonts w:ascii="Arial" w:hAnsi="Arial" w:cs="Arial"/>
          <w:sz w:val="20"/>
          <w:szCs w:val="20"/>
        </w:rPr>
        <w:t xml:space="preserve"> on the protection of witnesses and collaborators of justice and the Guidelines on support services and other measures for victims of terrorism. These instruments emphasise the importance of effective protection measures against intimidation and retaliation and of adequate support services to address the needs of victims of terrorism and other serious crimes.</w:t>
      </w:r>
    </w:p>
    <w:p w14:paraId="185A88CC" w14:textId="77777777" w:rsidR="004D3230" w:rsidRPr="009E0F9D" w:rsidRDefault="004D3230" w:rsidP="00162B23">
      <w:pPr>
        <w:pStyle w:val="Paragraphedeliste"/>
        <w:widowControl w:val="0"/>
        <w:rPr>
          <w:rFonts w:ascii="Arial" w:hAnsi="Arial" w:cs="Arial"/>
          <w:sz w:val="20"/>
          <w:szCs w:val="20"/>
        </w:rPr>
      </w:pPr>
    </w:p>
    <w:p w14:paraId="643EB2E7"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Vulnerable victims, such as </w:t>
      </w:r>
      <w:r w:rsidRPr="009E0F9D">
        <w:rPr>
          <w:rFonts w:ascii="Arial" w:eastAsia="Times New Roman" w:hAnsi="Arial" w:cs="Arial"/>
          <w:sz w:val="20"/>
          <w:szCs w:val="20"/>
        </w:rPr>
        <w:t>people having suffered sexual and gender-based violence and children</w:t>
      </w:r>
      <w:r w:rsidRPr="009E0F9D">
        <w:rPr>
          <w:rFonts w:ascii="Arial" w:hAnsi="Arial" w:cs="Arial"/>
          <w:sz w:val="20"/>
          <w:szCs w:val="20"/>
        </w:rPr>
        <w:t>, may require specific measures best suited to their case. Moreover, complex dynamics characterise the situation of certain women and young people returning from an area affected by a non-international armed conflict insofar as they may be both victims and perpetrators of acts of violence that may constitute terrorist offences, serious violations of IHL and/or other core international crimes. Their situation should therefore be considered holistically, by adopting a trauma-informed, gender-responsive and age-sensitive approach taking into account the best interests of the child, as indicated in the Guidelines on disengagement and reintegration programmes for women with links to terrorism and those on (re)integration programmes for children affected by terrorism, respectively.</w:t>
      </w:r>
    </w:p>
    <w:p w14:paraId="54623BFB" w14:textId="77777777" w:rsidR="004D3230" w:rsidRPr="009E0F9D" w:rsidRDefault="004D3230" w:rsidP="00162B23">
      <w:pPr>
        <w:widowControl w:val="0"/>
        <w:rPr>
          <w:rFonts w:cs="Arial"/>
          <w:szCs w:val="20"/>
        </w:rPr>
      </w:pPr>
    </w:p>
    <w:p w14:paraId="57A3F3E2"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 calls on member States to ensure </w:t>
      </w:r>
      <w:r w:rsidRPr="009E0F9D">
        <w:rPr>
          <w:rFonts w:ascii="Arial" w:eastAsia="Times New Roman" w:hAnsi="Arial" w:cs="Arial"/>
          <w:sz w:val="20"/>
          <w:szCs w:val="20"/>
        </w:rPr>
        <w:t>effective co</w:t>
      </w:r>
      <w:r w:rsidRPr="009E0F9D">
        <w:rPr>
          <w:rFonts w:ascii="Arial" w:eastAsia="Times New Roman" w:hAnsi="Arial" w:cs="Arial"/>
          <w:sz w:val="20"/>
          <w:szCs w:val="20"/>
        </w:rPr>
        <w:noBreakHyphen/>
        <w:t xml:space="preserve">ordination and exchange of information at domestic level for investigating and prosecuting the offences and crimes falling within its scope, irrespective of their internal organisation. </w:t>
      </w:r>
      <w:r w:rsidRPr="009E0F9D">
        <w:rPr>
          <w:rFonts w:ascii="Arial" w:hAnsi="Arial" w:cs="Arial"/>
          <w:sz w:val="20"/>
          <w:szCs w:val="20"/>
        </w:rPr>
        <w:t xml:space="preserve">Effective co-ordination at domestic level should moreover be enhanced through capacity-building by providing specialised training to competent authorities on the interaction between counter-terrorism frameworks and IHL, which may include the impact of this interaction on criminal liability. In this respect, member States may seek </w:t>
      </w:r>
      <w:proofErr w:type="gramStart"/>
      <w:r w:rsidRPr="009E0F9D">
        <w:rPr>
          <w:rFonts w:ascii="Arial" w:hAnsi="Arial" w:cs="Arial"/>
          <w:sz w:val="20"/>
          <w:szCs w:val="20"/>
        </w:rPr>
        <w:t xml:space="preserve">in particular </w:t>
      </w:r>
      <w:r w:rsidRPr="009E0F9D">
        <w:rPr>
          <w:rFonts w:ascii="Arial" w:eastAsia="Times New Roman" w:hAnsi="Arial" w:cs="Arial"/>
          <w:sz w:val="20"/>
          <w:szCs w:val="20"/>
        </w:rPr>
        <w:t>the</w:t>
      </w:r>
      <w:proofErr w:type="gramEnd"/>
      <w:r w:rsidRPr="009E0F9D">
        <w:rPr>
          <w:rFonts w:ascii="Arial" w:eastAsia="Times New Roman" w:hAnsi="Arial" w:cs="Arial"/>
          <w:sz w:val="20"/>
          <w:szCs w:val="20"/>
        </w:rPr>
        <w:t xml:space="preserve"> expertise of the ICRC as the guardian of IHL.</w:t>
      </w:r>
    </w:p>
    <w:p w14:paraId="47D00DED" w14:textId="77777777" w:rsidR="004D3230" w:rsidRPr="009E0F9D" w:rsidRDefault="004D3230" w:rsidP="00162B23">
      <w:pPr>
        <w:pStyle w:val="Paragraphedeliste"/>
        <w:widowControl w:val="0"/>
        <w:rPr>
          <w:rFonts w:ascii="Arial" w:hAnsi="Arial" w:cs="Arial"/>
          <w:sz w:val="20"/>
          <w:szCs w:val="20"/>
        </w:rPr>
      </w:pPr>
    </w:p>
    <w:p w14:paraId="13B31B5C"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Examples of domestic practices show that engaging specialised </w:t>
      </w:r>
      <w:proofErr w:type="gramStart"/>
      <w:r w:rsidRPr="009E0F9D">
        <w:rPr>
          <w:rFonts w:ascii="Arial" w:hAnsi="Arial" w:cs="Arial"/>
          <w:sz w:val="20"/>
          <w:szCs w:val="20"/>
        </w:rPr>
        <w:t>counter-terrorism</w:t>
      </w:r>
      <w:proofErr w:type="gramEnd"/>
      <w:r w:rsidRPr="009E0F9D">
        <w:rPr>
          <w:rFonts w:ascii="Arial" w:hAnsi="Arial" w:cs="Arial"/>
          <w:sz w:val="20"/>
          <w:szCs w:val="20"/>
        </w:rPr>
        <w:t xml:space="preserve"> and core international crimes units in the investigation and prosecution of cases with a potential dual dimension can facilitate and enhance the effectiveness of cumulative prosecutions.</w:t>
      </w:r>
      <w:r w:rsidRPr="009E0F9D">
        <w:rPr>
          <w:rStyle w:val="Appelnotedebasdep"/>
          <w:rFonts w:ascii="Arial" w:eastAsia="Times New Roman" w:hAnsi="Arial" w:cs="Arial"/>
          <w:sz w:val="20"/>
          <w:szCs w:val="20"/>
        </w:rPr>
        <w:footnoteReference w:id="19"/>
      </w:r>
      <w:r w:rsidRPr="009E0F9D">
        <w:rPr>
          <w:rFonts w:ascii="Arial" w:hAnsi="Arial" w:cs="Arial"/>
          <w:sz w:val="20"/>
          <w:szCs w:val="20"/>
        </w:rPr>
        <w:t xml:space="preserve"> In view of this observation, the Recommendation advocates for establishing such specialised units within law-enforcement authorities, prosecution services and courts. These may be set up either at the central level or at the regional or district level. Member States that do not </w:t>
      </w:r>
      <w:r w:rsidRPr="009E0F9D">
        <w:rPr>
          <w:rFonts w:ascii="Arial" w:eastAsia="Times New Roman" w:hAnsi="Arial" w:cs="Arial"/>
          <w:sz w:val="20"/>
          <w:szCs w:val="20"/>
        </w:rPr>
        <w:t>adopt this solution</w:t>
      </w:r>
      <w:r w:rsidRPr="009E0F9D">
        <w:rPr>
          <w:rFonts w:ascii="Arial" w:hAnsi="Arial" w:cs="Arial"/>
          <w:sz w:val="20"/>
          <w:szCs w:val="20"/>
        </w:rPr>
        <w:t xml:space="preserve"> should </w:t>
      </w:r>
      <w:r w:rsidRPr="009E0F9D">
        <w:rPr>
          <w:rFonts w:ascii="Arial" w:eastAsia="Times New Roman" w:hAnsi="Arial" w:cs="Arial"/>
          <w:sz w:val="20"/>
          <w:szCs w:val="20"/>
        </w:rPr>
        <w:t>promote close co-operation and exchange of information on relevant cases between competent investigators and prosecutors.</w:t>
      </w:r>
    </w:p>
    <w:p w14:paraId="70A63488" w14:textId="203E750B" w:rsidR="00162B23" w:rsidRPr="009E0F9D" w:rsidRDefault="00162B23" w:rsidP="00162B23">
      <w:pPr>
        <w:widowControl w:val="0"/>
        <w:rPr>
          <w:rFonts w:eastAsiaTheme="majorEastAsia" w:cs="Arial"/>
          <w:b/>
          <w:kern w:val="2"/>
          <w:szCs w:val="20"/>
          <w14:ligatures w14:val="standardContextual"/>
        </w:rPr>
      </w:pPr>
      <w:bookmarkStart w:id="34" w:name="_Toc222735683"/>
    </w:p>
    <w:p w14:paraId="3CAB26DC" w14:textId="004BA283" w:rsidR="004D3230" w:rsidRPr="009E0F9D" w:rsidRDefault="004D3230" w:rsidP="00162B23">
      <w:pPr>
        <w:pStyle w:val="Titre1"/>
        <w:keepNext w:val="0"/>
        <w:keepLines w:val="0"/>
        <w:widowControl w:val="0"/>
        <w:rPr>
          <w:rFonts w:cs="Arial"/>
          <w:szCs w:val="20"/>
        </w:rPr>
      </w:pPr>
      <w:r w:rsidRPr="009E0F9D">
        <w:rPr>
          <w:rFonts w:cs="Arial"/>
          <w:szCs w:val="20"/>
        </w:rPr>
        <w:t>Chapter VI – Preserving the sphere of IHL in counter-terrorism settings</w:t>
      </w:r>
      <w:bookmarkEnd w:id="34"/>
    </w:p>
    <w:p w14:paraId="0CFEAA41" w14:textId="77777777" w:rsidR="004D3230" w:rsidRPr="009E0F9D" w:rsidRDefault="004D3230" w:rsidP="00162B23">
      <w:pPr>
        <w:pStyle w:val="Paragraphedeliste"/>
        <w:widowControl w:val="0"/>
        <w:rPr>
          <w:rFonts w:ascii="Arial" w:hAnsi="Arial" w:cs="Arial"/>
          <w:sz w:val="20"/>
          <w:szCs w:val="20"/>
        </w:rPr>
      </w:pPr>
    </w:p>
    <w:p w14:paraId="4C883C81" w14:textId="77777777" w:rsidR="00162B23"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approach underpinning the Recommendation is that it is required and feasible to protect the integrity of IHL without impeding the effectiveness of counter-terrorism measures. IHL and counter-terrorism frameworks may co-apply. Concurrent obligations under the two legal regimes may lead to situations in which they overlap and even oppose each other. Such situations include cases where acts are prohibited by both IHL and counter-terrorism frameworks (for example, attacks against civilians); cases where acts are not covered by IHL but exclusively by counter-terrorism frameworks (for example, terrorist financing or traveling for the purpose of joining terrorist associations or groups); and cases where acts are lawful under IHL but not specifically recognised as such under counter-terrorism frameworks (for example, attacks against military objectives or the delivery of humanitarian activities by impartial humanitarian organisations). For these last two situations, Additional Protocol II provides also that at “the end of hostilities, the authorities in power shall endeavour to grant the broadest possible amnesty to persons who have participated in the armed conflict, or those deprived of their liberty for reasons related to the armed conflict, whether they are interned or detained”.</w:t>
      </w:r>
      <w:r w:rsidRPr="009E0F9D">
        <w:rPr>
          <w:rStyle w:val="Appelnotedebasdep"/>
          <w:rFonts w:ascii="Arial" w:hAnsi="Arial" w:cs="Arial"/>
          <w:sz w:val="20"/>
          <w:szCs w:val="20"/>
        </w:rPr>
        <w:footnoteReference w:id="20"/>
      </w:r>
      <w:r w:rsidRPr="009E0F9D">
        <w:rPr>
          <w:rFonts w:ascii="Arial" w:hAnsi="Arial" w:cs="Arial"/>
          <w:sz w:val="20"/>
          <w:szCs w:val="20"/>
        </w:rPr>
        <w:t xml:space="preserve"> In order to deal with these situations, the Recommendation underlines the </w:t>
      </w:r>
    </w:p>
    <w:p w14:paraId="2AF2A872" w14:textId="77777777" w:rsidR="00162B23" w:rsidRPr="009E0F9D" w:rsidRDefault="00162B23">
      <w:pPr>
        <w:rPr>
          <w:rFonts w:eastAsia="Arial Unicode MS" w:cs="Arial"/>
          <w:szCs w:val="20"/>
          <w:bdr w:val="nil"/>
          <w:lang w:val="en-US"/>
        </w:rPr>
      </w:pPr>
      <w:r w:rsidRPr="009E0F9D">
        <w:rPr>
          <w:rFonts w:cs="Arial"/>
          <w:szCs w:val="20"/>
        </w:rPr>
        <w:br w:type="page"/>
      </w:r>
    </w:p>
    <w:p w14:paraId="20D63B69" w14:textId="2185F41C"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hAnsi="Arial" w:cs="Arial"/>
          <w:sz w:val="20"/>
          <w:szCs w:val="20"/>
        </w:rPr>
        <w:lastRenderedPageBreak/>
        <w:t>importance of tools permitting to address these overlaps and the potential contradiction between counter-terrorism frameworks and IHL.</w:t>
      </w:r>
    </w:p>
    <w:p w14:paraId="55B1DCAC" w14:textId="77777777" w:rsidR="004D3230" w:rsidRPr="009E0F9D" w:rsidRDefault="004D3230" w:rsidP="00162B23">
      <w:pPr>
        <w:widowControl w:val="0"/>
        <w:rPr>
          <w:rFonts w:cs="Arial"/>
          <w:szCs w:val="20"/>
        </w:rPr>
      </w:pPr>
    </w:p>
    <w:p w14:paraId="236B8ECC" w14:textId="77777777" w:rsidR="004D3230" w:rsidRPr="009E0F9D" w:rsidRDefault="004D3230" w:rsidP="00162B23">
      <w:pPr>
        <w:pStyle w:val="Titre2"/>
        <w:keepNext w:val="0"/>
        <w:keepLines w:val="0"/>
        <w:widowControl w:val="0"/>
        <w:rPr>
          <w:rFonts w:cs="Arial"/>
          <w:szCs w:val="20"/>
        </w:rPr>
      </w:pPr>
      <w:bookmarkStart w:id="35" w:name="_Toc222735684"/>
      <w:r w:rsidRPr="009E0F9D">
        <w:rPr>
          <w:rFonts w:cs="Arial"/>
          <w:szCs w:val="20"/>
        </w:rPr>
        <w:t>Exclusion clauses</w:t>
      </w:r>
      <w:bookmarkEnd w:id="35"/>
    </w:p>
    <w:p w14:paraId="7051F98E" w14:textId="77777777" w:rsidR="004D3230" w:rsidRPr="009E0F9D" w:rsidRDefault="004D3230" w:rsidP="00162B23">
      <w:pPr>
        <w:widowControl w:val="0"/>
        <w:rPr>
          <w:rFonts w:cs="Arial"/>
          <w:szCs w:val="20"/>
        </w:rPr>
      </w:pPr>
    </w:p>
    <w:p w14:paraId="13DFA770"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The purpose of exclusion clauses in general is to articulate the relationship between counter</w:t>
      </w:r>
      <w:r w:rsidRPr="009E0F9D">
        <w:rPr>
          <w:rFonts w:ascii="Arial" w:eastAsia="Times New Roman" w:hAnsi="Arial" w:cs="Arial"/>
          <w:sz w:val="20"/>
          <w:szCs w:val="20"/>
        </w:rPr>
        <w:noBreakHyphen/>
        <w:t>terrorism laws and IHL by establishing limits on what qualifies as terrorist offences, and by excluding from their scope of application certain actions, actors or targets in the context of an armed conflict.</w:t>
      </w:r>
    </w:p>
    <w:p w14:paraId="06272811" w14:textId="77777777" w:rsidR="004D3230" w:rsidRPr="009E0F9D" w:rsidRDefault="004D3230" w:rsidP="00162B23">
      <w:pPr>
        <w:pStyle w:val="Paragraphedeliste"/>
        <w:widowControl w:val="0"/>
        <w:ind w:left="0"/>
        <w:rPr>
          <w:rFonts w:ascii="Arial" w:hAnsi="Arial" w:cs="Arial"/>
          <w:sz w:val="20"/>
          <w:szCs w:val="20"/>
        </w:rPr>
      </w:pPr>
    </w:p>
    <w:p w14:paraId="2738C661"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 recalls the exclusion of </w:t>
      </w:r>
      <w:r w:rsidRPr="009E0F9D">
        <w:rPr>
          <w:rFonts w:ascii="Arial" w:eastAsia="Times New Roman" w:hAnsi="Arial" w:cs="Arial"/>
          <w:sz w:val="20"/>
          <w:szCs w:val="20"/>
        </w:rPr>
        <w:t xml:space="preserve">“activities of armed forces during an armed conflict, as those terms are understood under international humanitarian law, which are governed by that law” </w:t>
      </w:r>
      <w:r w:rsidRPr="009E0F9D">
        <w:rPr>
          <w:rFonts w:ascii="Arial" w:hAnsi="Arial" w:cs="Arial"/>
          <w:sz w:val="20"/>
          <w:szCs w:val="20"/>
        </w:rPr>
        <w:t>from the scope of the Council of Europe Convention on the Prevention of Terrorism (</w:t>
      </w:r>
      <w:r w:rsidRPr="009E0F9D">
        <w:rPr>
          <w:rFonts w:ascii="Arial" w:eastAsia="Times New Roman" w:hAnsi="Arial" w:cs="Arial"/>
          <w:sz w:val="20"/>
          <w:szCs w:val="20"/>
        </w:rPr>
        <w:t xml:space="preserve">Article 26, paragraph 5). </w:t>
      </w:r>
    </w:p>
    <w:p w14:paraId="481F458A" w14:textId="77777777" w:rsidR="004D3230" w:rsidRPr="009E0F9D" w:rsidRDefault="004D3230" w:rsidP="00162B23">
      <w:pPr>
        <w:pStyle w:val="Paragraphedeliste"/>
        <w:widowControl w:val="0"/>
        <w:ind w:left="0"/>
        <w:rPr>
          <w:rFonts w:ascii="Arial" w:hAnsi="Arial" w:cs="Arial"/>
          <w:sz w:val="20"/>
          <w:szCs w:val="20"/>
        </w:rPr>
      </w:pPr>
    </w:p>
    <w:p w14:paraId="72BB91DA"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Acknowledging that some jurisdictions have explicitly incorporated this exclusion into their counter</w:t>
      </w:r>
      <w:r w:rsidRPr="009E0F9D">
        <w:rPr>
          <w:rFonts w:ascii="Arial" w:eastAsia="Times New Roman" w:hAnsi="Arial" w:cs="Arial"/>
          <w:sz w:val="20"/>
          <w:szCs w:val="20"/>
        </w:rPr>
        <w:noBreakHyphen/>
        <w:t>terrorism frameworks, the Recommendation invites member States, based on their treaty obligations,</w:t>
      </w:r>
      <w:r w:rsidRPr="009E0F9D">
        <w:rPr>
          <w:rStyle w:val="Appelnotedebasdep"/>
          <w:rFonts w:ascii="Arial" w:eastAsia="Times New Roman" w:hAnsi="Arial" w:cs="Arial"/>
          <w:sz w:val="20"/>
          <w:szCs w:val="20"/>
        </w:rPr>
        <w:footnoteReference w:id="21"/>
      </w:r>
      <w:r w:rsidRPr="009E0F9D">
        <w:rPr>
          <w:rFonts w:ascii="Arial" w:eastAsia="Times New Roman" w:hAnsi="Arial" w:cs="Arial"/>
          <w:sz w:val="20"/>
          <w:szCs w:val="20"/>
        </w:rPr>
        <w:t xml:space="preserve"> to apply it also to armed conflict-related activities of non-state armed groups that comply with IHL, irrespective of the international and/or national designation of those groups as terrorist. Moreover, it underlines that the personal and material scope of the exclusion, where it exists or is being introduced as either a general or an offence-specific clause, should be clearly defined in national legislation in order to ensure that acts regulated by and in conformity with IHL are not considered as terrorist offences even when carried out by non-states parties to a non-international armed conflict.</w:t>
      </w:r>
    </w:p>
    <w:p w14:paraId="20D7466B" w14:textId="77777777" w:rsidR="004D3230" w:rsidRPr="009E0F9D" w:rsidRDefault="004D3230" w:rsidP="00162B23">
      <w:pPr>
        <w:pStyle w:val="Paragraphedeliste"/>
        <w:widowControl w:val="0"/>
        <w:rPr>
          <w:rFonts w:ascii="Arial" w:hAnsi="Arial" w:cs="Arial"/>
          <w:sz w:val="20"/>
          <w:szCs w:val="20"/>
        </w:rPr>
      </w:pPr>
    </w:p>
    <w:p w14:paraId="7DB531D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In countries where explicit clauses do not exist, the exclusion of activities of non-state armed groups during a non-international armed conflict, which are governed by and in conformity with IHL, from counter</w:t>
      </w:r>
      <w:r w:rsidRPr="009E0F9D">
        <w:rPr>
          <w:rFonts w:ascii="Arial" w:hAnsi="Arial" w:cs="Arial"/>
          <w:sz w:val="20"/>
          <w:szCs w:val="20"/>
        </w:rPr>
        <w:noBreakHyphen/>
        <w:t xml:space="preserve">terrorism laws may result from the interpretation of those laws by the competent authorities, notably the courts. These domestic practices are </w:t>
      </w:r>
      <w:r w:rsidRPr="009E0F9D">
        <w:rPr>
          <w:rFonts w:ascii="Arial" w:eastAsia="Calibri" w:hAnsi="Arial" w:cs="Arial"/>
          <w:sz w:val="20"/>
          <w:szCs w:val="20"/>
        </w:rPr>
        <w:t xml:space="preserve">based on the obligations arising from the 1949 Geneva Conventions and the United Nations Security Council resolutions, the </w:t>
      </w:r>
      <w:r w:rsidRPr="009E0F9D">
        <w:rPr>
          <w:rFonts w:ascii="Arial" w:eastAsia="Times New Roman" w:hAnsi="Arial" w:cs="Arial"/>
          <w:sz w:val="20"/>
          <w:szCs w:val="20"/>
        </w:rPr>
        <w:t xml:space="preserve">carve-out provisions for armed conflicts in </w:t>
      </w:r>
      <w:r w:rsidRPr="009E0F9D">
        <w:rPr>
          <w:rFonts w:ascii="Arial" w:eastAsia="Calibri" w:hAnsi="Arial" w:cs="Arial"/>
          <w:sz w:val="20"/>
          <w:szCs w:val="20"/>
        </w:rPr>
        <w:t>Article 26, paragraphs 4 and 5 of the Council of Europe Convention on the Prevention of Terrorism and/or similar principles set out in Directive (EU) 2017/541 (recital 37).</w:t>
      </w:r>
    </w:p>
    <w:p w14:paraId="2B45DD13" w14:textId="77777777" w:rsidR="004D3230" w:rsidRPr="009E0F9D" w:rsidRDefault="004D3230" w:rsidP="00162B23">
      <w:pPr>
        <w:pStyle w:val="Paragraphedeliste"/>
        <w:widowControl w:val="0"/>
        <w:rPr>
          <w:rFonts w:ascii="Arial" w:eastAsia="Times New Roman" w:hAnsi="Arial" w:cs="Arial"/>
          <w:sz w:val="20"/>
          <w:szCs w:val="20"/>
        </w:rPr>
      </w:pPr>
    </w:p>
    <w:p w14:paraId="323EDEF8"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 xml:space="preserve">The classification of an armed conflict as a non-international armed conflict or of a terrorist association or group as a non-state armed group is also exclusively a matter of IHL. Classifications should therefore be determined on a case-by-case basis and based on the facts on the ground analysed </w:t>
      </w:r>
      <w:proofErr w:type="gramStart"/>
      <w:r w:rsidRPr="009E0F9D">
        <w:rPr>
          <w:rFonts w:ascii="Arial" w:eastAsia="Times New Roman" w:hAnsi="Arial" w:cs="Arial"/>
          <w:sz w:val="20"/>
          <w:szCs w:val="20"/>
        </w:rPr>
        <w:t>in light of</w:t>
      </w:r>
      <w:proofErr w:type="gramEnd"/>
      <w:r w:rsidRPr="009E0F9D">
        <w:rPr>
          <w:rFonts w:ascii="Arial" w:eastAsia="Times New Roman" w:hAnsi="Arial" w:cs="Arial"/>
          <w:sz w:val="20"/>
          <w:szCs w:val="20"/>
        </w:rPr>
        <w:t xml:space="preserve"> the IHL-based legal conditions and factors that are listed in the Recommendation.</w:t>
      </w:r>
    </w:p>
    <w:p w14:paraId="30FCAB5C" w14:textId="77777777" w:rsidR="004D3230" w:rsidRPr="009E0F9D" w:rsidRDefault="004D3230" w:rsidP="00162B23">
      <w:pPr>
        <w:widowControl w:val="0"/>
        <w:rPr>
          <w:rFonts w:cs="Arial"/>
          <w:szCs w:val="20"/>
        </w:rPr>
      </w:pPr>
    </w:p>
    <w:p w14:paraId="6846A509" w14:textId="77777777" w:rsidR="004D3230" w:rsidRPr="009E0F9D" w:rsidRDefault="004D3230" w:rsidP="00162B23">
      <w:pPr>
        <w:pStyle w:val="Titre2"/>
        <w:keepNext w:val="0"/>
        <w:keepLines w:val="0"/>
        <w:widowControl w:val="0"/>
        <w:rPr>
          <w:rFonts w:cs="Arial"/>
          <w:szCs w:val="20"/>
        </w:rPr>
      </w:pPr>
      <w:bookmarkStart w:id="36" w:name="_Toc222735685"/>
      <w:r w:rsidRPr="009E0F9D">
        <w:rPr>
          <w:rFonts w:cs="Arial"/>
          <w:szCs w:val="20"/>
        </w:rPr>
        <w:t>Humanitarian exemption clauses</w:t>
      </w:r>
      <w:bookmarkEnd w:id="36"/>
    </w:p>
    <w:p w14:paraId="79364872" w14:textId="77777777" w:rsidR="004D3230" w:rsidRPr="009E0F9D" w:rsidRDefault="004D3230" w:rsidP="00162B23">
      <w:pPr>
        <w:pStyle w:val="Paragraphedeliste"/>
        <w:widowControl w:val="0"/>
        <w:rPr>
          <w:rFonts w:ascii="Arial" w:hAnsi="Arial" w:cs="Arial"/>
          <w:sz w:val="20"/>
          <w:szCs w:val="20"/>
        </w:rPr>
      </w:pPr>
    </w:p>
    <w:p w14:paraId="3286391F"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The objective of humanitarian exemption clauses is to ensure that humanitarian activities carried out by impartial humanitarian organisations</w:t>
      </w:r>
      <w:r w:rsidRPr="009E0F9D">
        <w:rPr>
          <w:rStyle w:val="Appelnotedebasdep"/>
          <w:rFonts w:ascii="Arial" w:eastAsia="Times New Roman" w:hAnsi="Arial" w:cs="Arial"/>
          <w:sz w:val="20"/>
          <w:szCs w:val="20"/>
        </w:rPr>
        <w:footnoteReference w:id="22"/>
      </w:r>
      <w:r w:rsidRPr="009E0F9D">
        <w:rPr>
          <w:rFonts w:ascii="Arial" w:eastAsia="Times New Roman" w:hAnsi="Arial" w:cs="Arial"/>
          <w:sz w:val="20"/>
          <w:szCs w:val="20"/>
        </w:rPr>
        <w:t xml:space="preserve"> foreseen, authorised and protected under international humanitarian law are not criminalised by counter-terrorism frameworks. </w:t>
      </w:r>
      <w:r w:rsidRPr="009E0F9D">
        <w:rPr>
          <w:rFonts w:ascii="Arial" w:hAnsi="Arial" w:cs="Arial"/>
          <w:sz w:val="20"/>
          <w:szCs w:val="20"/>
        </w:rPr>
        <w:t>As underlined in the Preamble, counter-terrorism laws must be compatible with IHL rules governing humanitarian activities and access, including the obligation to allow and facilitate humanitarian activities and ensure</w:t>
      </w:r>
      <w:r w:rsidRPr="009E0F9D">
        <w:rPr>
          <w:rFonts w:ascii="Arial" w:eastAsia="Times New Roman" w:hAnsi="Arial" w:cs="Arial"/>
          <w:sz w:val="20"/>
          <w:szCs w:val="20"/>
        </w:rPr>
        <w:t xml:space="preserve"> respect for, and protection of, humanitarian personnel</w:t>
      </w:r>
      <w:r w:rsidRPr="009E0F9D">
        <w:rPr>
          <w:rFonts w:ascii="Arial" w:hAnsi="Arial" w:cs="Arial"/>
          <w:sz w:val="20"/>
          <w:szCs w:val="20"/>
        </w:rPr>
        <w:t xml:space="preserve">. In this spirit, and </w:t>
      </w:r>
      <w:proofErr w:type="gramStart"/>
      <w:r w:rsidRPr="009E0F9D">
        <w:rPr>
          <w:rFonts w:ascii="Arial" w:hAnsi="Arial" w:cs="Arial"/>
          <w:sz w:val="20"/>
          <w:szCs w:val="20"/>
        </w:rPr>
        <w:t>taking into account</w:t>
      </w:r>
      <w:proofErr w:type="gramEnd"/>
      <w:r w:rsidRPr="009E0F9D">
        <w:rPr>
          <w:rFonts w:ascii="Arial" w:hAnsi="Arial" w:cs="Arial"/>
          <w:sz w:val="20"/>
          <w:szCs w:val="20"/>
        </w:rPr>
        <w:t xml:space="preserve"> comparative practices, the Recommendation invites member States that do not already have specific humanitarian exemptions in those laws for purely </w:t>
      </w:r>
      <w:r w:rsidRPr="009E0F9D">
        <w:rPr>
          <w:rFonts w:ascii="Arial" w:eastAsia="Calibri" w:hAnsi="Arial" w:cs="Arial"/>
          <w:bCs/>
          <w:sz w:val="20"/>
          <w:szCs w:val="20"/>
        </w:rPr>
        <w:t>humanitarian activities conducted by impartial humanitarian organisations in accordance with IHL to introduce provisions to that effect</w:t>
      </w:r>
      <w:r w:rsidRPr="009E0F9D">
        <w:rPr>
          <w:rFonts w:ascii="Arial" w:eastAsia="Times New Roman" w:hAnsi="Arial" w:cs="Arial"/>
          <w:sz w:val="20"/>
          <w:szCs w:val="20"/>
        </w:rPr>
        <w:t>.</w:t>
      </w:r>
      <w:r w:rsidRPr="009E0F9D">
        <w:rPr>
          <w:rFonts w:ascii="Arial" w:hAnsi="Arial" w:cs="Arial"/>
          <w:sz w:val="20"/>
          <w:szCs w:val="20"/>
        </w:rPr>
        <w:t xml:space="preserve"> Before such provisions are introduced, member </w:t>
      </w:r>
      <w:r w:rsidRPr="009E0F9D">
        <w:rPr>
          <w:rFonts w:ascii="Arial" w:eastAsia="Times New Roman" w:hAnsi="Arial" w:cs="Arial"/>
          <w:sz w:val="20"/>
          <w:szCs w:val="20"/>
        </w:rPr>
        <w:t>States could also consider protecting humanitarian activities of impartial humanitarian organisations through prosecutorial instructions or other guidance documents.</w:t>
      </w:r>
    </w:p>
    <w:p w14:paraId="624A2FE7" w14:textId="77777777" w:rsidR="004D3230" w:rsidRPr="009E0F9D" w:rsidRDefault="004D3230" w:rsidP="00162B23">
      <w:pPr>
        <w:pStyle w:val="Paragraphedeliste"/>
        <w:widowControl w:val="0"/>
        <w:ind w:left="0"/>
        <w:rPr>
          <w:rFonts w:ascii="Arial" w:hAnsi="Arial" w:cs="Arial"/>
          <w:sz w:val="20"/>
          <w:szCs w:val="20"/>
        </w:rPr>
      </w:pPr>
    </w:p>
    <w:p w14:paraId="6684A002" w14:textId="77777777" w:rsidR="00162B23"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i/>
          <w:iCs/>
          <w:sz w:val="20"/>
          <w:szCs w:val="20"/>
        </w:rPr>
      </w:pPr>
      <w:r w:rsidRPr="009E0F9D">
        <w:rPr>
          <w:rFonts w:ascii="Arial" w:hAnsi="Arial" w:cs="Arial"/>
          <w:sz w:val="20"/>
          <w:szCs w:val="20"/>
        </w:rPr>
        <w:t xml:space="preserve">Humanitarian exemption clauses should also </w:t>
      </w:r>
      <w:r w:rsidRPr="009E0F9D">
        <w:rPr>
          <w:rFonts w:ascii="Arial" w:eastAsia="Times New Roman" w:hAnsi="Arial" w:cs="Arial"/>
          <w:sz w:val="20"/>
          <w:szCs w:val="20"/>
        </w:rPr>
        <w:t xml:space="preserve">specify which activities are covered. </w:t>
      </w:r>
      <w:r w:rsidRPr="009E0F9D">
        <w:rPr>
          <w:rFonts w:ascii="Arial" w:hAnsi="Arial" w:cs="Arial"/>
          <w:sz w:val="20"/>
          <w:szCs w:val="20"/>
        </w:rPr>
        <w:t xml:space="preserve">Under IHL, purely humanitarian activities include both assistance and protection activities and are those conducted without adverse distinction and aimed solely at alleviating human suffering. Examples include facilitating humanitarian relief actions to civilians in need; searching for, collecting, </w:t>
      </w:r>
      <w:proofErr w:type="gramStart"/>
      <w:r w:rsidRPr="009E0F9D">
        <w:rPr>
          <w:rFonts w:ascii="Arial" w:hAnsi="Arial" w:cs="Arial"/>
          <w:sz w:val="20"/>
          <w:szCs w:val="20"/>
        </w:rPr>
        <w:t>caring  and</w:t>
      </w:r>
      <w:proofErr w:type="gramEnd"/>
      <w:r w:rsidRPr="009E0F9D">
        <w:rPr>
          <w:rFonts w:ascii="Arial" w:hAnsi="Arial" w:cs="Arial"/>
          <w:sz w:val="20"/>
          <w:szCs w:val="20"/>
        </w:rPr>
        <w:t xml:space="preserve"> evacuating the dead, wounded, sick and shipwrecked (including members of terrorist associations and groups placed </w:t>
      </w:r>
      <w:r w:rsidRPr="009E0F9D">
        <w:rPr>
          <w:rFonts w:ascii="Arial" w:hAnsi="Arial" w:cs="Arial"/>
          <w:i/>
          <w:iCs/>
          <w:sz w:val="20"/>
          <w:szCs w:val="20"/>
        </w:rPr>
        <w:t xml:space="preserve">hors de </w:t>
      </w:r>
    </w:p>
    <w:p w14:paraId="2DFF559F" w14:textId="77777777" w:rsidR="00162B23" w:rsidRPr="009E0F9D" w:rsidRDefault="00162B23">
      <w:pPr>
        <w:rPr>
          <w:rFonts w:eastAsia="Arial Unicode MS" w:cs="Arial"/>
          <w:i/>
          <w:iCs/>
          <w:szCs w:val="20"/>
          <w:bdr w:val="nil"/>
          <w:lang w:val="en-US"/>
        </w:rPr>
      </w:pPr>
      <w:r w:rsidRPr="009E0F9D">
        <w:rPr>
          <w:rFonts w:cs="Arial"/>
          <w:i/>
          <w:iCs/>
          <w:szCs w:val="20"/>
        </w:rPr>
        <w:br w:type="page"/>
      </w:r>
    </w:p>
    <w:p w14:paraId="531CA25C" w14:textId="08FB5BD9"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hAnsi="Arial" w:cs="Arial"/>
          <w:i/>
          <w:iCs/>
          <w:sz w:val="20"/>
          <w:szCs w:val="20"/>
        </w:rPr>
        <w:lastRenderedPageBreak/>
        <w:t>combat</w:t>
      </w:r>
      <w:r w:rsidRPr="009E0F9D">
        <w:rPr>
          <w:rFonts w:ascii="Arial" w:hAnsi="Arial" w:cs="Arial"/>
          <w:sz w:val="20"/>
          <w:szCs w:val="20"/>
        </w:rPr>
        <w:t>); accounting for the missing;</w:t>
      </w:r>
      <w:r w:rsidRPr="009E0F9D">
        <w:rPr>
          <w:rStyle w:val="Appelnotedebasdep"/>
          <w:rFonts w:ascii="Arial" w:hAnsi="Arial" w:cs="Arial"/>
          <w:sz w:val="20"/>
          <w:szCs w:val="20"/>
        </w:rPr>
        <w:footnoteReference w:id="23"/>
      </w:r>
      <w:r w:rsidRPr="009E0F9D">
        <w:rPr>
          <w:rFonts w:ascii="Arial" w:hAnsi="Arial" w:cs="Arial"/>
          <w:sz w:val="20"/>
          <w:szCs w:val="20"/>
        </w:rPr>
        <w:t xml:space="preserve"> visiting and assisting detainees; providing IHL training or acting as a channel for offers of services to the parties to the non-international armed conflict, particularly services provided by an “impartial humanitarian body, such as the [ICRC]” in accordance with common Article 3 of the 1949 Geneva Conventions.</w:t>
      </w:r>
      <w:r w:rsidRPr="009E0F9D">
        <w:rPr>
          <w:rStyle w:val="Appelnotedebasdep"/>
          <w:rFonts w:ascii="Arial" w:hAnsi="Arial" w:cs="Arial"/>
          <w:sz w:val="20"/>
          <w:szCs w:val="20"/>
        </w:rPr>
        <w:footnoteReference w:id="24"/>
      </w:r>
      <w:r w:rsidRPr="009E0F9D">
        <w:rPr>
          <w:rFonts w:ascii="Arial" w:hAnsi="Arial" w:cs="Arial"/>
          <w:sz w:val="20"/>
          <w:szCs w:val="20"/>
        </w:rPr>
        <w:t xml:space="preserve"> </w:t>
      </w:r>
    </w:p>
    <w:p w14:paraId="0C8D7D6A" w14:textId="77777777" w:rsidR="004D3230" w:rsidRPr="009E0F9D" w:rsidRDefault="004D3230" w:rsidP="00162B23">
      <w:pPr>
        <w:pStyle w:val="Paragraphedeliste"/>
        <w:widowControl w:val="0"/>
        <w:rPr>
          <w:rFonts w:ascii="Arial" w:hAnsi="Arial" w:cs="Arial"/>
          <w:sz w:val="20"/>
          <w:szCs w:val="20"/>
        </w:rPr>
      </w:pPr>
    </w:p>
    <w:p w14:paraId="2B1104C1"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Where consistent with the structure of Member States’ criminal law, exemption clauses do not necessarily need to take the form of explicit legal provisions, provided that it is sufficiently clear from the definition and interpretation of the relevant terrorist offences and from other international or regional legal instruments that purely humanitarian activities carried out by impartial humanitarian organisations in conformity with IHL are not criminalised.</w:t>
      </w:r>
    </w:p>
    <w:p w14:paraId="46F03143" w14:textId="77777777" w:rsidR="004D3230" w:rsidRPr="009E0F9D" w:rsidRDefault="004D3230" w:rsidP="00162B23">
      <w:pPr>
        <w:widowControl w:val="0"/>
        <w:rPr>
          <w:rFonts w:cs="Arial"/>
          <w:szCs w:val="20"/>
        </w:rPr>
      </w:pPr>
    </w:p>
    <w:p w14:paraId="079EA651"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To safeguard principled humanitarian action, the Recommendation encourages member States to co-operate actively with the private sector. This may be achieved through the establishment of national forums or mechanisms that bring together government agencies, non-profit organisations and financial services firms with the aim of exchanging information and views and exploring good practices relating to the transparency of relevant measures, including licensing and exemption processes, avoiding de-risking and other manifestations of overcompliance. Some States have also established a designated authority that serves as focal point in this respect.</w:t>
      </w:r>
      <w:r w:rsidRPr="009E0F9D">
        <w:rPr>
          <w:rStyle w:val="Appelnotedebasdep"/>
          <w:rFonts w:ascii="Arial" w:eastAsia="Times New Roman" w:hAnsi="Arial" w:cs="Arial"/>
          <w:sz w:val="20"/>
          <w:szCs w:val="20"/>
        </w:rPr>
        <w:footnoteReference w:id="25"/>
      </w:r>
      <w:r w:rsidRPr="009E0F9D">
        <w:rPr>
          <w:rFonts w:ascii="Arial" w:eastAsia="Times New Roman" w:hAnsi="Arial" w:cs="Arial"/>
          <w:sz w:val="20"/>
          <w:szCs w:val="20"/>
        </w:rPr>
        <w:t xml:space="preserve"> In the framework of these mechanisms, national competent authorities could clarify the operational scope of humanitarian exemptions, including in counter-terrorism legislation, as they may result from domestic law or its interpretation pursuant to directly applicable EU law or United Nations Security Council resolutions, and provide guidance whenever requested in order to avoid unnecessary adverse consequences on impartial humanitarian action.</w:t>
      </w:r>
    </w:p>
    <w:p w14:paraId="6C5F3622" w14:textId="77777777" w:rsidR="004D3230" w:rsidRPr="009E0F9D" w:rsidRDefault="004D3230" w:rsidP="00162B23">
      <w:pPr>
        <w:pStyle w:val="Paragraphedeliste"/>
        <w:widowControl w:val="0"/>
        <w:rPr>
          <w:rFonts w:ascii="Arial" w:hAnsi="Arial" w:cs="Arial"/>
          <w:sz w:val="20"/>
          <w:szCs w:val="20"/>
        </w:rPr>
      </w:pPr>
    </w:p>
    <w:p w14:paraId="1BACA5D9" w14:textId="77777777" w:rsidR="004D3230" w:rsidRPr="009E0F9D" w:rsidRDefault="004D3230" w:rsidP="00162B23">
      <w:pPr>
        <w:pStyle w:val="Titre1"/>
        <w:keepNext w:val="0"/>
        <w:keepLines w:val="0"/>
        <w:widowControl w:val="0"/>
        <w:rPr>
          <w:rFonts w:eastAsia="Times New Roman" w:cs="Arial"/>
          <w:szCs w:val="20"/>
        </w:rPr>
      </w:pPr>
      <w:bookmarkStart w:id="37" w:name="_Toc222735686"/>
      <w:r w:rsidRPr="009E0F9D">
        <w:rPr>
          <w:rFonts w:eastAsia="Times New Roman" w:cs="Arial"/>
          <w:szCs w:val="20"/>
        </w:rPr>
        <w:t>Chapter VII – Strengthening international co-operation</w:t>
      </w:r>
      <w:bookmarkEnd w:id="37"/>
    </w:p>
    <w:p w14:paraId="49633419" w14:textId="77777777" w:rsidR="004D3230" w:rsidRPr="009E0F9D" w:rsidRDefault="004D3230" w:rsidP="00162B23">
      <w:pPr>
        <w:pStyle w:val="Paragraphedeliste"/>
        <w:widowControl w:val="0"/>
        <w:ind w:left="0"/>
        <w:rPr>
          <w:rFonts w:ascii="Arial" w:hAnsi="Arial" w:cs="Arial"/>
          <w:sz w:val="20"/>
          <w:szCs w:val="20"/>
        </w:rPr>
      </w:pPr>
    </w:p>
    <w:p w14:paraId="7DD27ABF" w14:textId="77777777" w:rsidR="004D3230" w:rsidRPr="009E0F9D" w:rsidRDefault="004D3230" w:rsidP="00162B23">
      <w:pPr>
        <w:pStyle w:val="Titre2"/>
        <w:keepNext w:val="0"/>
        <w:keepLines w:val="0"/>
        <w:widowControl w:val="0"/>
        <w:rPr>
          <w:rFonts w:cs="Arial"/>
          <w:szCs w:val="20"/>
        </w:rPr>
      </w:pPr>
      <w:bookmarkStart w:id="38" w:name="_Toc222735687"/>
      <w:r w:rsidRPr="009E0F9D">
        <w:rPr>
          <w:rFonts w:cs="Arial"/>
          <w:szCs w:val="20"/>
        </w:rPr>
        <w:t>Extradition and mutual legal assistance</w:t>
      </w:r>
      <w:bookmarkEnd w:id="38"/>
    </w:p>
    <w:p w14:paraId="0EBBDF29" w14:textId="77777777" w:rsidR="004D3230" w:rsidRPr="009E0F9D" w:rsidRDefault="004D3230" w:rsidP="00162B23">
      <w:pPr>
        <w:pStyle w:val="Paragraphedeliste"/>
        <w:widowControl w:val="0"/>
        <w:ind w:left="0"/>
        <w:rPr>
          <w:rFonts w:ascii="Arial" w:hAnsi="Arial" w:cs="Arial"/>
          <w:sz w:val="20"/>
          <w:szCs w:val="20"/>
        </w:rPr>
      </w:pPr>
    </w:p>
    <w:p w14:paraId="586CDF6A"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Recommendation highlights the importance of international co-operation in fighting impunity for the offences and crimes falling within its scope. In this perspective, it calls on member States to utilise all available means, or develop new ones, if necessary, to ensure that those present in their territory who are suspected of committing such offenses and crimes during a non-international armed conflict abroad are brought to justice before a competent court, including, if applicable, a foreign court.</w:t>
      </w:r>
    </w:p>
    <w:p w14:paraId="63C3D633" w14:textId="77777777" w:rsidR="004D3230" w:rsidRPr="009E0F9D" w:rsidRDefault="004D3230" w:rsidP="00162B23">
      <w:pPr>
        <w:pStyle w:val="Paragraphedeliste"/>
        <w:widowControl w:val="0"/>
        <w:ind w:left="0"/>
        <w:rPr>
          <w:rFonts w:ascii="Arial" w:hAnsi="Arial" w:cs="Arial"/>
          <w:sz w:val="20"/>
          <w:szCs w:val="20"/>
        </w:rPr>
      </w:pPr>
    </w:p>
    <w:p w14:paraId="6AFD438F"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As a rule, member States should extradite or surrender terrorist suspects found on their soil if they receive a request or a European Arrest Warrant from a competent jurisdiction, as appropriate. If extradition or surrender is not requested or possible, </w:t>
      </w:r>
      <w:r w:rsidRPr="009E0F9D">
        <w:rPr>
          <w:rFonts w:ascii="Arial" w:eastAsia="Times New Roman" w:hAnsi="Arial" w:cs="Arial"/>
          <w:sz w:val="20"/>
          <w:szCs w:val="20"/>
        </w:rPr>
        <w:t xml:space="preserve">they should prosecute those suspects pursuant to the principle </w:t>
      </w:r>
      <w:r w:rsidRPr="009E0F9D">
        <w:rPr>
          <w:rFonts w:ascii="Arial" w:eastAsia="Times New Roman" w:hAnsi="Arial" w:cs="Arial"/>
          <w:i/>
          <w:iCs/>
          <w:sz w:val="20"/>
          <w:szCs w:val="20"/>
        </w:rPr>
        <w:t>aut dedere aut judicare</w:t>
      </w:r>
      <w:r w:rsidRPr="009E0F9D">
        <w:rPr>
          <w:rFonts w:ascii="Arial" w:eastAsia="Times New Roman" w:hAnsi="Arial" w:cs="Arial"/>
          <w:sz w:val="20"/>
          <w:szCs w:val="20"/>
        </w:rPr>
        <w:t xml:space="preserve">, in line with the provisions of the Council of Europe Convention for the Prevention of Terrorism (Article 18). Given the scope of this Recommendation and CDCT’s mandate under the Council of Europe Counter-Terrorism Strategy (2023-2027), the same rule should apply to serious violations of </w:t>
      </w:r>
      <w:proofErr w:type="gramStart"/>
      <w:r w:rsidRPr="009E0F9D">
        <w:rPr>
          <w:rFonts w:ascii="Arial" w:eastAsia="Times New Roman" w:hAnsi="Arial" w:cs="Arial"/>
          <w:sz w:val="20"/>
          <w:szCs w:val="20"/>
        </w:rPr>
        <w:t>IHL</w:t>
      </w:r>
      <w:proofErr w:type="gramEnd"/>
      <w:r w:rsidRPr="009E0F9D">
        <w:rPr>
          <w:rFonts w:ascii="Arial" w:eastAsia="Times New Roman" w:hAnsi="Arial" w:cs="Arial"/>
          <w:sz w:val="20"/>
          <w:szCs w:val="20"/>
        </w:rPr>
        <w:t xml:space="preserve"> and other core international crimes allegedly committed by terrorist suspects </w:t>
      </w:r>
      <w:proofErr w:type="gramStart"/>
      <w:r w:rsidRPr="009E0F9D">
        <w:rPr>
          <w:rFonts w:ascii="Arial" w:eastAsia="Times New Roman" w:hAnsi="Arial" w:cs="Arial"/>
          <w:sz w:val="20"/>
          <w:szCs w:val="20"/>
        </w:rPr>
        <w:t>in the course of</w:t>
      </w:r>
      <w:proofErr w:type="gramEnd"/>
      <w:r w:rsidRPr="009E0F9D">
        <w:rPr>
          <w:rFonts w:ascii="Arial" w:eastAsia="Times New Roman" w:hAnsi="Arial" w:cs="Arial"/>
          <w:sz w:val="20"/>
          <w:szCs w:val="20"/>
        </w:rPr>
        <w:t xml:space="preserve"> a non</w:t>
      </w:r>
      <w:r w:rsidRPr="009E0F9D">
        <w:rPr>
          <w:rFonts w:ascii="Arial" w:eastAsia="Times New Roman" w:hAnsi="Arial" w:cs="Arial"/>
          <w:sz w:val="20"/>
          <w:szCs w:val="20"/>
        </w:rPr>
        <w:noBreakHyphen/>
        <w:t>international armed conflict.</w:t>
      </w:r>
    </w:p>
    <w:p w14:paraId="1115A768" w14:textId="77777777" w:rsidR="004D3230" w:rsidRPr="009E0F9D" w:rsidRDefault="004D3230" w:rsidP="00162B23">
      <w:pPr>
        <w:pStyle w:val="Paragraphedeliste"/>
        <w:widowControl w:val="0"/>
        <w:rPr>
          <w:rFonts w:ascii="Arial" w:eastAsia="Times New Roman" w:hAnsi="Arial" w:cs="Arial"/>
          <w:sz w:val="20"/>
          <w:szCs w:val="20"/>
        </w:rPr>
      </w:pPr>
    </w:p>
    <w:p w14:paraId="06C40E56"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 xml:space="preserve">Prosecuting individuals present on the States’s territory for the offences and crimes covered by the Recommendation requires first establishing jurisdiction, according to the principles outlined in Chapter II. Whilst a </w:t>
      </w:r>
      <w:r w:rsidRPr="009E0F9D">
        <w:rPr>
          <w:rFonts w:ascii="Arial" w:hAnsi="Arial" w:cs="Arial"/>
          <w:sz w:val="20"/>
          <w:szCs w:val="20"/>
        </w:rPr>
        <w:t>State can exercise jurisdiction on any basis, when the offence or crime was allegedly committed abroad with no nexus to the forum State, this obligation would necessarily reflect an exercise of universal jurisdiction and would therefore be subject to limitations. Where this is not feasible, and to prevent impunity for core international crimes, an alternative would be to surrender the alleged perpetrator to a competent international criminal tribunal or a competent court whose jurisdiction the State concerned has recognised.</w:t>
      </w:r>
      <w:r w:rsidRPr="009E0F9D">
        <w:rPr>
          <w:rStyle w:val="Appelnotedebasdep"/>
          <w:rFonts w:ascii="Arial" w:hAnsi="Arial" w:cs="Arial"/>
          <w:sz w:val="20"/>
          <w:szCs w:val="20"/>
        </w:rPr>
        <w:footnoteReference w:id="26"/>
      </w:r>
    </w:p>
    <w:p w14:paraId="2A66ACA5" w14:textId="77777777" w:rsidR="004D3230" w:rsidRPr="009E0F9D" w:rsidRDefault="004D3230" w:rsidP="00162B23">
      <w:pPr>
        <w:pStyle w:val="Paragraphedeliste"/>
        <w:widowControl w:val="0"/>
        <w:rPr>
          <w:rFonts w:ascii="Arial" w:hAnsi="Arial" w:cs="Arial"/>
          <w:sz w:val="20"/>
          <w:szCs w:val="20"/>
        </w:rPr>
      </w:pPr>
    </w:p>
    <w:p w14:paraId="15A10F69" w14:textId="68DCD08E" w:rsidR="00162B23"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rPr>
      </w:pPr>
      <w:r w:rsidRPr="009E0F9D">
        <w:rPr>
          <w:rFonts w:ascii="Arial" w:hAnsi="Arial" w:cs="Arial"/>
          <w:sz w:val="20"/>
          <w:szCs w:val="20"/>
        </w:rPr>
        <w:t xml:space="preserve">To strengthen international co-operation, this Recommendation builds on the Council of Europe’s </w:t>
      </w:r>
      <w:r w:rsidRPr="009E0F9D">
        <w:rPr>
          <w:rFonts w:ascii="Arial" w:hAnsi="Arial" w:cs="Arial"/>
          <w:i/>
          <w:iCs/>
          <w:sz w:val="20"/>
          <w:szCs w:val="20"/>
        </w:rPr>
        <w:t>acquis</w:t>
      </w:r>
      <w:r w:rsidRPr="009E0F9D">
        <w:rPr>
          <w:rFonts w:ascii="Arial" w:hAnsi="Arial" w:cs="Arial"/>
          <w:sz w:val="20"/>
          <w:szCs w:val="20"/>
        </w:rPr>
        <w:t xml:space="preserve"> and initiatives, such as the </w:t>
      </w:r>
      <w:r w:rsidRPr="009E0F9D">
        <w:rPr>
          <w:rFonts w:ascii="Arial" w:eastAsia="Times New Roman" w:hAnsi="Arial" w:cs="Arial"/>
          <w:sz w:val="20"/>
          <w:szCs w:val="20"/>
        </w:rPr>
        <w:t>European Convention on Mutual Assistance in Criminal Matters (ETS</w:t>
      </w:r>
      <w:r w:rsidR="00162B23" w:rsidRPr="009E0F9D">
        <w:rPr>
          <w:rFonts w:ascii="Arial" w:eastAsia="Times New Roman" w:hAnsi="Arial" w:cs="Arial"/>
          <w:sz w:val="20"/>
          <w:szCs w:val="20"/>
        </w:rPr>
        <w:t> </w:t>
      </w:r>
      <w:r w:rsidRPr="009E0F9D">
        <w:rPr>
          <w:rFonts w:ascii="Arial" w:eastAsia="Times New Roman" w:hAnsi="Arial" w:cs="Arial"/>
          <w:sz w:val="20"/>
          <w:szCs w:val="20"/>
        </w:rPr>
        <w:t>No. 030) and its three additional protocols</w:t>
      </w:r>
      <w:r w:rsidRPr="009E0F9D">
        <w:rPr>
          <w:rFonts w:ascii="Arial" w:hAnsi="Arial" w:cs="Arial"/>
          <w:sz w:val="20"/>
          <w:szCs w:val="20"/>
        </w:rPr>
        <w:t xml:space="preserve">. Furthermore, the Recommendation encourages member States to become parties to the 2023 </w:t>
      </w:r>
      <w:r w:rsidRPr="009E0F9D">
        <w:rPr>
          <w:rFonts w:ascii="Arial" w:eastAsia="Times New Roman" w:hAnsi="Arial" w:cs="Arial"/>
          <w:sz w:val="20"/>
          <w:szCs w:val="20"/>
        </w:rPr>
        <w:t xml:space="preserve">Ljubljana – The Hague Convention on International Cooperation in the </w:t>
      </w:r>
    </w:p>
    <w:p w14:paraId="442120EA" w14:textId="77777777" w:rsidR="00162B23" w:rsidRPr="009E0F9D" w:rsidRDefault="00162B23">
      <w:pPr>
        <w:rPr>
          <w:rFonts w:eastAsia="Times New Roman" w:cs="Arial"/>
          <w:szCs w:val="20"/>
          <w:bdr w:val="nil"/>
          <w:lang w:val="en-US"/>
        </w:rPr>
      </w:pPr>
      <w:r w:rsidRPr="009E0F9D">
        <w:rPr>
          <w:rFonts w:eastAsia="Times New Roman" w:cs="Arial"/>
          <w:szCs w:val="20"/>
        </w:rPr>
        <w:br w:type="page"/>
      </w:r>
    </w:p>
    <w:p w14:paraId="3FFA00A5" w14:textId="5ED8F44D" w:rsidR="004D3230" w:rsidRPr="009E0F9D" w:rsidRDefault="004D3230" w:rsidP="00162B23">
      <w:pPr>
        <w:pStyle w:val="Paragraphedeliste"/>
        <w:widowControl w:val="0"/>
        <w:pBdr>
          <w:top w:val="none" w:sz="0" w:space="0" w:color="auto"/>
          <w:left w:val="none" w:sz="0" w:space="0" w:color="auto"/>
          <w:bottom w:val="none" w:sz="0" w:space="0" w:color="auto"/>
          <w:right w:val="none" w:sz="0" w:space="0" w:color="auto"/>
          <w:between w:val="none" w:sz="0" w:space="0" w:color="auto"/>
          <w:bar w:val="none" w:sz="0" w:color="auto"/>
        </w:pBdr>
        <w:ind w:left="0"/>
        <w:rPr>
          <w:rFonts w:ascii="Arial" w:hAnsi="Arial" w:cs="Arial"/>
          <w:sz w:val="20"/>
          <w:szCs w:val="20"/>
        </w:rPr>
      </w:pPr>
      <w:r w:rsidRPr="009E0F9D">
        <w:rPr>
          <w:rFonts w:ascii="Arial" w:eastAsia="Times New Roman" w:hAnsi="Arial" w:cs="Arial"/>
          <w:sz w:val="20"/>
          <w:szCs w:val="20"/>
        </w:rPr>
        <w:lastRenderedPageBreak/>
        <w:t>Investigation and Prosecution of Genocide, Crimes against Humanity, War Crimes and other International Crimes,</w:t>
      </w:r>
      <w:bookmarkStart w:id="39" w:name="_Hlk232024163"/>
      <w:r w:rsidRPr="009E0F9D">
        <w:rPr>
          <w:rStyle w:val="Appelnotedebasdep"/>
          <w:rFonts w:ascii="Arial" w:eastAsia="Times New Roman" w:hAnsi="Arial" w:cs="Arial"/>
          <w:sz w:val="20"/>
          <w:szCs w:val="20"/>
        </w:rPr>
        <w:footnoteReference w:id="27"/>
      </w:r>
      <w:bookmarkEnd w:id="39"/>
      <w:r w:rsidRPr="009E0F9D">
        <w:rPr>
          <w:rFonts w:ascii="Arial" w:eastAsia="Times New Roman" w:hAnsi="Arial" w:cs="Arial"/>
          <w:sz w:val="20"/>
          <w:szCs w:val="20"/>
        </w:rPr>
        <w:t xml:space="preserve"> which is particularly well-suited to ensuring respect for IHL while countering terrorism, in line with the aim of the Recommendation.</w:t>
      </w:r>
    </w:p>
    <w:p w14:paraId="74F79773" w14:textId="77777777" w:rsidR="004D3230" w:rsidRPr="009E0F9D" w:rsidRDefault="004D3230" w:rsidP="00162B23">
      <w:pPr>
        <w:widowControl w:val="0"/>
        <w:rPr>
          <w:rFonts w:eastAsia="Times New Roman" w:cs="Arial"/>
          <w:szCs w:val="20"/>
        </w:rPr>
      </w:pPr>
    </w:p>
    <w:p w14:paraId="597A0AFD" w14:textId="77777777" w:rsidR="004D3230" w:rsidRPr="009E0F9D" w:rsidRDefault="004D3230" w:rsidP="00162B23">
      <w:pPr>
        <w:pStyle w:val="Titre2"/>
        <w:keepNext w:val="0"/>
        <w:keepLines w:val="0"/>
        <w:widowControl w:val="0"/>
        <w:rPr>
          <w:rFonts w:eastAsia="Times New Roman" w:cs="Arial"/>
          <w:szCs w:val="20"/>
        </w:rPr>
      </w:pPr>
      <w:bookmarkStart w:id="40" w:name="_Toc222735688"/>
      <w:r w:rsidRPr="009E0F9D">
        <w:rPr>
          <w:rFonts w:eastAsia="Times New Roman" w:cs="Arial"/>
          <w:szCs w:val="20"/>
        </w:rPr>
        <w:t>International co-operation in investigation matters</w:t>
      </w:r>
      <w:bookmarkEnd w:id="40"/>
    </w:p>
    <w:p w14:paraId="3A0481A0" w14:textId="77777777" w:rsidR="004D3230" w:rsidRPr="009E0F9D" w:rsidRDefault="004D3230" w:rsidP="00162B23">
      <w:pPr>
        <w:widowControl w:val="0"/>
        <w:rPr>
          <w:rFonts w:eastAsia="Times New Roman" w:cs="Arial"/>
          <w:szCs w:val="20"/>
        </w:rPr>
      </w:pPr>
    </w:p>
    <w:p w14:paraId="59ED9850"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 xml:space="preserve">The Recommendation fosters co-operation among member States in investigating the offences and crimes falling within its scope through both informal mechanisms and specific tools developed at regional level. One of the most advanced tools used in investigation matters is the joint investigation team comprising a legal agreement between competent authorities of two or more States for the purpose of carrying out criminal investigations. Made up of prosecutors and law enforcement authorities as well as judges, joint investigation teams may receive Eurojust’s operational, legal and financial support for </w:t>
      </w:r>
      <w:r w:rsidRPr="009E0F9D">
        <w:rPr>
          <w:rFonts w:ascii="Arial" w:eastAsia="Times New Roman" w:hAnsi="Arial" w:cs="Arial"/>
          <w:sz w:val="20"/>
          <w:szCs w:val="20"/>
        </w:rPr>
        <w:t>faster and more efficient co</w:t>
      </w:r>
      <w:r w:rsidRPr="009E0F9D">
        <w:rPr>
          <w:rFonts w:ascii="Arial" w:eastAsia="Times New Roman" w:hAnsi="Arial" w:cs="Arial"/>
          <w:sz w:val="20"/>
          <w:szCs w:val="20"/>
        </w:rPr>
        <w:noBreakHyphen/>
        <w:t>ordination.</w:t>
      </w:r>
      <w:r w:rsidRPr="009E0F9D">
        <w:rPr>
          <w:rStyle w:val="Appelnotedebasdep"/>
          <w:rFonts w:ascii="Arial" w:hAnsi="Arial" w:cs="Arial"/>
          <w:sz w:val="20"/>
          <w:szCs w:val="20"/>
        </w:rPr>
        <w:footnoteReference w:id="28"/>
      </w:r>
      <w:r w:rsidRPr="009E0F9D">
        <w:rPr>
          <w:rFonts w:ascii="Arial" w:eastAsia="Times New Roman" w:hAnsi="Arial" w:cs="Arial"/>
          <w:sz w:val="20"/>
          <w:szCs w:val="20"/>
        </w:rPr>
        <w:t xml:space="preserve"> The Recommendation also encourages member States to seek, where possible, Europol’s analytical support and technical expertise.</w:t>
      </w:r>
      <w:r w:rsidRPr="009E0F9D">
        <w:rPr>
          <w:rStyle w:val="Appelnotedebasdep"/>
          <w:rFonts w:ascii="Arial" w:eastAsia="Times New Roman" w:hAnsi="Arial" w:cs="Arial"/>
          <w:sz w:val="20"/>
          <w:szCs w:val="20"/>
        </w:rPr>
        <w:footnoteReference w:id="29"/>
      </w:r>
    </w:p>
    <w:p w14:paraId="0AF90FF4" w14:textId="77777777" w:rsidR="004D3230" w:rsidRPr="009E0F9D" w:rsidRDefault="004D3230" w:rsidP="00162B23">
      <w:pPr>
        <w:pStyle w:val="Paragraphedeliste"/>
        <w:widowControl w:val="0"/>
        <w:rPr>
          <w:rFonts w:ascii="Arial" w:hAnsi="Arial" w:cs="Arial"/>
          <w:sz w:val="20"/>
          <w:szCs w:val="20"/>
        </w:rPr>
      </w:pPr>
    </w:p>
    <w:p w14:paraId="0FE5C3C8"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The collection of evidence is a key area of international co-operation in criminal matters</w:t>
      </w:r>
      <w:r w:rsidRPr="009E0F9D">
        <w:rPr>
          <w:rFonts w:ascii="Arial" w:eastAsia="Times New Roman" w:hAnsi="Arial" w:cs="Arial"/>
          <w:sz w:val="20"/>
          <w:szCs w:val="20"/>
        </w:rPr>
        <w:t xml:space="preserve">. </w:t>
      </w:r>
      <w:r w:rsidRPr="009E0F9D">
        <w:rPr>
          <w:rFonts w:ascii="Arial" w:hAnsi="Arial" w:cs="Arial"/>
          <w:sz w:val="20"/>
          <w:szCs w:val="20"/>
        </w:rPr>
        <w:t xml:space="preserve">To facilitate such co-operation, the Recommendation encourages member States to </w:t>
      </w:r>
      <w:r w:rsidRPr="009E0F9D">
        <w:rPr>
          <w:rFonts w:ascii="Arial" w:eastAsia="Times New Roman" w:hAnsi="Arial" w:cs="Arial"/>
          <w:sz w:val="20"/>
          <w:szCs w:val="20"/>
        </w:rPr>
        <w:t>ratify and implement the Second Additional Protocol to the Council of Europe Convention on Cybercrime on enhanced co-operation and disclosure of electronic evidence (CETS No. 224), which provides for effective means to obtain information stored in electronic form on computer systems in multiple jurisdictions, including immediate co-operation in emergencies or joint investigations, that are subject to human rights and rule of law safeguards. To further strengthen international co-operation in criminal matters, member States may also consider becoming parties to the United Nations Convention against Cybercrime adopted by the General Assembly of the United Nations on 24 December 2024.</w:t>
      </w:r>
      <w:r w:rsidRPr="009E0F9D">
        <w:rPr>
          <w:rStyle w:val="Appelnotedebasdep"/>
          <w:rFonts w:ascii="Arial" w:eastAsia="Times New Roman" w:hAnsi="Arial" w:cs="Arial"/>
          <w:sz w:val="20"/>
          <w:szCs w:val="20"/>
        </w:rPr>
        <w:footnoteReference w:id="30"/>
      </w:r>
    </w:p>
    <w:p w14:paraId="7C9495B6" w14:textId="77777777" w:rsidR="004D3230" w:rsidRPr="009E0F9D" w:rsidRDefault="004D3230" w:rsidP="00162B23">
      <w:pPr>
        <w:pStyle w:val="Paragraphedeliste"/>
        <w:widowControl w:val="0"/>
        <w:rPr>
          <w:rFonts w:ascii="Arial" w:hAnsi="Arial" w:cs="Arial"/>
          <w:sz w:val="20"/>
          <w:szCs w:val="20"/>
        </w:rPr>
      </w:pPr>
    </w:p>
    <w:p w14:paraId="6B4060F3" w14:textId="77777777"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eastAsia="Times New Roman" w:hAnsi="Arial" w:cs="Arial"/>
          <w:sz w:val="20"/>
          <w:szCs w:val="20"/>
        </w:rPr>
        <w:t>To secure accountability for core international crimes committed by terrorist suspects in the context of a non-international armed conflict, the Recommendation calls on member States to consider using the information provided by United Nations bodies, including the assistance of the International, Impartial and Independent Mechanism on Syria.</w:t>
      </w:r>
      <w:r w:rsidRPr="009E0F9D">
        <w:rPr>
          <w:rFonts w:ascii="Arial" w:eastAsia="Times New Roman" w:hAnsi="Arial" w:cs="Arial"/>
          <w:sz w:val="20"/>
          <w:szCs w:val="20"/>
          <w:vertAlign w:val="superscript"/>
        </w:rPr>
        <w:footnoteReference w:id="31"/>
      </w:r>
      <w:r w:rsidRPr="009E0F9D">
        <w:rPr>
          <w:rFonts w:ascii="Arial" w:eastAsia="Times New Roman" w:hAnsi="Arial" w:cs="Arial"/>
          <w:sz w:val="20"/>
          <w:szCs w:val="20"/>
        </w:rPr>
        <w:t xml:space="preserve"> Member States are also called upon to make use of and transmit information to judicial databases and tools, such as Eurojust’s Core International Crimes Evidence Database (CICED)</w:t>
      </w:r>
      <w:r w:rsidRPr="009E0F9D">
        <w:rPr>
          <w:rStyle w:val="Appelnotedebasdep"/>
          <w:rFonts w:ascii="Arial" w:eastAsia="Times New Roman" w:hAnsi="Arial" w:cs="Arial"/>
          <w:sz w:val="20"/>
          <w:szCs w:val="20"/>
        </w:rPr>
        <w:footnoteReference w:id="32"/>
      </w:r>
      <w:r w:rsidRPr="009E0F9D">
        <w:rPr>
          <w:rFonts w:ascii="Arial" w:eastAsia="Times New Roman" w:hAnsi="Arial" w:cs="Arial"/>
          <w:sz w:val="20"/>
          <w:szCs w:val="20"/>
        </w:rPr>
        <w:t xml:space="preserve"> and the European Judicial Counter-Terrorism Register, where applicable.</w:t>
      </w:r>
      <w:r w:rsidRPr="009E0F9D">
        <w:rPr>
          <w:rStyle w:val="Appelnotedebasdep"/>
          <w:rFonts w:ascii="Arial" w:eastAsia="Times New Roman" w:hAnsi="Arial" w:cs="Arial"/>
          <w:sz w:val="20"/>
          <w:szCs w:val="20"/>
        </w:rPr>
        <w:footnoteReference w:id="33"/>
      </w:r>
      <w:r w:rsidRPr="009E0F9D">
        <w:rPr>
          <w:rFonts w:ascii="Arial" w:eastAsia="Times New Roman" w:hAnsi="Arial" w:cs="Arial"/>
          <w:sz w:val="20"/>
          <w:szCs w:val="20"/>
        </w:rPr>
        <w:t xml:space="preserve"> </w:t>
      </w:r>
    </w:p>
    <w:p w14:paraId="1FD4319B" w14:textId="77777777" w:rsidR="004D3230" w:rsidRPr="009E0F9D" w:rsidRDefault="004D3230" w:rsidP="00162B23">
      <w:pPr>
        <w:pStyle w:val="Paragraphedeliste"/>
        <w:widowControl w:val="0"/>
        <w:rPr>
          <w:rFonts w:ascii="Arial" w:eastAsia="Times New Roman" w:hAnsi="Arial" w:cs="Arial"/>
          <w:sz w:val="20"/>
          <w:szCs w:val="20"/>
        </w:rPr>
      </w:pPr>
    </w:p>
    <w:p w14:paraId="0A8B2A0B" w14:textId="60475624" w:rsidR="004D3230" w:rsidRPr="009E0F9D" w:rsidRDefault="004D3230" w:rsidP="00162B23">
      <w:pPr>
        <w:pStyle w:val="Paragraphedeliste"/>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20"/>
          <w:szCs w:val="20"/>
        </w:rPr>
      </w:pPr>
      <w:r w:rsidRPr="009E0F9D">
        <w:rPr>
          <w:rFonts w:ascii="Arial" w:hAnsi="Arial" w:cs="Arial"/>
          <w:sz w:val="20"/>
          <w:szCs w:val="20"/>
        </w:rPr>
        <w:t>Finally, the Recommendation highlights that competent authorities in member States would also gain from participating in the Genocide Prosecution Network.</w:t>
      </w:r>
      <w:r w:rsidRPr="009E0F9D">
        <w:rPr>
          <w:rStyle w:val="Appelnotedebasdep"/>
          <w:rFonts w:ascii="Arial" w:hAnsi="Arial" w:cs="Arial"/>
          <w:sz w:val="20"/>
          <w:szCs w:val="20"/>
        </w:rPr>
        <w:footnoteReference w:id="34"/>
      </w:r>
      <w:r w:rsidRPr="009E0F9D">
        <w:rPr>
          <w:rFonts w:ascii="Arial" w:hAnsi="Arial" w:cs="Arial"/>
          <w:sz w:val="20"/>
          <w:szCs w:val="20"/>
        </w:rPr>
        <w:t xml:space="preserve"> This engagement would allow them to share expertise, good practices and operational information, particularly in the context of cumulative prosecutions of core international crimes and related terrorist offences, thereby enhancing the effectiveness of accountability for these crimes and offences and fulfilling the aims of the Recommendation.</w:t>
      </w:r>
    </w:p>
    <w:sectPr w:rsidR="004D3230" w:rsidRPr="009E0F9D" w:rsidSect="00D462CE">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D2109" w14:textId="77777777" w:rsidR="00E0220F" w:rsidRDefault="00E0220F" w:rsidP="00FD6043">
      <w:r>
        <w:separator/>
      </w:r>
    </w:p>
  </w:endnote>
  <w:endnote w:type="continuationSeparator" w:id="0">
    <w:p w14:paraId="55D2C5A6" w14:textId="77777777" w:rsidR="00E0220F" w:rsidRDefault="00E0220F"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inion Pro">
    <w:altName w:val="Times New Roman"/>
    <w:charset w:val="00"/>
    <w:family w:val="auto"/>
    <w:pitch w:val="variable"/>
    <w:sig w:usb0="E00002AF" w:usb1="5000607B" w:usb2="00000000" w:usb3="00000000" w:csb0="0000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3086" w14:textId="77777777" w:rsidR="00B71C88" w:rsidRDefault="00B71C8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3046" w14:textId="77777777" w:rsidR="002F3006" w:rsidRPr="002F3006" w:rsidRDefault="002F3006" w:rsidP="002F3006">
    <w:pPr>
      <w:pStyle w:val="Pieddepage"/>
      <w:jc w:val="right"/>
      <w:rP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EF612" w14:textId="77777777" w:rsidR="00AE76B8" w:rsidRPr="00113EB0" w:rsidRDefault="001E7C29" w:rsidP="00E15639">
    <w:pPr>
      <w:pStyle w:val="Pieddepage"/>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Lienhypertexte"/>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D19D8" w14:textId="77777777" w:rsidR="00E0220F" w:rsidRDefault="00E0220F" w:rsidP="00FD6043">
      <w:r>
        <w:separator/>
      </w:r>
    </w:p>
  </w:footnote>
  <w:footnote w:type="continuationSeparator" w:id="0">
    <w:p w14:paraId="4295990A" w14:textId="77777777" w:rsidR="00E0220F" w:rsidRDefault="00E0220F" w:rsidP="00FD6043">
      <w:r>
        <w:continuationSeparator/>
      </w:r>
    </w:p>
  </w:footnote>
  <w:footnote w:id="1">
    <w:p w14:paraId="1E322E94" w14:textId="77777777" w:rsidR="004D3230" w:rsidRPr="00642650" w:rsidRDefault="004D3230" w:rsidP="004D3230">
      <w:pPr>
        <w:pStyle w:val="Notedebasdepage"/>
      </w:pPr>
      <w:r>
        <w:rPr>
          <w:rStyle w:val="Appelnotedebasdep"/>
        </w:rPr>
        <w:footnoteRef/>
      </w:r>
      <w:r>
        <w:t xml:space="preserve"> Article 6, paragraph 5, of the P</w:t>
      </w:r>
      <w:r w:rsidRPr="00A466FE">
        <w:rPr>
          <w:rFonts w:cs="Arial"/>
        </w:rPr>
        <w:t>rotocol</w:t>
      </w:r>
      <w:r>
        <w:rPr>
          <w:rFonts w:cs="Arial"/>
        </w:rPr>
        <w:t xml:space="preserve"> additional t</w:t>
      </w:r>
      <w:r w:rsidRPr="00642650">
        <w:rPr>
          <w:rFonts w:cs="Arial"/>
          <w:lang w:val="en-US"/>
        </w:rPr>
        <w:t xml:space="preserve">o the Geneva Conventions of 12 August 1949 </w:t>
      </w:r>
      <w:r w:rsidRPr="00642650">
        <w:rPr>
          <w:rFonts w:cs="Arial"/>
        </w:rPr>
        <w:t>relating to the protection of victims of non-international armed conflicts</w:t>
      </w:r>
      <w:r>
        <w:rPr>
          <w:rFonts w:cs="Arial"/>
        </w:rPr>
        <w:t>, 8 June 1977</w:t>
      </w:r>
      <w:r w:rsidRPr="00642650">
        <w:rPr>
          <w:rFonts w:cs="Arial"/>
        </w:rPr>
        <w:t xml:space="preserve"> (</w:t>
      </w:r>
      <w:r>
        <w:rPr>
          <w:rFonts w:cs="Arial"/>
        </w:rPr>
        <w:t xml:space="preserve">Additional </w:t>
      </w:r>
      <w:r w:rsidRPr="00642650">
        <w:rPr>
          <w:rFonts w:cs="Arial"/>
        </w:rPr>
        <w:t>Protocol II</w:t>
      </w:r>
      <w:r>
        <w:rPr>
          <w:rFonts w:cs="Arial"/>
        </w:rPr>
        <w:t>).</w:t>
      </w:r>
    </w:p>
  </w:footnote>
  <w:footnote w:id="2">
    <w:p w14:paraId="06319BD1" w14:textId="77777777" w:rsidR="004D3230" w:rsidRDefault="004D3230" w:rsidP="004D3230">
      <w:pPr>
        <w:pStyle w:val="Notedebasdepage"/>
      </w:pPr>
      <w:r>
        <w:rPr>
          <w:rStyle w:val="Appelnotedebasdep"/>
        </w:rPr>
        <w:footnoteRef/>
      </w:r>
      <w:r>
        <w:t xml:space="preserve"> Parliamentary Assembly of the Council of Europe, </w:t>
      </w:r>
      <w:hyperlink r:id="rId1" w:history="1">
        <w:r w:rsidRPr="00933D87">
          <w:rPr>
            <w:rStyle w:val="Lienhypertexte"/>
          </w:rPr>
          <w:t>Resolution 2475 (2023)</w:t>
        </w:r>
      </w:hyperlink>
      <w:r>
        <w:t xml:space="preserve"> “</w:t>
      </w:r>
      <w:r w:rsidRPr="00464355">
        <w:t>Addressing the issue of Daesh foreign fighters and their families returning from Syria and other countries to the member States of the Council of Europe</w:t>
      </w:r>
      <w:r>
        <w:t>”.</w:t>
      </w:r>
    </w:p>
  </w:footnote>
  <w:footnote w:id="3">
    <w:p w14:paraId="38334F4F" w14:textId="77777777" w:rsidR="004D3230" w:rsidRPr="00890A4D" w:rsidRDefault="004D3230" w:rsidP="004D3230">
      <w:pPr>
        <w:pStyle w:val="Notedebasdepage"/>
        <w:rPr>
          <w:szCs w:val="16"/>
        </w:rPr>
      </w:pPr>
      <w:r w:rsidRPr="00890A4D">
        <w:rPr>
          <w:rStyle w:val="Appelnotedebasdep"/>
          <w:szCs w:val="16"/>
        </w:rPr>
        <w:footnoteRef/>
      </w:r>
      <w:r w:rsidRPr="00890A4D">
        <w:rPr>
          <w:szCs w:val="16"/>
        </w:rPr>
        <w:t xml:space="preserve"> See Mehra T. (2023)</w:t>
      </w:r>
      <w:r>
        <w:rPr>
          <w:szCs w:val="16"/>
        </w:rPr>
        <w:t>,</w:t>
      </w:r>
      <w:r w:rsidRPr="00890A4D">
        <w:rPr>
          <w:szCs w:val="16"/>
        </w:rPr>
        <w:t xml:space="preserve"> </w:t>
      </w:r>
      <w:hyperlink r:id="rId2" w:history="1">
        <w:r w:rsidRPr="00C817A7">
          <w:rPr>
            <w:rStyle w:val="Lienhypertexte"/>
            <w:szCs w:val="16"/>
          </w:rPr>
          <w:t>Improving the prospects of prosecuting “terrorists” for core international crimes committed in the context of the conflict in Syria and Iraq</w:t>
        </w:r>
      </w:hyperlink>
      <w:r>
        <w:rPr>
          <w:szCs w:val="16"/>
        </w:rPr>
        <w:t>,</w:t>
      </w:r>
      <w:r w:rsidRPr="00890A4D">
        <w:rPr>
          <w:szCs w:val="16"/>
        </w:rPr>
        <w:t xml:space="preserve"> International Centre for Counter-Terrorism (ICCT</w:t>
      </w:r>
      <w:r>
        <w:rPr>
          <w:szCs w:val="16"/>
        </w:rPr>
        <w:t xml:space="preserve">), and the ICCT’s </w:t>
      </w:r>
      <w:hyperlink r:id="rId3" w:history="1">
        <w:r w:rsidRPr="005A7AC5">
          <w:rPr>
            <w:rStyle w:val="Lienhypertexte"/>
            <w:szCs w:val="16"/>
          </w:rPr>
          <w:t>Database on Interlinkages between Terrorism and International Crimes</w:t>
        </w:r>
      </w:hyperlink>
      <w:r>
        <w:rPr>
          <w:szCs w:val="16"/>
        </w:rPr>
        <w:t xml:space="preserve">; </w:t>
      </w:r>
      <w:r w:rsidRPr="00FD1929">
        <w:rPr>
          <w:szCs w:val="16"/>
        </w:rPr>
        <w:t>European Union Agency for Criminal Justice Cooperation (Eurojust)/European Network of contact points in respect of</w:t>
      </w:r>
      <w:r>
        <w:rPr>
          <w:szCs w:val="16"/>
        </w:rPr>
        <w:t xml:space="preserve"> </w:t>
      </w:r>
      <w:r w:rsidRPr="00FD1929">
        <w:rPr>
          <w:szCs w:val="16"/>
        </w:rPr>
        <w:t>persons responsible for genocide, crimes against humanity and war crimes</w:t>
      </w:r>
      <w:r>
        <w:rPr>
          <w:szCs w:val="16"/>
        </w:rPr>
        <w:t xml:space="preserve"> (The Genocide Prosecution Network) (2020)</w:t>
      </w:r>
      <w:r w:rsidRPr="00FD1929">
        <w:rPr>
          <w:szCs w:val="16"/>
        </w:rPr>
        <w:t xml:space="preserve">, </w:t>
      </w:r>
      <w:hyperlink r:id="rId4" w:history="1">
        <w:r w:rsidRPr="00F2753F">
          <w:rPr>
            <w:rStyle w:val="Lienhypertexte"/>
            <w:szCs w:val="16"/>
          </w:rPr>
          <w:t>Cumulative Prosecution of Foreign Terrorist Fighters for Core International Crimes and Terrorism-Related Offences</w:t>
        </w:r>
      </w:hyperlink>
      <w:r>
        <w:rPr>
          <w:szCs w:val="16"/>
        </w:rPr>
        <w:t>;</w:t>
      </w:r>
      <w:r w:rsidRPr="00FD1929">
        <w:rPr>
          <w:szCs w:val="16"/>
        </w:rPr>
        <w:t xml:space="preserve"> </w:t>
      </w:r>
      <w:r>
        <w:rPr>
          <w:szCs w:val="16"/>
        </w:rPr>
        <w:t xml:space="preserve">Eurojust/The Genocide Prosecution Network (2025), </w:t>
      </w:r>
      <w:hyperlink r:id="rId5" w:history="1">
        <w:r w:rsidRPr="00F2753F">
          <w:rPr>
            <w:rStyle w:val="Lienhypertexte"/>
            <w:szCs w:val="16"/>
          </w:rPr>
          <w:t>Cumulative prosecutions of foreign terrorist fighters for core international crimes and terrorism-related offences: An analysis of selected jurisprudence</w:t>
        </w:r>
      </w:hyperlink>
      <w:r>
        <w:rPr>
          <w:szCs w:val="16"/>
        </w:rPr>
        <w:t xml:space="preserve">; Eurojust’s </w:t>
      </w:r>
      <w:hyperlink r:id="rId6" w:history="1">
        <w:r w:rsidRPr="005A7AC5">
          <w:rPr>
            <w:rStyle w:val="Lienhypertexte"/>
            <w:szCs w:val="16"/>
          </w:rPr>
          <w:t>National jurisprudence database on core international crimes</w:t>
        </w:r>
      </w:hyperlink>
      <w:r>
        <w:rPr>
          <w:szCs w:val="16"/>
        </w:rPr>
        <w:t xml:space="preserve">; </w:t>
      </w:r>
      <w:r w:rsidRPr="00890A4D">
        <w:rPr>
          <w:szCs w:val="16"/>
        </w:rPr>
        <w:t xml:space="preserve">and </w:t>
      </w:r>
      <w:r>
        <w:rPr>
          <w:szCs w:val="16"/>
        </w:rPr>
        <w:t>United Nations Security Council Couter</w:t>
      </w:r>
      <w:r>
        <w:rPr>
          <w:szCs w:val="16"/>
        </w:rPr>
        <w:noBreakHyphen/>
        <w:t>Terrorism Committee Executive Directorate (</w:t>
      </w:r>
      <w:r w:rsidRPr="00890A4D">
        <w:rPr>
          <w:szCs w:val="16"/>
        </w:rPr>
        <w:t>CTED</w:t>
      </w:r>
      <w:r>
        <w:rPr>
          <w:szCs w:val="16"/>
        </w:rPr>
        <w:t xml:space="preserve">) (2022), </w:t>
      </w:r>
      <w:hyperlink r:id="rId7" w:history="1">
        <w:r w:rsidRPr="00F2753F">
          <w:rPr>
            <w:rStyle w:val="Lienhypertexte"/>
            <w:szCs w:val="16"/>
          </w:rPr>
          <w:t>The interrelationship between counter-terrorism frameworks and international humanitarian law</w:t>
        </w:r>
      </w:hyperlink>
      <w:r>
        <w:rPr>
          <w:szCs w:val="16"/>
        </w:rPr>
        <w:t>.</w:t>
      </w:r>
    </w:p>
  </w:footnote>
  <w:footnote w:id="4">
    <w:p w14:paraId="23764DE3" w14:textId="77777777" w:rsidR="004D3230" w:rsidRPr="000F1494" w:rsidRDefault="004D3230" w:rsidP="004D3230">
      <w:pPr>
        <w:pStyle w:val="Notedebasdepage"/>
        <w:rPr>
          <w:szCs w:val="16"/>
        </w:rPr>
      </w:pPr>
      <w:r w:rsidRPr="00472586">
        <w:rPr>
          <w:rStyle w:val="Appelnotedebasdep"/>
          <w:szCs w:val="16"/>
        </w:rPr>
        <w:footnoteRef/>
      </w:r>
      <w:r w:rsidRPr="00472586">
        <w:rPr>
          <w:szCs w:val="16"/>
        </w:rPr>
        <w:t xml:space="preserve"> </w:t>
      </w:r>
      <w:r>
        <w:rPr>
          <w:szCs w:val="16"/>
        </w:rPr>
        <w:t>Reference is made to the p</w:t>
      </w:r>
      <w:r w:rsidRPr="00472586">
        <w:rPr>
          <w:szCs w:val="16"/>
        </w:rPr>
        <w:t>rosecution of Lafarge S.A. in France for complicity in crimes against humanity, financing a terrorist enterprise and endangering the lives of others.</w:t>
      </w:r>
      <w:r>
        <w:rPr>
          <w:szCs w:val="16"/>
        </w:rPr>
        <w:t xml:space="preserve"> </w:t>
      </w:r>
      <w:hyperlink r:id="rId8" w:history="1">
        <w:r w:rsidRPr="000F1494">
          <w:rPr>
            <w:rStyle w:val="Lienhypertexte"/>
            <w:szCs w:val="16"/>
          </w:rPr>
          <w:t>Cour of Cassation, Criminal Chamber – Section Bench, Appeal No. 19-87.367, Published in Bulletin</w:t>
        </w:r>
      </w:hyperlink>
      <w:r w:rsidRPr="000F1494">
        <w:rPr>
          <w:szCs w:val="16"/>
        </w:rPr>
        <w:t>.</w:t>
      </w:r>
    </w:p>
  </w:footnote>
  <w:footnote w:id="5">
    <w:p w14:paraId="0C96BC2F" w14:textId="77777777" w:rsidR="004D3230" w:rsidRDefault="004D3230" w:rsidP="004D3230">
      <w:pPr>
        <w:pStyle w:val="Notedebasdepage"/>
      </w:pPr>
      <w:r>
        <w:rPr>
          <w:rStyle w:val="Appelnotedebasdep"/>
        </w:rPr>
        <w:footnoteRef/>
      </w:r>
      <w:r>
        <w:t xml:space="preserve"> </w:t>
      </w:r>
      <w:hyperlink r:id="rId9" w:history="1">
        <w:r w:rsidRPr="00D44BCF">
          <w:rPr>
            <w:rStyle w:val="Lienhypertexte"/>
          </w:rPr>
          <w:t>International Convention for the Suppression of the Financing of Terrorism</w:t>
        </w:r>
      </w:hyperlink>
      <w:r>
        <w:t>, 9 December 1999.</w:t>
      </w:r>
    </w:p>
  </w:footnote>
  <w:footnote w:id="6">
    <w:p w14:paraId="0DBE0BD4" w14:textId="77777777" w:rsidR="004D3230" w:rsidRPr="00200028" w:rsidRDefault="004D3230" w:rsidP="004D3230">
      <w:pPr>
        <w:pStyle w:val="Notedebasdepage"/>
      </w:pPr>
      <w:r w:rsidRPr="00F34EDD">
        <w:rPr>
          <w:rStyle w:val="Appelnotedebasdep"/>
          <w:rFonts w:cs="Arial"/>
          <w:szCs w:val="16"/>
        </w:rPr>
        <w:footnoteRef/>
      </w:r>
      <w:r w:rsidRPr="00F34EDD">
        <w:rPr>
          <w:rFonts w:cs="Arial"/>
          <w:szCs w:val="16"/>
        </w:rPr>
        <w:t xml:space="preserve"> </w:t>
      </w:r>
      <w:r>
        <w:rPr>
          <w:rFonts w:cs="Arial"/>
          <w:szCs w:val="16"/>
        </w:rPr>
        <w:t>See ICRC</w:t>
      </w:r>
      <w:r w:rsidRPr="00F34EDD">
        <w:rPr>
          <w:rFonts w:cs="Arial"/>
          <w:szCs w:val="16"/>
        </w:rPr>
        <w:t xml:space="preserve"> (2024), </w:t>
      </w:r>
      <w:r>
        <w:rPr>
          <w:rFonts w:cs="Arial"/>
          <w:szCs w:val="16"/>
        </w:rPr>
        <w:t>“</w:t>
      </w:r>
      <w:hyperlink r:id="rId10" w:history="1">
        <w:r w:rsidRPr="00C125A0">
          <w:rPr>
            <w:rStyle w:val="Lienhypertexte"/>
            <w:rFonts w:cs="Arial"/>
            <w:szCs w:val="16"/>
          </w:rPr>
          <w:t>How is the Term “Armed Conflict” Defined in International Humanitarian Law?</w:t>
        </w:r>
      </w:hyperlink>
      <w:r>
        <w:t xml:space="preserve">”, </w:t>
      </w:r>
      <w:r w:rsidRPr="00200028">
        <w:t>ICRC Opinion Paper</w:t>
      </w:r>
      <w:r>
        <w:t>.</w:t>
      </w:r>
    </w:p>
  </w:footnote>
  <w:footnote w:id="7">
    <w:p w14:paraId="4ED872B2" w14:textId="77777777" w:rsidR="004D3230" w:rsidRPr="00ED3489" w:rsidRDefault="004D3230" w:rsidP="004D3230">
      <w:pPr>
        <w:pStyle w:val="Notedebasdepage"/>
        <w:rPr>
          <w:szCs w:val="16"/>
        </w:rPr>
      </w:pPr>
      <w:r w:rsidRPr="00ED3489">
        <w:rPr>
          <w:rStyle w:val="Appelnotedebasdep"/>
          <w:szCs w:val="16"/>
        </w:rPr>
        <w:footnoteRef/>
      </w:r>
      <w:r w:rsidRPr="00ED3489">
        <w:rPr>
          <w:szCs w:val="16"/>
        </w:rPr>
        <w:t xml:space="preserve"> </w:t>
      </w:r>
      <w:r>
        <w:rPr>
          <w:szCs w:val="16"/>
        </w:rPr>
        <w:t>See</w:t>
      </w:r>
      <w:r w:rsidRPr="00BA6F3C">
        <w:rPr>
          <w:szCs w:val="16"/>
        </w:rPr>
        <w:t xml:space="preserve"> Eurojust/the Genocide </w:t>
      </w:r>
      <w:r>
        <w:rPr>
          <w:szCs w:val="16"/>
        </w:rPr>
        <w:t xml:space="preserve">Prosecution </w:t>
      </w:r>
      <w:r w:rsidRPr="00BA6F3C">
        <w:rPr>
          <w:szCs w:val="16"/>
        </w:rPr>
        <w:t>Network</w:t>
      </w:r>
      <w:r>
        <w:rPr>
          <w:szCs w:val="16"/>
        </w:rPr>
        <w:t xml:space="preserve"> (2020)</w:t>
      </w:r>
      <w:r w:rsidRPr="00BA6F3C">
        <w:rPr>
          <w:szCs w:val="16"/>
        </w:rPr>
        <w:t xml:space="preserve">, </w:t>
      </w:r>
      <w:r>
        <w:rPr>
          <w:szCs w:val="16"/>
        </w:rPr>
        <w:t>op. cit.</w:t>
      </w:r>
      <w:r w:rsidRPr="00BA6F3C">
        <w:rPr>
          <w:szCs w:val="16"/>
        </w:rPr>
        <w:t>,</w:t>
      </w:r>
      <w:r>
        <w:rPr>
          <w:szCs w:val="16"/>
        </w:rPr>
        <w:t xml:space="preserve"> pp. 8-12. </w:t>
      </w:r>
    </w:p>
  </w:footnote>
  <w:footnote w:id="8">
    <w:p w14:paraId="60B4F6B8" w14:textId="77777777" w:rsidR="004D3230" w:rsidRPr="00E700B2" w:rsidRDefault="004D3230" w:rsidP="004D3230">
      <w:pPr>
        <w:pStyle w:val="Notedebasdepage"/>
        <w:rPr>
          <w:szCs w:val="16"/>
        </w:rPr>
      </w:pPr>
      <w:r w:rsidRPr="00E700B2">
        <w:rPr>
          <w:rStyle w:val="Appelnotedebasdep"/>
          <w:szCs w:val="16"/>
        </w:rPr>
        <w:footnoteRef/>
      </w:r>
      <w:r w:rsidRPr="00E700B2">
        <w:rPr>
          <w:szCs w:val="16"/>
        </w:rPr>
        <w:t xml:space="preserve"> </w:t>
      </w:r>
      <w:r>
        <w:rPr>
          <w:szCs w:val="16"/>
        </w:rPr>
        <w:t>European Court of Human Rights,</w:t>
      </w:r>
      <w:r w:rsidRPr="00E700B2">
        <w:rPr>
          <w:szCs w:val="16"/>
        </w:rPr>
        <w:t xml:space="preserve"> </w:t>
      </w:r>
      <w:r w:rsidRPr="00E700B2">
        <w:rPr>
          <w:i/>
          <w:iCs/>
          <w:szCs w:val="16"/>
        </w:rPr>
        <w:t>Jorgic v. Germany</w:t>
      </w:r>
      <w:r w:rsidRPr="00E700B2">
        <w:rPr>
          <w:szCs w:val="16"/>
        </w:rPr>
        <w:t xml:space="preserve">, </w:t>
      </w:r>
      <w:r>
        <w:rPr>
          <w:szCs w:val="16"/>
        </w:rPr>
        <w:t>Application N</w:t>
      </w:r>
      <w:r w:rsidRPr="00E700B2">
        <w:rPr>
          <w:szCs w:val="16"/>
        </w:rPr>
        <w:t>o. </w:t>
      </w:r>
      <w:hyperlink r:id="rId11" w:anchor="{%22appno%22:[%2274613/01%22]}" w:tgtFrame="_blank" w:history="1">
        <w:r w:rsidRPr="00E700B2">
          <w:rPr>
            <w:rStyle w:val="Lienhypertexte"/>
            <w:szCs w:val="16"/>
          </w:rPr>
          <w:t>74613/01</w:t>
        </w:r>
      </w:hyperlink>
      <w:r w:rsidRPr="00E700B2">
        <w:rPr>
          <w:szCs w:val="16"/>
        </w:rPr>
        <w:t xml:space="preserve">, </w:t>
      </w:r>
      <w:r>
        <w:rPr>
          <w:szCs w:val="16"/>
        </w:rPr>
        <w:t xml:space="preserve">judgment of </w:t>
      </w:r>
      <w:r w:rsidRPr="00ED7950">
        <w:rPr>
          <w:szCs w:val="16"/>
        </w:rPr>
        <w:t>12 July 2007</w:t>
      </w:r>
      <w:r>
        <w:rPr>
          <w:szCs w:val="16"/>
        </w:rPr>
        <w:t xml:space="preserve">, </w:t>
      </w:r>
      <w:r>
        <w:rPr>
          <w:rFonts w:cs="Arial"/>
          <w:szCs w:val="16"/>
        </w:rPr>
        <w:t>paragraph 53.</w:t>
      </w:r>
    </w:p>
  </w:footnote>
  <w:footnote w:id="9">
    <w:p w14:paraId="1969EBCE" w14:textId="77777777" w:rsidR="004D3230" w:rsidRPr="00774E04" w:rsidRDefault="004D3230" w:rsidP="004D3230">
      <w:pPr>
        <w:pStyle w:val="Notedebasdepage"/>
      </w:pPr>
      <w:r>
        <w:rPr>
          <w:rStyle w:val="Appelnotedebasdep"/>
        </w:rPr>
        <w:footnoteRef/>
      </w:r>
      <w:r w:rsidRPr="00774E04">
        <w:t xml:space="preserve"> </w:t>
      </w:r>
      <w:hyperlink r:id="rId12" w:history="1">
        <w:r w:rsidRPr="005D7A53">
          <w:rPr>
            <w:rStyle w:val="Lienhypertexte"/>
          </w:rPr>
          <w:t>Convention established by the Council in accordance with Article 34 of the Treaty on European Union, on Mutual Assistance in Criminal Matters between the Member States of the European Union</w:t>
        </w:r>
      </w:hyperlink>
      <w:r>
        <w:t xml:space="preserve"> (2000)</w:t>
      </w:r>
      <w:r w:rsidRPr="00774E04">
        <w:t>.</w:t>
      </w:r>
    </w:p>
  </w:footnote>
  <w:footnote w:id="10">
    <w:p w14:paraId="0F87F416" w14:textId="77777777" w:rsidR="004D3230" w:rsidRPr="00490451" w:rsidRDefault="004D3230" w:rsidP="004D3230">
      <w:pPr>
        <w:pStyle w:val="Notedebasdepage"/>
      </w:pPr>
      <w:r>
        <w:rPr>
          <w:rStyle w:val="Appelnotedebasdep"/>
        </w:rPr>
        <w:footnoteRef/>
      </w:r>
      <w:r w:rsidRPr="00490451">
        <w:t xml:space="preserve"> </w:t>
      </w:r>
      <w:r>
        <w:t xml:space="preserve">ICRC (2005), </w:t>
      </w:r>
      <w:hyperlink r:id="rId13" w:history="1">
        <w:r>
          <w:rPr>
            <w:rStyle w:val="Lienhypertexte"/>
          </w:rPr>
          <w:t>International Customary Law Databases,</w:t>
        </w:r>
        <w:r w:rsidRPr="00490451">
          <w:rPr>
            <w:rStyle w:val="Lienhypertexte"/>
          </w:rPr>
          <w:t xml:space="preserve"> Rule 157. Jurisdiction over War Crimes</w:t>
        </w:r>
      </w:hyperlink>
      <w:r w:rsidRPr="00490451">
        <w:t>.</w:t>
      </w:r>
      <w:r>
        <w:t xml:space="preserve"> </w:t>
      </w:r>
    </w:p>
  </w:footnote>
  <w:footnote w:id="11">
    <w:p w14:paraId="6DABB6F2" w14:textId="77777777" w:rsidR="004D3230" w:rsidRPr="00DD15EB" w:rsidRDefault="004D3230" w:rsidP="004D3230">
      <w:pPr>
        <w:pStyle w:val="Notedebasdepage"/>
        <w:rPr>
          <w:lang w:val="it-IT"/>
        </w:rPr>
      </w:pPr>
      <w:r>
        <w:rPr>
          <w:rStyle w:val="Appelnotedebasdep"/>
        </w:rPr>
        <w:footnoteRef/>
      </w:r>
      <w:r w:rsidRPr="00DD15EB">
        <w:rPr>
          <w:lang w:val="it-IT"/>
        </w:rPr>
        <w:t xml:space="preserve"> </w:t>
      </w:r>
      <w:r w:rsidRPr="00DD15EB">
        <w:rPr>
          <w:lang w:val="it-IT"/>
        </w:rPr>
        <w:t>Mehra T., op. cit., pp. 13-14.</w:t>
      </w:r>
    </w:p>
  </w:footnote>
  <w:footnote w:id="12">
    <w:p w14:paraId="6F9662A3" w14:textId="77777777" w:rsidR="004D3230" w:rsidRDefault="004D3230" w:rsidP="004D3230">
      <w:pPr>
        <w:pStyle w:val="Notedebasdepage"/>
      </w:pPr>
      <w:r>
        <w:rPr>
          <w:rStyle w:val="Appelnotedebasdep"/>
        </w:rPr>
        <w:footnoteRef/>
      </w:r>
      <w:r>
        <w:t xml:space="preserve"> See the European Court of Human Rights Knowledge Sharing platform (ECHR-KS), </w:t>
      </w:r>
      <w:hyperlink r:id="rId14" w:history="1">
        <w:r w:rsidRPr="00A23B86">
          <w:rPr>
            <w:rStyle w:val="Lienhypertexte"/>
          </w:rPr>
          <w:t>Article 4 of Protocol No. 7 - Right not to be tried or punished twice</w:t>
        </w:r>
      </w:hyperlink>
      <w:r>
        <w:t xml:space="preserve">. </w:t>
      </w:r>
    </w:p>
  </w:footnote>
  <w:footnote w:id="13">
    <w:p w14:paraId="775309D0" w14:textId="77777777" w:rsidR="004D3230" w:rsidRDefault="004D3230" w:rsidP="004D3230">
      <w:pPr>
        <w:pStyle w:val="Notedebasdepage"/>
      </w:pPr>
      <w:r>
        <w:rPr>
          <w:rStyle w:val="Appelnotedebasdep"/>
        </w:rPr>
        <w:footnoteRef/>
      </w:r>
      <w:r>
        <w:t xml:space="preserve"> See the 1968 </w:t>
      </w:r>
      <w:r w:rsidRPr="00D455D7">
        <w:t>UN Convention on the Non-Applicability of Statutory Limitations to War Crimes and Crimes against Humanity</w:t>
      </w:r>
      <w:r>
        <w:t xml:space="preserve">; </w:t>
      </w:r>
      <w:r w:rsidRPr="000F6D14">
        <w:rPr>
          <w:rFonts w:cs="Arial"/>
        </w:rPr>
        <w:t xml:space="preserve">the </w:t>
      </w:r>
      <w:r>
        <w:rPr>
          <w:rFonts w:cs="Arial"/>
        </w:rPr>
        <w:t xml:space="preserve">1974 </w:t>
      </w:r>
      <w:r w:rsidRPr="000F6D14">
        <w:rPr>
          <w:rFonts w:cs="Arial"/>
        </w:rPr>
        <w:t>European Convention on the Non</w:t>
      </w:r>
      <w:r>
        <w:rPr>
          <w:rFonts w:cs="Arial"/>
        </w:rPr>
        <w:noBreakHyphen/>
      </w:r>
      <w:r w:rsidRPr="000F6D14">
        <w:rPr>
          <w:rFonts w:cs="Arial"/>
        </w:rPr>
        <w:t>Applicability of Statutory Limitation to Crimes against Humanity and War Crimes (ETS No.</w:t>
      </w:r>
      <w:r>
        <w:rPr>
          <w:rFonts w:cs="Arial"/>
        </w:rPr>
        <w:t> </w:t>
      </w:r>
      <w:r w:rsidRPr="000F6D14">
        <w:rPr>
          <w:rFonts w:cs="Arial"/>
        </w:rPr>
        <w:t>82)</w:t>
      </w:r>
      <w:r>
        <w:rPr>
          <w:rFonts w:cs="Arial"/>
        </w:rPr>
        <w:t xml:space="preserve">; and Article </w:t>
      </w:r>
      <w:r w:rsidRPr="00D455D7">
        <w:rPr>
          <w:rFonts w:cs="Arial"/>
        </w:rPr>
        <w:t xml:space="preserve">29 of the ICC </w:t>
      </w:r>
      <w:r>
        <w:rPr>
          <w:rFonts w:cs="Arial"/>
        </w:rPr>
        <w:t xml:space="preserve">Rome </w:t>
      </w:r>
      <w:r w:rsidRPr="00D455D7">
        <w:rPr>
          <w:rFonts w:cs="Arial"/>
        </w:rPr>
        <w:t>Statute</w:t>
      </w:r>
      <w:r>
        <w:rPr>
          <w:rFonts w:cs="Arial"/>
        </w:rPr>
        <w:t>.</w:t>
      </w:r>
    </w:p>
  </w:footnote>
  <w:footnote w:id="14">
    <w:p w14:paraId="47AC617B" w14:textId="77777777" w:rsidR="004D3230" w:rsidRDefault="004D3230" w:rsidP="004D3230">
      <w:pPr>
        <w:pStyle w:val="Notedebasdepage"/>
      </w:pPr>
      <w:r>
        <w:rPr>
          <w:rStyle w:val="Appelnotedebasdep"/>
        </w:rPr>
        <w:footnoteRef/>
      </w:r>
      <w:r>
        <w:t xml:space="preserve"> ICRC (2005), </w:t>
      </w:r>
      <w:hyperlink r:id="rId15" w:history="1">
        <w:r w:rsidRPr="000D4936">
          <w:rPr>
            <w:rStyle w:val="Lienhypertexte"/>
          </w:rPr>
          <w:t>International Customary Law Databases, Rule 158: Prosecution of War Crimes</w:t>
        </w:r>
      </w:hyperlink>
      <w:r>
        <w:t xml:space="preserve">. </w:t>
      </w:r>
    </w:p>
  </w:footnote>
  <w:footnote w:id="15">
    <w:p w14:paraId="3B247B55" w14:textId="77777777" w:rsidR="004D3230" w:rsidRDefault="004D3230" w:rsidP="004D3230">
      <w:pPr>
        <w:pStyle w:val="Notedebasdepage"/>
      </w:pPr>
      <w:r>
        <w:rPr>
          <w:rStyle w:val="Appelnotedebasdep"/>
        </w:rPr>
        <w:footnoteRef/>
      </w:r>
      <w:r>
        <w:t xml:space="preserve"> See the European Court of Human Rights Knowledge Sharing platform (ECHR-KS), </w:t>
      </w:r>
      <w:hyperlink r:id="rId16" w:history="1">
        <w:r w:rsidRPr="00017D48">
          <w:rPr>
            <w:rStyle w:val="Lienhypertexte"/>
          </w:rPr>
          <w:t>Article 2 - Right to life</w:t>
        </w:r>
      </w:hyperlink>
      <w:r>
        <w:t>.</w:t>
      </w:r>
    </w:p>
  </w:footnote>
  <w:footnote w:id="16">
    <w:p w14:paraId="019C48F2" w14:textId="77777777" w:rsidR="004D3230" w:rsidRDefault="004D3230" w:rsidP="004D3230">
      <w:pPr>
        <w:pStyle w:val="Notedebasdepage"/>
      </w:pPr>
      <w:r>
        <w:rPr>
          <w:rStyle w:val="Appelnotedebasdep"/>
        </w:rPr>
        <w:footnoteRef/>
      </w:r>
      <w:r>
        <w:t xml:space="preserve"> See Eurojust/the Genocide Prosecution Network (2025), op. cit., p. 8, and the sources cited therein. </w:t>
      </w:r>
    </w:p>
  </w:footnote>
  <w:footnote w:id="17">
    <w:p w14:paraId="63A70FF4" w14:textId="77777777" w:rsidR="004D3230" w:rsidRDefault="004D3230" w:rsidP="004D3230">
      <w:pPr>
        <w:pStyle w:val="Notedebasdepage"/>
      </w:pPr>
      <w:r>
        <w:rPr>
          <w:rStyle w:val="Appelnotedebasdep"/>
        </w:rPr>
        <w:footnoteRef/>
      </w:r>
      <w:r>
        <w:t> </w:t>
      </w:r>
      <w:r w:rsidRPr="003C6B77">
        <w:t>Council of Europe</w:t>
      </w:r>
      <w:r>
        <w:t xml:space="preserve"> (2024),</w:t>
      </w:r>
      <w:r w:rsidRPr="003C6B77">
        <w:t xml:space="preserve"> </w:t>
      </w:r>
      <w:r>
        <w:t>“</w:t>
      </w:r>
      <w:hyperlink r:id="rId17" w:history="1">
        <w:r w:rsidRPr="00F96428">
          <w:rPr>
            <w:rStyle w:val="Lienhypertexte"/>
          </w:rPr>
          <w:t xml:space="preserve">Overview of the European standards regarding criminal proceedings held </w:t>
        </w:r>
        <w:r w:rsidRPr="00F96428">
          <w:rPr>
            <w:rStyle w:val="Lienhypertexte"/>
            <w:i/>
            <w:iCs/>
          </w:rPr>
          <w:t>in absentia</w:t>
        </w:r>
      </w:hyperlink>
      <w:r>
        <w:t xml:space="preserve">”, </w:t>
      </w:r>
      <w:r w:rsidRPr="006E5A26">
        <w:t>project “Fostering Human Rights in the Criminal Justice System in Ukraine” implemented within the Council of Europe Action Plan for Ukraine “Resilience, Recovery and Reconstruction” 2023-2026</w:t>
      </w:r>
      <w:r>
        <w:t>.</w:t>
      </w:r>
    </w:p>
  </w:footnote>
  <w:footnote w:id="18">
    <w:p w14:paraId="1B1BEBA5" w14:textId="77777777" w:rsidR="004D3230" w:rsidRDefault="004D3230" w:rsidP="004D3230">
      <w:pPr>
        <w:pStyle w:val="Notedebasdepage"/>
      </w:pPr>
      <w:r>
        <w:rPr>
          <w:rStyle w:val="Appelnotedebasdep"/>
        </w:rPr>
        <w:footnoteRef/>
      </w:r>
      <w:r>
        <w:t xml:space="preserve"> See the </w:t>
      </w:r>
      <w:r w:rsidRPr="005B7066">
        <w:t>E</w:t>
      </w:r>
      <w:r>
        <w:t xml:space="preserve">uropean </w:t>
      </w:r>
      <w:r w:rsidRPr="005B7066">
        <w:t>C</w:t>
      </w:r>
      <w:r>
        <w:t xml:space="preserve">ourt of </w:t>
      </w:r>
      <w:r w:rsidRPr="005B7066">
        <w:t>H</w:t>
      </w:r>
      <w:r>
        <w:t xml:space="preserve">uman </w:t>
      </w:r>
      <w:r w:rsidRPr="005B7066">
        <w:t>R</w:t>
      </w:r>
      <w:r>
        <w:t>ights</w:t>
      </w:r>
      <w:r w:rsidRPr="005B7066">
        <w:t xml:space="preserve"> Knowledge Sharing platform</w:t>
      </w:r>
      <w:r>
        <w:t xml:space="preserve"> (ECHRS-KS), </w:t>
      </w:r>
      <w:hyperlink r:id="rId18" w:history="1">
        <w:r w:rsidRPr="0029248A">
          <w:rPr>
            <w:rStyle w:val="Lienhypertexte"/>
          </w:rPr>
          <w:t>Article 6 Criminal - Right to a fair trial</w:t>
        </w:r>
      </w:hyperlink>
      <w:r>
        <w:t xml:space="preserve">. </w:t>
      </w:r>
    </w:p>
  </w:footnote>
  <w:footnote w:id="19">
    <w:p w14:paraId="192BDC61" w14:textId="77777777" w:rsidR="004D3230" w:rsidRDefault="004D3230" w:rsidP="004D3230">
      <w:pPr>
        <w:pStyle w:val="Notedebasdepage"/>
      </w:pPr>
      <w:r>
        <w:rPr>
          <w:rStyle w:val="Appelnotedebasdep"/>
        </w:rPr>
        <w:footnoteRef/>
      </w:r>
      <w:r>
        <w:t xml:space="preserve"> For examples, see Eurojust/the Genocide Prosecution Network (2025), op. cit., p. 17. </w:t>
      </w:r>
    </w:p>
  </w:footnote>
  <w:footnote w:id="20">
    <w:p w14:paraId="42B23AFF" w14:textId="77777777" w:rsidR="004D3230" w:rsidRPr="00FC2FC9" w:rsidRDefault="004D3230" w:rsidP="004D3230">
      <w:pPr>
        <w:pStyle w:val="Notedebasdepage"/>
      </w:pPr>
      <w:r>
        <w:rPr>
          <w:rStyle w:val="Appelnotedebasdep"/>
        </w:rPr>
        <w:footnoteRef/>
      </w:r>
      <w:r>
        <w:t xml:space="preserve"> Article 6, paragraph 5, of Additional Protocol II. See also ICRC (2005), </w:t>
      </w:r>
      <w:hyperlink r:id="rId19" w:history="1">
        <w:r>
          <w:rPr>
            <w:rStyle w:val="Lienhypertexte"/>
          </w:rPr>
          <w:t>International Customary Law Databases,</w:t>
        </w:r>
        <w:r w:rsidRPr="00490451">
          <w:rPr>
            <w:rStyle w:val="Lienhypertexte"/>
          </w:rPr>
          <w:t xml:space="preserve"> Rule 15</w:t>
        </w:r>
        <w:r>
          <w:rPr>
            <w:rStyle w:val="Lienhypertexte"/>
          </w:rPr>
          <w:t>9</w:t>
        </w:r>
        <w:r w:rsidRPr="00490451">
          <w:rPr>
            <w:rStyle w:val="Lienhypertexte"/>
          </w:rPr>
          <w:t xml:space="preserve">. </w:t>
        </w:r>
        <w:r>
          <w:rPr>
            <w:rStyle w:val="Lienhypertexte"/>
          </w:rPr>
          <w:t>Amnesty</w:t>
        </w:r>
      </w:hyperlink>
      <w:r>
        <w:t xml:space="preserve">, according to which </w:t>
      </w:r>
      <w:r w:rsidRPr="00E4758D">
        <w:t>State practice establishes this rule as a norm of customary international law applicable in non-international armed conflicts</w:t>
      </w:r>
      <w:r>
        <w:t xml:space="preserve">.  </w:t>
      </w:r>
    </w:p>
  </w:footnote>
  <w:footnote w:id="21">
    <w:p w14:paraId="4A8E2699" w14:textId="77777777" w:rsidR="004D3230" w:rsidRPr="007926EF" w:rsidRDefault="004D3230" w:rsidP="004D3230">
      <w:pPr>
        <w:pStyle w:val="Notedebasdepage"/>
      </w:pPr>
      <w:r>
        <w:rPr>
          <w:rStyle w:val="Appelnotedebasdep"/>
        </w:rPr>
        <w:footnoteRef/>
      </w:r>
      <w:r>
        <w:t xml:space="preserve"> Article 6, paragraph 5, of Additional Protocol II.</w:t>
      </w:r>
    </w:p>
  </w:footnote>
  <w:footnote w:id="22">
    <w:p w14:paraId="4A6B8CE1" w14:textId="77777777" w:rsidR="004D3230" w:rsidRPr="002B60AB" w:rsidRDefault="004D3230" w:rsidP="004D3230">
      <w:pPr>
        <w:pStyle w:val="Notedebasdepage"/>
      </w:pPr>
      <w:r w:rsidRPr="002B60AB">
        <w:rPr>
          <w:rStyle w:val="Appelnotedebasdep"/>
        </w:rPr>
        <w:footnoteRef/>
      </w:r>
      <w:r w:rsidRPr="002B60AB">
        <w:t xml:space="preserve"> Member States are entitled to decide which entities qualify as impartial humanitarian organisations in accordance with IHL. See Ferraro T. (2022), “</w:t>
      </w:r>
      <w:hyperlink r:id="rId20" w:history="1">
        <w:r w:rsidRPr="002B60AB">
          <w:rPr>
            <w:rStyle w:val="Lienhypertexte"/>
          </w:rPr>
          <w:t>International humanitarian law, principled humanitarian action, counterterrorism and sanctions: Some perspectives on selected issues</w:t>
        </w:r>
      </w:hyperlink>
      <w:r w:rsidRPr="002B60AB">
        <w:t>”, International Review of the Red Cross (IRRC), Vol. 103, No. 916-917, pp. 152-154.</w:t>
      </w:r>
    </w:p>
  </w:footnote>
  <w:footnote w:id="23">
    <w:p w14:paraId="1B0870A7" w14:textId="77777777" w:rsidR="004D3230" w:rsidRDefault="004D3230" w:rsidP="004D3230">
      <w:pPr>
        <w:pStyle w:val="Notedebasdepage"/>
      </w:pPr>
      <w:r>
        <w:rPr>
          <w:rStyle w:val="Appelnotedebasdep"/>
        </w:rPr>
        <w:footnoteRef/>
      </w:r>
      <w:r>
        <w:t xml:space="preserve"> See ICRC (2005), </w:t>
      </w:r>
      <w:hyperlink r:id="rId21" w:history="1">
        <w:r w:rsidRPr="0033188B">
          <w:rPr>
            <w:rStyle w:val="Lienhypertexte"/>
          </w:rPr>
          <w:t>International Humanitarian Law Databases – Customary IHL Rules</w:t>
        </w:r>
      </w:hyperlink>
      <w:r>
        <w:t xml:space="preserve">, </w:t>
      </w:r>
      <w:r w:rsidRPr="00BA6B07">
        <w:t xml:space="preserve">Rules </w:t>
      </w:r>
      <w:r>
        <w:t xml:space="preserve">55 and </w:t>
      </w:r>
      <w:r w:rsidRPr="00BA6B07">
        <w:t>109</w:t>
      </w:r>
      <w:r>
        <w:t>-117.</w:t>
      </w:r>
    </w:p>
  </w:footnote>
  <w:footnote w:id="24">
    <w:p w14:paraId="2DD67323" w14:textId="77777777" w:rsidR="004D3230" w:rsidRPr="00C0041D" w:rsidRDefault="004D3230" w:rsidP="004D3230">
      <w:pPr>
        <w:pStyle w:val="Notedebasdepage"/>
      </w:pPr>
      <w:r w:rsidRPr="002B60AB">
        <w:rPr>
          <w:rStyle w:val="Appelnotedebasdep"/>
        </w:rPr>
        <w:footnoteRef/>
      </w:r>
      <w:r w:rsidRPr="002B60AB">
        <w:t xml:space="preserve"> See Ferraro T. (2022), op. cit., pp. 150-152.</w:t>
      </w:r>
    </w:p>
  </w:footnote>
  <w:footnote w:id="25">
    <w:p w14:paraId="170BCF99" w14:textId="77777777" w:rsidR="004D3230" w:rsidRDefault="004D3230" w:rsidP="004D3230">
      <w:pPr>
        <w:pStyle w:val="Notedebasdepage"/>
      </w:pPr>
      <w:r>
        <w:rPr>
          <w:rStyle w:val="Appelnotedebasdep"/>
        </w:rPr>
        <w:footnoteRef/>
      </w:r>
      <w:r>
        <w:t xml:space="preserve"> CTED (2022), </w:t>
      </w:r>
      <w:hyperlink r:id="rId22" w:history="1">
        <w:r w:rsidRPr="002662A5">
          <w:rPr>
            <w:rStyle w:val="Lienhypertexte"/>
          </w:rPr>
          <w:t>The Interrelationship Between Counter-terrorism Frameworks and International Humanitarian Law</w:t>
        </w:r>
      </w:hyperlink>
      <w:r>
        <w:t>, p. 32.</w:t>
      </w:r>
    </w:p>
  </w:footnote>
  <w:footnote w:id="26">
    <w:p w14:paraId="3B27D7CE" w14:textId="77777777" w:rsidR="004D3230" w:rsidRDefault="004D3230" w:rsidP="004D3230">
      <w:pPr>
        <w:pStyle w:val="Notedebasdepage"/>
      </w:pPr>
      <w:r>
        <w:rPr>
          <w:rStyle w:val="Appelnotedebasdep"/>
        </w:rPr>
        <w:footnoteRef/>
      </w:r>
      <w:r>
        <w:t xml:space="preserve"> See International Law Commission (2014), “</w:t>
      </w:r>
      <w:hyperlink r:id="rId23" w:history="1">
        <w:r>
          <w:rPr>
            <w:rStyle w:val="Lienhypertexte"/>
          </w:rPr>
          <w:t>Final report on the</w:t>
        </w:r>
        <w:r w:rsidRPr="00496F81">
          <w:rPr>
            <w:rStyle w:val="Lienhypertexte"/>
          </w:rPr>
          <w:t xml:space="preserve"> obligation to extradite or prosecute (</w:t>
        </w:r>
        <w:r w:rsidRPr="000E4FE3">
          <w:rPr>
            <w:rStyle w:val="Lienhypertexte"/>
            <w:i/>
            <w:iCs/>
          </w:rPr>
          <w:t>aut dedere aut judicare</w:t>
        </w:r>
        <w:r w:rsidRPr="00496F81">
          <w:rPr>
            <w:rStyle w:val="Lienhypertexte"/>
          </w:rPr>
          <w:t>)</w:t>
        </w:r>
      </w:hyperlink>
      <w:r>
        <w:t xml:space="preserve">”, </w:t>
      </w:r>
      <w:r w:rsidRPr="00344BC7">
        <w:t xml:space="preserve">Yearbook of the International Law Commission 2014, Vol. II, Part </w:t>
      </w:r>
      <w:proofErr w:type="gramStart"/>
      <w:r w:rsidRPr="00344BC7">
        <w:t>2 ,</w:t>
      </w:r>
      <w:proofErr w:type="gramEnd"/>
      <w:r w:rsidRPr="00344BC7">
        <w:t xml:space="preserve"> pp 91-105</w:t>
      </w:r>
      <w:r>
        <w:t>, paragraphs 18 and 35.</w:t>
      </w:r>
    </w:p>
  </w:footnote>
  <w:footnote w:id="27">
    <w:p w14:paraId="028ECEA9" w14:textId="77777777" w:rsidR="004D3230" w:rsidRDefault="004D3230" w:rsidP="004D3230">
      <w:pPr>
        <w:pStyle w:val="Notedebasdepage"/>
      </w:pPr>
      <w:r w:rsidRPr="006072BC">
        <w:rPr>
          <w:rStyle w:val="Appelnotedebasdep"/>
        </w:rPr>
        <w:footnoteRef/>
      </w:r>
      <w:r w:rsidRPr="006072BC">
        <w:t xml:space="preserve"> </w:t>
      </w:r>
      <w:hyperlink r:id="rId24" w:history="1">
        <w:r w:rsidRPr="004C0502">
          <w:rPr>
            <w:rStyle w:val="Lienhypertexte"/>
          </w:rPr>
          <w:t>https://www.gov.si/en/registries/projects/mla-initiative/</w:t>
        </w:r>
      </w:hyperlink>
      <w:r w:rsidRPr="006072BC">
        <w:t>.</w:t>
      </w:r>
      <w:r>
        <w:t xml:space="preserve"> </w:t>
      </w:r>
    </w:p>
  </w:footnote>
  <w:footnote w:id="28">
    <w:p w14:paraId="3B9ACE2F" w14:textId="77777777" w:rsidR="004D3230" w:rsidRDefault="004D3230" w:rsidP="004D3230">
      <w:pPr>
        <w:pStyle w:val="Notedebasdepage"/>
      </w:pPr>
      <w:r>
        <w:rPr>
          <w:rStyle w:val="Appelnotedebasdep"/>
        </w:rPr>
        <w:footnoteRef/>
      </w:r>
      <w:r>
        <w:t xml:space="preserve"> See </w:t>
      </w:r>
      <w:hyperlink r:id="rId25" w:history="1">
        <w:r w:rsidRPr="00E36B6C">
          <w:rPr>
            <w:rStyle w:val="Lienhypertexte"/>
          </w:rPr>
          <w:t>Joint investigation teams | Eurojust | European Union Agency for Criminal Justice Cooperation</w:t>
        </w:r>
      </w:hyperlink>
      <w:r>
        <w:t xml:space="preserve">. </w:t>
      </w:r>
    </w:p>
  </w:footnote>
  <w:footnote w:id="29">
    <w:p w14:paraId="3CE4C209" w14:textId="77777777" w:rsidR="004D3230" w:rsidRDefault="004D3230" w:rsidP="004D3230">
      <w:pPr>
        <w:pStyle w:val="Notedebasdepage"/>
      </w:pPr>
      <w:r>
        <w:rPr>
          <w:rStyle w:val="Appelnotedebasdep"/>
        </w:rPr>
        <w:footnoteRef/>
      </w:r>
      <w:r>
        <w:t xml:space="preserve"> See </w:t>
      </w:r>
      <w:hyperlink r:id="rId26" w:history="1">
        <w:r w:rsidRPr="008C2DF5">
          <w:rPr>
            <w:rStyle w:val="Lienhypertexte"/>
          </w:rPr>
          <w:t>Services and support - A full range of crime-fighting tools and methods | Europol</w:t>
        </w:r>
      </w:hyperlink>
      <w:r>
        <w:t>.</w:t>
      </w:r>
    </w:p>
  </w:footnote>
  <w:footnote w:id="30">
    <w:p w14:paraId="2EF49F66" w14:textId="77777777" w:rsidR="004D3230" w:rsidRDefault="004D3230" w:rsidP="004D3230">
      <w:pPr>
        <w:pStyle w:val="Notedebasdepage"/>
      </w:pPr>
      <w:r>
        <w:rPr>
          <w:rStyle w:val="Appelnotedebasdep"/>
        </w:rPr>
        <w:footnoteRef/>
      </w:r>
      <w:r>
        <w:t xml:space="preserve"> United Nations General Assembly</w:t>
      </w:r>
      <w:r w:rsidRPr="00783A8E">
        <w:t> </w:t>
      </w:r>
      <w:hyperlink r:id="rId27" w:history="1">
        <w:r>
          <w:rPr>
            <w:rStyle w:val="Lienhypertexte"/>
          </w:rPr>
          <w:t>R</w:t>
        </w:r>
        <w:r w:rsidRPr="00783A8E">
          <w:rPr>
            <w:rStyle w:val="Lienhypertexte"/>
          </w:rPr>
          <w:t>esolution 79/24</w:t>
        </w:r>
        <w:r>
          <w:rPr>
            <w:rStyle w:val="Lienhypertexte"/>
          </w:rPr>
          <w:t>3 (2024)</w:t>
        </w:r>
      </w:hyperlink>
      <w:r w:rsidRPr="00783A8E">
        <w:t>.</w:t>
      </w:r>
      <w:r>
        <w:t xml:space="preserve"> </w:t>
      </w:r>
    </w:p>
  </w:footnote>
  <w:footnote w:id="31">
    <w:p w14:paraId="7993D482" w14:textId="77777777" w:rsidR="004D3230" w:rsidRPr="00471332" w:rsidRDefault="004D3230" w:rsidP="004D3230">
      <w:pPr>
        <w:pStyle w:val="Notedebasdepage"/>
      </w:pPr>
      <w:r w:rsidRPr="00471332">
        <w:rPr>
          <w:rStyle w:val="Appelnotedebasdep"/>
          <w:rFonts w:cs="Arial"/>
          <w:szCs w:val="16"/>
        </w:rPr>
        <w:footnoteRef/>
      </w:r>
      <w:r w:rsidRPr="00471332">
        <w:t xml:space="preserve"> </w:t>
      </w:r>
      <w:r>
        <w:t>See t</w:t>
      </w:r>
      <w:r w:rsidRPr="00471332">
        <w:rPr>
          <w:rFonts w:eastAsia="Times New Roman"/>
        </w:rPr>
        <w:t>he International, Impartial and Independent Mechanism</w:t>
      </w:r>
      <w:r w:rsidRPr="00471332">
        <w:t xml:space="preserve"> was established by UN General Assembly resolution A/71/248 to assist in the investigation and prosecution of persons responsible for the most serious crimes under international law committed in Syria since March 2011</w:t>
      </w:r>
      <w:r>
        <w:t xml:space="preserve"> (</w:t>
      </w:r>
      <w:hyperlink r:id="rId28" w:history="1">
        <w:r w:rsidRPr="00471332">
          <w:rPr>
            <w:rStyle w:val="Lienhypertexte"/>
            <w:rFonts w:cs="Arial"/>
            <w:szCs w:val="16"/>
          </w:rPr>
          <w:t>IIIM</w:t>
        </w:r>
      </w:hyperlink>
      <w:r>
        <w:rPr>
          <w:szCs w:val="16"/>
        </w:rPr>
        <w:t>)</w:t>
      </w:r>
      <w:r w:rsidRPr="00471332">
        <w:t>.</w:t>
      </w:r>
    </w:p>
  </w:footnote>
  <w:footnote w:id="32">
    <w:p w14:paraId="374C71DE" w14:textId="77777777" w:rsidR="004D3230" w:rsidRDefault="004D3230" w:rsidP="004D3230">
      <w:pPr>
        <w:pStyle w:val="Notedebasdepage"/>
      </w:pPr>
      <w:r>
        <w:rPr>
          <w:rStyle w:val="Appelnotedebasdep"/>
        </w:rPr>
        <w:footnoteRef/>
      </w:r>
      <w:r>
        <w:t xml:space="preserve"> See </w:t>
      </w:r>
      <w:hyperlink r:id="rId29" w:history="1">
        <w:r w:rsidRPr="00C055C3">
          <w:rPr>
            <w:rStyle w:val="Lienhypertexte"/>
          </w:rPr>
          <w:t>Core International Crimes Evidence Database | Eurojust | European Union Agency for Criminal Justice Cooperation</w:t>
        </w:r>
      </w:hyperlink>
      <w:r>
        <w:t xml:space="preserve">. See also </w:t>
      </w:r>
      <w:hyperlink r:id="rId30" w:history="1">
        <w:r w:rsidRPr="00C055C3">
          <w:rPr>
            <w:rStyle w:val="Lienhypertexte"/>
          </w:rPr>
          <w:t>Regulation (EU) 2022/838</w:t>
        </w:r>
      </w:hyperlink>
      <w:r w:rsidRPr="00C055C3">
        <w:t xml:space="preserve"> of the European Parliament and of the Council of 30 May 2022 amending Regulation (EU) 2018/1727 as regards the preservation, analysis and storage at Eurojust of evidence relating to genocide, crimes against humanity, war crimes and related criminal offences</w:t>
      </w:r>
      <w:r>
        <w:t xml:space="preserve">. </w:t>
      </w:r>
    </w:p>
  </w:footnote>
  <w:footnote w:id="33">
    <w:p w14:paraId="0AB92832" w14:textId="77777777" w:rsidR="004D3230" w:rsidRDefault="004D3230" w:rsidP="004D3230">
      <w:pPr>
        <w:pStyle w:val="Notedebasdepage"/>
      </w:pPr>
      <w:r>
        <w:rPr>
          <w:rStyle w:val="Appelnotedebasdep"/>
        </w:rPr>
        <w:footnoteRef/>
      </w:r>
      <w:r>
        <w:t xml:space="preserve"> See </w:t>
      </w:r>
      <w:hyperlink r:id="rId31" w:history="1">
        <w:r w:rsidRPr="004C4D97">
          <w:rPr>
            <w:rStyle w:val="Lienhypertexte"/>
          </w:rPr>
          <w:t>Regulation (EU) 2023/2131</w:t>
        </w:r>
      </w:hyperlink>
      <w:r w:rsidRPr="004C4D97">
        <w:t xml:space="preserve"> of the European Parliament and of the Council of 4 October 2023 amending Regulation (EU) 2018/1727 of the European Parliament and of the Council and Council Decision 2005/671/JHA, as regards digital information exchange in terrorism cases</w:t>
      </w:r>
      <w:r>
        <w:t>.</w:t>
      </w:r>
    </w:p>
  </w:footnote>
  <w:footnote w:id="34">
    <w:p w14:paraId="7C47B1C5" w14:textId="77777777" w:rsidR="004D3230" w:rsidRPr="00D34CAD" w:rsidRDefault="004D3230" w:rsidP="004D3230">
      <w:pPr>
        <w:pStyle w:val="Notedebasdepage"/>
        <w:rPr>
          <w:lang w:val="en-US"/>
        </w:rPr>
      </w:pPr>
      <w:r>
        <w:rPr>
          <w:rStyle w:val="Appelnotedebasdep"/>
        </w:rPr>
        <w:footnoteRef/>
      </w:r>
      <w:r>
        <w:t xml:space="preserve"> </w:t>
      </w:r>
      <w:r>
        <w:rPr>
          <w:lang w:val="en-US"/>
        </w:rPr>
        <w:t xml:space="preserve">See </w:t>
      </w:r>
      <w:hyperlink r:id="rId32" w:history="1">
        <w:r w:rsidRPr="001948AD">
          <w:rPr>
            <w:rStyle w:val="Lienhypertexte"/>
          </w:rPr>
          <w:t>Genocide Prosecution Network | Eurojust | European Union Agency for Criminal Justice Cooperation</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212A" w14:textId="353F5F49" w:rsidR="00E24C57" w:rsidRPr="00E54322" w:rsidRDefault="002660DB" w:rsidP="00E54322">
    <w:pPr>
      <w:pStyle w:val="En-tte"/>
    </w:pPr>
    <w:proofErr w:type="gramStart"/>
    <w:r w:rsidRPr="00E54322">
      <w:t>CM(</w:t>
    </w:r>
    <w:proofErr w:type="gramEnd"/>
    <w:r w:rsidR="002147DF">
      <w:t>20</w:t>
    </w:r>
    <w:r w:rsidR="005711C8">
      <w:t>26</w:t>
    </w:r>
    <w:r w:rsidRPr="00E54322">
      <w:t>)</w:t>
    </w:r>
    <w:r w:rsidR="005711C8">
      <w:t>1</w:t>
    </w:r>
    <w:r w:rsidR="00C919AF">
      <w:t>31</w:t>
    </w:r>
    <w:r w:rsidR="009922A4">
      <w:t>-add</w:t>
    </w:r>
    <w:r w:rsidR="00992980">
      <w:t>2</w:t>
    </w:r>
    <w:r w:rsidR="00B71C88">
      <w:t>final</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E0341E">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46F3" w14:textId="18F697C0" w:rsidR="00E24C57" w:rsidRPr="00E54322" w:rsidRDefault="00E15639" w:rsidP="00E54322">
    <w:pPr>
      <w:pStyle w:val="En-tte"/>
    </w:pPr>
    <w:r w:rsidRPr="00E54322">
      <w:tab/>
    </w:r>
    <w:r w:rsidRPr="00E54322">
      <w:fldChar w:fldCharType="begin"/>
    </w:r>
    <w:r w:rsidRPr="00E54322">
      <w:instrText xml:space="preserve"> PAGE  \* Arabic  \* MERGEFORMAT </w:instrText>
    </w:r>
    <w:r w:rsidRPr="00E54322">
      <w:fldChar w:fldCharType="separate"/>
    </w:r>
    <w:r w:rsidR="00E0341E">
      <w:rPr>
        <w:noProof/>
      </w:rPr>
      <w:t>3</w:t>
    </w:r>
    <w:r w:rsidRPr="00E54322">
      <w:fldChar w:fldCharType="end"/>
    </w:r>
    <w:r w:rsidR="00E475F9" w:rsidRPr="00E54322">
      <w:tab/>
    </w:r>
    <w:proofErr w:type="gramStart"/>
    <w:r w:rsidR="002660DB" w:rsidRPr="00E54322">
      <w:t>CM(</w:t>
    </w:r>
    <w:proofErr w:type="gramEnd"/>
    <w:r w:rsidR="002147DF">
      <w:t>20</w:t>
    </w:r>
    <w:r w:rsidR="005711C8">
      <w:t>26</w:t>
    </w:r>
    <w:r w:rsidR="002660DB" w:rsidRPr="00E54322">
      <w:t>)</w:t>
    </w:r>
    <w:r w:rsidR="005711C8">
      <w:t>1</w:t>
    </w:r>
    <w:r w:rsidR="00C919AF">
      <w:t>31</w:t>
    </w:r>
    <w:r w:rsidR="009922A4">
      <w:t>-add</w:t>
    </w:r>
    <w:r w:rsidR="00992980">
      <w:t>2</w:t>
    </w:r>
    <w:r w:rsidR="00B71C88">
      <w:t>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C538E" w14:textId="77777777" w:rsidR="00135BDB" w:rsidRDefault="003F3A70" w:rsidP="00123CDD">
    <w:pPr>
      <w:pStyle w:val="En-tte"/>
      <w:spacing w:after="2280"/>
    </w:pPr>
    <w:r>
      <w:rPr>
        <w:noProof/>
      </w:rPr>
      <w:drawing>
        <wp:anchor distT="0" distB="0" distL="114300" distR="114300" simplePos="0" relativeHeight="251658240" behindDoc="1" locked="0" layoutInCell="1" allowOverlap="0" wp14:anchorId="7031BBC4" wp14:editId="3EFD4663">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90103"/>
    <w:multiLevelType w:val="hybridMultilevel"/>
    <w:tmpl w:val="2042EF78"/>
    <w:lvl w:ilvl="0" w:tplc="4AC4C4BE">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E55EC3"/>
    <w:multiLevelType w:val="hybridMultilevel"/>
    <w:tmpl w:val="86D080F2"/>
    <w:lvl w:ilvl="0" w:tplc="969412E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706B99"/>
    <w:multiLevelType w:val="hybridMultilevel"/>
    <w:tmpl w:val="1EAC207E"/>
    <w:styleLink w:val="Style3import"/>
    <w:lvl w:ilvl="0" w:tplc="C7882D3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332372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459A70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5889E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6AC2EBD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81AB0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76F3D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0B0631C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E4C20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8B544CE"/>
    <w:multiLevelType w:val="hybridMultilevel"/>
    <w:tmpl w:val="01381D62"/>
    <w:lvl w:ilvl="0" w:tplc="7EEA7B90">
      <w:start w:val="4"/>
      <w:numFmt w:val="bullet"/>
      <w:lvlText w:val="-"/>
      <w:lvlJc w:val="left"/>
      <w:pPr>
        <w:ind w:left="720" w:hanging="360"/>
      </w:pPr>
      <w:rPr>
        <w:rFonts w:ascii="Arial" w:eastAsiaTheme="minorHAnsi" w:hAnsi="Arial" w:cs="Arial" w:hint="default"/>
        <w:b w:val="0"/>
        <w:lang w:val="en-GB"/>
      </w:rPr>
    </w:lvl>
    <w:lvl w:ilvl="1" w:tplc="95A0B090" w:tentative="1">
      <w:start w:val="1"/>
      <w:numFmt w:val="bullet"/>
      <w:lvlText w:val="o"/>
      <w:lvlJc w:val="left"/>
      <w:pPr>
        <w:ind w:left="1440" w:hanging="360"/>
      </w:pPr>
      <w:rPr>
        <w:rFonts w:ascii="Courier New" w:hAnsi="Courier New" w:cs="Courier New" w:hint="default"/>
      </w:rPr>
    </w:lvl>
    <w:lvl w:ilvl="2" w:tplc="FE14F98A" w:tentative="1">
      <w:start w:val="1"/>
      <w:numFmt w:val="bullet"/>
      <w:lvlText w:val=""/>
      <w:lvlJc w:val="left"/>
      <w:pPr>
        <w:ind w:left="2160" w:hanging="360"/>
      </w:pPr>
      <w:rPr>
        <w:rFonts w:ascii="Wingdings" w:hAnsi="Wingdings" w:hint="default"/>
      </w:rPr>
    </w:lvl>
    <w:lvl w:ilvl="3" w:tplc="ED3806B0" w:tentative="1">
      <w:start w:val="1"/>
      <w:numFmt w:val="bullet"/>
      <w:lvlText w:val=""/>
      <w:lvlJc w:val="left"/>
      <w:pPr>
        <w:ind w:left="2880" w:hanging="360"/>
      </w:pPr>
      <w:rPr>
        <w:rFonts w:ascii="Symbol" w:hAnsi="Symbol" w:hint="default"/>
      </w:rPr>
    </w:lvl>
    <w:lvl w:ilvl="4" w:tplc="E594FE9E" w:tentative="1">
      <w:start w:val="1"/>
      <w:numFmt w:val="bullet"/>
      <w:lvlText w:val="o"/>
      <w:lvlJc w:val="left"/>
      <w:pPr>
        <w:ind w:left="3600" w:hanging="360"/>
      </w:pPr>
      <w:rPr>
        <w:rFonts w:ascii="Courier New" w:hAnsi="Courier New" w:cs="Courier New" w:hint="default"/>
      </w:rPr>
    </w:lvl>
    <w:lvl w:ilvl="5" w:tplc="78FA8846" w:tentative="1">
      <w:start w:val="1"/>
      <w:numFmt w:val="bullet"/>
      <w:lvlText w:val=""/>
      <w:lvlJc w:val="left"/>
      <w:pPr>
        <w:ind w:left="4320" w:hanging="360"/>
      </w:pPr>
      <w:rPr>
        <w:rFonts w:ascii="Wingdings" w:hAnsi="Wingdings" w:hint="default"/>
      </w:rPr>
    </w:lvl>
    <w:lvl w:ilvl="6" w:tplc="458C5DBC" w:tentative="1">
      <w:start w:val="1"/>
      <w:numFmt w:val="bullet"/>
      <w:lvlText w:val=""/>
      <w:lvlJc w:val="left"/>
      <w:pPr>
        <w:ind w:left="5040" w:hanging="360"/>
      </w:pPr>
      <w:rPr>
        <w:rFonts w:ascii="Symbol" w:hAnsi="Symbol" w:hint="default"/>
      </w:rPr>
    </w:lvl>
    <w:lvl w:ilvl="7" w:tplc="61E288BA" w:tentative="1">
      <w:start w:val="1"/>
      <w:numFmt w:val="bullet"/>
      <w:lvlText w:val="o"/>
      <w:lvlJc w:val="left"/>
      <w:pPr>
        <w:ind w:left="5760" w:hanging="360"/>
      </w:pPr>
      <w:rPr>
        <w:rFonts w:ascii="Courier New" w:hAnsi="Courier New" w:cs="Courier New" w:hint="default"/>
      </w:rPr>
    </w:lvl>
    <w:lvl w:ilvl="8" w:tplc="D5B28F40" w:tentative="1">
      <w:start w:val="1"/>
      <w:numFmt w:val="bullet"/>
      <w:lvlText w:val=""/>
      <w:lvlJc w:val="left"/>
      <w:pPr>
        <w:ind w:left="6480" w:hanging="360"/>
      </w:pPr>
      <w:rPr>
        <w:rFonts w:ascii="Wingdings" w:hAnsi="Wingdings" w:hint="default"/>
      </w:rPr>
    </w:lvl>
  </w:abstractNum>
  <w:num w:numId="1" w16cid:durableId="874007470">
    <w:abstractNumId w:val="2"/>
  </w:num>
  <w:num w:numId="2" w16cid:durableId="1070537612">
    <w:abstractNumId w:val="0"/>
  </w:num>
  <w:num w:numId="3" w16cid:durableId="670837584">
    <w:abstractNumId w:val="1"/>
  </w:num>
  <w:num w:numId="4" w16cid:durableId="23181929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70"/>
    <w:rsid w:val="0001238D"/>
    <w:rsid w:val="00035FDF"/>
    <w:rsid w:val="000474A6"/>
    <w:rsid w:val="00071EA7"/>
    <w:rsid w:val="00072CBD"/>
    <w:rsid w:val="00082CEE"/>
    <w:rsid w:val="000A307B"/>
    <w:rsid w:val="000C52A6"/>
    <w:rsid w:val="000E50A4"/>
    <w:rsid w:val="000F4CF2"/>
    <w:rsid w:val="000F58C3"/>
    <w:rsid w:val="000F5ADA"/>
    <w:rsid w:val="00106141"/>
    <w:rsid w:val="00110729"/>
    <w:rsid w:val="00113EB0"/>
    <w:rsid w:val="00123CDD"/>
    <w:rsid w:val="00134D9A"/>
    <w:rsid w:val="00135BDB"/>
    <w:rsid w:val="00140FC8"/>
    <w:rsid w:val="0014266D"/>
    <w:rsid w:val="00146689"/>
    <w:rsid w:val="0014791A"/>
    <w:rsid w:val="00147EF4"/>
    <w:rsid w:val="00153BB3"/>
    <w:rsid w:val="00156DC1"/>
    <w:rsid w:val="00160B03"/>
    <w:rsid w:val="00162B23"/>
    <w:rsid w:val="00171115"/>
    <w:rsid w:val="00181ED9"/>
    <w:rsid w:val="001A6076"/>
    <w:rsid w:val="001B7E0B"/>
    <w:rsid w:val="001D2154"/>
    <w:rsid w:val="001E7C29"/>
    <w:rsid w:val="001F297D"/>
    <w:rsid w:val="001F4F04"/>
    <w:rsid w:val="001F65DF"/>
    <w:rsid w:val="00214299"/>
    <w:rsid w:val="002147DF"/>
    <w:rsid w:val="002250DD"/>
    <w:rsid w:val="0023437D"/>
    <w:rsid w:val="00234771"/>
    <w:rsid w:val="00242ABB"/>
    <w:rsid w:val="00251353"/>
    <w:rsid w:val="00262B36"/>
    <w:rsid w:val="00265917"/>
    <w:rsid w:val="002660DB"/>
    <w:rsid w:val="002861FB"/>
    <w:rsid w:val="00293EE6"/>
    <w:rsid w:val="002C0872"/>
    <w:rsid w:val="002C20BA"/>
    <w:rsid w:val="002C43B5"/>
    <w:rsid w:val="002C4704"/>
    <w:rsid w:val="002D0655"/>
    <w:rsid w:val="002D11B8"/>
    <w:rsid w:val="002E4089"/>
    <w:rsid w:val="002F3006"/>
    <w:rsid w:val="002F405C"/>
    <w:rsid w:val="002F6BB7"/>
    <w:rsid w:val="00303712"/>
    <w:rsid w:val="00321D10"/>
    <w:rsid w:val="003354C4"/>
    <w:rsid w:val="00335CAF"/>
    <w:rsid w:val="003364D1"/>
    <w:rsid w:val="0037200F"/>
    <w:rsid w:val="00373957"/>
    <w:rsid w:val="003745F2"/>
    <w:rsid w:val="00381C50"/>
    <w:rsid w:val="00385587"/>
    <w:rsid w:val="00392D1D"/>
    <w:rsid w:val="003A5509"/>
    <w:rsid w:val="003B2C8C"/>
    <w:rsid w:val="003B345B"/>
    <w:rsid w:val="003D3B17"/>
    <w:rsid w:val="003D48AE"/>
    <w:rsid w:val="003D6AC2"/>
    <w:rsid w:val="003F3A70"/>
    <w:rsid w:val="003F3D4B"/>
    <w:rsid w:val="0040027C"/>
    <w:rsid w:val="00400868"/>
    <w:rsid w:val="00406FD4"/>
    <w:rsid w:val="0041230F"/>
    <w:rsid w:val="0041617C"/>
    <w:rsid w:val="004256CB"/>
    <w:rsid w:val="004329B7"/>
    <w:rsid w:val="00436E20"/>
    <w:rsid w:val="00443709"/>
    <w:rsid w:val="00447D22"/>
    <w:rsid w:val="004553F6"/>
    <w:rsid w:val="0046591B"/>
    <w:rsid w:val="00480D8B"/>
    <w:rsid w:val="004A37E1"/>
    <w:rsid w:val="004C0C2F"/>
    <w:rsid w:val="004C11B3"/>
    <w:rsid w:val="004D3230"/>
    <w:rsid w:val="00500821"/>
    <w:rsid w:val="0050115D"/>
    <w:rsid w:val="0054041B"/>
    <w:rsid w:val="00550B6C"/>
    <w:rsid w:val="005711C8"/>
    <w:rsid w:val="00574663"/>
    <w:rsid w:val="005B1FA1"/>
    <w:rsid w:val="005B3604"/>
    <w:rsid w:val="005C73BB"/>
    <w:rsid w:val="005D7CDF"/>
    <w:rsid w:val="005F093B"/>
    <w:rsid w:val="005F3DC6"/>
    <w:rsid w:val="00614982"/>
    <w:rsid w:val="00626030"/>
    <w:rsid w:val="00631491"/>
    <w:rsid w:val="00643231"/>
    <w:rsid w:val="00643C3F"/>
    <w:rsid w:val="00644AD3"/>
    <w:rsid w:val="006455FA"/>
    <w:rsid w:val="00660638"/>
    <w:rsid w:val="00671684"/>
    <w:rsid w:val="00671EA2"/>
    <w:rsid w:val="006827E4"/>
    <w:rsid w:val="006908C5"/>
    <w:rsid w:val="006A4F06"/>
    <w:rsid w:val="006B1D8D"/>
    <w:rsid w:val="006F0318"/>
    <w:rsid w:val="006F096D"/>
    <w:rsid w:val="006F6B48"/>
    <w:rsid w:val="0070787C"/>
    <w:rsid w:val="00712E65"/>
    <w:rsid w:val="007150DE"/>
    <w:rsid w:val="0072141F"/>
    <w:rsid w:val="00721866"/>
    <w:rsid w:val="00735569"/>
    <w:rsid w:val="007541C7"/>
    <w:rsid w:val="00761627"/>
    <w:rsid w:val="00773CFE"/>
    <w:rsid w:val="00796EA1"/>
    <w:rsid w:val="007A543D"/>
    <w:rsid w:val="007B3DD0"/>
    <w:rsid w:val="007C0AD1"/>
    <w:rsid w:val="007C1606"/>
    <w:rsid w:val="007D7B20"/>
    <w:rsid w:val="007E168C"/>
    <w:rsid w:val="00800A19"/>
    <w:rsid w:val="008042E6"/>
    <w:rsid w:val="00805F04"/>
    <w:rsid w:val="008074B4"/>
    <w:rsid w:val="00810D5A"/>
    <w:rsid w:val="00814AA2"/>
    <w:rsid w:val="00816FAC"/>
    <w:rsid w:val="0082394F"/>
    <w:rsid w:val="00853C90"/>
    <w:rsid w:val="008575F2"/>
    <w:rsid w:val="00857F73"/>
    <w:rsid w:val="00861836"/>
    <w:rsid w:val="0087380A"/>
    <w:rsid w:val="008756A7"/>
    <w:rsid w:val="00877E5C"/>
    <w:rsid w:val="008A42F3"/>
    <w:rsid w:val="008B07D4"/>
    <w:rsid w:val="008C12CC"/>
    <w:rsid w:val="008C47D7"/>
    <w:rsid w:val="008F0E90"/>
    <w:rsid w:val="00916BF5"/>
    <w:rsid w:val="009215B8"/>
    <w:rsid w:val="00923554"/>
    <w:rsid w:val="009270C4"/>
    <w:rsid w:val="00940F14"/>
    <w:rsid w:val="009432D0"/>
    <w:rsid w:val="0095038C"/>
    <w:rsid w:val="00950D67"/>
    <w:rsid w:val="009527D7"/>
    <w:rsid w:val="00953FB4"/>
    <w:rsid w:val="00955512"/>
    <w:rsid w:val="00963962"/>
    <w:rsid w:val="00974C41"/>
    <w:rsid w:val="009922A4"/>
    <w:rsid w:val="00992980"/>
    <w:rsid w:val="009B3AB7"/>
    <w:rsid w:val="009C5258"/>
    <w:rsid w:val="009D28F3"/>
    <w:rsid w:val="009E0F9D"/>
    <w:rsid w:val="00A12DEC"/>
    <w:rsid w:val="00A1530D"/>
    <w:rsid w:val="00A22D53"/>
    <w:rsid w:val="00A474E5"/>
    <w:rsid w:val="00A842D4"/>
    <w:rsid w:val="00A93CA3"/>
    <w:rsid w:val="00AB6552"/>
    <w:rsid w:val="00AB67F8"/>
    <w:rsid w:val="00AB7727"/>
    <w:rsid w:val="00AC73AA"/>
    <w:rsid w:val="00AE76B8"/>
    <w:rsid w:val="00B03DC0"/>
    <w:rsid w:val="00B06133"/>
    <w:rsid w:val="00B129D8"/>
    <w:rsid w:val="00B227AE"/>
    <w:rsid w:val="00B41B03"/>
    <w:rsid w:val="00B41EC3"/>
    <w:rsid w:val="00B6220A"/>
    <w:rsid w:val="00B63F08"/>
    <w:rsid w:val="00B71C88"/>
    <w:rsid w:val="00B81BAC"/>
    <w:rsid w:val="00B849E0"/>
    <w:rsid w:val="00B90246"/>
    <w:rsid w:val="00B920E4"/>
    <w:rsid w:val="00BA79A3"/>
    <w:rsid w:val="00BB7DCE"/>
    <w:rsid w:val="00BC6FCB"/>
    <w:rsid w:val="00BD25C0"/>
    <w:rsid w:val="00BD683E"/>
    <w:rsid w:val="00BD70C0"/>
    <w:rsid w:val="00BE20AB"/>
    <w:rsid w:val="00C049EE"/>
    <w:rsid w:val="00C109FD"/>
    <w:rsid w:val="00C14C2C"/>
    <w:rsid w:val="00C37DAA"/>
    <w:rsid w:val="00C409C2"/>
    <w:rsid w:val="00C45EB6"/>
    <w:rsid w:val="00C52829"/>
    <w:rsid w:val="00C74E6F"/>
    <w:rsid w:val="00C8348A"/>
    <w:rsid w:val="00C919AF"/>
    <w:rsid w:val="00C919CE"/>
    <w:rsid w:val="00C92F89"/>
    <w:rsid w:val="00CB2570"/>
    <w:rsid w:val="00CC39DC"/>
    <w:rsid w:val="00CE1FF8"/>
    <w:rsid w:val="00CE4890"/>
    <w:rsid w:val="00CE6FD2"/>
    <w:rsid w:val="00D0182E"/>
    <w:rsid w:val="00D0265B"/>
    <w:rsid w:val="00D24A57"/>
    <w:rsid w:val="00D41C91"/>
    <w:rsid w:val="00D462CE"/>
    <w:rsid w:val="00D53526"/>
    <w:rsid w:val="00D554E6"/>
    <w:rsid w:val="00D70628"/>
    <w:rsid w:val="00DA7643"/>
    <w:rsid w:val="00DB029C"/>
    <w:rsid w:val="00DC162E"/>
    <w:rsid w:val="00DC4A39"/>
    <w:rsid w:val="00DE0A21"/>
    <w:rsid w:val="00DE4586"/>
    <w:rsid w:val="00DE6B0B"/>
    <w:rsid w:val="00DF6796"/>
    <w:rsid w:val="00E0220F"/>
    <w:rsid w:val="00E0341E"/>
    <w:rsid w:val="00E125C6"/>
    <w:rsid w:val="00E15639"/>
    <w:rsid w:val="00E173B5"/>
    <w:rsid w:val="00E24C57"/>
    <w:rsid w:val="00E3473C"/>
    <w:rsid w:val="00E457C3"/>
    <w:rsid w:val="00E475F9"/>
    <w:rsid w:val="00E50974"/>
    <w:rsid w:val="00E54322"/>
    <w:rsid w:val="00E86611"/>
    <w:rsid w:val="00E940BF"/>
    <w:rsid w:val="00EA643A"/>
    <w:rsid w:val="00EE34E3"/>
    <w:rsid w:val="00F01885"/>
    <w:rsid w:val="00F168A4"/>
    <w:rsid w:val="00F2380B"/>
    <w:rsid w:val="00F24713"/>
    <w:rsid w:val="00F40699"/>
    <w:rsid w:val="00F433D6"/>
    <w:rsid w:val="00F537CE"/>
    <w:rsid w:val="00F61D34"/>
    <w:rsid w:val="00F62CC9"/>
    <w:rsid w:val="00F70F84"/>
    <w:rsid w:val="00F76BBD"/>
    <w:rsid w:val="00F87AD7"/>
    <w:rsid w:val="00F96689"/>
    <w:rsid w:val="00FD6043"/>
    <w:rsid w:val="00FF2641"/>
    <w:rsid w:val="00FF3BAB"/>
    <w:rsid w:val="00FF662D"/>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3251E"/>
  <w15:docId w15:val="{197FE125-2365-43DA-B6E0-B059D9B8A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Titre1">
    <w:name w:val="heading 1"/>
    <w:basedOn w:val="Normal"/>
    <w:next w:val="Normal"/>
    <w:link w:val="Titre1Car"/>
    <w:uiPriority w:val="9"/>
    <w:qFormat/>
    <w:rsid w:val="009922A4"/>
    <w:pPr>
      <w:keepNext/>
      <w:keepLines/>
      <w:outlineLvl w:val="0"/>
    </w:pPr>
    <w:rPr>
      <w:rFonts w:eastAsiaTheme="majorEastAsia" w:cstheme="majorBidi"/>
      <w:b/>
      <w:kern w:val="2"/>
      <w:szCs w:val="40"/>
      <w14:ligatures w14:val="standardContextual"/>
    </w:rPr>
  </w:style>
  <w:style w:type="paragraph" w:styleId="Titre2">
    <w:name w:val="heading 2"/>
    <w:basedOn w:val="Normal"/>
    <w:next w:val="Normal"/>
    <w:link w:val="Titre2Car"/>
    <w:uiPriority w:val="9"/>
    <w:unhideWhenUsed/>
    <w:qFormat/>
    <w:rsid w:val="009922A4"/>
    <w:pPr>
      <w:keepNext/>
      <w:keepLines/>
      <w:outlineLvl w:val="1"/>
    </w:pPr>
    <w:rPr>
      <w:rFonts w:eastAsiaTheme="majorEastAsia" w:cstheme="majorBidi"/>
      <w:i/>
      <w:kern w:val="2"/>
      <w:szCs w:val="32"/>
      <w14:ligatures w14:val="standardContextual"/>
    </w:rPr>
  </w:style>
  <w:style w:type="paragraph" w:styleId="Titre3">
    <w:name w:val="heading 3"/>
    <w:basedOn w:val="Normal"/>
    <w:next w:val="Normal"/>
    <w:link w:val="Titre3Car"/>
    <w:uiPriority w:val="9"/>
    <w:unhideWhenUsed/>
    <w:qFormat/>
    <w:rsid w:val="009922A4"/>
    <w:pPr>
      <w:keepNext/>
      <w:keepLines/>
      <w:spacing w:before="160" w:after="80"/>
      <w:outlineLvl w:val="2"/>
    </w:pPr>
    <w:rPr>
      <w:rFonts w:eastAsiaTheme="majorEastAsia" w:cstheme="majorBidi"/>
      <w:color w:val="365F91" w:themeColor="accent1" w:themeShade="BF"/>
      <w:kern w:val="2"/>
      <w:sz w:val="28"/>
      <w:szCs w:val="28"/>
      <w14:ligatures w14:val="standardContextual"/>
    </w:rPr>
  </w:style>
  <w:style w:type="paragraph" w:styleId="Titre4">
    <w:name w:val="heading 4"/>
    <w:basedOn w:val="Normal"/>
    <w:next w:val="Normal"/>
    <w:link w:val="Titre4Car"/>
    <w:uiPriority w:val="9"/>
    <w:unhideWhenUsed/>
    <w:qFormat/>
    <w:rsid w:val="009922A4"/>
    <w:pPr>
      <w:keepNext/>
      <w:keepLines/>
      <w:spacing w:before="80" w:after="40"/>
      <w:outlineLvl w:val="3"/>
    </w:pPr>
    <w:rPr>
      <w:rFonts w:eastAsiaTheme="majorEastAsia" w:cstheme="majorBidi"/>
      <w:i/>
      <w:iCs/>
      <w:color w:val="365F91" w:themeColor="accent1" w:themeShade="BF"/>
      <w:kern w:val="2"/>
      <w:szCs w:val="24"/>
      <w14:ligatures w14:val="standardContextual"/>
    </w:rPr>
  </w:style>
  <w:style w:type="paragraph" w:styleId="Titre5">
    <w:name w:val="heading 5"/>
    <w:basedOn w:val="Normal"/>
    <w:next w:val="Normal"/>
    <w:link w:val="Titre5Car"/>
    <w:uiPriority w:val="9"/>
    <w:semiHidden/>
    <w:unhideWhenUsed/>
    <w:qFormat/>
    <w:rsid w:val="009922A4"/>
    <w:pPr>
      <w:keepNext/>
      <w:keepLines/>
      <w:spacing w:before="80" w:after="40"/>
      <w:outlineLvl w:val="4"/>
    </w:pPr>
    <w:rPr>
      <w:rFonts w:eastAsiaTheme="majorEastAsia" w:cstheme="majorBidi"/>
      <w:color w:val="365F91" w:themeColor="accent1" w:themeShade="BF"/>
      <w:kern w:val="2"/>
      <w:szCs w:val="24"/>
      <w14:ligatures w14:val="standardContextual"/>
    </w:rPr>
  </w:style>
  <w:style w:type="paragraph" w:styleId="Titre6">
    <w:name w:val="heading 6"/>
    <w:basedOn w:val="Normal"/>
    <w:next w:val="Normal"/>
    <w:link w:val="Titre6Car"/>
    <w:uiPriority w:val="9"/>
    <w:semiHidden/>
    <w:unhideWhenUsed/>
    <w:qFormat/>
    <w:rsid w:val="009922A4"/>
    <w:pPr>
      <w:keepNext/>
      <w:keepLines/>
      <w:spacing w:before="40"/>
      <w:outlineLvl w:val="5"/>
    </w:pPr>
    <w:rPr>
      <w:rFonts w:eastAsiaTheme="majorEastAsia" w:cstheme="majorBidi"/>
      <w:i/>
      <w:iCs/>
      <w:color w:val="595959" w:themeColor="text1" w:themeTint="A6"/>
      <w:kern w:val="2"/>
      <w:szCs w:val="24"/>
      <w14:ligatures w14:val="standardContextual"/>
    </w:rPr>
  </w:style>
  <w:style w:type="paragraph" w:styleId="Titre7">
    <w:name w:val="heading 7"/>
    <w:basedOn w:val="Normal"/>
    <w:next w:val="Normal"/>
    <w:link w:val="Titre7Car"/>
    <w:uiPriority w:val="9"/>
    <w:semiHidden/>
    <w:unhideWhenUsed/>
    <w:qFormat/>
    <w:rsid w:val="009922A4"/>
    <w:pPr>
      <w:keepNext/>
      <w:keepLines/>
      <w:spacing w:before="40"/>
      <w:outlineLvl w:val="6"/>
    </w:pPr>
    <w:rPr>
      <w:rFonts w:eastAsiaTheme="majorEastAsia" w:cstheme="majorBidi"/>
      <w:color w:val="595959" w:themeColor="text1" w:themeTint="A6"/>
      <w:kern w:val="2"/>
      <w:szCs w:val="24"/>
      <w14:ligatures w14:val="standardContextual"/>
    </w:rPr>
  </w:style>
  <w:style w:type="paragraph" w:styleId="Titre8">
    <w:name w:val="heading 8"/>
    <w:basedOn w:val="Normal"/>
    <w:next w:val="Normal"/>
    <w:link w:val="Titre8Car"/>
    <w:uiPriority w:val="9"/>
    <w:semiHidden/>
    <w:unhideWhenUsed/>
    <w:qFormat/>
    <w:rsid w:val="009922A4"/>
    <w:pPr>
      <w:keepNext/>
      <w:keepLines/>
      <w:outlineLvl w:val="7"/>
    </w:pPr>
    <w:rPr>
      <w:rFonts w:eastAsiaTheme="majorEastAsia" w:cstheme="majorBidi"/>
      <w:i/>
      <w:iCs/>
      <w:color w:val="272727" w:themeColor="text1" w:themeTint="D8"/>
      <w:kern w:val="2"/>
      <w:szCs w:val="24"/>
      <w14:ligatures w14:val="standardContextual"/>
    </w:rPr>
  </w:style>
  <w:style w:type="paragraph" w:styleId="Titre9">
    <w:name w:val="heading 9"/>
    <w:basedOn w:val="Normal"/>
    <w:next w:val="Normal"/>
    <w:link w:val="Titre9Car"/>
    <w:uiPriority w:val="9"/>
    <w:semiHidden/>
    <w:unhideWhenUsed/>
    <w:qFormat/>
    <w:rsid w:val="009922A4"/>
    <w:pPr>
      <w:keepNext/>
      <w:keepLines/>
      <w:outlineLvl w:val="8"/>
    </w:pPr>
    <w:rPr>
      <w:rFonts w:eastAsiaTheme="majorEastAsia" w:cstheme="majorBidi"/>
      <w:color w:val="272727" w:themeColor="text1" w:themeTint="D8"/>
      <w:kern w:val="2"/>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31491"/>
    <w:pPr>
      <w:tabs>
        <w:tab w:val="center" w:pos="4820"/>
        <w:tab w:val="right" w:pos="9639"/>
      </w:tabs>
    </w:pPr>
    <w:rPr>
      <w:sz w:val="18"/>
    </w:rPr>
  </w:style>
  <w:style w:type="character" w:customStyle="1" w:styleId="En-tteCar">
    <w:name w:val="En-tête Car"/>
    <w:link w:val="En-tte"/>
    <w:uiPriority w:val="99"/>
    <w:rsid w:val="00631491"/>
    <w:rPr>
      <w:rFonts w:ascii="Arial" w:hAnsi="Arial"/>
      <w:sz w:val="18"/>
      <w:szCs w:val="22"/>
      <w:lang w:eastAsia="en-US"/>
    </w:rPr>
  </w:style>
  <w:style w:type="paragraph" w:styleId="Pieddepage">
    <w:name w:val="footer"/>
    <w:basedOn w:val="Normal"/>
    <w:link w:val="PieddepageCar"/>
    <w:uiPriority w:val="99"/>
    <w:unhideWhenUsed/>
    <w:rsid w:val="00FD6043"/>
    <w:pPr>
      <w:tabs>
        <w:tab w:val="center" w:pos="4513"/>
        <w:tab w:val="right" w:pos="9026"/>
      </w:tabs>
    </w:pPr>
  </w:style>
  <w:style w:type="character" w:customStyle="1" w:styleId="PieddepageCar">
    <w:name w:val="Pied de page Car"/>
    <w:basedOn w:val="Policepardfaut"/>
    <w:link w:val="Pieddepage"/>
    <w:uiPriority w:val="99"/>
    <w:rsid w:val="00FD6043"/>
  </w:style>
  <w:style w:type="paragraph" w:styleId="Textedebulles">
    <w:name w:val="Balloon Text"/>
    <w:basedOn w:val="Normal"/>
    <w:link w:val="TextedebullesCar"/>
    <w:uiPriority w:val="99"/>
    <w:semiHidden/>
    <w:unhideWhenUsed/>
    <w:rsid w:val="00FD6043"/>
    <w:rPr>
      <w:rFonts w:ascii="Tahoma" w:hAnsi="Tahoma" w:cs="Tahoma"/>
      <w:sz w:val="16"/>
      <w:szCs w:val="16"/>
    </w:rPr>
  </w:style>
  <w:style w:type="character" w:customStyle="1" w:styleId="TextedebullesCar">
    <w:name w:val="Texte de bulles Car"/>
    <w:link w:val="Textedebulles"/>
    <w:uiPriority w:val="99"/>
    <w:semiHidden/>
    <w:rsid w:val="00FD6043"/>
    <w:rPr>
      <w:rFonts w:ascii="Tahoma" w:hAnsi="Tahoma" w:cs="Tahoma"/>
      <w:sz w:val="16"/>
      <w:szCs w:val="16"/>
    </w:rPr>
  </w:style>
  <w:style w:type="table" w:styleId="Grilledutableau">
    <w:name w:val="Table Grid"/>
    <w:basedOn w:val="Tableau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Lienhypertexte">
    <w:name w:val="Hyperlink"/>
    <w:uiPriority w:val="99"/>
    <w:unhideWhenUsed/>
    <w:rsid w:val="00AE76B8"/>
    <w:rPr>
      <w:color w:val="auto"/>
      <w:u w:val="none"/>
    </w:rPr>
  </w:style>
  <w:style w:type="character" w:styleId="Numrodepage">
    <w:name w:val="page number"/>
    <w:basedOn w:val="Policepardfaut"/>
    <w:uiPriority w:val="99"/>
    <w:semiHidden/>
    <w:unhideWhenUsed/>
    <w:rsid w:val="00E24C57"/>
  </w:style>
  <w:style w:type="character" w:styleId="Marquedecommentaire">
    <w:name w:val="annotation reference"/>
    <w:uiPriority w:val="99"/>
    <w:semiHidden/>
    <w:unhideWhenUsed/>
    <w:rsid w:val="002250DD"/>
    <w:rPr>
      <w:sz w:val="18"/>
      <w:szCs w:val="18"/>
    </w:rPr>
  </w:style>
  <w:style w:type="paragraph" w:styleId="Commentaire">
    <w:name w:val="annotation text"/>
    <w:basedOn w:val="Normal"/>
    <w:link w:val="CommentaireCar"/>
    <w:uiPriority w:val="99"/>
    <w:unhideWhenUsed/>
    <w:rsid w:val="002250DD"/>
    <w:rPr>
      <w:sz w:val="24"/>
      <w:szCs w:val="24"/>
    </w:rPr>
  </w:style>
  <w:style w:type="character" w:customStyle="1" w:styleId="CommentaireCar">
    <w:name w:val="Commentaire Car"/>
    <w:link w:val="Commentaire"/>
    <w:uiPriority w:val="99"/>
    <w:rsid w:val="002250DD"/>
    <w:rPr>
      <w:sz w:val="24"/>
      <w:szCs w:val="24"/>
    </w:rPr>
  </w:style>
  <w:style w:type="paragraph" w:styleId="Objetducommentaire">
    <w:name w:val="annotation subject"/>
    <w:basedOn w:val="Commentaire"/>
    <w:next w:val="Commentaire"/>
    <w:link w:val="ObjetducommentaireCar"/>
    <w:uiPriority w:val="99"/>
    <w:semiHidden/>
    <w:unhideWhenUsed/>
    <w:rsid w:val="002250DD"/>
    <w:rPr>
      <w:b/>
      <w:bCs/>
      <w:sz w:val="20"/>
      <w:szCs w:val="20"/>
    </w:rPr>
  </w:style>
  <w:style w:type="character" w:customStyle="1" w:styleId="ObjetducommentaireCar">
    <w:name w:val="Objet du commentaire Car"/>
    <w:link w:val="Objetducommentaire"/>
    <w:uiPriority w:val="99"/>
    <w:semiHidden/>
    <w:rsid w:val="002250DD"/>
    <w:rPr>
      <w:b/>
      <w:bCs/>
      <w:sz w:val="20"/>
      <w:szCs w:val="20"/>
    </w:rPr>
  </w:style>
  <w:style w:type="paragraph" w:styleId="Notedebasdepage">
    <w:name w:val="footnote text"/>
    <w:aliases w:val="Fußnotentextf,Fuﬂnotentextf,Footnote Text Blue,Geneva 9,Font: Geneva 9,Boston 10,f,Podrozdział,Footnote text,Footnote Text Char Char Char Char Char Char,Tekst przypisu,Footnote Text Char Char Char,Footnote,Footnote Text Char1 Char,fn"/>
    <w:basedOn w:val="Normal"/>
    <w:link w:val="NotedebasdepageCar"/>
    <w:uiPriority w:val="99"/>
    <w:unhideWhenUsed/>
    <w:qFormat/>
    <w:rsid w:val="009C5258"/>
    <w:rPr>
      <w:sz w:val="16"/>
      <w:szCs w:val="20"/>
    </w:rPr>
  </w:style>
  <w:style w:type="character" w:customStyle="1" w:styleId="NotedebasdepageCar">
    <w:name w:val="Note de bas de page Car"/>
    <w:aliases w:val="Fußnotentextf Car,Fuﬂnotentextf Car,Footnote Text Blue Car,Geneva 9 Car,Font: Geneva 9 Car,Boston 10 Car,f Car,Podrozdział Car,Footnote text Car,Footnote Text Char Char Char Char Char Char Car,Tekst przypisu Car,Footnote Car"/>
    <w:link w:val="Notedebasdepage"/>
    <w:uiPriority w:val="99"/>
    <w:qFormat/>
    <w:rsid w:val="009C5258"/>
    <w:rPr>
      <w:rFonts w:ascii="Arial" w:hAnsi="Arial"/>
      <w:sz w:val="16"/>
      <w:lang w:val="fr-FR" w:eastAsia="en-US"/>
    </w:rPr>
  </w:style>
  <w:style w:type="character" w:styleId="Appelnotedebasdep">
    <w:name w:val="footnote reference"/>
    <w:aliases w:val="Footnote Reference Char Car Char Char Car Char Car Char Car Char Car Char Char Car Car Char Char Char Char Char Car Char Char Char Char,fr,16 Point,Superscript 6 Point, Char Char,Ref,de nota al pie,Footnote Reference Superscript"/>
    <w:link w:val="FootnoteReferenceCharCarCharCharCarCharCarCharCarCharCarCharCharCarCarCharCharCharCharCharCarCharChar"/>
    <w:uiPriority w:val="99"/>
    <w:unhideWhenUsed/>
    <w:qFormat/>
    <w:rsid w:val="00853C90"/>
    <w:rPr>
      <w:vertAlign w:val="superscript"/>
    </w:rPr>
  </w:style>
  <w:style w:type="paragraph" w:styleId="Paragraphedeliste">
    <w:name w:val="List Paragraph"/>
    <w:aliases w:val="MAIN CONTENT,List Paragraph12,Colorful List - Accent 11,List Paragraph2,Normal numbered,List Paragraph11,OBC Bullet,F5 List Paragraph,List Paragraph1,Dot pt,List Paragraph Char Char Char,Indicator Text,Numbered Para 1,Bullet 1"/>
    <w:basedOn w:val="Normal"/>
    <w:link w:val="ParagraphedelisteCar"/>
    <w:uiPriority w:val="34"/>
    <w:qFormat/>
    <w:rsid w:val="005711C8"/>
    <w:pPr>
      <w:pBdr>
        <w:top w:val="nil"/>
        <w:left w:val="nil"/>
        <w:bottom w:val="nil"/>
        <w:right w:val="nil"/>
        <w:between w:val="nil"/>
        <w:bar w:val="nil"/>
      </w:pBdr>
      <w:ind w:left="720"/>
      <w:contextualSpacing/>
    </w:pPr>
    <w:rPr>
      <w:rFonts w:ascii="Times New Roman" w:eastAsia="Arial Unicode MS" w:hAnsi="Times New Roman"/>
      <w:sz w:val="24"/>
      <w:szCs w:val="24"/>
      <w:bdr w:val="nil"/>
      <w:lang w:val="en-US"/>
    </w:rPr>
  </w:style>
  <w:style w:type="character" w:customStyle="1" w:styleId="Aucun">
    <w:name w:val="Aucun"/>
    <w:rsid w:val="005711C8"/>
  </w:style>
  <w:style w:type="character" w:customStyle="1" w:styleId="AucunA">
    <w:name w:val="Aucun A"/>
    <w:basedOn w:val="Aucun"/>
    <w:rsid w:val="005711C8"/>
  </w:style>
  <w:style w:type="paragraph" w:customStyle="1" w:styleId="Corps">
    <w:name w:val="Corps"/>
    <w:rsid w:val="005711C8"/>
    <w:pPr>
      <w:pBdr>
        <w:top w:val="nil"/>
        <w:left w:val="nil"/>
        <w:bottom w:val="nil"/>
        <w:right w:val="nil"/>
        <w:between w:val="nil"/>
        <w:bar w:val="nil"/>
      </w:pBdr>
      <w:spacing w:after="160" w:line="259" w:lineRule="auto"/>
    </w:pPr>
    <w:rPr>
      <w:rFonts w:eastAsia="Arial Unicode MS" w:cs="Arial Unicode MS"/>
      <w:color w:val="000000"/>
      <w:kern w:val="2"/>
      <w:sz w:val="22"/>
      <w:szCs w:val="22"/>
      <w:u w:color="000000"/>
      <w:bdr w:val="nil"/>
      <w:lang w:val="en-US" w:eastAsia="fr-FR"/>
      <w14:textOutline w14:w="0" w14:cap="flat" w14:cmpd="sng" w14:algn="ctr">
        <w14:noFill/>
        <w14:prstDash w14:val="solid"/>
        <w14:bevel/>
      </w14:textOutline>
    </w:rPr>
  </w:style>
  <w:style w:type="numbering" w:customStyle="1" w:styleId="Style3import">
    <w:name w:val="Style 3 importé"/>
    <w:rsid w:val="005711C8"/>
    <w:pPr>
      <w:numPr>
        <w:numId w:val="1"/>
      </w:numPr>
    </w:pPr>
  </w:style>
  <w:style w:type="character" w:customStyle="1" w:styleId="ParagraphedelisteCar">
    <w:name w:val="Paragraphe de liste Car"/>
    <w:aliases w:val="MAIN CONTENT Car,List Paragraph12 Car,Colorful List - Accent 11 Car,List Paragraph2 Car,Normal numbered Car,List Paragraph11 Car,OBC Bullet Car,F5 List Paragraph Car,List Paragraph1 Car,Dot pt Car,Indicator Text Car,Bullet 1 Car"/>
    <w:link w:val="Paragraphedeliste"/>
    <w:uiPriority w:val="34"/>
    <w:qFormat/>
    <w:rsid w:val="005711C8"/>
    <w:rPr>
      <w:rFonts w:ascii="Times New Roman" w:eastAsia="Arial Unicode MS" w:hAnsi="Times New Roman"/>
      <w:sz w:val="24"/>
      <w:szCs w:val="24"/>
      <w:bdr w:val="nil"/>
      <w:lang w:val="en-US" w:eastAsia="en-US"/>
    </w:rPr>
  </w:style>
  <w:style w:type="paragraph" w:styleId="NormalWeb">
    <w:name w:val="Normal (Web)"/>
    <w:basedOn w:val="Normal"/>
    <w:uiPriority w:val="99"/>
    <w:rsid w:val="005711C8"/>
    <w:pPr>
      <w:widowControl w:val="0"/>
      <w:autoSpaceDE w:val="0"/>
      <w:autoSpaceDN w:val="0"/>
      <w:adjustRightInd w:val="0"/>
      <w:spacing w:before="100" w:after="100"/>
    </w:pPr>
    <w:rPr>
      <w:rFonts w:ascii="Times New Roman" w:eastAsia="Times New Roman" w:hAnsi="Times New Roman"/>
      <w:sz w:val="24"/>
      <w:szCs w:val="24"/>
    </w:rPr>
  </w:style>
  <w:style w:type="paragraph" w:customStyle="1" w:styleId="FootnoteReferenceCharCarCharCharCarCharCarCharCarCharCarCharCharCarCarCharCharCharCharCharCarCharChar">
    <w:name w:val="Footnote Reference Char Car Char Char Car Char Car Char Car Char Car Char Char Car Car Char Char Char Char Char Car Char Char"/>
    <w:basedOn w:val="Normal"/>
    <w:link w:val="Appelnotedebasdep"/>
    <w:uiPriority w:val="99"/>
    <w:rsid w:val="005711C8"/>
    <w:pPr>
      <w:spacing w:after="160" w:line="240" w:lineRule="exact"/>
    </w:pPr>
    <w:rPr>
      <w:rFonts w:ascii="Calibri" w:hAnsi="Calibri"/>
      <w:szCs w:val="20"/>
      <w:vertAlign w:val="superscript"/>
      <w:lang w:eastAsia="en-GB"/>
    </w:rPr>
  </w:style>
  <w:style w:type="paragraph" w:styleId="Rvision">
    <w:name w:val="Revision"/>
    <w:hidden/>
    <w:uiPriority w:val="99"/>
    <w:semiHidden/>
    <w:rsid w:val="00A1530D"/>
    <w:rPr>
      <w:rFonts w:ascii="Arial" w:hAnsi="Arial"/>
      <w:szCs w:val="22"/>
      <w:lang w:eastAsia="en-US"/>
    </w:rPr>
  </w:style>
  <w:style w:type="character" w:customStyle="1" w:styleId="Titre1Car">
    <w:name w:val="Titre 1 Car"/>
    <w:basedOn w:val="Policepardfaut"/>
    <w:link w:val="Titre1"/>
    <w:uiPriority w:val="9"/>
    <w:rsid w:val="009922A4"/>
    <w:rPr>
      <w:rFonts w:ascii="Arial" w:eastAsiaTheme="majorEastAsia" w:hAnsi="Arial" w:cstheme="majorBidi"/>
      <w:b/>
      <w:kern w:val="2"/>
      <w:szCs w:val="40"/>
      <w:lang w:eastAsia="en-US"/>
      <w14:ligatures w14:val="standardContextual"/>
    </w:rPr>
  </w:style>
  <w:style w:type="character" w:customStyle="1" w:styleId="Titre2Car">
    <w:name w:val="Titre 2 Car"/>
    <w:basedOn w:val="Policepardfaut"/>
    <w:link w:val="Titre2"/>
    <w:uiPriority w:val="9"/>
    <w:rsid w:val="009922A4"/>
    <w:rPr>
      <w:rFonts w:ascii="Arial" w:eastAsiaTheme="majorEastAsia" w:hAnsi="Arial" w:cstheme="majorBidi"/>
      <w:i/>
      <w:kern w:val="2"/>
      <w:szCs w:val="32"/>
      <w:lang w:eastAsia="en-US"/>
      <w14:ligatures w14:val="standardContextual"/>
    </w:rPr>
  </w:style>
  <w:style w:type="character" w:customStyle="1" w:styleId="Titre3Car">
    <w:name w:val="Titre 3 Car"/>
    <w:basedOn w:val="Policepardfaut"/>
    <w:link w:val="Titre3"/>
    <w:uiPriority w:val="9"/>
    <w:rsid w:val="009922A4"/>
    <w:rPr>
      <w:rFonts w:ascii="Arial" w:eastAsiaTheme="majorEastAsia" w:hAnsi="Arial" w:cstheme="majorBidi"/>
      <w:color w:val="365F91" w:themeColor="accent1" w:themeShade="BF"/>
      <w:kern w:val="2"/>
      <w:sz w:val="28"/>
      <w:szCs w:val="28"/>
      <w:lang w:eastAsia="en-US"/>
      <w14:ligatures w14:val="standardContextual"/>
    </w:rPr>
  </w:style>
  <w:style w:type="character" w:customStyle="1" w:styleId="Titre4Car">
    <w:name w:val="Titre 4 Car"/>
    <w:basedOn w:val="Policepardfaut"/>
    <w:link w:val="Titre4"/>
    <w:uiPriority w:val="9"/>
    <w:rsid w:val="009922A4"/>
    <w:rPr>
      <w:rFonts w:ascii="Arial" w:eastAsiaTheme="majorEastAsia" w:hAnsi="Arial" w:cstheme="majorBidi"/>
      <w:i/>
      <w:iCs/>
      <w:color w:val="365F91" w:themeColor="accent1" w:themeShade="BF"/>
      <w:kern w:val="2"/>
      <w:szCs w:val="24"/>
      <w:lang w:eastAsia="en-US"/>
      <w14:ligatures w14:val="standardContextual"/>
    </w:rPr>
  </w:style>
  <w:style w:type="character" w:customStyle="1" w:styleId="Titre5Car">
    <w:name w:val="Titre 5 Car"/>
    <w:basedOn w:val="Policepardfaut"/>
    <w:link w:val="Titre5"/>
    <w:uiPriority w:val="9"/>
    <w:semiHidden/>
    <w:rsid w:val="009922A4"/>
    <w:rPr>
      <w:rFonts w:ascii="Arial" w:eastAsiaTheme="majorEastAsia" w:hAnsi="Arial" w:cstheme="majorBidi"/>
      <w:color w:val="365F91" w:themeColor="accent1" w:themeShade="BF"/>
      <w:kern w:val="2"/>
      <w:szCs w:val="24"/>
      <w:lang w:eastAsia="en-US"/>
      <w14:ligatures w14:val="standardContextual"/>
    </w:rPr>
  </w:style>
  <w:style w:type="character" w:customStyle="1" w:styleId="Titre6Car">
    <w:name w:val="Titre 6 Car"/>
    <w:basedOn w:val="Policepardfaut"/>
    <w:link w:val="Titre6"/>
    <w:uiPriority w:val="9"/>
    <w:semiHidden/>
    <w:rsid w:val="009922A4"/>
    <w:rPr>
      <w:rFonts w:ascii="Arial" w:eastAsiaTheme="majorEastAsia" w:hAnsi="Arial" w:cstheme="majorBidi"/>
      <w:i/>
      <w:iCs/>
      <w:color w:val="595959" w:themeColor="text1" w:themeTint="A6"/>
      <w:kern w:val="2"/>
      <w:szCs w:val="24"/>
      <w:lang w:eastAsia="en-US"/>
      <w14:ligatures w14:val="standardContextual"/>
    </w:rPr>
  </w:style>
  <w:style w:type="character" w:customStyle="1" w:styleId="Titre7Car">
    <w:name w:val="Titre 7 Car"/>
    <w:basedOn w:val="Policepardfaut"/>
    <w:link w:val="Titre7"/>
    <w:uiPriority w:val="9"/>
    <w:semiHidden/>
    <w:rsid w:val="009922A4"/>
    <w:rPr>
      <w:rFonts w:ascii="Arial" w:eastAsiaTheme="majorEastAsia" w:hAnsi="Arial" w:cstheme="majorBidi"/>
      <w:color w:val="595959" w:themeColor="text1" w:themeTint="A6"/>
      <w:kern w:val="2"/>
      <w:szCs w:val="24"/>
      <w:lang w:eastAsia="en-US"/>
      <w14:ligatures w14:val="standardContextual"/>
    </w:rPr>
  </w:style>
  <w:style w:type="character" w:customStyle="1" w:styleId="Titre8Car">
    <w:name w:val="Titre 8 Car"/>
    <w:basedOn w:val="Policepardfaut"/>
    <w:link w:val="Titre8"/>
    <w:uiPriority w:val="9"/>
    <w:semiHidden/>
    <w:rsid w:val="009922A4"/>
    <w:rPr>
      <w:rFonts w:ascii="Arial" w:eastAsiaTheme="majorEastAsia" w:hAnsi="Arial" w:cstheme="majorBidi"/>
      <w:i/>
      <w:iCs/>
      <w:color w:val="272727" w:themeColor="text1" w:themeTint="D8"/>
      <w:kern w:val="2"/>
      <w:szCs w:val="24"/>
      <w:lang w:eastAsia="en-US"/>
      <w14:ligatures w14:val="standardContextual"/>
    </w:rPr>
  </w:style>
  <w:style w:type="character" w:customStyle="1" w:styleId="Titre9Car">
    <w:name w:val="Titre 9 Car"/>
    <w:basedOn w:val="Policepardfaut"/>
    <w:link w:val="Titre9"/>
    <w:uiPriority w:val="9"/>
    <w:semiHidden/>
    <w:rsid w:val="009922A4"/>
    <w:rPr>
      <w:rFonts w:ascii="Arial" w:eastAsiaTheme="majorEastAsia" w:hAnsi="Arial" w:cstheme="majorBidi"/>
      <w:color w:val="272727" w:themeColor="text1" w:themeTint="D8"/>
      <w:kern w:val="2"/>
      <w:szCs w:val="24"/>
      <w:lang w:eastAsia="en-US"/>
      <w14:ligatures w14:val="standardContextual"/>
    </w:rPr>
  </w:style>
  <w:style w:type="paragraph" w:styleId="Titre">
    <w:name w:val="Title"/>
    <w:basedOn w:val="Normal"/>
    <w:next w:val="Normal"/>
    <w:link w:val="TitreCar"/>
    <w:uiPriority w:val="10"/>
    <w:qFormat/>
    <w:rsid w:val="009922A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9922A4"/>
    <w:rPr>
      <w:rFonts w:asciiTheme="majorHAnsi" w:eastAsiaTheme="majorEastAsia" w:hAnsiTheme="majorHAnsi" w:cstheme="majorBidi"/>
      <w:spacing w:val="-10"/>
      <w:kern w:val="28"/>
      <w:sz w:val="56"/>
      <w:szCs w:val="56"/>
      <w:lang w:eastAsia="en-US"/>
      <w14:ligatures w14:val="standardContextual"/>
    </w:rPr>
  </w:style>
  <w:style w:type="paragraph" w:styleId="Sous-titre">
    <w:name w:val="Subtitle"/>
    <w:basedOn w:val="Normal"/>
    <w:next w:val="Normal"/>
    <w:link w:val="Sous-titreCar"/>
    <w:uiPriority w:val="11"/>
    <w:qFormat/>
    <w:rsid w:val="009922A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9922A4"/>
    <w:rPr>
      <w:rFonts w:ascii="Arial" w:eastAsiaTheme="majorEastAsia" w:hAnsi="Arial" w:cstheme="majorBidi"/>
      <w:color w:val="595959" w:themeColor="text1" w:themeTint="A6"/>
      <w:spacing w:val="15"/>
      <w:kern w:val="2"/>
      <w:sz w:val="28"/>
      <w:szCs w:val="28"/>
      <w:lang w:eastAsia="en-US"/>
      <w14:ligatures w14:val="standardContextual"/>
    </w:rPr>
  </w:style>
  <w:style w:type="paragraph" w:styleId="Citation">
    <w:name w:val="Quote"/>
    <w:basedOn w:val="Normal"/>
    <w:next w:val="Normal"/>
    <w:link w:val="CitationCar"/>
    <w:uiPriority w:val="29"/>
    <w:qFormat/>
    <w:rsid w:val="009922A4"/>
    <w:pPr>
      <w:spacing w:before="160"/>
      <w:jc w:val="center"/>
    </w:pPr>
    <w:rPr>
      <w:rFonts w:eastAsiaTheme="minorHAnsi" w:cstheme="minorBidi"/>
      <w:i/>
      <w:iCs/>
      <w:color w:val="404040" w:themeColor="text1" w:themeTint="BF"/>
      <w:kern w:val="2"/>
      <w:szCs w:val="24"/>
      <w14:ligatures w14:val="standardContextual"/>
    </w:rPr>
  </w:style>
  <w:style w:type="character" w:customStyle="1" w:styleId="CitationCar">
    <w:name w:val="Citation Car"/>
    <w:basedOn w:val="Policepardfaut"/>
    <w:link w:val="Citation"/>
    <w:uiPriority w:val="29"/>
    <w:rsid w:val="009922A4"/>
    <w:rPr>
      <w:rFonts w:ascii="Arial" w:eastAsiaTheme="minorHAnsi" w:hAnsi="Arial" w:cstheme="minorBidi"/>
      <w:i/>
      <w:iCs/>
      <w:color w:val="404040" w:themeColor="text1" w:themeTint="BF"/>
      <w:kern w:val="2"/>
      <w:szCs w:val="24"/>
      <w:lang w:eastAsia="en-US"/>
      <w14:ligatures w14:val="standardContextual"/>
    </w:rPr>
  </w:style>
  <w:style w:type="character" w:styleId="Accentuationintense">
    <w:name w:val="Intense Emphasis"/>
    <w:basedOn w:val="Policepardfaut"/>
    <w:uiPriority w:val="21"/>
    <w:qFormat/>
    <w:rsid w:val="009922A4"/>
    <w:rPr>
      <w:i/>
      <w:iCs/>
      <w:color w:val="365F91" w:themeColor="accent1" w:themeShade="BF"/>
    </w:rPr>
  </w:style>
  <w:style w:type="paragraph" w:styleId="Citationintense">
    <w:name w:val="Intense Quote"/>
    <w:basedOn w:val="Normal"/>
    <w:next w:val="Normal"/>
    <w:link w:val="CitationintenseCar"/>
    <w:uiPriority w:val="30"/>
    <w:qFormat/>
    <w:rsid w:val="009922A4"/>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szCs w:val="24"/>
      <w14:ligatures w14:val="standardContextual"/>
    </w:rPr>
  </w:style>
  <w:style w:type="character" w:customStyle="1" w:styleId="CitationintenseCar">
    <w:name w:val="Citation intense Car"/>
    <w:basedOn w:val="Policepardfaut"/>
    <w:link w:val="Citationintense"/>
    <w:uiPriority w:val="30"/>
    <w:rsid w:val="009922A4"/>
    <w:rPr>
      <w:rFonts w:ascii="Arial" w:eastAsiaTheme="minorHAnsi" w:hAnsi="Arial" w:cstheme="minorBidi"/>
      <w:i/>
      <w:iCs/>
      <w:color w:val="365F91" w:themeColor="accent1" w:themeShade="BF"/>
      <w:kern w:val="2"/>
      <w:szCs w:val="24"/>
      <w:lang w:eastAsia="en-US"/>
      <w14:ligatures w14:val="standardContextual"/>
    </w:rPr>
  </w:style>
  <w:style w:type="character" w:styleId="Rfrenceintense">
    <w:name w:val="Intense Reference"/>
    <w:basedOn w:val="Policepardfaut"/>
    <w:uiPriority w:val="32"/>
    <w:qFormat/>
    <w:rsid w:val="009922A4"/>
    <w:rPr>
      <w:b/>
      <w:bCs/>
      <w:smallCaps/>
      <w:color w:val="365F91" w:themeColor="accent1" w:themeShade="BF"/>
      <w:spacing w:val="5"/>
    </w:rPr>
  </w:style>
  <w:style w:type="character" w:styleId="Mentionnonrsolue">
    <w:name w:val="Unresolved Mention"/>
    <w:basedOn w:val="Policepardfaut"/>
    <w:uiPriority w:val="99"/>
    <w:semiHidden/>
    <w:unhideWhenUsed/>
    <w:rsid w:val="009922A4"/>
    <w:rPr>
      <w:color w:val="605E5C"/>
      <w:shd w:val="clear" w:color="auto" w:fill="E1DFDD"/>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w:basedOn w:val="Normal"/>
    <w:next w:val="Normal"/>
    <w:uiPriority w:val="99"/>
    <w:rsid w:val="009922A4"/>
    <w:pPr>
      <w:spacing w:line="240" w:lineRule="exact"/>
    </w:pPr>
    <w:rPr>
      <w:rFonts w:eastAsiaTheme="minorHAnsi" w:cstheme="minorBidi"/>
      <w:kern w:val="2"/>
      <w:szCs w:val="24"/>
      <w:vertAlign w:val="superscript"/>
      <w:lang w:val="en-US"/>
      <w14:ligatures w14:val="standardContextual"/>
    </w:rPr>
  </w:style>
  <w:style w:type="character" w:styleId="Lienhypertextesuivivisit">
    <w:name w:val="FollowedHyperlink"/>
    <w:basedOn w:val="Policepardfaut"/>
    <w:uiPriority w:val="99"/>
    <w:semiHidden/>
    <w:unhideWhenUsed/>
    <w:rsid w:val="009922A4"/>
    <w:rPr>
      <w:color w:val="800080" w:themeColor="followedHyperlink"/>
      <w:u w:val="single"/>
    </w:rPr>
  </w:style>
  <w:style w:type="paragraph" w:customStyle="1" w:styleId="Default">
    <w:name w:val="Default"/>
    <w:rsid w:val="009922A4"/>
    <w:pPr>
      <w:autoSpaceDE w:val="0"/>
      <w:autoSpaceDN w:val="0"/>
      <w:adjustRightInd w:val="0"/>
    </w:pPr>
    <w:rPr>
      <w:rFonts w:ascii="Arial" w:eastAsiaTheme="minorHAnsi" w:hAnsi="Arial" w:cs="Arial"/>
      <w:color w:val="000000"/>
      <w:sz w:val="24"/>
      <w:szCs w:val="24"/>
      <w:lang w:val="fr-FR" w:eastAsia="en-US"/>
      <w14:ligatures w14:val="standardContextual"/>
    </w:rPr>
  </w:style>
  <w:style w:type="paragraph" w:styleId="En-ttedetabledesmatires">
    <w:name w:val="TOC Heading"/>
    <w:basedOn w:val="Titre1"/>
    <w:next w:val="Normal"/>
    <w:uiPriority w:val="39"/>
    <w:unhideWhenUsed/>
    <w:qFormat/>
    <w:rsid w:val="004D3230"/>
    <w:pPr>
      <w:spacing w:before="240" w:line="259" w:lineRule="auto"/>
      <w:outlineLvl w:val="9"/>
    </w:pPr>
    <w:rPr>
      <w:rFonts w:asciiTheme="majorHAnsi" w:hAnsiTheme="majorHAnsi"/>
      <w:b w:val="0"/>
      <w:color w:val="365F91" w:themeColor="accent1" w:themeShade="BF"/>
      <w:kern w:val="0"/>
      <w:sz w:val="32"/>
      <w:szCs w:val="32"/>
      <w:lang w:val="en-US"/>
      <w14:ligatures w14:val="none"/>
    </w:rPr>
  </w:style>
  <w:style w:type="paragraph" w:styleId="TM1">
    <w:name w:val="toc 1"/>
    <w:basedOn w:val="Normal"/>
    <w:next w:val="Normal"/>
    <w:autoRedefine/>
    <w:uiPriority w:val="39"/>
    <w:unhideWhenUsed/>
    <w:rsid w:val="004D3230"/>
    <w:pPr>
      <w:spacing w:after="100"/>
      <w:jc w:val="both"/>
    </w:pPr>
    <w:rPr>
      <w:rFonts w:eastAsiaTheme="minorHAnsi" w:cstheme="minorBidi"/>
      <w:kern w:val="2"/>
      <w:szCs w:val="24"/>
      <w14:ligatures w14:val="standardContextual"/>
    </w:rPr>
  </w:style>
  <w:style w:type="paragraph" w:styleId="TM2">
    <w:name w:val="toc 2"/>
    <w:basedOn w:val="Normal"/>
    <w:next w:val="Normal"/>
    <w:autoRedefine/>
    <w:uiPriority w:val="39"/>
    <w:unhideWhenUsed/>
    <w:rsid w:val="004D3230"/>
    <w:pPr>
      <w:spacing w:after="100"/>
      <w:ind w:left="200"/>
      <w:jc w:val="both"/>
    </w:pPr>
    <w:rPr>
      <w:rFonts w:eastAsiaTheme="minorHAnsi" w:cstheme="minorBid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63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urojust.europa.eu/national-jurisprudence-database-core-international-crimes?country_of_trial=France" TargetMode="External"/><Relationship Id="rId13" Type="http://schemas.openxmlformats.org/officeDocument/2006/relationships/hyperlink" Target="https://ihl-databases.icrc.org/en/customary-ihl/v1/rule157" TargetMode="External"/><Relationship Id="rId18" Type="http://schemas.openxmlformats.org/officeDocument/2006/relationships/hyperlink" Target="https://ks.echr.coe.int/web/echr-ks/article-6-criminal" TargetMode="External"/><Relationship Id="rId26" Type="http://schemas.openxmlformats.org/officeDocument/2006/relationships/hyperlink" Target="https://www.europol.europa.eu/how-we-work/services-support" TargetMode="External"/><Relationship Id="rId3" Type="http://schemas.openxmlformats.org/officeDocument/2006/relationships/hyperlink" Target="https://interlinkagesdatabase.icct.nl/" TargetMode="External"/><Relationship Id="rId21" Type="http://schemas.openxmlformats.org/officeDocument/2006/relationships/hyperlink" Target="https://ihl-databases.icrc.org/en/customary-ihl/v1" TargetMode="External"/><Relationship Id="rId7" Type="http://schemas.openxmlformats.org/officeDocument/2006/relationships/hyperlink" Target="https://www.un-ilibrary.org/content/books/9789211067996" TargetMode="External"/><Relationship Id="rId12" Type="http://schemas.openxmlformats.org/officeDocument/2006/relationships/hyperlink" Target="https://eur-lex.europa.eu/legal-content/EN/TXT/?uri=CELEX:02000A0712(01)-20000712" TargetMode="External"/><Relationship Id="rId17" Type="http://schemas.openxmlformats.org/officeDocument/2006/relationships/hyperlink" Target="https://www.coe.int/en/web/kyiv/fostering-human-rights-in-the-criminal-justice-system-in-ukraine" TargetMode="External"/><Relationship Id="rId25" Type="http://schemas.openxmlformats.org/officeDocument/2006/relationships/hyperlink" Target="https://www.eurojust.europa.eu/judicial-cooperation/instruments/joint-investigation-teams" TargetMode="External"/><Relationship Id="rId2" Type="http://schemas.openxmlformats.org/officeDocument/2006/relationships/hyperlink" Target="https://icct.nl/publication/improving-prospects-prosecuting-terrorists-core-international-crimes-committed-syria" TargetMode="External"/><Relationship Id="rId16" Type="http://schemas.openxmlformats.org/officeDocument/2006/relationships/hyperlink" Target="https://ks.echr.coe.int/web/echr-ks/article-2" TargetMode="External"/><Relationship Id="rId20" Type="http://schemas.openxmlformats.org/officeDocument/2006/relationships/hyperlink" Target="https://international-review.icrc.org/articles/international-humanitarian-law-principled-humanitarian-action-916" TargetMode="External"/><Relationship Id="rId29" Type="http://schemas.openxmlformats.org/officeDocument/2006/relationships/hyperlink" Target="https://www.eurojust.europa.eu/core-international-crimes-evidence-database" TargetMode="External"/><Relationship Id="rId1" Type="http://schemas.openxmlformats.org/officeDocument/2006/relationships/hyperlink" Target="https://pace.coe.int/en/files/31550/html" TargetMode="External"/><Relationship Id="rId6" Type="http://schemas.openxmlformats.org/officeDocument/2006/relationships/hyperlink" Target="https://www.eurojust.europa.eu/national-jurisprudence-database-core-international-crimes" TargetMode="External"/><Relationship Id="rId11" Type="http://schemas.openxmlformats.org/officeDocument/2006/relationships/hyperlink" Target="https://hudoc.echr.coe.int/eng" TargetMode="External"/><Relationship Id="rId24" Type="http://schemas.openxmlformats.org/officeDocument/2006/relationships/hyperlink" Target="https://www.gov.si/en/registries/projects/mla-initiative/" TargetMode="External"/><Relationship Id="rId32" Type="http://schemas.openxmlformats.org/officeDocument/2006/relationships/hyperlink" Target="https://www.eurojust.europa.eu/judicial-cooperation/practitioner-networks/genocide-prosecution-network" TargetMode="External"/><Relationship Id="rId5" Type="http://schemas.openxmlformats.org/officeDocument/2006/relationships/hyperlink" Target="https://www.eurojust.europa.eu/publication/cumulative-prosecutions-foreign-terrorist-fighters-core-international-crimes-terrorism-related-offences" TargetMode="External"/><Relationship Id="rId15" Type="http://schemas.openxmlformats.org/officeDocument/2006/relationships/hyperlink" Target="https://ihl-databases.icrc.org/en/customary-ihl/v1/rule158" TargetMode="External"/><Relationship Id="rId23" Type="http://schemas.openxmlformats.org/officeDocument/2006/relationships/hyperlink" Target="https://www.un-ilibrary.org/content/books/9789210474252s001-c008" TargetMode="External"/><Relationship Id="rId28" Type="http://schemas.openxmlformats.org/officeDocument/2006/relationships/hyperlink" Target="https://iiim.un.org/" TargetMode="External"/><Relationship Id="rId10" Type="http://schemas.openxmlformats.org/officeDocument/2006/relationships/hyperlink" Target="https://www.icrc.org/en/document/icrc-opinion-paper-how-term-armed-conflict-defined-international-humanitarian-law" TargetMode="External"/><Relationship Id="rId19" Type="http://schemas.openxmlformats.org/officeDocument/2006/relationships/hyperlink" Target="https://ihl-databases.icrc.org/en/customary-ihl/v1/rule159" TargetMode="External"/><Relationship Id="rId31" Type="http://schemas.openxmlformats.org/officeDocument/2006/relationships/hyperlink" Target="https://eur-lex.europa.eu/eli/reg/2023/2131/oj/eng" TargetMode="External"/><Relationship Id="rId4" Type="http://schemas.openxmlformats.org/officeDocument/2006/relationships/hyperlink" Target="https://www.eurojust.europa.eu/publication/cumulative-prosecution-foreign-terrorist-fighters-core-international-crimes-terrorism-related" TargetMode="External"/><Relationship Id="rId9" Type="http://schemas.openxmlformats.org/officeDocument/2006/relationships/hyperlink" Target="https://treaties.un.org/pages/ViewDetails.aspx?src=TREATY&amp;mtdsg_no=XVIII-11&amp;chapter=18&amp;clang=_en" TargetMode="External"/><Relationship Id="rId14" Type="http://schemas.openxmlformats.org/officeDocument/2006/relationships/hyperlink" Target="https://ks.echr.coe.int/web/echr-ks/article-4-protocol-7" TargetMode="External"/><Relationship Id="rId22" Type="http://schemas.openxmlformats.org/officeDocument/2006/relationships/hyperlink" Target="https://www.un-ilibrary.org/content/books/9789211067996" TargetMode="External"/><Relationship Id="rId27" Type="http://schemas.openxmlformats.org/officeDocument/2006/relationships/hyperlink" Target="https://docs.un.org/a/res/79/243" TargetMode="External"/><Relationship Id="rId30" Type="http://schemas.openxmlformats.org/officeDocument/2006/relationships/hyperlink" Target="https://eur-lex.europa.eu/eli/reg/2022/838/oj"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olnavin_k\ND%20Office%20Echo\DE-6OR07Y05\E_CMAbridgedReport-Template%202778-3810-1763%20v.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9F22C9C-A26D-427A-84F6-72BA03D3A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E_CMAbridgedReport-Template 2778-3810-1763 v.6</Template>
  <TotalTime>24</TotalTime>
  <Pages>14</Pages>
  <Words>9810</Words>
  <Characters>53959</Characters>
  <Application>Microsoft Office Word</Application>
  <DocSecurity>0</DocSecurity>
  <Lines>449</Lines>
  <Paragraphs>127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63642</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KAMOLNAVIN Kamoljit</dc:creator>
  <cp:lastModifiedBy>FREYD Natacha</cp:lastModifiedBy>
  <cp:revision>7</cp:revision>
  <cp:lastPrinted>2026-08-20T03:18:00Z</cp:lastPrinted>
  <dcterms:created xsi:type="dcterms:W3CDTF">2026-10-01T13:28:00Z</dcterms:created>
  <dcterms:modified xsi:type="dcterms:W3CDTF">2026-10-06T14:22:00Z</dcterms:modified>
</cp:coreProperties>
</file>