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margin" w:tblpY="2229"/>
        <w:tblOverlap w:val="never"/>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466"/>
        <w:gridCol w:w="2466"/>
        <w:gridCol w:w="2467"/>
        <w:gridCol w:w="2467"/>
      </w:tblGrid>
      <w:tr w:rsidR="00E475F9" w:rsidRPr="00841A54" w14:paraId="684978FD" w14:textId="77777777" w:rsidTr="00491E67">
        <w:trPr>
          <w:trHeight w:val="737"/>
        </w:trPr>
        <w:tc>
          <w:tcPr>
            <w:tcW w:w="1250" w:type="pct"/>
            <w:vAlign w:val="center"/>
          </w:tcPr>
          <w:p w14:paraId="76B3D2A8" w14:textId="77777777" w:rsidR="002D11B8" w:rsidRPr="00841A54" w:rsidRDefault="004728F8" w:rsidP="00491E67">
            <w:pPr>
              <w:widowControl w:val="0"/>
              <w:autoSpaceDE w:val="0"/>
              <w:autoSpaceDN w:val="0"/>
              <w:adjustRightInd w:val="0"/>
              <w:rPr>
                <w:rFonts w:ascii="Arial Narrow" w:hAnsi="Arial Narrow" w:cs="Calibri"/>
                <w:szCs w:val="20"/>
              </w:rPr>
            </w:pPr>
            <w:r w:rsidRPr="00841A54">
              <w:rPr>
                <w:rFonts w:ascii="Arial Narrow" w:hAnsi="Arial Narrow" w:cs="Calibri"/>
                <w:b/>
                <w:bCs/>
                <w:szCs w:val="20"/>
              </w:rPr>
              <w:t>DÉLÉGUÉS DES MINISTRES</w:t>
            </w:r>
          </w:p>
        </w:tc>
        <w:tc>
          <w:tcPr>
            <w:tcW w:w="1250" w:type="pct"/>
            <w:vAlign w:val="center"/>
          </w:tcPr>
          <w:p w14:paraId="6BA58099" w14:textId="77777777" w:rsidR="002D11B8" w:rsidRPr="00841A54" w:rsidRDefault="003D6AC2" w:rsidP="00491E67">
            <w:pPr>
              <w:ind w:left="-108"/>
              <w:jc w:val="center"/>
              <w:rPr>
                <w:rFonts w:ascii="Arial Narrow" w:hAnsi="Arial Narrow" w:cs="Arial"/>
                <w:szCs w:val="20"/>
              </w:rPr>
            </w:pPr>
            <w:r w:rsidRPr="00841A54">
              <w:rPr>
                <w:rFonts w:ascii="Arial Narrow" w:hAnsi="Arial Narrow" w:cs="Calibri"/>
                <w:szCs w:val="20"/>
              </w:rPr>
              <w:t>Documents</w:t>
            </w:r>
            <w:r w:rsidR="004728F8" w:rsidRPr="00841A54">
              <w:rPr>
                <w:rFonts w:ascii="Arial Narrow" w:hAnsi="Arial Narrow" w:cs="Calibri"/>
                <w:szCs w:val="20"/>
              </w:rPr>
              <w:t xml:space="preserve"> CM</w:t>
            </w:r>
          </w:p>
        </w:tc>
        <w:tc>
          <w:tcPr>
            <w:tcW w:w="1250" w:type="pct"/>
            <w:vAlign w:val="center"/>
          </w:tcPr>
          <w:p w14:paraId="47435A4E" w14:textId="4D59269B" w:rsidR="002D11B8" w:rsidRPr="001664AA" w:rsidRDefault="001664AA" w:rsidP="00491E67">
            <w:pPr>
              <w:ind w:left="-40"/>
              <w:jc w:val="center"/>
              <w:rPr>
                <w:rFonts w:ascii="Arial Narrow" w:hAnsi="Arial Narrow" w:cs="Arial"/>
                <w:b/>
                <w:sz w:val="24"/>
                <w:szCs w:val="24"/>
              </w:rPr>
            </w:pPr>
            <w:proofErr w:type="gramStart"/>
            <w:r w:rsidRPr="001664AA">
              <w:rPr>
                <w:rFonts w:ascii="Arial Narrow" w:hAnsi="Arial Narrow" w:cs="Calibri"/>
                <w:b/>
                <w:sz w:val="24"/>
                <w:szCs w:val="24"/>
              </w:rPr>
              <w:t>CM(</w:t>
            </w:r>
            <w:proofErr w:type="gramEnd"/>
            <w:r w:rsidRPr="001664AA">
              <w:rPr>
                <w:rFonts w:ascii="Arial Narrow" w:hAnsi="Arial Narrow" w:cs="Calibri"/>
                <w:b/>
                <w:sz w:val="24"/>
                <w:szCs w:val="24"/>
              </w:rPr>
              <w:t>2026)131-add2final</w:t>
            </w:r>
          </w:p>
        </w:tc>
        <w:tc>
          <w:tcPr>
            <w:tcW w:w="1250" w:type="pct"/>
            <w:vAlign w:val="center"/>
          </w:tcPr>
          <w:p w14:paraId="7DEC2B63" w14:textId="13AD501E" w:rsidR="002D11B8" w:rsidRPr="00841A54" w:rsidRDefault="0024682C" w:rsidP="00491E67">
            <w:pPr>
              <w:jc w:val="right"/>
              <w:rPr>
                <w:rFonts w:ascii="Arial Narrow" w:hAnsi="Arial Narrow" w:cs="Arial"/>
                <w:sz w:val="16"/>
                <w:szCs w:val="16"/>
              </w:rPr>
            </w:pPr>
            <w:r>
              <w:rPr>
                <w:rFonts w:ascii="Arial Narrow" w:hAnsi="Arial Narrow" w:cs="Calibri"/>
                <w:sz w:val="16"/>
                <w:szCs w:val="16"/>
              </w:rPr>
              <w:t>7 octobre</w:t>
            </w:r>
            <w:r w:rsidR="001D3B8E" w:rsidRPr="00841A54">
              <w:rPr>
                <w:rFonts w:ascii="Arial Narrow" w:hAnsi="Arial Narrow" w:cs="Calibri"/>
                <w:sz w:val="16"/>
                <w:szCs w:val="16"/>
              </w:rPr>
              <w:t xml:space="preserve"> </w:t>
            </w:r>
            <w:r w:rsidR="00BF1736" w:rsidRPr="00841A54">
              <w:rPr>
                <w:rFonts w:ascii="Arial Narrow" w:hAnsi="Arial Narrow" w:cs="Calibri"/>
                <w:sz w:val="16"/>
                <w:szCs w:val="16"/>
              </w:rPr>
              <w:t>20</w:t>
            </w:r>
            <w:r w:rsidR="001D3B8E" w:rsidRPr="00841A54">
              <w:rPr>
                <w:rFonts w:ascii="Arial Narrow" w:hAnsi="Arial Narrow" w:cs="Calibri"/>
                <w:sz w:val="16"/>
                <w:szCs w:val="16"/>
              </w:rPr>
              <w:t>26</w:t>
            </w:r>
          </w:p>
        </w:tc>
      </w:tr>
    </w:tbl>
    <w:p w14:paraId="65B35DD8" w14:textId="77777777" w:rsidR="00D554E6" w:rsidRPr="00841A54" w:rsidRDefault="00D554E6" w:rsidP="000F4CF2">
      <w:pPr>
        <w:framePr w:hSpace="141" w:wrap="around" w:vAnchor="text" w:hAnchor="page" w:x="1630" w:y="231"/>
        <w:rPr>
          <w:rFonts w:cs="Arial"/>
          <w:sz w:val="2"/>
          <w:szCs w:val="2"/>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866"/>
      </w:tblGrid>
      <w:tr w:rsidR="00E24C57" w:rsidRPr="00841A54" w14:paraId="0C76EACB" w14:textId="77777777" w:rsidTr="00491E67">
        <w:tc>
          <w:tcPr>
            <w:tcW w:w="9399" w:type="dxa"/>
            <w:tcMar>
              <w:top w:w="227" w:type="dxa"/>
              <w:bottom w:w="227" w:type="dxa"/>
            </w:tcMar>
            <w:vAlign w:val="center"/>
          </w:tcPr>
          <w:p w14:paraId="44CC991E" w14:textId="4FB82A19" w:rsidR="001D3B8E" w:rsidRPr="00841A54" w:rsidRDefault="001D3B8E" w:rsidP="001D3B8E">
            <w:pPr>
              <w:widowControl w:val="0"/>
              <w:autoSpaceDE w:val="0"/>
              <w:autoSpaceDN w:val="0"/>
              <w:adjustRightInd w:val="0"/>
              <w:rPr>
                <w:rFonts w:ascii="Arial Narrow" w:hAnsi="Arial Narrow" w:cs="Calibri"/>
                <w:b/>
                <w:bCs/>
                <w:sz w:val="32"/>
                <w:szCs w:val="32"/>
              </w:rPr>
            </w:pPr>
            <w:r w:rsidRPr="00841A54">
              <w:rPr>
                <w:rFonts w:ascii="Arial Narrow" w:hAnsi="Arial Narrow" w:cs="Calibri"/>
                <w:b/>
                <w:bCs/>
                <w:sz w:val="29"/>
                <w:szCs w:val="29"/>
              </w:rPr>
              <w:t>157</w:t>
            </w:r>
            <w:r w:rsidR="00A44E46" w:rsidRPr="00841A54">
              <w:rPr>
                <w:rFonts w:ascii="Arial Narrow" w:hAnsi="Arial Narrow" w:cs="Calibri"/>
                <w:b/>
                <w:bCs/>
                <w:sz w:val="29"/>
                <w:szCs w:val="29"/>
              </w:rPr>
              <w:t>1</w:t>
            </w:r>
            <w:r w:rsidRPr="00841A54">
              <w:rPr>
                <w:rFonts w:ascii="Arial Narrow" w:hAnsi="Arial Narrow" w:cs="Calibri"/>
                <w:b/>
                <w:bCs/>
                <w:sz w:val="32"/>
                <w:szCs w:val="32"/>
                <w:vertAlign w:val="superscript"/>
              </w:rPr>
              <w:t>e</w:t>
            </w:r>
            <w:r w:rsidRPr="00841A54">
              <w:rPr>
                <w:rFonts w:ascii="Arial Narrow" w:hAnsi="Arial Narrow" w:cs="Calibri"/>
                <w:b/>
                <w:bCs/>
                <w:sz w:val="32"/>
                <w:szCs w:val="32"/>
              </w:rPr>
              <w:t xml:space="preserve"> réunion, </w:t>
            </w:r>
            <w:r w:rsidR="00560DC9" w:rsidRPr="00841A54">
              <w:rPr>
                <w:rFonts w:ascii="Arial Narrow" w:hAnsi="Arial Narrow" w:cs="Calibri"/>
                <w:b/>
                <w:bCs/>
                <w:sz w:val="32"/>
                <w:szCs w:val="32"/>
              </w:rPr>
              <w:t>7</w:t>
            </w:r>
            <w:r w:rsidR="00A44E46" w:rsidRPr="00841A54">
              <w:rPr>
                <w:rFonts w:ascii="Arial Narrow" w:hAnsi="Arial Narrow" w:cs="Calibri"/>
                <w:b/>
                <w:bCs/>
                <w:sz w:val="32"/>
                <w:szCs w:val="32"/>
              </w:rPr>
              <w:t xml:space="preserve"> octobre</w:t>
            </w:r>
            <w:r w:rsidRPr="00841A54">
              <w:rPr>
                <w:rFonts w:ascii="Arial Narrow" w:hAnsi="Arial Narrow" w:cs="Calibri"/>
                <w:b/>
                <w:bCs/>
                <w:sz w:val="32"/>
                <w:szCs w:val="32"/>
              </w:rPr>
              <w:t xml:space="preserve"> 2026</w:t>
            </w:r>
          </w:p>
          <w:p w14:paraId="781AFB12" w14:textId="77777777" w:rsidR="001D3B8E" w:rsidRPr="00841A54" w:rsidRDefault="001D3B8E" w:rsidP="001D3B8E">
            <w:pPr>
              <w:rPr>
                <w:rFonts w:ascii="Arial Narrow" w:hAnsi="Arial Narrow" w:cs="Calibri"/>
                <w:sz w:val="22"/>
              </w:rPr>
            </w:pPr>
            <w:r w:rsidRPr="00841A54">
              <w:rPr>
                <w:rFonts w:ascii="Arial Narrow" w:hAnsi="Arial Narrow" w:cs="Calibri"/>
                <w:sz w:val="22"/>
              </w:rPr>
              <w:t>10 Questions juridiques</w:t>
            </w:r>
          </w:p>
          <w:p w14:paraId="3E1EE650" w14:textId="77777777" w:rsidR="001D3B8E" w:rsidRPr="00841A54" w:rsidRDefault="001D3B8E" w:rsidP="001D3B8E">
            <w:pPr>
              <w:rPr>
                <w:rFonts w:ascii="Arial Narrow" w:hAnsi="Arial Narrow" w:cs="Calibri"/>
                <w:i/>
                <w:szCs w:val="20"/>
              </w:rPr>
            </w:pPr>
            <w:r w:rsidRPr="00841A54">
              <w:rPr>
                <w:rFonts w:ascii="Arial Narrow" w:hAnsi="Arial Narrow" w:cs="Calibri"/>
                <w:i/>
                <w:szCs w:val="20"/>
              </w:rPr>
              <w:t xml:space="preserve"> </w:t>
            </w:r>
          </w:p>
          <w:p w14:paraId="420F5108" w14:textId="0D90C938" w:rsidR="00A44E46" w:rsidRPr="00841A54" w:rsidRDefault="001D3B8E" w:rsidP="00A44E46">
            <w:pPr>
              <w:rPr>
                <w:rFonts w:ascii="Arial Narrow" w:hAnsi="Arial Narrow" w:cs="Calibri"/>
                <w:b/>
                <w:sz w:val="26"/>
                <w:szCs w:val="26"/>
              </w:rPr>
            </w:pPr>
            <w:r w:rsidRPr="00443A05">
              <w:rPr>
                <w:rFonts w:ascii="Arial Narrow" w:hAnsi="Arial Narrow" w:cs="Calibri"/>
                <w:b/>
                <w:sz w:val="28"/>
                <w:szCs w:val="28"/>
              </w:rPr>
              <w:t>10.</w:t>
            </w:r>
            <w:r w:rsidR="00443A05" w:rsidRPr="00443A05">
              <w:rPr>
                <w:rFonts w:ascii="Arial Narrow" w:hAnsi="Arial Narrow" w:cs="Calibri"/>
                <w:b/>
                <w:sz w:val="28"/>
                <w:szCs w:val="28"/>
              </w:rPr>
              <w:t>3</w:t>
            </w:r>
            <w:r w:rsidRPr="00841A54">
              <w:rPr>
                <w:rFonts w:ascii="Arial Narrow" w:hAnsi="Arial Narrow" w:cs="Calibri"/>
                <w:b/>
                <w:sz w:val="28"/>
                <w:szCs w:val="28"/>
              </w:rPr>
              <w:t xml:space="preserve"> </w:t>
            </w:r>
            <w:r w:rsidR="00A44E46" w:rsidRPr="00841A54">
              <w:rPr>
                <w:rFonts w:ascii="Arial Narrow" w:hAnsi="Arial Narrow" w:cs="Calibri"/>
                <w:b/>
                <w:sz w:val="26"/>
                <w:szCs w:val="26"/>
              </w:rPr>
              <w:t>Comité du Conseil de l’Europe de lutte contre le terrorisme (CDCT)</w:t>
            </w:r>
          </w:p>
          <w:p w14:paraId="1D08FD34" w14:textId="1CE4A48C" w:rsidR="005811BC" w:rsidRPr="00841A54" w:rsidRDefault="005811BC" w:rsidP="00A44E46">
            <w:pPr>
              <w:rPr>
                <w:rFonts w:ascii="Arial Narrow" w:hAnsi="Arial Narrow" w:cs="Calibri"/>
                <w:sz w:val="22"/>
              </w:rPr>
            </w:pPr>
            <w:r w:rsidRPr="00841A54">
              <w:rPr>
                <w:rFonts w:ascii="Arial Narrow" w:hAnsi="Arial Narrow" w:cs="Calibri"/>
                <w:sz w:val="22"/>
              </w:rPr>
              <w:t>b</w:t>
            </w:r>
            <w:r w:rsidR="00A44E46" w:rsidRPr="00841A54">
              <w:rPr>
                <w:rFonts w:ascii="Arial Narrow" w:hAnsi="Arial Narrow" w:cs="Calibri"/>
                <w:sz w:val="22"/>
              </w:rPr>
              <w:t>.</w:t>
            </w:r>
            <w:r w:rsidR="007573BA">
              <w:rPr>
                <w:rFonts w:ascii="Arial Narrow" w:hAnsi="Arial Narrow" w:cs="Calibri"/>
                <w:sz w:val="22"/>
              </w:rPr>
              <w:t xml:space="preserve"> </w:t>
            </w:r>
            <w:r w:rsidRPr="00841A54">
              <w:rPr>
                <w:rFonts w:ascii="Arial Narrow" w:hAnsi="Arial Narrow" w:cs="Calibri"/>
                <w:sz w:val="22"/>
              </w:rPr>
              <w:t xml:space="preserve">Recommandation </w:t>
            </w:r>
            <w:bookmarkStart w:id="0" w:name="_ML_000000000001_VALID"/>
            <w:r w:rsidR="001664AA" w:rsidRPr="001664AA">
              <w:rPr>
                <w:rFonts w:ascii="Arial Narrow" w:hAnsi="Arial Narrow" w:cs="Calibri"/>
                <w:sz w:val="22"/>
              </w:rPr>
              <w:fldChar w:fldCharType="begin"/>
            </w:r>
            <w:r w:rsidR="001664AA" w:rsidRPr="001664AA">
              <w:rPr>
                <w:rFonts w:ascii="Arial Narrow" w:hAnsi="Arial Narrow" w:cs="Calibri"/>
                <w:sz w:val="22"/>
              </w:rPr>
              <w:instrText>HYPERLINK "https://search.coe.int/cm/fre#%7B%22CoEReference%22:[%22CM/Rec(2026)13%22],%22CoELanguageId%22:[%22fre%22],%22CoECollection%22:[%22COE_DOC%22],%22po%22:%7B%22ref%22:%22=%22%7D%7D" \o "Recommandation du Comité des Ministres aux États membres sur la poursuite des infractions terroristes, des violations graves du droit international humanitaire et des autres crimes internationaux les plus graves commis dans le cadre de conflits armés non internationaux (adoptée par le Comité des Ministres le 7 octobre 2026, lors de la 1571e réunion des Délégués des Ministres)"</w:instrText>
            </w:r>
            <w:r w:rsidR="001664AA" w:rsidRPr="001664AA">
              <w:rPr>
                <w:rFonts w:ascii="Arial Narrow" w:hAnsi="Arial Narrow" w:cs="Calibri"/>
                <w:sz w:val="22"/>
              </w:rPr>
            </w:r>
            <w:r w:rsidR="001664AA" w:rsidRPr="001664AA">
              <w:rPr>
                <w:rFonts w:ascii="Arial Narrow" w:hAnsi="Arial Narrow" w:cs="Calibri"/>
                <w:sz w:val="22"/>
              </w:rPr>
              <w:fldChar w:fldCharType="separate"/>
            </w:r>
            <w:bookmarkEnd w:id="0"/>
            <w:r w:rsidR="001664AA" w:rsidRPr="001664AA">
              <w:rPr>
                <w:rStyle w:val="Lienhypertexte"/>
                <w:rFonts w:ascii="Arial Narrow" w:hAnsi="Arial Narrow" w:cs="Calibri"/>
                <w:sz w:val="22"/>
              </w:rPr>
              <w:t>CM/Rec(2026)13</w:t>
            </w:r>
            <w:r w:rsidR="001664AA" w:rsidRPr="001664AA">
              <w:rPr>
                <w:rFonts w:ascii="Arial Narrow" w:hAnsi="Arial Narrow" w:cs="Calibri"/>
                <w:sz w:val="22"/>
              </w:rPr>
              <w:fldChar w:fldCharType="end"/>
            </w:r>
            <w:r w:rsidRPr="00841A54">
              <w:rPr>
                <w:rFonts w:ascii="Arial Narrow" w:hAnsi="Arial Narrow" w:cs="Calibri"/>
                <w:sz w:val="22"/>
              </w:rPr>
              <w:t xml:space="preserve"> du Comité des Ministres aux États membres sur la poursuite des infractions terroristes, des violations graves du droit international humanitaire et des autres crimes internationaux les plus graves commis dans le cadre de conflits armés non internationaux</w:t>
            </w:r>
          </w:p>
          <w:p w14:paraId="4EF447E5" w14:textId="7AE75900" w:rsidR="000A307B" w:rsidRPr="0024682C" w:rsidRDefault="0052173E" w:rsidP="00A44E46">
            <w:pPr>
              <w:rPr>
                <w:rFonts w:ascii="Arial Narrow" w:hAnsi="Arial Narrow" w:cs="Calibri"/>
                <w:sz w:val="22"/>
              </w:rPr>
            </w:pPr>
            <w:r w:rsidRPr="00841A54">
              <w:rPr>
                <w:rFonts w:ascii="Arial Narrow" w:hAnsi="Arial Narrow" w:cs="Calibri"/>
                <w:sz w:val="22"/>
              </w:rPr>
              <w:t>Exposé des motifs</w:t>
            </w:r>
          </w:p>
        </w:tc>
      </w:tr>
    </w:tbl>
    <w:p w14:paraId="3D948AF3" w14:textId="7C158AF3" w:rsidR="00F86A21" w:rsidRPr="00537299" w:rsidRDefault="00491E67" w:rsidP="00537299">
      <w:pPr>
        <w:rPr>
          <w:rFonts w:eastAsia="Times New Roman"/>
          <w:szCs w:val="24"/>
        </w:rPr>
      </w:pPr>
      <w:r w:rsidRPr="00841A54">
        <w:rPr>
          <w:rFonts w:eastAsia="Times New Roman"/>
          <w:szCs w:val="24"/>
        </w:rPr>
        <w:t xml:space="preserve"> </w:t>
      </w:r>
    </w:p>
    <w:p w14:paraId="4D032CB0" w14:textId="77777777" w:rsidR="00421DEB" w:rsidRPr="00841A54" w:rsidRDefault="00421DEB" w:rsidP="005B7C70">
      <w:pPr>
        <w:pStyle w:val="Titre1"/>
        <w:keepNext w:val="0"/>
        <w:keepLines w:val="0"/>
        <w:widowControl w:val="0"/>
        <w:ind w:left="0" w:firstLine="0"/>
        <w:rPr>
          <w:rFonts w:cs="Arial"/>
          <w:szCs w:val="20"/>
        </w:rPr>
      </w:pPr>
      <w:bookmarkStart w:id="1" w:name="_Toc94775407"/>
      <w:bookmarkStart w:id="2" w:name="_Toc224544497"/>
      <w:r w:rsidRPr="00841A54">
        <w:rPr>
          <w:rFonts w:eastAsia="Arial" w:cs="Arial"/>
          <w:bCs/>
          <w:szCs w:val="20"/>
          <w:lang w:val="fr-FR"/>
        </w:rPr>
        <w:t>Contexte</w:t>
      </w:r>
      <w:bookmarkEnd w:id="1"/>
      <w:bookmarkEnd w:id="2"/>
    </w:p>
    <w:p w14:paraId="0DD64A63" w14:textId="77777777" w:rsidR="00421DEB" w:rsidRPr="00841A54" w:rsidRDefault="00421DEB" w:rsidP="005B7C70">
      <w:pPr>
        <w:widowControl w:val="0"/>
        <w:rPr>
          <w:rFonts w:cs="Arial"/>
          <w:szCs w:val="20"/>
        </w:rPr>
      </w:pPr>
    </w:p>
    <w:p w14:paraId="70F06166" w14:textId="77777777" w:rsidR="00421DEB" w:rsidRPr="00841A54" w:rsidRDefault="00421DEB" w:rsidP="005B7C70">
      <w:pPr>
        <w:pStyle w:val="Paragraphedeliste"/>
        <w:widowControl w:val="0"/>
        <w:numPr>
          <w:ilvl w:val="0"/>
          <w:numId w:val="43"/>
        </w:numPr>
        <w:contextualSpacing w:val="0"/>
        <w:rPr>
          <w:rFonts w:cs="Arial"/>
          <w:szCs w:val="20"/>
        </w:rPr>
      </w:pPr>
      <w:bookmarkStart w:id="3" w:name="_Hlk217224058"/>
      <w:r w:rsidRPr="00841A54">
        <w:rPr>
          <w:rFonts w:eastAsia="Arial" w:cs="Arial"/>
          <w:szCs w:val="20"/>
        </w:rPr>
        <w:t xml:space="preserve">Le terrorisme, sous toutes ses formes et manifestations, constitue l’une des menaces les plus graves pour la paix et la sécurité internationales. Les États membres et leurs autorités compétentes </w:t>
      </w:r>
      <w:proofErr w:type="gramStart"/>
      <w:r w:rsidRPr="00841A54">
        <w:rPr>
          <w:rFonts w:cs="Arial"/>
          <w:szCs w:val="20"/>
        </w:rPr>
        <w:t>ont</w:t>
      </w:r>
      <w:proofErr w:type="gramEnd"/>
      <w:r w:rsidRPr="00841A54">
        <w:rPr>
          <w:rFonts w:cs="Arial"/>
          <w:szCs w:val="20"/>
        </w:rPr>
        <w:t xml:space="preserve"> un rôle et une responsabilité de premier plan dans la prévention et la lutte contre le terrorisme</w:t>
      </w:r>
      <w:r w:rsidRPr="00841A54">
        <w:rPr>
          <w:rFonts w:eastAsia="Arial" w:cs="Arial"/>
          <w:szCs w:val="20"/>
        </w:rPr>
        <w:t>, ainsi que dans la poursuite des personnes placées sous leur juridiction qui commettent des infractions terroristes, y compris pendant un conflit armé.</w:t>
      </w:r>
    </w:p>
    <w:p w14:paraId="50D5710D" w14:textId="77777777" w:rsidR="00421DEB" w:rsidRPr="00841A54" w:rsidRDefault="00421DEB" w:rsidP="005B7C70">
      <w:pPr>
        <w:pStyle w:val="Paragraphedeliste"/>
        <w:widowControl w:val="0"/>
        <w:ind w:left="0"/>
        <w:contextualSpacing w:val="0"/>
        <w:rPr>
          <w:rFonts w:cs="Arial"/>
          <w:szCs w:val="20"/>
        </w:rPr>
      </w:pPr>
    </w:p>
    <w:p w14:paraId="275EE840"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Dans l’exercice de leurs attributions, les États ont été confrontés à des questions juridiques relatives à la responsabilité pénale qui découle du chevauchement entre les conflits armés et les activités terroristes. Ces questions sont apparues de manière flagrante dans le cadre du conflit armé en Syrie et en Irak, en ce qui concerne le retour et la relocalisation des combattants terroristes étrangers soupçonnés d’avoir participé aux atrocités commises dans ce contexte. </w:t>
      </w:r>
    </w:p>
    <w:p w14:paraId="7F00A1A2" w14:textId="77777777" w:rsidR="00421DEB" w:rsidRPr="00841A54" w:rsidRDefault="00421DEB" w:rsidP="005B7C70">
      <w:pPr>
        <w:pStyle w:val="Paragraphedeliste"/>
        <w:widowControl w:val="0"/>
        <w:contextualSpacing w:val="0"/>
        <w:rPr>
          <w:rFonts w:cs="Arial"/>
          <w:szCs w:val="20"/>
        </w:rPr>
      </w:pPr>
    </w:p>
    <w:p w14:paraId="5645C181"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cs="Arial"/>
          <w:szCs w:val="20"/>
        </w:rPr>
        <w:t>Le fait que certains groupes désignés comme terroristes ou impliqués dans des actes de terrorisme, tels que l'EIIL (Daech), puissent également commettre des actes de violence en tant que groupes armés non étatiques a conduit à l’application des cadres juridiques de lutte contre le terrorisme dans des situations de conflit armé, ce qui a soulevé la question de l'interaction entre ces cadres juridiques et le droit international humanitaire (DIH) ainsi que celle des chevauchements potentiels entre ces deux régimes juridiques. Ces chevauchements entre le cadre juridique régissant le terrorisme et celui régissant les conflits armés ont à leur tour posé des défis aux autorités de justice pénale en Europe lors des enquêtes et des poursuites engagées à l’encontre de combattants terroristes étrangers et d’autres individus relevant de leur juridiction pour des actes de violence commis à l’étranger. Étant donné que ces actes de violence pourraient potentiellement relever à la fois de la législation antiterroriste et du DIH, un même comportement criminel peut constituer à la fois une infraction terroriste et une violation grave du DIH ; ou bien des actes incriminés par la législation antiterroriste qui ne sont pas interdits par le DIH</w:t>
      </w:r>
      <w:r w:rsidRPr="00841A54">
        <w:rPr>
          <w:rFonts w:eastAsia="Arial" w:cs="Arial"/>
          <w:szCs w:val="20"/>
        </w:rPr>
        <w:t>.</w:t>
      </w:r>
    </w:p>
    <w:p w14:paraId="4D1D633B" w14:textId="77777777" w:rsidR="00421DEB" w:rsidRPr="00841A54" w:rsidRDefault="00421DEB" w:rsidP="005B7C70">
      <w:pPr>
        <w:pStyle w:val="Paragraphedeliste"/>
        <w:widowControl w:val="0"/>
        <w:ind w:left="0"/>
        <w:contextualSpacing w:val="0"/>
        <w:rPr>
          <w:rFonts w:cs="Arial"/>
          <w:szCs w:val="20"/>
        </w:rPr>
      </w:pPr>
    </w:p>
    <w:p w14:paraId="7B74A173"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Bien qu’ils interdisent tous deux les attaques délibérées ou indiscriminées contre la population civile, les cadres de lutte contre le terrorisme et le DIH sont deux régimes juridiques distincts, avec des objectifs et des fondements différents. Une différence cruciale réside dans le fait que, dans une situation de conflit armé, certains actes de violence </w:t>
      </w:r>
      <w:r w:rsidRPr="00841A54">
        <w:rPr>
          <w:rFonts w:cs="Arial"/>
          <w:szCs w:val="20"/>
        </w:rPr>
        <w:t>ne sont pas interdits par le DIH</w:t>
      </w:r>
      <w:r w:rsidRPr="00841A54">
        <w:rPr>
          <w:rFonts w:eastAsia="Arial" w:cs="Arial"/>
          <w:szCs w:val="20"/>
        </w:rPr>
        <w:t>, tandis que tous les actes de terrorisme sont, par définition, illicites, quelles que soient les circonstances. Étant donné que le but ultime d’un conflit armé est de vaincre l’ennemi, le DIH n’interdit pas aux parties au conflit d’attaquer les objectifs militaires ou les personnes qui ne bénéficient d’aucune protection. L’interaction entre la législation antiterroriste et le DIH peut donc créer des obligations concurrentes, comme celle qui incombe aux États de traduire en justice les personnes soupçonnées de terrorisme, tout en respectant et en faisant respecter le DIH, qui prévoit notamment le respect et la protection de l’aide humanitaire impartiale, y compris des biens, des personnes et des organisations nécessaires pour ce faire, à toutes les parties au conflit armé non international ou encore qui encourage les autorités étatiques à « accorder la plus large amnistie possible aux personnes qui auront pris part au conflit armé ou qui auront été privées de liberté pour des motifs en relation avec le conflit armé, qu’elles soient internées ou détenues », après la cessation des hostilités</w:t>
      </w:r>
      <w:r w:rsidRPr="00841A54">
        <w:rPr>
          <w:rStyle w:val="Appelnotedebasdep"/>
          <w:rFonts w:eastAsia="Arial" w:cs="Arial"/>
          <w:szCs w:val="20"/>
        </w:rPr>
        <w:footnoteReference w:id="1"/>
      </w:r>
      <w:r w:rsidRPr="00841A54">
        <w:rPr>
          <w:rFonts w:eastAsia="Arial" w:cs="Arial"/>
          <w:szCs w:val="20"/>
        </w:rPr>
        <w:t>.</w:t>
      </w:r>
    </w:p>
    <w:p w14:paraId="4462C2DF" w14:textId="77777777" w:rsidR="00421DEB" w:rsidRPr="00841A54" w:rsidRDefault="00421DEB" w:rsidP="005B7C70">
      <w:pPr>
        <w:pStyle w:val="Paragraphedeliste"/>
        <w:widowControl w:val="0"/>
        <w:contextualSpacing w:val="0"/>
        <w:rPr>
          <w:rFonts w:cs="Arial"/>
          <w:szCs w:val="20"/>
        </w:rPr>
      </w:pPr>
    </w:p>
    <w:p w14:paraId="1BDAB5DD"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La coexistence d’obligations juridiques dans le cadre des deux régimes juridiques a donné lieu à différentes stratégies nationales pour poursuivre les infractions terroristes et/ou les violations graves du DIH commises dans le cadre de conflits armés. En particulier, si certaines juridictions ont adopté une approche de double qualification juridique, selon laquelle ces actes sont considérés comme relevant à la fois de la législation antiterroriste et du DIH, et ont engagé des poursuites cumulatives pour les infractions terroristes et les violations graves du DIH, cette approche s’est avérée irréalisable du fait des règles procédurales en vigueur dans d’autres juridictions, notamment celles qui ne prévoient pas ou n’ont pas encore prévu la compétence universelle dans leur législation.</w:t>
      </w:r>
    </w:p>
    <w:p w14:paraId="307F9263" w14:textId="77777777" w:rsidR="00421DEB" w:rsidRPr="00841A54" w:rsidRDefault="00421DEB" w:rsidP="005B7C70">
      <w:pPr>
        <w:pStyle w:val="Paragraphedeliste"/>
        <w:widowControl w:val="0"/>
        <w:contextualSpacing w:val="0"/>
        <w:rPr>
          <w:rFonts w:cs="Arial"/>
          <w:szCs w:val="20"/>
        </w:rPr>
      </w:pPr>
    </w:p>
    <w:p w14:paraId="291FB529"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La diversité des pratiques nationales et l’absence d’approches claires et cohérentes pour garantir la pleine responsabilité pénale en cas de violation de la législation antiterroriste et des règles du droit international humanitaire ont mis en évidence la nécessité de développer des ressources pour favoriser l’utilisation de moyens d’enquête et de stratégies de poursuites efficaces, afin de garantir le respect de l’intégrité du DIH et d’éviter les lacunes en matière d’obligation de rendre des comptes. À cet égard, l’Assemblée parlementaire du Conseil de l’Europe a appelé les États membres à « donner la priorité, lorsque cela s’avère possible, à l’engagement de poursuites </w:t>
      </w:r>
      <w:bookmarkStart w:id="4" w:name="_Hlk234683287"/>
      <w:r w:rsidRPr="00841A54">
        <w:rPr>
          <w:rFonts w:eastAsia="Arial" w:cs="Arial"/>
          <w:szCs w:val="20"/>
        </w:rPr>
        <w:t xml:space="preserve">cumulées </w:t>
      </w:r>
      <w:bookmarkEnd w:id="4"/>
      <w:r w:rsidRPr="00841A54">
        <w:rPr>
          <w:rFonts w:eastAsia="Arial" w:cs="Arial"/>
          <w:szCs w:val="20"/>
        </w:rPr>
        <w:t>à l’encontre des combattants étrangers de Daech, aussi bien pour les infractions liées au terrorisme que pour les crimes visés par le droit international comme le génocide, les crimes contre l’humanité et les crimes de guerre, […] en tenant dûment compte de la gravité et de la nature différente des infractions commises »</w:t>
      </w:r>
      <w:r w:rsidRPr="00841A54">
        <w:rPr>
          <w:rStyle w:val="Appelnotedebasdep"/>
          <w:rFonts w:cs="Arial"/>
          <w:szCs w:val="20"/>
        </w:rPr>
        <w:footnoteReference w:id="2"/>
      </w:r>
      <w:r w:rsidRPr="00841A54">
        <w:rPr>
          <w:rFonts w:eastAsia="Arial" w:cs="Arial"/>
          <w:szCs w:val="20"/>
        </w:rPr>
        <w:t>.</w:t>
      </w:r>
    </w:p>
    <w:p w14:paraId="4075AD87" w14:textId="77777777" w:rsidR="00421DEB" w:rsidRPr="00841A54" w:rsidRDefault="00421DEB" w:rsidP="005B7C70">
      <w:pPr>
        <w:widowControl w:val="0"/>
        <w:rPr>
          <w:rFonts w:cs="Arial"/>
          <w:szCs w:val="20"/>
        </w:rPr>
      </w:pPr>
    </w:p>
    <w:p w14:paraId="7D8EE064" w14:textId="77777777" w:rsidR="00421DEB" w:rsidRPr="00841A54" w:rsidRDefault="00421DEB" w:rsidP="005B7C70">
      <w:pPr>
        <w:pStyle w:val="Titre1"/>
        <w:keepNext w:val="0"/>
        <w:keepLines w:val="0"/>
        <w:widowControl w:val="0"/>
        <w:ind w:hanging="1060"/>
        <w:rPr>
          <w:rFonts w:cs="Arial"/>
          <w:szCs w:val="20"/>
        </w:rPr>
      </w:pPr>
      <w:bookmarkStart w:id="5" w:name="_Toc224544498"/>
      <w:r w:rsidRPr="00841A54">
        <w:rPr>
          <w:rFonts w:eastAsia="Arial" w:cs="Arial"/>
          <w:bCs/>
          <w:szCs w:val="20"/>
          <w:lang w:val="fr-FR"/>
        </w:rPr>
        <w:t>Observations générales</w:t>
      </w:r>
      <w:bookmarkEnd w:id="5"/>
    </w:p>
    <w:p w14:paraId="6D43600D" w14:textId="77777777" w:rsidR="00421DEB" w:rsidRPr="00841A54" w:rsidRDefault="00421DEB" w:rsidP="005B7C70">
      <w:pPr>
        <w:pStyle w:val="Paragraphedeliste"/>
        <w:widowControl w:val="0"/>
        <w:contextualSpacing w:val="0"/>
        <w:rPr>
          <w:rFonts w:cs="Arial"/>
          <w:szCs w:val="20"/>
        </w:rPr>
      </w:pPr>
    </w:p>
    <w:p w14:paraId="4CC8B926"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Dans le passé, il s’est avéré difficile d’appliquer une approche globale à l’ensemble des activités criminelles auxquelles avaient pu se livrer des personnes soupçonnées de terrorisme dans le cadre d’un conflit armé, pour plusieurs raisons, notamment les difficultés rencontrées pour obtenir des preuves d’une participation concrète à des actes qui puissent être jugées recevables par des </w:t>
      </w:r>
      <w:r w:rsidRPr="00841A54">
        <w:rPr>
          <w:rFonts w:cs="Arial"/>
          <w:szCs w:val="20"/>
        </w:rPr>
        <w:t xml:space="preserve">juridictions pénales </w:t>
      </w:r>
      <w:r w:rsidRPr="00841A54">
        <w:rPr>
          <w:rFonts w:eastAsia="Arial" w:cs="Arial"/>
          <w:szCs w:val="20"/>
        </w:rPr>
        <w:t>ou pour utiliser les informations recueillies par d’autres acteurs présents dans les zones de conflit. Sur la base de cette évaluation, le Comité du Conseil de l’Europe de lutte contre le terrorisme (CDCT) a fait de l’interaction entre le terrorisme et le droit international humanitaire, y compris les questions de responsabilité pénale pour les infractions terroristes et les violations graves du DIH, l’un de ses principaux domaines d’intervention et a pris diverses initiatives pour aider les États membres à surmonter ces difficultés.</w:t>
      </w:r>
      <w:bookmarkEnd w:id="3"/>
    </w:p>
    <w:p w14:paraId="4B73CC55" w14:textId="77777777" w:rsidR="00421DEB" w:rsidRPr="00841A54" w:rsidRDefault="00421DEB" w:rsidP="005B7C70">
      <w:pPr>
        <w:pStyle w:val="Paragraphedeliste"/>
        <w:widowControl w:val="0"/>
        <w:ind w:left="0"/>
        <w:contextualSpacing w:val="0"/>
        <w:rPr>
          <w:rFonts w:cs="Arial"/>
          <w:szCs w:val="20"/>
        </w:rPr>
      </w:pPr>
    </w:p>
    <w:p w14:paraId="3472B770"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Parmi ces initiatives, la deuxième Stratégie du Conseil de l’Europe contre le terrorisme (2023-2027) prévoit, au titre des activités de la partie « Poursuite », de « [f]</w:t>
      </w:r>
      <w:proofErr w:type="spellStart"/>
      <w:r w:rsidRPr="00841A54">
        <w:rPr>
          <w:rFonts w:eastAsia="Arial" w:cs="Arial"/>
          <w:szCs w:val="20"/>
        </w:rPr>
        <w:t>ournir</w:t>
      </w:r>
      <w:proofErr w:type="spellEnd"/>
      <w:r w:rsidRPr="00841A54">
        <w:rPr>
          <w:rFonts w:eastAsia="Arial" w:cs="Arial"/>
          <w:szCs w:val="20"/>
        </w:rPr>
        <w:t xml:space="preserve"> des orientations au moyen d’un projet de recommandation sur la poursuite des infractions terroristes et des violations graves du droit international humanitaire commises dans le cadre de conflits armés ». L’objectif de la recommandation est de « soutenir les efforts nationaux visant à dégager des approches communes et à établir des procédures légales renforcées pour poursuivre les individus soupçonnés d’avoir commis ces infractions ». Le but poursuivi est de s’assurer que « les États ont les moyens juridiques de faire traduire en justice les personnes soupçonnées d’infractions terroristes, de crimes internationaux, ou de violations du droit international humanitaire dans le cadre d’un conflit armé ».</w:t>
      </w:r>
    </w:p>
    <w:p w14:paraId="2FF4265F" w14:textId="77777777" w:rsidR="00421DEB" w:rsidRPr="00841A54" w:rsidRDefault="00421DEB" w:rsidP="005B7C70">
      <w:pPr>
        <w:pStyle w:val="Paragraphedeliste"/>
        <w:widowControl w:val="0"/>
        <w:contextualSpacing w:val="0"/>
        <w:rPr>
          <w:rFonts w:cs="Arial"/>
          <w:szCs w:val="20"/>
        </w:rPr>
      </w:pPr>
    </w:p>
    <w:p w14:paraId="4470C674"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cs="Arial"/>
          <w:szCs w:val="20"/>
        </w:rPr>
        <w:t>En conséquence, le CDCT a élaboré un projet de recommandation visant à fournir des orientations destinées à soutenir les efforts nationaux afin d’établir des approches communes et des procédures juridiques renforcées pour la poursuite efficace des infractions terroristes, des violations graves du DIH et des autres crimes internationaux les plus graves commis dans le cadre d’un conflit armé non international. Le fait que la recommandation se concentre sur les actes de violence illicites perpétrés dans le contexte d’un conflit armé non international et exclue ceux survenant lors d’un conflit armé international, qui implique les forces armées de deux États ou plus, se justifie par le fait que les personnes soupçonnées desdites infractions et crimes sont présumées être des membres ou des affiliés d’associations ou de groupes terroristes ou apportant un soutien à ces associations ou groupes, qui pourraient également être qualifiés de groupes armés non étatiques et sont couramment impliqués dans des conflits armés non internationaux.</w:t>
      </w:r>
    </w:p>
    <w:p w14:paraId="357A35F8" w14:textId="77777777" w:rsidR="00421DEB" w:rsidRPr="00841A54" w:rsidRDefault="00421DEB" w:rsidP="005B7C70">
      <w:pPr>
        <w:pStyle w:val="Paragraphedeliste"/>
        <w:widowControl w:val="0"/>
        <w:ind w:left="0"/>
        <w:contextualSpacing w:val="0"/>
        <w:rPr>
          <w:rFonts w:cs="Arial"/>
          <w:szCs w:val="20"/>
        </w:rPr>
      </w:pPr>
    </w:p>
    <w:p w14:paraId="192D385E" w14:textId="77777777" w:rsidR="00537299" w:rsidRDefault="00421DEB" w:rsidP="005B7C70">
      <w:pPr>
        <w:pStyle w:val="Paragraphedeliste"/>
        <w:widowControl w:val="0"/>
        <w:numPr>
          <w:ilvl w:val="0"/>
          <w:numId w:val="43"/>
        </w:numPr>
        <w:contextualSpacing w:val="0"/>
        <w:rPr>
          <w:rFonts w:eastAsia="Arial" w:cs="Arial"/>
          <w:szCs w:val="20"/>
        </w:rPr>
      </w:pPr>
      <w:r w:rsidRPr="00841A54">
        <w:rPr>
          <w:rFonts w:eastAsia="Arial" w:cs="Arial"/>
          <w:szCs w:val="20"/>
        </w:rPr>
        <w:t xml:space="preserve">La présente recommandation a été rédigée à la lumière des résolutions contraignantes du Conseil de sécurité des Nations Unies, notamment les résolutions 1373, 2178, 2396, 2462, 2664 et 2761, adoptées en vertu du chapitre VII de la Charte de l’Organisation des Nations Unies, qui exigent que les États respectent le droit international, y compris le droit international des droits humains et le DIH, lorsqu’ils poursuivent des combattants terroristes étrangers et d’autres personnes pour des infractions terroristes commises dans le cadre de conflits armés. Le texte de référence à cet égard est la résolution 2396 (2017), selon laquelle « les </w:t>
      </w:r>
    </w:p>
    <w:p w14:paraId="5EB3D018" w14:textId="77777777" w:rsidR="00537299" w:rsidRDefault="00537299">
      <w:pPr>
        <w:rPr>
          <w:rFonts w:eastAsia="Arial" w:cs="Arial"/>
          <w:szCs w:val="20"/>
        </w:rPr>
      </w:pPr>
      <w:r>
        <w:rPr>
          <w:rFonts w:eastAsia="Arial" w:cs="Arial"/>
          <w:szCs w:val="20"/>
        </w:rPr>
        <w:br w:type="page"/>
      </w:r>
    </w:p>
    <w:p w14:paraId="2C753F2A" w14:textId="76D82FEF" w:rsidR="00421DEB" w:rsidRPr="00841A54" w:rsidRDefault="00421DEB" w:rsidP="00537299">
      <w:pPr>
        <w:pStyle w:val="Paragraphedeliste"/>
        <w:widowControl w:val="0"/>
        <w:ind w:left="0"/>
        <w:contextualSpacing w:val="0"/>
        <w:rPr>
          <w:rFonts w:cs="Arial"/>
          <w:szCs w:val="20"/>
        </w:rPr>
      </w:pPr>
      <w:r w:rsidRPr="00841A54">
        <w:rPr>
          <w:rFonts w:eastAsia="Arial" w:cs="Arial"/>
          <w:szCs w:val="20"/>
        </w:rPr>
        <w:lastRenderedPageBreak/>
        <w:t>États doivent veiller à ce que toute mesure prise pour lutter contre le terrorisme soit conforme à toutes leurs obligations au titre du droit international, en particulier le droit international des droits de l’homme, le droit international des réfugiés et le droit international humanitaire ». Cette résolution demande aux États « conformément à leur droit interne et aux normes applicables du droit international des droits de l’homme et du droit international humanitaire, d’élaborer et de mettre en œuvre des stratégies appropriées d’enquête et de poursuite » de sorte que « ceux qui commettent des actes terroristes et, dans ce contexte, des violations du droit international humanitaire, des violations des droits de l’homme ou des atteintes à ces droits, ou sont d’une manière ou d’une autre responsables de tels actes ou violations, [soient tenus d’] en répondre ».</w:t>
      </w:r>
    </w:p>
    <w:p w14:paraId="29050075" w14:textId="77777777" w:rsidR="00421DEB" w:rsidRPr="00841A54" w:rsidRDefault="00421DEB" w:rsidP="005B7C70">
      <w:pPr>
        <w:pStyle w:val="Paragraphedeliste"/>
        <w:widowControl w:val="0"/>
        <w:contextualSpacing w:val="0"/>
        <w:rPr>
          <w:rFonts w:cs="Arial"/>
          <w:szCs w:val="20"/>
        </w:rPr>
      </w:pPr>
    </w:p>
    <w:p w14:paraId="3FEF45F2" w14:textId="69156809"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La recommandation s’appuie sur les travaux antérieurs du CDCT, notamment la Recommandation </w:t>
      </w:r>
      <w:bookmarkStart w:id="6" w:name="_ML_000000000002_VALID"/>
      <w:r w:rsidR="001664AA" w:rsidRPr="001664AA">
        <w:rPr>
          <w:rFonts w:eastAsia="Arial" w:cs="Arial"/>
          <w:szCs w:val="20"/>
        </w:rPr>
        <w:fldChar w:fldCharType="begin"/>
      </w:r>
      <w:r w:rsidR="001664AA" w:rsidRPr="001664AA">
        <w:rPr>
          <w:rFonts w:eastAsia="Arial" w:cs="Arial"/>
          <w:szCs w:val="20"/>
        </w:rPr>
        <w:instrText>HYPERLINK "https://search.coe.int/cm/fre#%7B%22CoEReference%22:[%22CM/Rec(2022)8%22],%22CoELanguageId%22:[%22fre%22],%22CoECollection%22:[%22COE_DOC%22],%22po%22:%7B%22ref%22:%22=%22%7D%7D" \o "Recommandation du Comité des Ministres aux États membres sur l’utilisation d’informations recueillies dans des zones de conflit comme preuves dans le cadre de procédures pénales relatives à des infractions terroristes (adoptée par le Comité des Ministres le 30 mars 2022, lors de la 1430e réunion des Délégués des Ministres)"</w:instrText>
      </w:r>
      <w:r w:rsidR="001664AA" w:rsidRPr="001664AA">
        <w:rPr>
          <w:rFonts w:eastAsia="Arial" w:cs="Arial"/>
          <w:szCs w:val="20"/>
        </w:rPr>
      </w:r>
      <w:r w:rsidR="001664AA" w:rsidRPr="001664AA">
        <w:rPr>
          <w:rFonts w:eastAsia="Arial" w:cs="Arial"/>
          <w:szCs w:val="20"/>
        </w:rPr>
        <w:fldChar w:fldCharType="separate"/>
      </w:r>
      <w:bookmarkEnd w:id="6"/>
      <w:r w:rsidR="001664AA" w:rsidRPr="001664AA">
        <w:rPr>
          <w:rStyle w:val="Lienhypertexte"/>
          <w:rFonts w:eastAsia="Arial" w:cs="Arial"/>
          <w:szCs w:val="20"/>
        </w:rPr>
        <w:t>CM/Rec(2022)8</w:t>
      </w:r>
      <w:r w:rsidR="001664AA" w:rsidRPr="001664AA">
        <w:rPr>
          <w:rFonts w:eastAsia="Arial" w:cs="Arial"/>
          <w:szCs w:val="20"/>
        </w:rPr>
        <w:fldChar w:fldCharType="end"/>
      </w:r>
      <w:r w:rsidRPr="00841A54">
        <w:rPr>
          <w:rFonts w:eastAsia="Arial" w:cs="Arial"/>
          <w:szCs w:val="20"/>
        </w:rPr>
        <w:t xml:space="preserve"> du Comité des Ministres aux États membres sur l’utilisation d’informations recueillies dans des zones de conflit comme preuves dans le cadre de procédures pénales relatives à des infractions terroristes, adoptée en vertu de la première Stratégie contre le terrorisme (2018</w:t>
      </w:r>
      <w:r w:rsidRPr="00841A54">
        <w:rPr>
          <w:rFonts w:eastAsia="Arial" w:cs="Arial"/>
          <w:szCs w:val="20"/>
        </w:rPr>
        <w:noBreakHyphen/>
        <w:t>2022). Elle s’inspire aussi d’autres activités menées précédemment par le CDCT au titre de la stratégie actuelle, comme les « Pratiques comparées concernant l’utilisation d’informations recueillies dans des zones de conflit comme preuves dans le cadre de procédures pénales », approuvées lors de la 12</w:t>
      </w:r>
      <w:r w:rsidRPr="00841A54">
        <w:rPr>
          <w:rFonts w:eastAsia="Arial" w:cs="Arial"/>
          <w:szCs w:val="20"/>
          <w:vertAlign w:val="superscript"/>
        </w:rPr>
        <w:t>e</w:t>
      </w:r>
      <w:r w:rsidRPr="00841A54">
        <w:rPr>
          <w:rFonts w:eastAsia="Arial" w:cs="Arial"/>
          <w:szCs w:val="20"/>
        </w:rPr>
        <w:t> réunion plénière du CDCT en mai 2024, et la Conférence internationale sur les enquêtes et les poursuites concernant les infractions terroristes commises dans le cadre de conflits armés, organisée à la suite de cette réunion. Enfin, la recommandation reprend les normes établies dans la Convention européenne des droits de l’homme et la jurisprudence de la Cour européenne des droits de l’homme.</w:t>
      </w:r>
    </w:p>
    <w:p w14:paraId="595B2CA7" w14:textId="77777777" w:rsidR="00421DEB" w:rsidRPr="00841A54" w:rsidRDefault="00421DEB" w:rsidP="005B7C70">
      <w:pPr>
        <w:pStyle w:val="Paragraphedeliste"/>
        <w:widowControl w:val="0"/>
        <w:ind w:left="0"/>
        <w:contextualSpacing w:val="0"/>
        <w:rPr>
          <w:rFonts w:cs="Arial"/>
          <w:szCs w:val="20"/>
        </w:rPr>
      </w:pPr>
    </w:p>
    <w:p w14:paraId="19CCF769"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En outre, la recommandation s’appuie sur la précieuse expérience acquise par certains États membres qui autorisent le cumul des poursuites liées aux infractions terroristes et aux violations graves du DIH, ainsi qu’aux autres crimes internationaux les plus graves commis dans le cadre de conflits armés. Elle se fonde aussi sur les données disponibles et les études qui ont été publiées sur ce sujet ces dernières années</w:t>
      </w:r>
      <w:r w:rsidRPr="00841A54">
        <w:rPr>
          <w:rStyle w:val="Appelnotedebasdep"/>
          <w:rFonts w:cs="Arial"/>
          <w:szCs w:val="20"/>
        </w:rPr>
        <w:footnoteReference w:id="3"/>
      </w:r>
      <w:r w:rsidRPr="00841A54">
        <w:rPr>
          <w:rFonts w:eastAsia="Arial" w:cs="Arial"/>
          <w:szCs w:val="20"/>
        </w:rPr>
        <w:t>.</w:t>
      </w:r>
    </w:p>
    <w:p w14:paraId="673C2A78" w14:textId="77777777" w:rsidR="00421DEB" w:rsidRPr="00841A54" w:rsidRDefault="00421DEB" w:rsidP="005B7C70">
      <w:pPr>
        <w:pStyle w:val="Paragraphedeliste"/>
        <w:widowControl w:val="0"/>
        <w:contextualSpacing w:val="0"/>
        <w:rPr>
          <w:rFonts w:cs="Arial"/>
          <w:szCs w:val="20"/>
        </w:rPr>
      </w:pPr>
    </w:p>
    <w:p w14:paraId="0A3627B2"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La recommandation est un instrument juridique non contraignant du Conseil de l’Europe. En tant que telle, elle vise à établir des principes généraux destinés à guider les États membres, qui sont ensuite libres de les mettre en œuvre dans leurs systèmes nationaux de la manière qui leur semble la plus appropriée.</w:t>
      </w:r>
    </w:p>
    <w:p w14:paraId="5A9D92EE" w14:textId="77777777" w:rsidR="00421DEB" w:rsidRPr="00841A54" w:rsidRDefault="00421DEB" w:rsidP="005B7C70">
      <w:pPr>
        <w:pStyle w:val="Paragraphedeliste"/>
        <w:widowControl w:val="0"/>
        <w:contextualSpacing w:val="0"/>
        <w:rPr>
          <w:rFonts w:cs="Arial"/>
          <w:szCs w:val="20"/>
        </w:rPr>
      </w:pPr>
    </w:p>
    <w:p w14:paraId="6A1AA84C"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La présente recommandation tient compte des normes juridiques contraignantes et non contraignantes. L’usage fréquent du conditionnel (« devrai(en)t ») ne doit pas être interprété comme réduisant la portée juridique des principes pertinents extraits d’instruments juridiques contraignants du Conseil de l’Europe ou d’autres instruments internationaux, ainsi que des règles pertinentes du droit international coutumier.</w:t>
      </w:r>
    </w:p>
    <w:p w14:paraId="1BB764C5" w14:textId="77777777" w:rsidR="00421DEB" w:rsidRPr="00841A54" w:rsidRDefault="00421DEB" w:rsidP="005B7C70">
      <w:pPr>
        <w:pStyle w:val="Notedebasdepage"/>
        <w:widowControl w:val="0"/>
        <w:rPr>
          <w:rFonts w:cs="Arial"/>
          <w:sz w:val="20"/>
        </w:rPr>
      </w:pPr>
    </w:p>
    <w:p w14:paraId="65A1A864" w14:textId="77777777" w:rsidR="00421DEB" w:rsidRPr="00841A54" w:rsidRDefault="00421DEB" w:rsidP="005B7C70">
      <w:pPr>
        <w:pStyle w:val="Titre1"/>
        <w:keepNext w:val="0"/>
        <w:keepLines w:val="0"/>
        <w:widowControl w:val="0"/>
        <w:ind w:hanging="1060"/>
        <w:rPr>
          <w:rFonts w:cs="Arial"/>
          <w:szCs w:val="20"/>
          <w:lang w:val="fr-FR"/>
        </w:rPr>
      </w:pPr>
      <w:bookmarkStart w:id="7" w:name="lt_pId030"/>
      <w:bookmarkStart w:id="8" w:name="_Toc94775409"/>
      <w:bookmarkStart w:id="9" w:name="_Toc224544499"/>
      <w:r w:rsidRPr="00841A54">
        <w:rPr>
          <w:rFonts w:eastAsia="Arial" w:cs="Arial"/>
          <w:bCs/>
          <w:szCs w:val="20"/>
          <w:lang w:val="fr-FR"/>
        </w:rPr>
        <w:t>Méthode de travail et processus de rédaction</w:t>
      </w:r>
      <w:bookmarkEnd w:id="7"/>
      <w:bookmarkEnd w:id="8"/>
      <w:bookmarkEnd w:id="9"/>
    </w:p>
    <w:p w14:paraId="05C5E178" w14:textId="77777777" w:rsidR="00421DEB" w:rsidRPr="00841A54" w:rsidRDefault="00421DEB" w:rsidP="005B7C70">
      <w:pPr>
        <w:widowControl w:val="0"/>
        <w:rPr>
          <w:rFonts w:cs="Arial"/>
          <w:szCs w:val="20"/>
        </w:rPr>
      </w:pPr>
    </w:p>
    <w:p w14:paraId="1367639B" w14:textId="1CB5F1E9"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L’interaction entre le terrorisme et le DIH relève de la compétence du CDCT, qui est le comité directeur intergouvernemental du Conseil de l’Europe chargé de coordonner toutes les actions liées à la prévention et à la lutte contre le terrorisme. Le CDCT a analysé divers aspects de cette interaction, principalement dans ses travaux d’élaboration de la Recommandation </w:t>
      </w:r>
      <w:bookmarkStart w:id="10" w:name="_ML_000000000003_VALID"/>
      <w:r w:rsidR="001664AA" w:rsidRPr="001664AA">
        <w:rPr>
          <w:rFonts w:eastAsia="Arial" w:cs="Arial"/>
          <w:szCs w:val="20"/>
        </w:rPr>
        <w:fldChar w:fldCharType="begin"/>
      </w:r>
      <w:r w:rsidR="001664AA" w:rsidRPr="001664AA">
        <w:rPr>
          <w:rFonts w:eastAsia="Arial" w:cs="Arial"/>
          <w:szCs w:val="20"/>
        </w:rPr>
        <w:instrText>HYPERLINK "https://search.coe.int/cm/fre#%7B%22CoEReference%22:[%22CM/Rec(2022)8%22],%22CoELanguageId%22:[%22fre%22],%22CoECollection%22:[%22COE_DOC%22],%22po%22:%7B%22ref%22:%22=%22%7D%7D" \o "Recommandation du Comité des Ministres aux États membres sur l’utilisation d’informations recueillies dans des zones de conflit comme preuves dans le cadre de procédures pénales relatives à des infractions terroristes (adoptée par le Comité des Ministres le 30 mars 2022, lors de la 1430e réunion des Délégués des Ministres)"</w:instrText>
      </w:r>
      <w:r w:rsidR="001664AA" w:rsidRPr="001664AA">
        <w:rPr>
          <w:rFonts w:eastAsia="Arial" w:cs="Arial"/>
          <w:szCs w:val="20"/>
        </w:rPr>
      </w:r>
      <w:r w:rsidR="001664AA" w:rsidRPr="001664AA">
        <w:rPr>
          <w:rFonts w:eastAsia="Arial" w:cs="Arial"/>
          <w:szCs w:val="20"/>
        </w:rPr>
        <w:fldChar w:fldCharType="separate"/>
      </w:r>
      <w:bookmarkEnd w:id="10"/>
      <w:r w:rsidR="001664AA" w:rsidRPr="001664AA">
        <w:rPr>
          <w:rStyle w:val="Lienhypertexte"/>
          <w:rFonts w:eastAsia="Arial" w:cs="Arial"/>
          <w:szCs w:val="20"/>
        </w:rPr>
        <w:t>CM/Rec(2022)8</w:t>
      </w:r>
      <w:r w:rsidR="001664AA" w:rsidRPr="001664AA">
        <w:rPr>
          <w:rFonts w:eastAsia="Arial" w:cs="Arial"/>
          <w:szCs w:val="20"/>
        </w:rPr>
        <w:fldChar w:fldCharType="end"/>
      </w:r>
      <w:r w:rsidRPr="00841A54">
        <w:rPr>
          <w:rFonts w:eastAsia="Arial" w:cs="Arial"/>
          <w:szCs w:val="20"/>
        </w:rPr>
        <w:t xml:space="preserve"> sur l’utilisation d’informations recueillies dans des zones de conflit comme preuves dans le cadre de procédures pénales relatives à des infractions terroristes, qui fournit des orientations sur les possibilités d’utiliser des informations obtenues dans les zones de conflit par des acteurs extérieurs au secteur de la justice pénale dans les procédures pénales pour terrorisme et crimes de guerre.</w:t>
      </w:r>
    </w:p>
    <w:p w14:paraId="1187F445" w14:textId="77777777" w:rsidR="00421DEB" w:rsidRPr="00841A54" w:rsidRDefault="00421DEB" w:rsidP="005B7C70">
      <w:pPr>
        <w:widowControl w:val="0"/>
        <w:rPr>
          <w:rFonts w:eastAsia="Arial" w:cs="Arial"/>
          <w:szCs w:val="20"/>
        </w:rPr>
      </w:pPr>
      <w:r w:rsidRPr="00841A54">
        <w:rPr>
          <w:rFonts w:eastAsia="Arial" w:cs="Arial"/>
          <w:szCs w:val="20"/>
        </w:rPr>
        <w:br w:type="page"/>
      </w:r>
    </w:p>
    <w:p w14:paraId="3B2AF35D" w14:textId="535F7E95"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lastRenderedPageBreak/>
        <w:t>Conformément à l’activité 2.4 de la Stratégie du Conseil de l’Europe contre le terrorisme (2023</w:t>
      </w:r>
      <w:r w:rsidRPr="00841A54">
        <w:rPr>
          <w:rFonts w:eastAsia="Arial" w:cs="Arial"/>
          <w:szCs w:val="20"/>
        </w:rPr>
        <w:noBreakHyphen/>
        <w:t>2027), le CDCT a décidé, lors de sa 13</w:t>
      </w:r>
      <w:r w:rsidRPr="00841A54">
        <w:rPr>
          <w:rFonts w:eastAsia="Arial" w:cs="Arial"/>
          <w:szCs w:val="20"/>
          <w:vertAlign w:val="superscript"/>
        </w:rPr>
        <w:t>e</w:t>
      </w:r>
      <w:r w:rsidRPr="00841A54">
        <w:rPr>
          <w:rFonts w:eastAsia="Arial" w:cs="Arial"/>
          <w:szCs w:val="20"/>
        </w:rPr>
        <w:t> réunion plénière en novembre 2024, de créer le Groupe de travail sur la poursuite des infractions terroristes et des violations graves du droit international humanitaire commises dans le cadre de conflits armés (CDCT-IHL). Ce groupe de travail a été chargé d’élaborer le projet de recommandation du Comité des ministres du Conseil de l’Europe aux États membres qui énonce des orientations pour garantir que les auteurs d’infractions terroristes et de violations graves du DIH commises dans un tel cadre rendent compte de leurs actes.</w:t>
      </w:r>
    </w:p>
    <w:p w14:paraId="79C7010A" w14:textId="77777777" w:rsidR="00421DEB" w:rsidRPr="00841A54" w:rsidRDefault="00421DEB" w:rsidP="005B7C70">
      <w:pPr>
        <w:pStyle w:val="Paragraphedeliste"/>
        <w:widowControl w:val="0"/>
        <w:contextualSpacing w:val="0"/>
        <w:rPr>
          <w:rFonts w:cs="Arial"/>
          <w:szCs w:val="20"/>
        </w:rPr>
      </w:pPr>
    </w:p>
    <w:p w14:paraId="627FC515"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Le groupe était composé d’experts nationaux nommés par les membres du CDCT et d’experts désignés par les États-Unis d’Amérique, l’Agence de l’Union européenne pour la coopération judiciaire en matière pénale (Eurojust), le Réseau européen de points de contact en ce qui concerne les personnes responsables de génocide, de crimes contre l’humanité et de crimes de guerre (</w:t>
      </w:r>
      <w:r w:rsidRPr="00841A54">
        <w:rPr>
          <w:rFonts w:eastAsia="Times New Roman" w:cs="Arial"/>
          <w:szCs w:val="20"/>
        </w:rPr>
        <w:t>« Réseau de poursuite des génocides »</w:t>
      </w:r>
      <w:r w:rsidRPr="00841A54">
        <w:rPr>
          <w:rFonts w:eastAsia="Arial" w:cs="Arial"/>
          <w:szCs w:val="20"/>
        </w:rPr>
        <w:t>), la Direction exécutive du Comité contre le terrorisme du Conseil de sécurité des Nations Unies (DECT) et le Comité international de la Croix-Rouge (CICR). Il a tenu sa première réunion à Paris les 13 et 14 mars 2025 et a élu à titre de coprésidents Mme Päivi KAIRAMO (Finlande) et M. Nicola PIACENTE (Italie), qui ont présidé les réunions à tour de rôle. Mme KAIRAMO a présidé cette première réunion. Afin d’ouvrir la voie aux discussions, Mme Tanya MEHRA, chercheuse principale et responsable du programme sur les réponses de l’État de droit au terrorisme au Centre international de lutte contre le terrorisme (ICCT), a été invitée à présenter les principales questions soulevées par la future recommandation.</w:t>
      </w:r>
    </w:p>
    <w:p w14:paraId="5AB8988F" w14:textId="77777777" w:rsidR="00421DEB" w:rsidRPr="00841A54" w:rsidRDefault="00421DEB" w:rsidP="005B7C70">
      <w:pPr>
        <w:pStyle w:val="Paragraphedeliste"/>
        <w:widowControl w:val="0"/>
        <w:contextualSpacing w:val="0"/>
        <w:rPr>
          <w:rFonts w:cs="Arial"/>
          <w:szCs w:val="20"/>
        </w:rPr>
      </w:pPr>
    </w:p>
    <w:p w14:paraId="76C18F4C"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La réunion initiale a été l’occasion de discuter du contexte dans lequel s’inscrit l’élaboration de cette recommandation et des questions relatives à son but, à son champ d’application et à sa terminologie. En se fondant aussi sur un document préliminaire préparé par le Secrétariat, le groupe de travail a identifié plusieurs thèmes clés à inclure dans la recommandation :</w:t>
      </w:r>
    </w:p>
    <w:p w14:paraId="78FEA1A4" w14:textId="77777777" w:rsidR="00421DEB" w:rsidRPr="00841A54" w:rsidRDefault="00421DEB" w:rsidP="005B7C70">
      <w:pPr>
        <w:pStyle w:val="Paragraphedeliste"/>
        <w:widowControl w:val="0"/>
        <w:ind w:left="0"/>
        <w:contextualSpacing w:val="0"/>
        <w:rPr>
          <w:rFonts w:cs="Arial"/>
          <w:szCs w:val="20"/>
        </w:rPr>
      </w:pPr>
    </w:p>
    <w:p w14:paraId="7AA33F48" w14:textId="77777777" w:rsidR="00421DEB" w:rsidRPr="00841A54" w:rsidRDefault="00421DEB" w:rsidP="005B7C70">
      <w:pPr>
        <w:pStyle w:val="Paragraphedeliste"/>
        <w:widowControl w:val="0"/>
        <w:numPr>
          <w:ilvl w:val="0"/>
          <w:numId w:val="44"/>
        </w:numPr>
        <w:ind w:hanging="720"/>
        <w:contextualSpacing w:val="0"/>
        <w:rPr>
          <w:rFonts w:cs="Arial"/>
          <w:szCs w:val="20"/>
        </w:rPr>
      </w:pPr>
      <w:proofErr w:type="gramStart"/>
      <w:r w:rsidRPr="00841A54">
        <w:rPr>
          <w:rFonts w:eastAsia="Arial" w:cs="Arial"/>
          <w:szCs w:val="20"/>
        </w:rPr>
        <w:t>les</w:t>
      </w:r>
      <w:proofErr w:type="gramEnd"/>
      <w:r w:rsidRPr="00841A54">
        <w:rPr>
          <w:rFonts w:eastAsia="Arial" w:cs="Arial"/>
          <w:szCs w:val="20"/>
        </w:rPr>
        <w:t xml:space="preserve"> approches et les règles du droit interne qui régissent la relation entre les mesures de lutte contre le terrorisme et le DIH, y compris les clauses d’exclusion et d’exemption humanitaire en DIH ;</w:t>
      </w:r>
    </w:p>
    <w:p w14:paraId="63BFA3EA" w14:textId="77777777" w:rsidR="00421DEB" w:rsidRPr="00841A54" w:rsidRDefault="00421DEB" w:rsidP="005B7C70">
      <w:pPr>
        <w:pStyle w:val="Paragraphedeliste"/>
        <w:widowControl w:val="0"/>
        <w:numPr>
          <w:ilvl w:val="0"/>
          <w:numId w:val="44"/>
        </w:numPr>
        <w:ind w:hanging="720"/>
        <w:contextualSpacing w:val="0"/>
        <w:rPr>
          <w:rFonts w:cs="Arial"/>
          <w:szCs w:val="20"/>
        </w:rPr>
      </w:pPr>
      <w:proofErr w:type="gramStart"/>
      <w:r w:rsidRPr="00841A54">
        <w:rPr>
          <w:rFonts w:eastAsia="Arial" w:cs="Arial"/>
          <w:szCs w:val="20"/>
        </w:rPr>
        <w:t>le</w:t>
      </w:r>
      <w:proofErr w:type="gramEnd"/>
      <w:r w:rsidRPr="00841A54">
        <w:rPr>
          <w:rFonts w:eastAsia="Arial" w:cs="Arial"/>
          <w:szCs w:val="20"/>
        </w:rPr>
        <w:t xml:space="preserve"> principe de compétence universelle et les conditions de son application ;</w:t>
      </w:r>
    </w:p>
    <w:p w14:paraId="4A004477" w14:textId="77777777" w:rsidR="00421DEB" w:rsidRPr="00841A54" w:rsidRDefault="00421DEB" w:rsidP="005B7C70">
      <w:pPr>
        <w:pStyle w:val="Paragraphedeliste"/>
        <w:widowControl w:val="0"/>
        <w:numPr>
          <w:ilvl w:val="0"/>
          <w:numId w:val="44"/>
        </w:numPr>
        <w:ind w:hanging="720"/>
        <w:contextualSpacing w:val="0"/>
        <w:rPr>
          <w:rFonts w:cs="Arial"/>
          <w:szCs w:val="20"/>
        </w:rPr>
      </w:pPr>
      <w:proofErr w:type="gramStart"/>
      <w:r w:rsidRPr="00841A54">
        <w:rPr>
          <w:rFonts w:eastAsia="Arial" w:cs="Arial"/>
          <w:szCs w:val="20"/>
        </w:rPr>
        <w:t>les</w:t>
      </w:r>
      <w:proofErr w:type="gramEnd"/>
      <w:r w:rsidRPr="00841A54">
        <w:rPr>
          <w:rFonts w:eastAsia="Arial" w:cs="Arial"/>
          <w:szCs w:val="20"/>
        </w:rPr>
        <w:t xml:space="preserve"> stratégies de poursuites axées sur le cumul des poursuites pour les infractions terroristes ainsi que pour les violations graves du DIH et les autres crimes internationaux les plus graves ;</w:t>
      </w:r>
    </w:p>
    <w:p w14:paraId="074F57C2" w14:textId="77777777" w:rsidR="00421DEB" w:rsidRPr="00841A54" w:rsidRDefault="00421DEB" w:rsidP="005B7C70">
      <w:pPr>
        <w:pStyle w:val="Paragraphedeliste"/>
        <w:widowControl w:val="0"/>
        <w:numPr>
          <w:ilvl w:val="0"/>
          <w:numId w:val="44"/>
        </w:numPr>
        <w:ind w:hanging="720"/>
        <w:contextualSpacing w:val="0"/>
        <w:rPr>
          <w:rFonts w:cs="Arial"/>
          <w:szCs w:val="20"/>
        </w:rPr>
      </w:pPr>
      <w:proofErr w:type="gramStart"/>
      <w:r w:rsidRPr="00841A54">
        <w:rPr>
          <w:rFonts w:eastAsia="Arial" w:cs="Arial"/>
          <w:szCs w:val="20"/>
        </w:rPr>
        <w:t>les</w:t>
      </w:r>
      <w:proofErr w:type="gramEnd"/>
      <w:r w:rsidRPr="00841A54">
        <w:rPr>
          <w:rFonts w:eastAsia="Arial" w:cs="Arial"/>
          <w:szCs w:val="20"/>
        </w:rPr>
        <w:t xml:space="preserve"> moyens d’enquête et l’utilisation des preuves recueillies dans les zones de conflit pour traduire en justice les personnes soupçonnées de terrorisme pour ces infractions et crimes ;</w:t>
      </w:r>
    </w:p>
    <w:p w14:paraId="09E66EBE" w14:textId="77777777" w:rsidR="00421DEB" w:rsidRPr="00841A54" w:rsidRDefault="00421DEB" w:rsidP="005B7C70">
      <w:pPr>
        <w:pStyle w:val="Paragraphedeliste"/>
        <w:widowControl w:val="0"/>
        <w:numPr>
          <w:ilvl w:val="0"/>
          <w:numId w:val="44"/>
        </w:numPr>
        <w:ind w:hanging="720"/>
        <w:contextualSpacing w:val="0"/>
        <w:rPr>
          <w:rFonts w:cs="Arial"/>
          <w:szCs w:val="20"/>
        </w:rPr>
      </w:pPr>
      <w:proofErr w:type="gramStart"/>
      <w:r w:rsidRPr="00841A54">
        <w:rPr>
          <w:rFonts w:eastAsia="Arial" w:cs="Arial"/>
          <w:szCs w:val="20"/>
        </w:rPr>
        <w:t>les</w:t>
      </w:r>
      <w:proofErr w:type="gramEnd"/>
      <w:r w:rsidRPr="00841A54">
        <w:rPr>
          <w:rFonts w:eastAsia="Arial" w:cs="Arial"/>
          <w:szCs w:val="20"/>
        </w:rPr>
        <w:t xml:space="preserve"> questions de procédure, y compris les garanties procédurales et la participation et la protection des victimes du terrorisme et des crimes internationaux les plus graves ;</w:t>
      </w:r>
    </w:p>
    <w:p w14:paraId="68332A84" w14:textId="77777777" w:rsidR="00421DEB" w:rsidRPr="00841A54" w:rsidRDefault="00421DEB" w:rsidP="005B7C70">
      <w:pPr>
        <w:pStyle w:val="Paragraphedeliste"/>
        <w:widowControl w:val="0"/>
        <w:numPr>
          <w:ilvl w:val="0"/>
          <w:numId w:val="44"/>
        </w:numPr>
        <w:ind w:hanging="720"/>
        <w:contextualSpacing w:val="0"/>
        <w:rPr>
          <w:rFonts w:cs="Arial"/>
          <w:szCs w:val="20"/>
        </w:rPr>
      </w:pPr>
      <w:proofErr w:type="gramStart"/>
      <w:r w:rsidRPr="00841A54">
        <w:rPr>
          <w:rFonts w:eastAsia="Arial" w:cs="Arial"/>
          <w:szCs w:val="20"/>
        </w:rPr>
        <w:t>les</w:t>
      </w:r>
      <w:proofErr w:type="gramEnd"/>
      <w:r w:rsidRPr="00841A54">
        <w:rPr>
          <w:rFonts w:eastAsia="Arial" w:cs="Arial"/>
          <w:szCs w:val="20"/>
        </w:rPr>
        <w:t xml:space="preserve"> structures organisationnelles qui participent aux enquêtes et aux poursuites relatives aux infractions terroristes et/ou aux violations graves du DIH et aux autres crimes internationaux les plus graves, ainsi que les mécanismes de coordination ; et</w:t>
      </w:r>
    </w:p>
    <w:p w14:paraId="0DF2EC56" w14:textId="77777777" w:rsidR="00421DEB" w:rsidRPr="00841A54" w:rsidRDefault="00421DEB" w:rsidP="005B7C70">
      <w:pPr>
        <w:pStyle w:val="Paragraphedeliste"/>
        <w:widowControl w:val="0"/>
        <w:numPr>
          <w:ilvl w:val="0"/>
          <w:numId w:val="44"/>
        </w:numPr>
        <w:ind w:hanging="720"/>
        <w:contextualSpacing w:val="0"/>
        <w:rPr>
          <w:rFonts w:cs="Arial"/>
          <w:szCs w:val="20"/>
        </w:rPr>
      </w:pPr>
      <w:proofErr w:type="gramStart"/>
      <w:r w:rsidRPr="00841A54">
        <w:rPr>
          <w:rFonts w:eastAsia="Arial" w:cs="Arial"/>
          <w:szCs w:val="20"/>
        </w:rPr>
        <w:t>les</w:t>
      </w:r>
      <w:proofErr w:type="gramEnd"/>
      <w:r w:rsidRPr="00841A54">
        <w:rPr>
          <w:rFonts w:eastAsia="Arial" w:cs="Arial"/>
          <w:szCs w:val="20"/>
        </w:rPr>
        <w:t xml:space="preserve"> mécanismes de coopération internationale.</w:t>
      </w:r>
    </w:p>
    <w:p w14:paraId="3B6165AD" w14:textId="77777777" w:rsidR="00421DEB" w:rsidRPr="00841A54" w:rsidRDefault="00421DEB" w:rsidP="005B7C70">
      <w:pPr>
        <w:pStyle w:val="Paragraphedeliste"/>
        <w:widowControl w:val="0"/>
        <w:contextualSpacing w:val="0"/>
        <w:rPr>
          <w:rFonts w:cs="Arial"/>
          <w:szCs w:val="20"/>
        </w:rPr>
      </w:pPr>
    </w:p>
    <w:p w14:paraId="22866DCC"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Lors de sa première réunion, le CDCT-IHL a convenu de distribuer un questionnaire aux États membres afin de recueillir des informations sur les pratiques et les cadres juridiques nationaux. L’objectif de cette démarche était d’obtenir un tableau comparatif qui rende compte des différences en matière de structures organisationnelles, de types de preuves, de techniques d’enquête, de stratégies de poursuite et de règles de procédure applicables respectivement aux infractions terroristes et aux crimes internationaux les plus graves. Il a également émis un accord de principe sur la structure de la future recommandation et chargé le Secrétariat de préparer un premier projet et de le soumettre avant sa deuxième réunion.</w:t>
      </w:r>
    </w:p>
    <w:p w14:paraId="1A2EFDAF" w14:textId="77777777" w:rsidR="00421DEB" w:rsidRPr="00841A54" w:rsidRDefault="00421DEB" w:rsidP="005B7C70">
      <w:pPr>
        <w:pStyle w:val="Notedebasdepage"/>
        <w:widowControl w:val="0"/>
        <w:rPr>
          <w:rFonts w:cs="Arial"/>
          <w:sz w:val="20"/>
        </w:rPr>
      </w:pPr>
    </w:p>
    <w:p w14:paraId="17C6DC7F" w14:textId="6A3F1BD5"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La deuxième réunion s’est tenue à Paris les 23 et 24 septembre 2025, sous la présidence de M. Piacente. </w:t>
      </w:r>
      <w:bookmarkStart w:id="11" w:name="lt_pId046"/>
      <w:r w:rsidRPr="00841A54">
        <w:rPr>
          <w:rFonts w:eastAsia="Arial" w:cs="Arial"/>
          <w:szCs w:val="20"/>
        </w:rPr>
        <w:t>Les participants ont examiné le premier projet de recommandation préparé par le Secrétariat, sur les orientations des coprésidents. Le texte, composé de huit chapitres et d’un préambule, était fondé sur :</w:t>
      </w:r>
      <w:bookmarkEnd w:id="11"/>
    </w:p>
    <w:p w14:paraId="4AA13105" w14:textId="77777777" w:rsidR="00421DEB" w:rsidRPr="00841A54" w:rsidRDefault="00421DEB" w:rsidP="005B7C70">
      <w:pPr>
        <w:pStyle w:val="Paragraphedeliste"/>
        <w:widowControl w:val="0"/>
        <w:ind w:left="0"/>
        <w:contextualSpacing w:val="0"/>
        <w:rPr>
          <w:rFonts w:cs="Arial"/>
          <w:szCs w:val="20"/>
        </w:rPr>
      </w:pPr>
    </w:p>
    <w:p w14:paraId="4305B746" w14:textId="77777777" w:rsidR="00421DEB" w:rsidRPr="00841A54" w:rsidRDefault="00421DEB" w:rsidP="005B7C70">
      <w:pPr>
        <w:pStyle w:val="Paragraphedeliste"/>
        <w:widowControl w:val="0"/>
        <w:numPr>
          <w:ilvl w:val="0"/>
          <w:numId w:val="50"/>
        </w:numPr>
        <w:ind w:hanging="720"/>
        <w:contextualSpacing w:val="0"/>
        <w:rPr>
          <w:rFonts w:cs="Arial"/>
          <w:szCs w:val="20"/>
        </w:rPr>
      </w:pPr>
      <w:bookmarkStart w:id="12" w:name="lt_pId047"/>
      <w:proofErr w:type="gramStart"/>
      <w:r w:rsidRPr="00841A54">
        <w:rPr>
          <w:rFonts w:eastAsia="Arial Unicode MS" w:cs="Arial"/>
          <w:szCs w:val="20"/>
          <w:bdr w:val="nil"/>
        </w:rPr>
        <w:t>les</w:t>
      </w:r>
      <w:proofErr w:type="gramEnd"/>
      <w:r w:rsidRPr="00841A54">
        <w:rPr>
          <w:rFonts w:eastAsia="Arial" w:cs="Arial"/>
          <w:szCs w:val="20"/>
        </w:rPr>
        <w:t xml:space="preserve"> contributions recueillies lors de la première réunion du CDCT-IHL tenue en mars 2025 ;</w:t>
      </w:r>
      <w:bookmarkEnd w:id="12"/>
      <w:r w:rsidRPr="00841A54">
        <w:rPr>
          <w:rFonts w:eastAsia="Arial" w:cs="Arial"/>
          <w:szCs w:val="20"/>
        </w:rPr>
        <w:t xml:space="preserve"> </w:t>
      </w:r>
    </w:p>
    <w:p w14:paraId="4D54C8AD" w14:textId="77777777" w:rsidR="00421DEB" w:rsidRPr="00841A54" w:rsidRDefault="00421DEB" w:rsidP="005B7C70">
      <w:pPr>
        <w:pStyle w:val="Paragraphedeliste"/>
        <w:widowControl w:val="0"/>
        <w:numPr>
          <w:ilvl w:val="0"/>
          <w:numId w:val="50"/>
        </w:numPr>
        <w:ind w:hanging="720"/>
        <w:contextualSpacing w:val="0"/>
        <w:rPr>
          <w:rFonts w:cs="Arial"/>
          <w:szCs w:val="20"/>
        </w:rPr>
      </w:pPr>
      <w:bookmarkStart w:id="13" w:name="lt_pId048"/>
      <w:proofErr w:type="gramStart"/>
      <w:r w:rsidRPr="00841A54">
        <w:rPr>
          <w:rFonts w:eastAsia="Arial" w:cs="Arial"/>
          <w:szCs w:val="20"/>
        </w:rPr>
        <w:t>les</w:t>
      </w:r>
      <w:proofErr w:type="gramEnd"/>
      <w:r w:rsidRPr="00841A54">
        <w:rPr>
          <w:rFonts w:eastAsia="Arial" w:cs="Arial"/>
          <w:szCs w:val="20"/>
        </w:rPr>
        <w:t xml:space="preserve"> réponses au questionnaire distribué après cette réunion ;</w:t>
      </w:r>
    </w:p>
    <w:p w14:paraId="48A3834B" w14:textId="77777777" w:rsidR="00421DEB" w:rsidRPr="00841A54" w:rsidRDefault="00421DEB" w:rsidP="005B7C70">
      <w:pPr>
        <w:pStyle w:val="Paragraphedeliste"/>
        <w:widowControl w:val="0"/>
        <w:numPr>
          <w:ilvl w:val="0"/>
          <w:numId w:val="50"/>
        </w:numPr>
        <w:ind w:hanging="720"/>
        <w:contextualSpacing w:val="0"/>
        <w:rPr>
          <w:rFonts w:cs="Arial"/>
          <w:szCs w:val="20"/>
        </w:rPr>
      </w:pPr>
      <w:bookmarkStart w:id="14" w:name="lt_pId049"/>
      <w:bookmarkEnd w:id="13"/>
      <w:proofErr w:type="gramStart"/>
      <w:r w:rsidRPr="00841A54">
        <w:rPr>
          <w:rFonts w:eastAsia="Arial" w:cs="Arial"/>
          <w:szCs w:val="20"/>
        </w:rPr>
        <w:t>les</w:t>
      </w:r>
      <w:proofErr w:type="gramEnd"/>
      <w:r w:rsidRPr="00841A54">
        <w:rPr>
          <w:rFonts w:eastAsia="Arial" w:cs="Arial"/>
          <w:szCs w:val="20"/>
        </w:rPr>
        <w:t xml:space="preserve"> documents existants du Conseil de l’Europe, des Nations Unies et de l’Union européenne, ainsi que d’autres informations et rapports publics pertinents ; et</w:t>
      </w:r>
    </w:p>
    <w:p w14:paraId="43F0A40B" w14:textId="77777777" w:rsidR="00421DEB" w:rsidRPr="00841A54" w:rsidRDefault="00421DEB" w:rsidP="005B7C70">
      <w:pPr>
        <w:pStyle w:val="Paragraphedeliste"/>
        <w:widowControl w:val="0"/>
        <w:numPr>
          <w:ilvl w:val="0"/>
          <w:numId w:val="50"/>
        </w:numPr>
        <w:ind w:hanging="720"/>
        <w:contextualSpacing w:val="0"/>
        <w:rPr>
          <w:rFonts w:cs="Arial"/>
          <w:szCs w:val="20"/>
        </w:rPr>
      </w:pPr>
      <w:proofErr w:type="gramStart"/>
      <w:r w:rsidRPr="00841A54">
        <w:rPr>
          <w:rFonts w:eastAsia="Arial" w:cs="Arial"/>
          <w:szCs w:val="20"/>
        </w:rPr>
        <w:t>les</w:t>
      </w:r>
      <w:proofErr w:type="gramEnd"/>
      <w:r w:rsidRPr="00841A54">
        <w:rPr>
          <w:rFonts w:eastAsia="Arial" w:cs="Arial"/>
          <w:szCs w:val="20"/>
        </w:rPr>
        <w:t xml:space="preserve"> commentaires écrits sur le premier projet soumis par certains membres avant la deuxième réunion.</w:t>
      </w:r>
      <w:bookmarkEnd w:id="14"/>
    </w:p>
    <w:p w14:paraId="01D224FF" w14:textId="77777777" w:rsidR="00421DEB" w:rsidRPr="00841A54" w:rsidRDefault="00421DEB" w:rsidP="005B7C70">
      <w:pPr>
        <w:widowControl w:val="0"/>
        <w:ind w:hanging="720"/>
        <w:rPr>
          <w:rFonts w:cs="Arial"/>
          <w:szCs w:val="20"/>
        </w:rPr>
      </w:pPr>
    </w:p>
    <w:p w14:paraId="75E20CCC"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Le groupe de travail a longuement discuté du préambule et des chapitres I à VI, a approuvé en principe la plupart des recommandations et a chargé le Secrétariat de réviser certains paragraphes avant de présenter un nouveau projet. Les deux derniers chapitres du premier projet de recommandation, de même que certaines questions débattues, ont été laissés en suspens pour être examinés plus en détail lors de la réunion suivante, afin de permettre aux membres de consulter leurs autorités compétentes à ce sujet, le cas échéant.</w:t>
      </w:r>
    </w:p>
    <w:p w14:paraId="030881DC" w14:textId="77777777" w:rsidR="005B7C70" w:rsidRPr="00841A54" w:rsidRDefault="005B7C70" w:rsidP="005B7C70">
      <w:pPr>
        <w:widowControl w:val="0"/>
        <w:rPr>
          <w:rFonts w:eastAsia="Arial" w:cs="Arial"/>
          <w:szCs w:val="20"/>
        </w:rPr>
      </w:pPr>
      <w:r w:rsidRPr="00841A54">
        <w:rPr>
          <w:rFonts w:eastAsia="Arial" w:cs="Arial"/>
          <w:szCs w:val="20"/>
        </w:rPr>
        <w:br w:type="page"/>
      </w:r>
    </w:p>
    <w:p w14:paraId="536CA44A" w14:textId="5DD59464"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lastRenderedPageBreak/>
        <w:t xml:space="preserve">La troisième réunion s’est tenue à Strasbourg les 2 et 3 décembre 2025 sous la présidence de Mme Kairamo. Lors de cette réunion, le CDCT-IHL a achevé la première lecture par l’examen des chapitres en suspens et a procédé à une deuxième lecture de l’ensemble du texte en vue de l’approbation finale du projet de recommandation. À l’issue de la réunion, le groupe de travail a approuvé, avec quelques modifications apportées par les membres, tous les paragraphes sauf un, ainsi que les modifications apportées par le Secrétariat pour améliorer la lisibilité du texte et éviter les redondances. Il a en outre décidé de revenir sur le paragraphe restant du projet de recommandation, y compris la proposition d’une délégation visant à le modifier, lors de sa prochaine réunion, et a chargé le Secrétariat de préparer et de distribuer le projet </w:t>
      </w:r>
      <w:r w:rsidR="0052173E" w:rsidRPr="00841A54">
        <w:rPr>
          <w:rFonts w:eastAsia="Arial" w:cs="Arial"/>
          <w:szCs w:val="20"/>
        </w:rPr>
        <w:t>d’Exposé des motifs</w:t>
      </w:r>
      <w:r w:rsidRPr="00841A54">
        <w:rPr>
          <w:rFonts w:eastAsia="Arial" w:cs="Arial"/>
          <w:szCs w:val="20"/>
        </w:rPr>
        <w:t xml:space="preserve"> à tous les membres pour discussion lors de cette réunion.</w:t>
      </w:r>
    </w:p>
    <w:p w14:paraId="09E79A28" w14:textId="77777777" w:rsidR="00421DEB" w:rsidRPr="00841A54" w:rsidRDefault="00421DEB" w:rsidP="005B7C70">
      <w:pPr>
        <w:pStyle w:val="Paragraphedeliste"/>
        <w:widowControl w:val="0"/>
        <w:contextualSpacing w:val="0"/>
        <w:rPr>
          <w:rFonts w:cs="Arial"/>
          <w:iCs/>
          <w:szCs w:val="20"/>
          <w:highlight w:val="yellow"/>
        </w:rPr>
      </w:pPr>
    </w:p>
    <w:p w14:paraId="151199E5" w14:textId="0D5D1456"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iCs/>
          <w:szCs w:val="20"/>
        </w:rPr>
        <w:t xml:space="preserve">La quatrième et dernière réunion s’est tenue à Paris les 24 et 25 mars 2026. Présidée par M. Piacente, le groupe de travail a examiné et approuvé le projet </w:t>
      </w:r>
      <w:r w:rsidR="0052173E" w:rsidRPr="00841A54">
        <w:rPr>
          <w:rFonts w:eastAsia="Arial" w:cs="Arial"/>
          <w:iCs/>
          <w:szCs w:val="20"/>
        </w:rPr>
        <w:t>d’Exposé des motifs</w:t>
      </w:r>
      <w:r w:rsidRPr="00841A54">
        <w:rPr>
          <w:rFonts w:eastAsia="Arial" w:cs="Arial"/>
          <w:iCs/>
          <w:szCs w:val="20"/>
        </w:rPr>
        <w:t xml:space="preserve"> élaboré par le Secrétariat avec la contribution des coprésidents. </w:t>
      </w:r>
      <w:r w:rsidRPr="00841A54">
        <w:rPr>
          <w:rFonts w:eastAsia="Arial" w:cs="Arial"/>
          <w:szCs w:val="20"/>
        </w:rPr>
        <w:t xml:space="preserve">À la suite de cette dernière réunion, les textes du projet de recommandation et </w:t>
      </w:r>
      <w:r w:rsidR="0052173E" w:rsidRPr="00841A54">
        <w:rPr>
          <w:rFonts w:eastAsia="Arial" w:cs="Arial"/>
          <w:szCs w:val="20"/>
        </w:rPr>
        <w:t>de l’Exposé des motifs</w:t>
      </w:r>
      <w:r w:rsidRPr="00841A54">
        <w:rPr>
          <w:rFonts w:eastAsia="Arial" w:cs="Arial"/>
          <w:szCs w:val="20"/>
        </w:rPr>
        <w:t xml:space="preserve"> ont été examinés, révisés et approuvés par le CDCT lors de sa 16</w:t>
      </w:r>
      <w:r w:rsidRPr="00841A54">
        <w:rPr>
          <w:rFonts w:eastAsia="Arial" w:cs="Arial"/>
          <w:szCs w:val="20"/>
          <w:vertAlign w:val="superscript"/>
        </w:rPr>
        <w:t>e</w:t>
      </w:r>
      <w:r w:rsidRPr="00841A54">
        <w:rPr>
          <w:rFonts w:eastAsia="Arial" w:cs="Arial"/>
          <w:szCs w:val="20"/>
        </w:rPr>
        <w:t xml:space="preserve"> réunion plénière, qui s’est tenue à Strasbourg les 27 et 28 mai 2026. Le CDCT a décidé de soumettre le projet de recommandation au Comité des Ministres pour adoption, et le projet </w:t>
      </w:r>
      <w:r w:rsidR="0052173E" w:rsidRPr="00841A54">
        <w:rPr>
          <w:rFonts w:eastAsia="Arial" w:cs="Arial"/>
          <w:szCs w:val="20"/>
        </w:rPr>
        <w:t>d’Exposé des motifs</w:t>
      </w:r>
      <w:r w:rsidRPr="00841A54">
        <w:rPr>
          <w:rFonts w:eastAsia="Arial" w:cs="Arial"/>
          <w:szCs w:val="20"/>
        </w:rPr>
        <w:t xml:space="preserve"> pour information.</w:t>
      </w:r>
    </w:p>
    <w:p w14:paraId="5F49A3DB" w14:textId="77777777" w:rsidR="00421DEB" w:rsidRPr="00841A54" w:rsidRDefault="00421DEB" w:rsidP="005B7C70">
      <w:pPr>
        <w:pStyle w:val="Paragraphedeliste"/>
        <w:widowControl w:val="0"/>
        <w:contextualSpacing w:val="0"/>
        <w:rPr>
          <w:rFonts w:cs="Arial"/>
          <w:szCs w:val="20"/>
        </w:rPr>
      </w:pPr>
    </w:p>
    <w:p w14:paraId="271FF535" w14:textId="556B7D39"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i/>
          <w:iCs/>
          <w:szCs w:val="20"/>
        </w:rPr>
        <w:t>Le Comité des Ministres, lors de sa</w:t>
      </w:r>
      <w:r w:rsidR="00537299">
        <w:rPr>
          <w:rFonts w:eastAsia="Arial" w:cs="Arial"/>
          <w:i/>
          <w:iCs/>
          <w:szCs w:val="20"/>
        </w:rPr>
        <w:t xml:space="preserve"> 1571</w:t>
      </w:r>
      <w:r w:rsidR="00537299" w:rsidRPr="00537299">
        <w:rPr>
          <w:rFonts w:eastAsia="Arial" w:cs="Arial"/>
          <w:i/>
          <w:iCs/>
          <w:szCs w:val="20"/>
          <w:vertAlign w:val="superscript"/>
        </w:rPr>
        <w:t>e</w:t>
      </w:r>
      <w:r w:rsidR="00537299">
        <w:rPr>
          <w:rFonts w:eastAsia="Arial" w:cs="Arial"/>
          <w:i/>
          <w:iCs/>
          <w:szCs w:val="20"/>
        </w:rPr>
        <w:t xml:space="preserve"> </w:t>
      </w:r>
      <w:r w:rsidRPr="00841A54">
        <w:rPr>
          <w:rFonts w:eastAsia="Arial" w:cs="Arial"/>
          <w:i/>
          <w:iCs/>
          <w:szCs w:val="20"/>
        </w:rPr>
        <w:t xml:space="preserve">réunion des Délégués des Ministres le </w:t>
      </w:r>
      <w:r w:rsidR="00537299">
        <w:rPr>
          <w:rFonts w:eastAsia="Arial" w:cs="Arial"/>
          <w:i/>
          <w:iCs/>
          <w:szCs w:val="20"/>
        </w:rPr>
        <w:t>7 octobre 2026</w:t>
      </w:r>
      <w:r w:rsidRPr="00841A54">
        <w:rPr>
          <w:rFonts w:eastAsia="Arial" w:cs="Arial"/>
          <w:i/>
          <w:iCs/>
          <w:szCs w:val="20"/>
        </w:rPr>
        <w:t xml:space="preserve">, </w:t>
      </w:r>
      <w:bookmarkStart w:id="15" w:name="lt_pId058"/>
      <w:r w:rsidRPr="00841A54">
        <w:rPr>
          <w:rFonts w:eastAsia="Arial" w:cs="Arial"/>
          <w:i/>
          <w:iCs/>
          <w:szCs w:val="20"/>
        </w:rPr>
        <w:t>a adopté la recommandation et pris note de son rapport explicatif.</w:t>
      </w:r>
      <w:bookmarkEnd w:id="15"/>
    </w:p>
    <w:p w14:paraId="100EB445" w14:textId="77777777" w:rsidR="00421DEB" w:rsidRPr="00841A54" w:rsidRDefault="00421DEB" w:rsidP="005B7C70">
      <w:pPr>
        <w:pStyle w:val="Notedebasdepage"/>
        <w:widowControl w:val="0"/>
        <w:rPr>
          <w:rFonts w:cs="Arial"/>
          <w:sz w:val="20"/>
        </w:rPr>
      </w:pPr>
    </w:p>
    <w:p w14:paraId="1F266F85" w14:textId="77777777" w:rsidR="00421DEB" w:rsidRPr="00841A54" w:rsidRDefault="00421DEB" w:rsidP="005B7C70">
      <w:pPr>
        <w:pStyle w:val="Titre1"/>
        <w:keepNext w:val="0"/>
        <w:keepLines w:val="0"/>
        <w:widowControl w:val="0"/>
        <w:rPr>
          <w:rFonts w:cs="Arial"/>
          <w:szCs w:val="20"/>
        </w:rPr>
      </w:pPr>
      <w:bookmarkStart w:id="16" w:name="lt_pId059"/>
      <w:bookmarkStart w:id="17" w:name="_Toc94775410"/>
      <w:bookmarkStart w:id="18" w:name="_Toc224544500"/>
      <w:r w:rsidRPr="00841A54">
        <w:rPr>
          <w:rFonts w:eastAsia="Arial" w:cs="Arial"/>
          <w:bCs/>
          <w:szCs w:val="20"/>
          <w:lang w:val="fr-FR"/>
        </w:rPr>
        <w:t>Préambule</w:t>
      </w:r>
      <w:bookmarkEnd w:id="16"/>
      <w:bookmarkEnd w:id="17"/>
      <w:bookmarkEnd w:id="18"/>
    </w:p>
    <w:p w14:paraId="2090FA7D" w14:textId="77777777" w:rsidR="00421DEB" w:rsidRPr="00841A54" w:rsidRDefault="00421DEB" w:rsidP="005B7C70">
      <w:pPr>
        <w:widowControl w:val="0"/>
        <w:rPr>
          <w:rFonts w:cs="Arial"/>
          <w:szCs w:val="20"/>
        </w:rPr>
      </w:pPr>
    </w:p>
    <w:p w14:paraId="74E65796"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Le Préambule rappelle la responsabilité qui incombe aux États membres de poursuivre les personnes soupçonnées d’avoir commis des infractions terroristes dans le cadre de conflits armés non internationaux, tout en se conformant à leur obligation de respecter et de faire respecter le DIH. Ce rappel s’appuie sur la « clause de sauvegarde » énoncée à l’article 26, paragraphe 4, de la Convention du Conseil de l’Europe pour la prévention du terrorisme (STCE n</w:t>
      </w:r>
      <w:r w:rsidRPr="00841A54">
        <w:rPr>
          <w:rFonts w:eastAsia="Arial" w:cs="Arial"/>
          <w:szCs w:val="20"/>
          <w:vertAlign w:val="superscript"/>
        </w:rPr>
        <w:t>o</w:t>
      </w:r>
      <w:r w:rsidRPr="00841A54">
        <w:rPr>
          <w:rFonts w:eastAsia="Arial" w:cs="Arial"/>
          <w:szCs w:val="20"/>
        </w:rPr>
        <w:t> 196), qui stipule qu</w:t>
      </w:r>
      <w:proofErr w:type="gramStart"/>
      <w:r w:rsidRPr="00841A54">
        <w:rPr>
          <w:rFonts w:eastAsia="Arial" w:cs="Arial"/>
          <w:szCs w:val="20"/>
        </w:rPr>
        <w:t>’«</w:t>
      </w:r>
      <w:proofErr w:type="gramEnd"/>
      <w:r w:rsidRPr="00841A54">
        <w:rPr>
          <w:rFonts w:eastAsia="Arial" w:cs="Arial"/>
          <w:szCs w:val="20"/>
        </w:rPr>
        <w:t> [a]</w:t>
      </w:r>
      <w:proofErr w:type="spellStart"/>
      <w:r w:rsidRPr="00841A54">
        <w:rPr>
          <w:rFonts w:eastAsia="Arial" w:cs="Arial"/>
          <w:szCs w:val="20"/>
        </w:rPr>
        <w:t>ucune</w:t>
      </w:r>
      <w:proofErr w:type="spellEnd"/>
      <w:r w:rsidRPr="00841A54">
        <w:rPr>
          <w:rFonts w:eastAsia="Arial" w:cs="Arial"/>
          <w:szCs w:val="20"/>
        </w:rPr>
        <w:t xml:space="preserve"> disposition de la présente Convention n’affecte d’autres droits, obligations et responsabilités d’une Partie et des individus découlant du droit international, y compris le droit international humanitaire ». Il peut également être déduit de l’article 26, paragraphe 5, de la Convention, qui se lit comme suit : « Les activités des forces armées en période de conflit armé, au sens donné à ces termes en droit international humanitaire, qui sont régies par ce droit ne sont pas régies par la présente Convention, et les activités menées par les forces armées d’une Partie dans l’exercice de leurs fonctions officielles, dans la mesure où elles sont régies par d’autres règles de droit international, ne </w:t>
      </w:r>
      <w:proofErr w:type="spellStart"/>
      <w:r w:rsidRPr="00841A54">
        <w:rPr>
          <w:rFonts w:eastAsia="Arial" w:cs="Arial"/>
          <w:szCs w:val="20"/>
        </w:rPr>
        <w:t>sont elles</w:t>
      </w:r>
      <w:proofErr w:type="spellEnd"/>
      <w:r w:rsidRPr="00841A54">
        <w:rPr>
          <w:rFonts w:eastAsia="Arial" w:cs="Arial"/>
          <w:szCs w:val="20"/>
        </w:rPr>
        <w:t xml:space="preserve"> non plus régies par la présente Convention ».</w:t>
      </w:r>
    </w:p>
    <w:p w14:paraId="43BB0EF3" w14:textId="77777777" w:rsidR="00421DEB" w:rsidRPr="00841A54" w:rsidRDefault="00421DEB" w:rsidP="005B7C70">
      <w:pPr>
        <w:pStyle w:val="Paragraphedeliste"/>
        <w:widowControl w:val="0"/>
        <w:ind w:left="0"/>
        <w:contextualSpacing w:val="0"/>
        <w:rPr>
          <w:rFonts w:cs="Arial"/>
          <w:szCs w:val="20"/>
        </w:rPr>
      </w:pPr>
    </w:p>
    <w:p w14:paraId="7A396B0C"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Dans le même esprit, le préambule souligne la nécessité de veiller à ce que les cadres de la lutte contre le terrorisme soient compatibles avec le DIH et, en particulier, il rappelle l’importance de protéger les activités exclusivement humanitaires menées pendant les conflits armés par des organisations humanitaires impartiales, telles que le CICR. Ce faisant, il fait écho aux dispositions des résolutions 2462 (2019) et 2664 (2022) du Conseil de sécurité des Nations Unies, qui demandent aux États « de tenir compte des effets [que les mesures de lutte contre le terrorisme] pourraient avoir sur les activités exclusivement humanitaires, y compris médicales, menées par des acteurs humanitaires impartiaux, de manière conforme au droit international humanitaire ». En outre, des termes similaires figurent dans le considérant (38) de la Directive (UE)2017/541 du Parlement européen et du Conseil relative à la lutte contre le terrorisme, qui exclut de son champ d’application « [l]es activités humanitaires menées par des organisations humanitaires impartiales reconnues par le droit international, y compris le droit international humanitaire ».</w:t>
      </w:r>
    </w:p>
    <w:p w14:paraId="07CCA559" w14:textId="77777777" w:rsidR="00421DEB" w:rsidRPr="00841A54" w:rsidRDefault="00421DEB" w:rsidP="005B7C70">
      <w:pPr>
        <w:widowControl w:val="0"/>
        <w:rPr>
          <w:rFonts w:cs="Arial"/>
          <w:szCs w:val="20"/>
        </w:rPr>
      </w:pPr>
    </w:p>
    <w:p w14:paraId="50EFEFB8"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Le préambule souligne également l’approche centrée sur les victimes adoptée par la recommandation, en reconnaissant les effets positifs qu’ont les stratégies globales de poursuite sur la garantie de la justice et l’apport d’une aide appropriée aux victimes du terrorisme et des crimes internationaux les plus graves afin de préserver leur dignité et leurs droits.</w:t>
      </w:r>
    </w:p>
    <w:p w14:paraId="1FCC3C03" w14:textId="77777777" w:rsidR="00421DEB" w:rsidRPr="00841A54" w:rsidRDefault="00421DEB" w:rsidP="005B7C70">
      <w:pPr>
        <w:pStyle w:val="Paragraphedeliste"/>
        <w:widowControl w:val="0"/>
        <w:contextualSpacing w:val="0"/>
        <w:rPr>
          <w:rFonts w:cs="Arial"/>
          <w:szCs w:val="20"/>
        </w:rPr>
      </w:pPr>
    </w:p>
    <w:p w14:paraId="79271494"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Plus généralement, le préambule réaffirme que la protection des droits humains, l’État de droit et les principes démocratiques sont complémentaires et se renforcent mutuellement par des mesures effectives de lutte contre le terrorisme, et sont donc essentiels au succès des actions de lutte contre le terrorisme.</w:t>
      </w:r>
    </w:p>
    <w:p w14:paraId="6B4D7BA2" w14:textId="77777777" w:rsidR="00421DEB" w:rsidRPr="00841A54" w:rsidRDefault="00421DEB" w:rsidP="005B7C70">
      <w:pPr>
        <w:pStyle w:val="Paragraphedeliste"/>
        <w:widowControl w:val="0"/>
        <w:contextualSpacing w:val="0"/>
        <w:rPr>
          <w:rFonts w:cs="Arial"/>
          <w:szCs w:val="20"/>
        </w:rPr>
      </w:pPr>
    </w:p>
    <w:p w14:paraId="168CD816" w14:textId="77777777" w:rsidR="00421DEB" w:rsidRPr="00841A54" w:rsidRDefault="00421DEB" w:rsidP="005B7C70">
      <w:pPr>
        <w:pStyle w:val="Paragraphedeliste"/>
        <w:widowControl w:val="0"/>
        <w:numPr>
          <w:ilvl w:val="0"/>
          <w:numId w:val="43"/>
        </w:numPr>
        <w:contextualSpacing w:val="0"/>
        <w:rPr>
          <w:rFonts w:cs="Arial"/>
          <w:szCs w:val="20"/>
        </w:rPr>
      </w:pPr>
      <w:bookmarkStart w:id="19" w:name="lt_pId074"/>
      <w:r w:rsidRPr="00841A54">
        <w:rPr>
          <w:rFonts w:eastAsia="Arial" w:cs="Arial"/>
          <w:szCs w:val="20"/>
        </w:rPr>
        <w:t>À la suite des paragraphes du préambule, la recommandation formule une série de recommandations à l’intention des États membres</w:t>
      </w:r>
      <w:bookmarkEnd w:id="19"/>
      <w:r w:rsidRPr="00841A54">
        <w:rPr>
          <w:rFonts w:eastAsia="Arial" w:cs="Arial"/>
          <w:szCs w:val="20"/>
        </w:rPr>
        <w:t>. Celles-ci tiennent compte des conventions du Conseil de l’Europe, des recommandations et des lignes directrices du Comité des Ministres à l’intention des États membres, ainsi que des traités internationaux et des résolutions pertinentes de l’Assemblée générale et du Conseil de sécurité des Nations Unies, y compris celles mentionnées plus haut. Enfin, la recommandation s’appuie aussi sur les travaux menés par le CDCT-IHL.</w:t>
      </w:r>
    </w:p>
    <w:p w14:paraId="2B726DCC" w14:textId="77777777" w:rsidR="005B7C70" w:rsidRPr="00841A54" w:rsidRDefault="005B7C70" w:rsidP="005B7C70">
      <w:pPr>
        <w:widowControl w:val="0"/>
        <w:rPr>
          <w:rFonts w:cs="Arial"/>
          <w:szCs w:val="20"/>
        </w:rPr>
      </w:pPr>
      <w:r w:rsidRPr="00841A54">
        <w:rPr>
          <w:rFonts w:cs="Arial"/>
          <w:szCs w:val="20"/>
        </w:rPr>
        <w:br w:type="page"/>
      </w:r>
    </w:p>
    <w:p w14:paraId="28997F79" w14:textId="59BC64C3" w:rsidR="00421DEB" w:rsidRPr="00841A54" w:rsidRDefault="00421DEB" w:rsidP="005B7C70">
      <w:pPr>
        <w:pStyle w:val="Paragraphedeliste"/>
        <w:widowControl w:val="0"/>
        <w:numPr>
          <w:ilvl w:val="0"/>
          <w:numId w:val="43"/>
        </w:numPr>
        <w:contextualSpacing w:val="0"/>
        <w:rPr>
          <w:rFonts w:cs="Arial"/>
          <w:szCs w:val="20"/>
        </w:rPr>
      </w:pPr>
      <w:r w:rsidRPr="00841A54">
        <w:rPr>
          <w:rFonts w:cs="Arial"/>
          <w:szCs w:val="20"/>
        </w:rPr>
        <w:lastRenderedPageBreak/>
        <w:t>En raison de la dynamique instable en Irak et en Syrie et dans d’autres zones actuellement touchées ou qui ont été touchées par un conflit armé non international, la recommandation pourra être révisée, à l’issue d’un examen périodique, afin de tenir compte de toute évolution dans la poursuite des infractions terroristes, des violations graves du DIH et des autres crimes internationaux les plus graves commis pendant le conflit par des groupes armés non étatiques désignés comme terroristes.</w:t>
      </w:r>
    </w:p>
    <w:p w14:paraId="23BC12A9" w14:textId="77777777" w:rsidR="00421DEB" w:rsidRPr="00841A54" w:rsidRDefault="00421DEB" w:rsidP="005B7C70">
      <w:pPr>
        <w:widowControl w:val="0"/>
        <w:rPr>
          <w:rFonts w:cs="Arial"/>
          <w:szCs w:val="20"/>
        </w:rPr>
      </w:pPr>
    </w:p>
    <w:p w14:paraId="4B26966D" w14:textId="77777777" w:rsidR="005B7C70" w:rsidRPr="00841A54" w:rsidRDefault="005B7C70" w:rsidP="005B7C70">
      <w:pPr>
        <w:widowControl w:val="0"/>
        <w:rPr>
          <w:rFonts w:cs="Arial"/>
          <w:szCs w:val="20"/>
        </w:rPr>
      </w:pPr>
    </w:p>
    <w:p w14:paraId="01249EBC" w14:textId="51AC4393" w:rsidR="00421DEB" w:rsidRPr="00841A54" w:rsidRDefault="00421DEB" w:rsidP="005B7C70">
      <w:pPr>
        <w:widowControl w:val="0"/>
        <w:rPr>
          <w:rFonts w:cs="Arial"/>
          <w:i/>
          <w:iCs/>
          <w:szCs w:val="20"/>
        </w:rPr>
      </w:pPr>
      <w:bookmarkStart w:id="20" w:name="lt_pId077"/>
      <w:r w:rsidRPr="00841A54">
        <w:rPr>
          <w:rFonts w:eastAsia="Arial" w:cs="Arial"/>
          <w:i/>
          <w:iCs/>
          <w:szCs w:val="20"/>
        </w:rPr>
        <w:t>Annexe</w:t>
      </w:r>
      <w:bookmarkEnd w:id="20"/>
      <w:r w:rsidRPr="00841A54">
        <w:rPr>
          <w:rFonts w:eastAsia="Arial" w:cs="Arial"/>
          <w:i/>
          <w:iCs/>
          <w:szCs w:val="20"/>
        </w:rPr>
        <w:t xml:space="preserve"> à la Recommandation </w:t>
      </w:r>
      <w:bookmarkStart w:id="21" w:name="_ML_000000000004_VALID"/>
      <w:r w:rsidR="001664AA" w:rsidRPr="001664AA">
        <w:rPr>
          <w:rFonts w:eastAsia="Arial" w:cs="Arial"/>
          <w:i/>
          <w:iCs/>
          <w:szCs w:val="20"/>
        </w:rPr>
        <w:fldChar w:fldCharType="begin"/>
      </w:r>
      <w:r w:rsidR="001664AA" w:rsidRPr="001664AA">
        <w:rPr>
          <w:rFonts w:eastAsia="Arial" w:cs="Arial"/>
          <w:i/>
          <w:iCs/>
          <w:szCs w:val="20"/>
        </w:rPr>
        <w:instrText>HYPERLINK "https://search.coe.int/cm/fre#%7B%22CoEReference%22:[%22CM/Rec(2026)13%22],%22CoELanguageId%22:[%22fre%22],%22CoECollection%22:[%22COE_DOC%22],%22po%22:%7B%22ref%22:%22=%22%7D%7D" \o "Recommandation du Comité des Ministres aux États membres sur la poursuite des infractions terroristes, des violations graves du droit international humanitaire et des autres crimes internationaux les plus graves commis dans le cadre de conflits armés non internationaux (adoptée par le Comité des Ministres le 7 octobre 2026, lors de la 1571e réunion des Délégués des Ministres)"</w:instrText>
      </w:r>
      <w:r w:rsidR="001664AA" w:rsidRPr="001664AA">
        <w:rPr>
          <w:rFonts w:eastAsia="Arial" w:cs="Arial"/>
          <w:i/>
          <w:iCs/>
          <w:szCs w:val="20"/>
        </w:rPr>
      </w:r>
      <w:r w:rsidR="001664AA" w:rsidRPr="001664AA">
        <w:rPr>
          <w:rFonts w:eastAsia="Arial" w:cs="Arial"/>
          <w:i/>
          <w:iCs/>
          <w:szCs w:val="20"/>
        </w:rPr>
        <w:fldChar w:fldCharType="separate"/>
      </w:r>
      <w:bookmarkEnd w:id="21"/>
      <w:r w:rsidR="001664AA" w:rsidRPr="001664AA">
        <w:rPr>
          <w:rStyle w:val="Lienhypertexte"/>
          <w:rFonts w:eastAsia="Arial" w:cs="Arial"/>
          <w:i/>
          <w:iCs/>
          <w:szCs w:val="20"/>
        </w:rPr>
        <w:t>CM/Rec(2026)13</w:t>
      </w:r>
      <w:r w:rsidR="001664AA" w:rsidRPr="001664AA">
        <w:rPr>
          <w:rFonts w:eastAsia="Arial" w:cs="Arial"/>
          <w:i/>
          <w:iCs/>
          <w:szCs w:val="20"/>
        </w:rPr>
        <w:fldChar w:fldCharType="end"/>
      </w:r>
    </w:p>
    <w:p w14:paraId="74EA54C1" w14:textId="77777777" w:rsidR="00421DEB" w:rsidRPr="00841A54" w:rsidRDefault="00421DEB" w:rsidP="005B7C70">
      <w:pPr>
        <w:pStyle w:val="Titre1"/>
        <w:keepNext w:val="0"/>
        <w:keepLines w:val="0"/>
        <w:widowControl w:val="0"/>
        <w:ind w:left="0" w:firstLine="0"/>
        <w:rPr>
          <w:rFonts w:cs="Arial"/>
          <w:szCs w:val="20"/>
          <w:lang w:val="fr-FR"/>
        </w:rPr>
      </w:pPr>
    </w:p>
    <w:p w14:paraId="5CC274BC" w14:textId="77777777" w:rsidR="00421DEB" w:rsidRPr="00841A54" w:rsidRDefault="00421DEB" w:rsidP="005B7C70">
      <w:pPr>
        <w:pStyle w:val="Titre1"/>
        <w:keepNext w:val="0"/>
        <w:keepLines w:val="0"/>
        <w:widowControl w:val="0"/>
        <w:ind w:hanging="1060"/>
        <w:rPr>
          <w:rFonts w:cs="Arial"/>
          <w:szCs w:val="20"/>
          <w:lang w:val="fr-FR"/>
        </w:rPr>
      </w:pPr>
      <w:bookmarkStart w:id="22" w:name="_Toc224544501"/>
      <w:bookmarkStart w:id="23" w:name="lt_pId079"/>
      <w:bookmarkStart w:id="24" w:name="_Toc94775412"/>
      <w:r w:rsidRPr="00841A54">
        <w:rPr>
          <w:rFonts w:eastAsia="Arial" w:cs="Arial"/>
          <w:bCs/>
          <w:szCs w:val="20"/>
          <w:lang w:val="fr-FR"/>
        </w:rPr>
        <w:t>Chapitre I – But, champ d’application et terminologie</w:t>
      </w:r>
      <w:bookmarkEnd w:id="22"/>
    </w:p>
    <w:bookmarkEnd w:id="23"/>
    <w:bookmarkEnd w:id="24"/>
    <w:p w14:paraId="2B054902" w14:textId="77777777" w:rsidR="00421DEB" w:rsidRPr="00841A54" w:rsidRDefault="00421DEB" w:rsidP="005B7C70">
      <w:pPr>
        <w:pStyle w:val="Titre2"/>
        <w:keepNext w:val="0"/>
        <w:keepLines w:val="0"/>
        <w:widowControl w:val="0"/>
        <w:ind w:hanging="1060"/>
        <w:rPr>
          <w:rFonts w:cs="Arial"/>
          <w:szCs w:val="20"/>
          <w:lang w:val="fr-FR"/>
        </w:rPr>
      </w:pPr>
    </w:p>
    <w:p w14:paraId="04CE9D1C" w14:textId="77777777" w:rsidR="00421DEB" w:rsidRPr="00841A54" w:rsidRDefault="00421DEB" w:rsidP="005B7C70">
      <w:pPr>
        <w:pStyle w:val="Titre1"/>
        <w:keepNext w:val="0"/>
        <w:keepLines w:val="0"/>
        <w:widowControl w:val="0"/>
        <w:ind w:hanging="1060"/>
        <w:rPr>
          <w:rFonts w:cs="Arial"/>
          <w:i/>
          <w:szCs w:val="20"/>
        </w:rPr>
      </w:pPr>
      <w:bookmarkStart w:id="25" w:name="_Toc224544502"/>
      <w:r w:rsidRPr="00841A54">
        <w:rPr>
          <w:rFonts w:eastAsia="Arial" w:cs="Arial"/>
          <w:bCs/>
          <w:szCs w:val="20"/>
          <w:lang w:val="fr-FR"/>
        </w:rPr>
        <w:t>But</w:t>
      </w:r>
      <w:bookmarkEnd w:id="25"/>
    </w:p>
    <w:p w14:paraId="056DE450" w14:textId="77777777" w:rsidR="00421DEB" w:rsidRPr="00841A54" w:rsidRDefault="00421DEB" w:rsidP="005B7C70">
      <w:pPr>
        <w:widowControl w:val="0"/>
        <w:rPr>
          <w:rFonts w:cs="Arial"/>
          <w:szCs w:val="20"/>
        </w:rPr>
      </w:pPr>
    </w:p>
    <w:p w14:paraId="63DC79D2"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La lutte contre l’impunité est au cœur de la présente recommandation, qui appellent les États membres à adopter des mesures de lutte contre le terrorisme fondées sur un cadre juridique clair, précis et prévisible, et conformes en tout temps aux règles et principes applicables du droit international des droits humains et du DIH. À cet égard, la recommandation vise à aider les États membres et leurs autorités compétentes à définir des moyens d’enquête efficaces et des stratégies de poursuite appropriées afin de traduire en justice les combattants terroristes étrangers et autres personnes soupçonnées de terrorisme placées sous leur juridiction, y compris celles ayant participé aux hostilités et les membres de groupes désignés comme terroristes, pour l’ensemble des actes criminels qu’ils ont commis dans le cadre d’un conflit armé non international, dans le respect du droit international, en particulier du DIH.</w:t>
      </w:r>
    </w:p>
    <w:p w14:paraId="1C3A664D" w14:textId="77777777" w:rsidR="00421DEB" w:rsidRPr="00841A54" w:rsidRDefault="00421DEB" w:rsidP="005B7C70">
      <w:pPr>
        <w:widowControl w:val="0"/>
        <w:rPr>
          <w:rFonts w:cs="Arial"/>
          <w:szCs w:val="20"/>
        </w:rPr>
      </w:pPr>
    </w:p>
    <w:p w14:paraId="077358DD" w14:textId="77777777" w:rsidR="00421DEB" w:rsidRPr="00841A54" w:rsidRDefault="00421DEB" w:rsidP="005B7C70">
      <w:pPr>
        <w:pStyle w:val="Titre1"/>
        <w:keepNext w:val="0"/>
        <w:keepLines w:val="0"/>
        <w:widowControl w:val="0"/>
        <w:ind w:hanging="1060"/>
        <w:rPr>
          <w:rFonts w:cs="Arial"/>
          <w:i/>
          <w:szCs w:val="20"/>
          <w:lang w:val="fr-FR"/>
        </w:rPr>
      </w:pPr>
      <w:bookmarkStart w:id="26" w:name="_Toc224544503"/>
      <w:r w:rsidRPr="00841A54">
        <w:rPr>
          <w:rFonts w:eastAsia="Arial" w:cs="Arial"/>
          <w:bCs/>
          <w:szCs w:val="20"/>
          <w:lang w:val="fr-FR"/>
        </w:rPr>
        <w:t>Champ d’application et terminologie</w:t>
      </w:r>
      <w:bookmarkEnd w:id="26"/>
    </w:p>
    <w:p w14:paraId="6F24D54C" w14:textId="77777777" w:rsidR="00421DEB" w:rsidRPr="00841A54" w:rsidRDefault="00421DEB" w:rsidP="005B7C70">
      <w:pPr>
        <w:widowControl w:val="0"/>
        <w:rPr>
          <w:rFonts w:cs="Arial"/>
          <w:szCs w:val="20"/>
        </w:rPr>
      </w:pPr>
    </w:p>
    <w:p w14:paraId="7317BB98" w14:textId="77777777" w:rsidR="00421DEB" w:rsidRPr="00841A54" w:rsidRDefault="00421DEB" w:rsidP="005B7C70">
      <w:pPr>
        <w:widowControl w:val="0"/>
        <w:rPr>
          <w:rFonts w:cs="Arial"/>
          <w:i/>
          <w:iCs/>
          <w:szCs w:val="20"/>
        </w:rPr>
      </w:pPr>
      <w:r w:rsidRPr="00841A54">
        <w:rPr>
          <w:rFonts w:eastAsia="Arial" w:cs="Arial"/>
          <w:i/>
          <w:iCs/>
          <w:szCs w:val="20"/>
        </w:rPr>
        <w:t>Suspects et actes criminels visés</w:t>
      </w:r>
    </w:p>
    <w:p w14:paraId="7084A124" w14:textId="77777777" w:rsidR="00421DEB" w:rsidRPr="00841A54" w:rsidRDefault="00421DEB" w:rsidP="005B7C70">
      <w:pPr>
        <w:widowControl w:val="0"/>
        <w:rPr>
          <w:rFonts w:cs="Arial"/>
          <w:szCs w:val="20"/>
        </w:rPr>
      </w:pPr>
    </w:p>
    <w:p w14:paraId="2B26C3B6"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La présente recommandation concerne principalement les affaires dans lesquels des personnes placées sous la juridiction des États membres sont soupçonnées d’avoir participé à des actes de terrorisme et à des violations graves du DIH commis par des associations ou des groupes terroristes dans le cadre d’un conflit armé non international à l’étranger, notamment, mais pas seulement, les conflits en Syrie et en Irak.</w:t>
      </w:r>
    </w:p>
    <w:p w14:paraId="092EEAAC" w14:textId="77777777" w:rsidR="00421DEB" w:rsidRPr="00841A54" w:rsidRDefault="00421DEB" w:rsidP="005B7C70">
      <w:pPr>
        <w:pStyle w:val="Paragraphedeliste"/>
        <w:widowControl w:val="0"/>
        <w:ind w:left="0"/>
        <w:contextualSpacing w:val="0"/>
        <w:rPr>
          <w:rFonts w:cs="Arial"/>
          <w:szCs w:val="20"/>
        </w:rPr>
      </w:pPr>
    </w:p>
    <w:p w14:paraId="67ED7BE2"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La recommandation exclut expressément de son champ d’application les forces armées des États membres, telles que définies par le droit interne. Cette exclusion va de pair avec l’article 26, paragraphe 5, de la Convention du Conseil de l’Europe pour la prévention du terrorisme, qui énonce que « les activités menées par les forces armées d’une Partie dans l’exercice de leurs fonctions officielles, dans la mesure où elles sont régies par d’autres règles de droit international, ne </w:t>
      </w:r>
      <w:proofErr w:type="spellStart"/>
      <w:proofErr w:type="gramStart"/>
      <w:r w:rsidRPr="00841A54">
        <w:rPr>
          <w:rFonts w:eastAsia="Arial" w:cs="Arial"/>
          <w:szCs w:val="20"/>
        </w:rPr>
        <w:t>sont elles</w:t>
      </w:r>
      <w:proofErr w:type="spellEnd"/>
      <w:proofErr w:type="gramEnd"/>
      <w:r w:rsidRPr="00841A54">
        <w:rPr>
          <w:rFonts w:eastAsia="Arial" w:cs="Arial"/>
          <w:szCs w:val="20"/>
        </w:rPr>
        <w:t xml:space="preserve"> non plus régies par la présente Convention ». Comme le laisse entendre la réserve émise dans cette disposition, l’exclusion des forces armées du champ d’application de la recommandation ne dispense pas celles-ci de leur responsabilité au titre du DIH et ne légitime pas les comportements incriminés par les cadres de lutte contre le terrorisme, y compris la Convention.</w:t>
      </w:r>
    </w:p>
    <w:p w14:paraId="1CB67E2C" w14:textId="77777777" w:rsidR="00421DEB" w:rsidRPr="00841A54" w:rsidRDefault="00421DEB" w:rsidP="005B7C70">
      <w:pPr>
        <w:pStyle w:val="Paragraphedeliste"/>
        <w:widowControl w:val="0"/>
        <w:ind w:left="0"/>
        <w:contextualSpacing w:val="0"/>
        <w:rPr>
          <w:rFonts w:cs="Arial"/>
          <w:szCs w:val="20"/>
        </w:rPr>
      </w:pPr>
    </w:p>
    <w:p w14:paraId="20131522"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Dans la plupart des cas, les personnes visées par la recommandation sont des « combattants terroristes étrangers », que la résolution 2178 (2014) du Conseil de sécurité des Nations Unies définit comme des individus qui « se rendent dans un État autre que leur État de résidence ou de nationalité, dans le dessein de se livrer à des activités terroristes ». La recommandation vise également les autres membres ou </w:t>
      </w:r>
      <w:r w:rsidRPr="00841A54">
        <w:rPr>
          <w:rFonts w:cs="Arial"/>
          <w:szCs w:val="20"/>
        </w:rPr>
        <w:t xml:space="preserve">affiliés </w:t>
      </w:r>
      <w:r w:rsidRPr="00841A54">
        <w:rPr>
          <w:rFonts w:eastAsia="Arial" w:cs="Arial"/>
          <w:szCs w:val="20"/>
        </w:rPr>
        <w:t>des « associations ou groupes terroristes », un terme qui n’a pas de définition contraignante et qui reprend la formulation du Protocole additionnel à la Convention du Conseil de l’Europe pour la prévention du terrorisme (STCE n</w:t>
      </w:r>
      <w:r w:rsidRPr="00841A54">
        <w:rPr>
          <w:rFonts w:eastAsia="Arial" w:cs="Arial"/>
          <w:szCs w:val="20"/>
          <w:vertAlign w:val="superscript"/>
        </w:rPr>
        <w:t>o</w:t>
      </w:r>
      <w:r w:rsidRPr="00841A54">
        <w:rPr>
          <w:rFonts w:eastAsia="Arial" w:cs="Arial"/>
          <w:szCs w:val="20"/>
        </w:rPr>
        <w:t> 217). En vertu de l’article 2, paragraphe 1, du Protocole additionnel, une Partie peut qualifier ou définir les associations ou les groupes au sens de cette disposition, y compris en interprétant les termes « association ou groupe » dans le sens d’organisation ou groupe « proscrit » (c’est-à-dire interdit par la loi) dans son droit interne. Aux fins de la présente recommandation, ce terme désigne donc les associations et groupes désignés comme terroristes sur les listes pertinentes des Nations Unies ou de l’Union européenne, ou désignés comme tels par les États membres concernés conformément à leur droit interne.</w:t>
      </w:r>
    </w:p>
    <w:p w14:paraId="171E8734" w14:textId="77777777" w:rsidR="00421DEB" w:rsidRPr="00841A54" w:rsidRDefault="00421DEB" w:rsidP="005B7C70">
      <w:pPr>
        <w:widowControl w:val="0"/>
        <w:rPr>
          <w:rFonts w:cs="Arial"/>
          <w:szCs w:val="20"/>
        </w:rPr>
      </w:pPr>
    </w:p>
    <w:p w14:paraId="0935A52B" w14:textId="77777777" w:rsidR="00421DEB" w:rsidRPr="00841A54" w:rsidRDefault="00421DEB" w:rsidP="005B7C70">
      <w:pPr>
        <w:pStyle w:val="Paragraphedeliste"/>
        <w:widowControl w:val="0"/>
        <w:numPr>
          <w:ilvl w:val="0"/>
          <w:numId w:val="43"/>
        </w:numPr>
        <w:contextualSpacing w:val="0"/>
        <w:rPr>
          <w:rFonts w:eastAsia="Times New Roman" w:cs="Arial"/>
          <w:szCs w:val="20"/>
        </w:rPr>
      </w:pPr>
      <w:r w:rsidRPr="00841A54">
        <w:rPr>
          <w:rFonts w:eastAsia="Arial" w:cs="Arial"/>
          <w:szCs w:val="20"/>
        </w:rPr>
        <w:t>Le champ d’application de la recommandation a été élargi pour inclure les personnes morales. Ces entités peuvent être tenues responsables d’infractions terroristes, en particulier de financement du terrorisme, et des crimes internationaux les plus graves, tels que la complicité de crimes contre l’humanité</w:t>
      </w:r>
      <w:r w:rsidRPr="00841A54">
        <w:rPr>
          <w:rStyle w:val="Appelnotedebasdep"/>
          <w:rFonts w:cs="Arial"/>
          <w:szCs w:val="20"/>
        </w:rPr>
        <w:footnoteReference w:id="4"/>
      </w:r>
      <w:r w:rsidRPr="00841A54">
        <w:rPr>
          <w:rFonts w:eastAsia="Arial" w:cs="Arial"/>
          <w:szCs w:val="20"/>
        </w:rPr>
        <w:t>, commis par des individus, lorsque le droit interne prévoit la responsabilité pénale ou administrative des personnes morales. Cette position est conforme aux obligations qui incombent aux États membres en vertu de la Convention du Conseil de l’Europe relative au blanchiment, au dépistage, à la saisie et à la confiscation des produits du crime et au financement du terrorisme (STCE n</w:t>
      </w:r>
      <w:r w:rsidRPr="00841A54">
        <w:rPr>
          <w:rFonts w:eastAsia="Arial" w:cs="Arial"/>
          <w:szCs w:val="20"/>
          <w:vertAlign w:val="superscript"/>
        </w:rPr>
        <w:t>o</w:t>
      </w:r>
      <w:r w:rsidRPr="00841A54">
        <w:rPr>
          <w:rFonts w:eastAsia="Arial" w:cs="Arial"/>
          <w:szCs w:val="20"/>
        </w:rPr>
        <w:t xml:space="preserve"> 198, article 10) et de la Convention internationale pour la répression </w:t>
      </w:r>
      <w:r w:rsidRPr="00841A54">
        <w:rPr>
          <w:rFonts w:eastAsia="Arial" w:cs="Arial"/>
          <w:szCs w:val="20"/>
        </w:rPr>
        <w:lastRenderedPageBreak/>
        <w:t>du financement du terrorisme (article 5)</w:t>
      </w:r>
      <w:r w:rsidRPr="00841A54">
        <w:rPr>
          <w:rStyle w:val="Appelnotedebasdep"/>
          <w:rFonts w:cs="Arial"/>
          <w:szCs w:val="20"/>
        </w:rPr>
        <w:footnoteReference w:id="5"/>
      </w:r>
      <w:r w:rsidRPr="00841A54">
        <w:rPr>
          <w:rFonts w:eastAsia="Arial" w:cs="Arial"/>
          <w:szCs w:val="20"/>
        </w:rPr>
        <w:t>, qui énoncent qu’une personne morale peut être tenue responsable lorsqu’une infraction a été commise par une personne physique (agissant soit individuellement, soit en tant que membre d’un organe de la personne morale, qui exerce un pouvoir de direction en son sein) au profit ou dans l’intérêt de cette personne morale, pour son compte, ou en raison d’un manque de surveillance ou de contrôle, conformément aux principes juridiques internes.</w:t>
      </w:r>
    </w:p>
    <w:p w14:paraId="6A0E1CD7" w14:textId="77777777" w:rsidR="00421DEB" w:rsidRPr="00841A54" w:rsidRDefault="00421DEB" w:rsidP="005B7C70">
      <w:pPr>
        <w:pStyle w:val="Paragraphedeliste"/>
        <w:widowControl w:val="0"/>
        <w:ind w:left="0"/>
        <w:contextualSpacing w:val="0"/>
        <w:rPr>
          <w:rFonts w:eastAsia="Times New Roman" w:cs="Arial"/>
          <w:szCs w:val="20"/>
        </w:rPr>
      </w:pPr>
    </w:p>
    <w:p w14:paraId="3A75431D"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Les termes et définitions utilisés dans la recommandation reprennent généralement le texte codifié dans les instruments juridiques contraignants et non contraignants du Conseil de l’Europe. La recommandation fait donc référence au « terrorisme » et aux « infractions terroristes » tels que définis à l’article 1 de la Convention du Conseil de l’Europe pour la prévention du terrorisme et son Protocole d’amendement.</w:t>
      </w:r>
    </w:p>
    <w:p w14:paraId="3F9C95AA" w14:textId="77777777" w:rsidR="00421DEB" w:rsidRPr="00841A54" w:rsidRDefault="00421DEB" w:rsidP="005B7C70">
      <w:pPr>
        <w:pStyle w:val="Paragraphedeliste"/>
        <w:widowControl w:val="0"/>
        <w:contextualSpacing w:val="0"/>
        <w:rPr>
          <w:rFonts w:cs="Arial"/>
          <w:szCs w:val="20"/>
        </w:rPr>
      </w:pPr>
    </w:p>
    <w:p w14:paraId="75266456"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Compte tenu de la pratique judiciaire des États membres, le champ d’application de la recommandation s’étend au-delà des infractions terroristes et des violations graves du DIH pour englober les autres crimes internationaux les plus graves, à savoir les crimes contre l’humanité et le génocide, commis lors d’un conflit armé non international, tels que définis en droit international.</w:t>
      </w:r>
    </w:p>
    <w:p w14:paraId="5CE41F51" w14:textId="77777777" w:rsidR="00421DEB" w:rsidRPr="00841A54" w:rsidRDefault="00421DEB" w:rsidP="005B7C70">
      <w:pPr>
        <w:widowControl w:val="0"/>
        <w:rPr>
          <w:rFonts w:cs="Arial"/>
          <w:szCs w:val="20"/>
        </w:rPr>
      </w:pPr>
    </w:p>
    <w:p w14:paraId="36924BCE" w14:textId="77777777" w:rsidR="00421DEB" w:rsidRPr="00841A54" w:rsidRDefault="00421DEB" w:rsidP="005B7C70">
      <w:pPr>
        <w:widowControl w:val="0"/>
        <w:rPr>
          <w:rFonts w:cs="Arial"/>
          <w:i/>
          <w:iCs/>
          <w:szCs w:val="20"/>
        </w:rPr>
      </w:pPr>
      <w:r w:rsidRPr="00841A54">
        <w:rPr>
          <w:rFonts w:eastAsia="Arial" w:cs="Arial"/>
          <w:i/>
          <w:iCs/>
          <w:szCs w:val="20"/>
        </w:rPr>
        <w:t>Restrictions relatives aux notions de conflit armé et de zone de conflit</w:t>
      </w:r>
    </w:p>
    <w:p w14:paraId="2572EE76" w14:textId="77777777" w:rsidR="00421DEB" w:rsidRPr="00841A54" w:rsidRDefault="00421DEB" w:rsidP="005B7C70">
      <w:pPr>
        <w:widowControl w:val="0"/>
        <w:rPr>
          <w:rFonts w:cs="Arial"/>
          <w:szCs w:val="20"/>
        </w:rPr>
      </w:pPr>
    </w:p>
    <w:p w14:paraId="4532E96D"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cs="Arial"/>
          <w:szCs w:val="20"/>
        </w:rPr>
        <w:t xml:space="preserve">Comme expliqué précédemment, </w:t>
      </w:r>
      <w:r w:rsidRPr="00841A54">
        <w:rPr>
          <w:rFonts w:eastAsia="Arial" w:cs="Arial"/>
          <w:szCs w:val="20"/>
        </w:rPr>
        <w:t>la recommandation ne s’applique qu’aux poursuites des infractions terroristes, des violations graves du DIH et des autres crimes internationaux les plus graves commis dans le cadre de conflits armés non internationaux</w:t>
      </w:r>
      <w:r w:rsidRPr="00841A54">
        <w:rPr>
          <w:rFonts w:cs="Arial"/>
          <w:szCs w:val="20"/>
        </w:rPr>
        <w:t xml:space="preserve">, étant donné que les groupes armés non étatiques également désignés comme terroristes participent à ce type de conflits. Le champ d’application des règles du DIH régissant les </w:t>
      </w:r>
      <w:r w:rsidRPr="00841A54">
        <w:rPr>
          <w:rFonts w:eastAsia="Arial" w:cs="Arial"/>
          <w:szCs w:val="20"/>
        </w:rPr>
        <w:t>conflits armés non internationaux</w:t>
      </w:r>
      <w:r w:rsidRPr="00841A54">
        <w:rPr>
          <w:rFonts w:cs="Arial"/>
          <w:szCs w:val="20"/>
        </w:rPr>
        <w:t xml:space="preserve"> diffère de celui des règles régissant les </w:t>
      </w:r>
      <w:r w:rsidRPr="00841A54">
        <w:rPr>
          <w:rFonts w:eastAsia="Arial" w:cs="Arial"/>
          <w:szCs w:val="20"/>
        </w:rPr>
        <w:t>conflits armés internationaux</w:t>
      </w:r>
      <w:r w:rsidRPr="00841A54">
        <w:rPr>
          <w:rFonts w:cs="Arial"/>
          <w:szCs w:val="20"/>
        </w:rPr>
        <w:t xml:space="preserve">. Les </w:t>
      </w:r>
      <w:r w:rsidRPr="00841A54">
        <w:rPr>
          <w:rFonts w:eastAsia="Arial" w:cs="Arial"/>
          <w:szCs w:val="20"/>
        </w:rPr>
        <w:t>conflits armés non internationaux</w:t>
      </w:r>
      <w:r w:rsidRPr="00841A54">
        <w:rPr>
          <w:rFonts w:cs="Arial"/>
          <w:szCs w:val="20"/>
        </w:rPr>
        <w:t xml:space="preserve"> sont principalement régis par l’article 3 commun aux Conventions de Genève de 1949, par le droit international coutumier et, le cas échéant, par le Protocole II à ces conventions</w:t>
      </w:r>
      <w:r w:rsidRPr="00841A54">
        <w:rPr>
          <w:rStyle w:val="Appelnotedebasdep"/>
          <w:rFonts w:cs="Arial"/>
          <w:szCs w:val="20"/>
        </w:rPr>
        <w:footnoteReference w:id="6"/>
      </w:r>
      <w:r w:rsidRPr="00841A54">
        <w:rPr>
          <w:rFonts w:eastAsia="Arial" w:cs="Arial"/>
          <w:szCs w:val="20"/>
        </w:rPr>
        <w:t>.</w:t>
      </w:r>
    </w:p>
    <w:p w14:paraId="4D31DC27" w14:textId="77777777" w:rsidR="00421DEB" w:rsidRPr="00841A54" w:rsidRDefault="00421DEB" w:rsidP="005B7C70">
      <w:pPr>
        <w:pStyle w:val="Paragraphedeliste"/>
        <w:widowControl w:val="0"/>
        <w:ind w:left="0"/>
        <w:contextualSpacing w:val="0"/>
        <w:rPr>
          <w:rFonts w:cs="Arial"/>
          <w:szCs w:val="20"/>
        </w:rPr>
      </w:pPr>
    </w:p>
    <w:p w14:paraId="0CD7B10B"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Selon les cas, les conflits armés non internationaux peuvent opposer les forces armées gouvernementales et des groupes armés non étatiques au sein d’un État, ou bien opposer ces groupes entre eux. Outre le conflit armé mené contre l’EIIL (Daech) en Syrie et en Iraq, il existe d’autres exemples bien connus de conflits armés non internationaux auxquels ont pris part des groupes armés non étatiques par ailleurs </w:t>
      </w:r>
      <w:r w:rsidRPr="00841A54">
        <w:rPr>
          <w:rFonts w:cs="Arial"/>
          <w:szCs w:val="20"/>
        </w:rPr>
        <w:t xml:space="preserve">désignés </w:t>
      </w:r>
      <w:r w:rsidRPr="00841A54">
        <w:rPr>
          <w:rFonts w:eastAsia="Arial" w:cs="Arial"/>
          <w:szCs w:val="20"/>
        </w:rPr>
        <w:t>comme terroristes, notamment la guerre civile au Sri Lanka de 1983 à 2009, à laquelle ont participé les Tigres de libération de l’Eelam tamoul, et le conflit entre les forces gouvernementales colombiennes et les Forces armées révolutionnaires de Colombie (</w:t>
      </w:r>
      <w:proofErr w:type="spellStart"/>
      <w:r w:rsidRPr="00841A54">
        <w:rPr>
          <w:rFonts w:eastAsia="Arial" w:cs="Arial"/>
          <w:i/>
          <w:iCs/>
          <w:szCs w:val="20"/>
        </w:rPr>
        <w:t>Fuerzas</w:t>
      </w:r>
      <w:proofErr w:type="spellEnd"/>
      <w:r w:rsidRPr="00841A54">
        <w:rPr>
          <w:rFonts w:eastAsia="Arial" w:cs="Arial"/>
          <w:i/>
          <w:iCs/>
          <w:szCs w:val="20"/>
        </w:rPr>
        <w:t xml:space="preserve"> Armadas </w:t>
      </w:r>
      <w:proofErr w:type="spellStart"/>
      <w:r w:rsidRPr="00841A54">
        <w:rPr>
          <w:rFonts w:eastAsia="Arial" w:cs="Arial"/>
          <w:i/>
          <w:iCs/>
          <w:szCs w:val="20"/>
        </w:rPr>
        <w:t>Revolucionarias</w:t>
      </w:r>
      <w:proofErr w:type="spellEnd"/>
      <w:r w:rsidRPr="00841A54">
        <w:rPr>
          <w:rFonts w:eastAsia="Arial" w:cs="Arial"/>
          <w:i/>
          <w:iCs/>
          <w:szCs w:val="20"/>
        </w:rPr>
        <w:t xml:space="preserve"> de Colombia </w:t>
      </w:r>
      <w:r w:rsidRPr="00841A54">
        <w:rPr>
          <w:rFonts w:eastAsia="Arial" w:cs="Arial"/>
          <w:szCs w:val="20"/>
        </w:rPr>
        <w:t>– FARC), qui a pris fin en 2016</w:t>
      </w:r>
      <w:r w:rsidRPr="00841A54">
        <w:rPr>
          <w:rStyle w:val="Appelnotedebasdep"/>
          <w:rFonts w:eastAsia="Times New Roman" w:cs="Arial"/>
          <w:szCs w:val="20"/>
        </w:rPr>
        <w:footnoteReference w:id="7"/>
      </w:r>
      <w:r w:rsidRPr="00841A54">
        <w:rPr>
          <w:rFonts w:eastAsia="Arial" w:cs="Arial"/>
          <w:szCs w:val="20"/>
        </w:rPr>
        <w:t>.</w:t>
      </w:r>
    </w:p>
    <w:p w14:paraId="49AFA38D" w14:textId="77777777" w:rsidR="00421DEB" w:rsidRPr="00841A54" w:rsidRDefault="00421DEB" w:rsidP="005B7C70">
      <w:pPr>
        <w:pStyle w:val="Paragraphedeliste"/>
        <w:widowControl w:val="0"/>
        <w:contextualSpacing w:val="0"/>
        <w:rPr>
          <w:rFonts w:cs="Arial"/>
          <w:szCs w:val="20"/>
        </w:rPr>
      </w:pPr>
    </w:p>
    <w:p w14:paraId="722226AB"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Aux fins de la présente recommandation, le terme « zone de conflit » est utilisé uniquement en rapport avec la collecte de preuves et désigne une zone touchée par un conflit armé non international dans laquelle des infractions terroristes ont été commises. Il s’agit donc d’une zone « touchée » ou « qui a été touchée » par un conflit armé non international. Cela étant dit, la zone de conflit ne se réduit pas à la zone des hostilités. Elle s’étend à l’ensemble du territoire de l’État concerné et peut déborder au-delà des frontières, sur le territoire d’un État voisin.</w:t>
      </w:r>
    </w:p>
    <w:p w14:paraId="23327525" w14:textId="77777777" w:rsidR="00421DEB" w:rsidRPr="00841A54" w:rsidRDefault="00421DEB" w:rsidP="005B7C70">
      <w:pPr>
        <w:widowControl w:val="0"/>
        <w:rPr>
          <w:rFonts w:cs="Arial"/>
          <w:szCs w:val="20"/>
        </w:rPr>
      </w:pPr>
    </w:p>
    <w:p w14:paraId="61C4CC34" w14:textId="77777777" w:rsidR="00421DEB" w:rsidRPr="00841A54" w:rsidRDefault="00421DEB" w:rsidP="005B7C70">
      <w:pPr>
        <w:widowControl w:val="0"/>
        <w:rPr>
          <w:rFonts w:cs="Arial"/>
          <w:i/>
          <w:iCs/>
          <w:szCs w:val="20"/>
        </w:rPr>
      </w:pPr>
      <w:r w:rsidRPr="00841A54">
        <w:rPr>
          <w:rFonts w:eastAsia="Arial" w:cs="Arial"/>
          <w:i/>
          <w:iCs/>
          <w:szCs w:val="20"/>
        </w:rPr>
        <w:t>Notions liées aux poursuites</w:t>
      </w:r>
    </w:p>
    <w:p w14:paraId="55DAD6D5" w14:textId="77777777" w:rsidR="00421DEB" w:rsidRPr="00841A54" w:rsidRDefault="00421DEB" w:rsidP="005B7C70">
      <w:pPr>
        <w:pStyle w:val="Paragraphedeliste"/>
        <w:widowControl w:val="0"/>
        <w:contextualSpacing w:val="0"/>
        <w:rPr>
          <w:rFonts w:cs="Arial"/>
          <w:szCs w:val="20"/>
        </w:rPr>
      </w:pPr>
    </w:p>
    <w:p w14:paraId="47709174"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Afin de permettre les poursuites et de lutter contre l’impunité, la recommandation désigne la « compétence universelle » comme un chef de compétence essentiel. Ce terme renvoie à la compétence d’un État pour juger les crimes de droit international, même lorsque ces crimes n’ont pas été commis sur le territoire de cet État et que ni la victime ni l’auteur ne sont ressortissants de cet État. Ce principe est reconnu par de nombreux États membres, à quelques exceptions près</w:t>
      </w:r>
      <w:r w:rsidRPr="00841A54">
        <w:rPr>
          <w:rStyle w:val="Appelnotedebasdep"/>
          <w:rFonts w:cs="Arial"/>
          <w:szCs w:val="20"/>
        </w:rPr>
        <w:footnoteReference w:id="8"/>
      </w:r>
      <w:r w:rsidRPr="00841A54">
        <w:rPr>
          <w:rFonts w:eastAsia="Arial" w:cs="Arial"/>
          <w:szCs w:val="20"/>
        </w:rPr>
        <w:t>. Le moment pertinent pour évaluer la nationalité est déterminé par le droit interne. En outre, conformément au paragraphe 2, point (e), de la résolution 1373 (2001), le Conseil de sécurité des Nations Unies exige des États qu’ils veillent à ce que toute personne qui participe au financement, à la planification, à la préparation ou à la commission d’actes de terrorisme, ou qui apporte son soutien à de tels actes, soit traduite en justice. Par ailleurs, au paragraphe 2 de la résolution 1566 (2004), le Conseil de sécurité des Nations Unies demande aux États de traduire ces personnes en justice sur la base du principe d’extradition ou de poursuite (« </w:t>
      </w:r>
      <w:proofErr w:type="spellStart"/>
      <w:r w:rsidRPr="00841A54">
        <w:rPr>
          <w:rFonts w:eastAsia="Arial" w:cs="Arial"/>
          <w:i/>
          <w:iCs/>
          <w:szCs w:val="20"/>
        </w:rPr>
        <w:t>aut</w:t>
      </w:r>
      <w:proofErr w:type="spellEnd"/>
      <w:r w:rsidRPr="00841A54">
        <w:rPr>
          <w:rFonts w:eastAsia="Arial" w:cs="Arial"/>
          <w:i/>
          <w:iCs/>
          <w:szCs w:val="20"/>
        </w:rPr>
        <w:t xml:space="preserve"> </w:t>
      </w:r>
      <w:proofErr w:type="spellStart"/>
      <w:r w:rsidRPr="00841A54">
        <w:rPr>
          <w:rFonts w:eastAsia="Arial" w:cs="Arial"/>
          <w:i/>
          <w:iCs/>
          <w:szCs w:val="20"/>
        </w:rPr>
        <w:t>dedere</w:t>
      </w:r>
      <w:proofErr w:type="spellEnd"/>
      <w:r w:rsidRPr="00841A54">
        <w:rPr>
          <w:rFonts w:eastAsia="Arial" w:cs="Arial"/>
          <w:i/>
          <w:iCs/>
          <w:szCs w:val="20"/>
        </w:rPr>
        <w:t xml:space="preserve"> </w:t>
      </w:r>
      <w:proofErr w:type="spellStart"/>
      <w:r w:rsidRPr="00841A54">
        <w:rPr>
          <w:rFonts w:eastAsia="Arial" w:cs="Arial"/>
          <w:i/>
          <w:iCs/>
          <w:szCs w:val="20"/>
        </w:rPr>
        <w:t>aut</w:t>
      </w:r>
      <w:proofErr w:type="spellEnd"/>
      <w:r w:rsidRPr="00841A54">
        <w:rPr>
          <w:rFonts w:eastAsia="Arial" w:cs="Arial"/>
          <w:i/>
          <w:iCs/>
          <w:szCs w:val="20"/>
        </w:rPr>
        <w:t xml:space="preserve"> </w:t>
      </w:r>
      <w:proofErr w:type="spellStart"/>
      <w:r w:rsidRPr="00841A54">
        <w:rPr>
          <w:rFonts w:eastAsia="Arial" w:cs="Arial"/>
          <w:i/>
          <w:iCs/>
          <w:szCs w:val="20"/>
        </w:rPr>
        <w:t>judicare</w:t>
      </w:r>
      <w:proofErr w:type="spellEnd"/>
      <w:r w:rsidRPr="00841A54">
        <w:rPr>
          <w:rFonts w:eastAsia="Arial" w:cs="Arial"/>
          <w:i/>
          <w:iCs/>
          <w:szCs w:val="20"/>
        </w:rPr>
        <w:t> </w:t>
      </w:r>
      <w:r w:rsidRPr="00841A54">
        <w:rPr>
          <w:rFonts w:eastAsia="Arial" w:cs="Arial"/>
          <w:szCs w:val="20"/>
        </w:rPr>
        <w:t>»).</w:t>
      </w:r>
    </w:p>
    <w:p w14:paraId="6E027DF5" w14:textId="77777777" w:rsidR="005B7C70" w:rsidRPr="00841A54" w:rsidRDefault="005B7C70" w:rsidP="005B7C70">
      <w:pPr>
        <w:widowControl w:val="0"/>
        <w:rPr>
          <w:rFonts w:eastAsia="Arial" w:cs="Arial"/>
          <w:szCs w:val="20"/>
        </w:rPr>
      </w:pPr>
      <w:r w:rsidRPr="00841A54">
        <w:rPr>
          <w:rFonts w:eastAsia="Arial" w:cs="Arial"/>
          <w:szCs w:val="20"/>
        </w:rPr>
        <w:br w:type="page"/>
      </w:r>
    </w:p>
    <w:p w14:paraId="55168311" w14:textId="30775B9E"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lastRenderedPageBreak/>
        <w:t xml:space="preserve">Aux fins de la présente recommandation, le terme « cumul des poursuites » désigne trois cas de figure différents qui tiennent compte de la diversité des systèmes juridiques : i. la double qualification juridique d’un même fait en infraction terroriste et en </w:t>
      </w:r>
      <w:r w:rsidRPr="00841A54">
        <w:rPr>
          <w:rFonts w:eastAsia="Times New Roman" w:cs="Arial"/>
          <w:szCs w:val="20"/>
        </w:rPr>
        <w:t>crime international le plus grave</w:t>
      </w:r>
      <w:r w:rsidRPr="00841A54">
        <w:rPr>
          <w:rFonts w:eastAsia="Arial" w:cs="Arial"/>
          <w:szCs w:val="20"/>
        </w:rPr>
        <w:t>, et l’engagement de poursuites pour ces deux chefs d’accusation ; ii. </w:t>
      </w:r>
      <w:proofErr w:type="gramStart"/>
      <w:r w:rsidRPr="00841A54">
        <w:rPr>
          <w:rFonts w:eastAsia="Arial" w:cs="Arial"/>
          <w:szCs w:val="20"/>
        </w:rPr>
        <w:t>le</w:t>
      </w:r>
      <w:proofErr w:type="gramEnd"/>
      <w:r w:rsidRPr="00841A54">
        <w:rPr>
          <w:rFonts w:eastAsia="Arial" w:cs="Arial"/>
          <w:szCs w:val="20"/>
        </w:rPr>
        <w:t xml:space="preserve"> cumul de chefs d’accusation et de poursuites pour des faits différents au titre de la législation antiterroriste et du DIH ; et iii. </w:t>
      </w:r>
      <w:proofErr w:type="gramStart"/>
      <w:r w:rsidRPr="00841A54">
        <w:rPr>
          <w:rFonts w:eastAsia="Arial" w:cs="Arial"/>
          <w:szCs w:val="20"/>
        </w:rPr>
        <w:t>l’engagement</w:t>
      </w:r>
      <w:proofErr w:type="gramEnd"/>
      <w:r w:rsidRPr="00841A54">
        <w:rPr>
          <w:rFonts w:eastAsia="Arial" w:cs="Arial"/>
          <w:szCs w:val="20"/>
        </w:rPr>
        <w:t xml:space="preserve"> de poursuites pour des faits différents, qualifiés respectivement d’infractions terroristes et de crimes internationaux les plus graves, à des moments distincts. Dans le troisième cas de figure, les États membres peuvent poursuivre de manière cumulative une série de faits qui, ensemble, constituent un seul comportement répréhensible et qui trouvent tous leur origine dans la même intention criminelle. Le droit pénal national relatif aux « concours d’infractions » peut s’appliquer.</w:t>
      </w:r>
    </w:p>
    <w:p w14:paraId="5BAF1238" w14:textId="77777777" w:rsidR="00421DEB" w:rsidRPr="00841A54" w:rsidRDefault="00421DEB" w:rsidP="005B7C70">
      <w:pPr>
        <w:pStyle w:val="Paragraphedeliste"/>
        <w:widowControl w:val="0"/>
        <w:contextualSpacing w:val="0"/>
        <w:rPr>
          <w:rFonts w:eastAsia="Times New Roman" w:cs="Arial"/>
          <w:szCs w:val="20"/>
        </w:rPr>
      </w:pPr>
    </w:p>
    <w:p w14:paraId="665ACF86" w14:textId="4501A702"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La présente recommandation reprend la définition des « techniques spéciales d’enquête » énoncée dans la Recommandation </w:t>
      </w:r>
      <w:bookmarkStart w:id="27" w:name="_ML_000000000005_VALID"/>
      <w:r w:rsidR="001664AA" w:rsidRPr="001664AA">
        <w:rPr>
          <w:rFonts w:eastAsia="Arial" w:cs="Arial"/>
          <w:szCs w:val="20"/>
        </w:rPr>
        <w:fldChar w:fldCharType="begin"/>
      </w:r>
      <w:r w:rsidR="001664AA" w:rsidRPr="001664AA">
        <w:rPr>
          <w:rFonts w:eastAsia="Arial" w:cs="Arial"/>
          <w:szCs w:val="20"/>
        </w:rPr>
        <w:instrText>HYPERLINK "https://search.coe.int/cm/fre#%7B%22CoEReference%22:[%22CM/Rec(2017)6%22],%22CoELanguageId%22:[%22fre%22],%22CoECollection%22:[%22COE_DOC%22],%22po%22:%7B%22ref%22:%22=%22%7D%7D" \o "Recommandation du Comité des Ministres aux États membres relative aux \« techniques spéciales d’enquête \» en relation avec des infractions graves y compris des actes de terrorisme (adoptée par le Comité des Ministres le 5 juillet 2017, lors de la 1291e réunion des Délégués des Ministres)"</w:instrText>
      </w:r>
      <w:r w:rsidR="001664AA" w:rsidRPr="001664AA">
        <w:rPr>
          <w:rFonts w:eastAsia="Arial" w:cs="Arial"/>
          <w:szCs w:val="20"/>
        </w:rPr>
      </w:r>
      <w:r w:rsidR="001664AA" w:rsidRPr="001664AA">
        <w:rPr>
          <w:rFonts w:eastAsia="Arial" w:cs="Arial"/>
          <w:szCs w:val="20"/>
        </w:rPr>
        <w:fldChar w:fldCharType="separate"/>
      </w:r>
      <w:bookmarkEnd w:id="27"/>
      <w:r w:rsidR="001664AA" w:rsidRPr="001664AA">
        <w:rPr>
          <w:rStyle w:val="Lienhypertexte"/>
          <w:rFonts w:eastAsia="Arial" w:cs="Arial"/>
          <w:szCs w:val="20"/>
        </w:rPr>
        <w:t>CM/Rec(2017)6</w:t>
      </w:r>
      <w:r w:rsidR="001664AA" w:rsidRPr="001664AA">
        <w:rPr>
          <w:rFonts w:eastAsia="Arial" w:cs="Arial"/>
          <w:szCs w:val="20"/>
        </w:rPr>
        <w:fldChar w:fldCharType="end"/>
      </w:r>
      <w:r w:rsidRPr="00841A54">
        <w:rPr>
          <w:rFonts w:eastAsia="Arial" w:cs="Arial"/>
          <w:szCs w:val="20"/>
        </w:rPr>
        <w:t xml:space="preserve"> relative aux « techniques spéciales d’enquête » en relation avec des infractions graves y compris des actes de terrorisme, et l’applique aux infractions et crimes qui relèvent de son champ d’application.</w:t>
      </w:r>
    </w:p>
    <w:p w14:paraId="44D83812" w14:textId="77777777" w:rsidR="00421DEB" w:rsidRPr="00841A54" w:rsidRDefault="00421DEB" w:rsidP="005B7C70">
      <w:pPr>
        <w:pStyle w:val="Paragraphedeliste"/>
        <w:widowControl w:val="0"/>
        <w:contextualSpacing w:val="0"/>
        <w:rPr>
          <w:rFonts w:cs="Arial"/>
          <w:szCs w:val="20"/>
        </w:rPr>
      </w:pPr>
    </w:p>
    <w:p w14:paraId="35EBF610"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cs="Arial"/>
          <w:szCs w:val="20"/>
        </w:rPr>
        <w:t>La recommandation fait également référence à l’« équipe commune d’enquête », telle que définie à l’article 20, paragraphe 1 du Deuxième Protocole additionnel à la Convention européenne d’entraide judiciaire en matière pénale (STE n° 182) et à l’article 13, paragraphe 1, de la Convention relative à l’entraide judiciaire en matière pénale entre les États membres de l’Union européenne, qui se lit comme suit : « Les autorités compétentes de deux États membres au moins peuvent, d’un commun accord, créer une équipe commune d’enquête, avec un objectif précis et pour une durée limitée pouvant être prolongée avec l’accord de toutes les parties, pour effectuer des enquêtes pénales dans un ou plusieurs des États membres qui créent l’équipe. La composition de l’équipe est arrêtée dans l’accord</w:t>
      </w:r>
      <w:r w:rsidRPr="00841A54">
        <w:rPr>
          <w:rStyle w:val="Appelnotedebasdep"/>
          <w:rFonts w:cs="Arial"/>
          <w:szCs w:val="20"/>
        </w:rPr>
        <w:footnoteReference w:id="9"/>
      </w:r>
      <w:r w:rsidRPr="00841A54">
        <w:rPr>
          <w:rFonts w:cs="Arial"/>
          <w:szCs w:val="20"/>
        </w:rPr>
        <w:t xml:space="preserve">. » </w:t>
      </w:r>
      <w:r w:rsidRPr="00841A54">
        <w:rPr>
          <w:rFonts w:eastAsia="Arial" w:cs="Arial"/>
          <w:szCs w:val="20"/>
        </w:rPr>
        <w:t>Il s'agit désormais d’un moyen de coopération judiciaire éprouvé, à la fois efficace et performant, pour lutter contre la criminalité transfrontalière.</w:t>
      </w:r>
    </w:p>
    <w:p w14:paraId="384B9064" w14:textId="77777777" w:rsidR="00421DEB" w:rsidRPr="00841A54" w:rsidRDefault="00421DEB" w:rsidP="005B7C70">
      <w:pPr>
        <w:widowControl w:val="0"/>
        <w:rPr>
          <w:rFonts w:cs="Arial"/>
          <w:szCs w:val="20"/>
        </w:rPr>
      </w:pPr>
    </w:p>
    <w:p w14:paraId="45EF183B" w14:textId="77777777" w:rsidR="00421DEB" w:rsidRPr="00841A54" w:rsidRDefault="00421DEB" w:rsidP="005B7C70">
      <w:pPr>
        <w:pStyle w:val="Titre1"/>
        <w:keepNext w:val="0"/>
        <w:keepLines w:val="0"/>
        <w:widowControl w:val="0"/>
        <w:ind w:hanging="1060"/>
        <w:rPr>
          <w:rFonts w:eastAsia="Times New Roman" w:cs="Arial"/>
          <w:szCs w:val="20"/>
          <w:lang w:val="fr-FR"/>
        </w:rPr>
      </w:pPr>
      <w:bookmarkStart w:id="28" w:name="_Toc224544504"/>
      <w:r w:rsidRPr="00841A54">
        <w:rPr>
          <w:rFonts w:eastAsia="Arial" w:cs="Arial"/>
          <w:bCs/>
          <w:szCs w:val="20"/>
          <w:lang w:val="fr-FR"/>
        </w:rPr>
        <w:t>Chapitre II – Établir une compétence sur l’ensemble des actes criminels allégués</w:t>
      </w:r>
      <w:bookmarkEnd w:id="28"/>
    </w:p>
    <w:p w14:paraId="0081695A" w14:textId="77777777" w:rsidR="00421DEB" w:rsidRPr="00841A54" w:rsidRDefault="00421DEB" w:rsidP="005B7C70">
      <w:pPr>
        <w:widowControl w:val="0"/>
        <w:rPr>
          <w:rFonts w:cs="Arial"/>
          <w:szCs w:val="20"/>
        </w:rPr>
      </w:pPr>
    </w:p>
    <w:p w14:paraId="7FB353F8" w14:textId="77777777" w:rsidR="00421DEB" w:rsidRPr="00841A54" w:rsidRDefault="00421DEB" w:rsidP="005B7C70">
      <w:pPr>
        <w:pStyle w:val="Paragraphedeliste"/>
        <w:widowControl w:val="0"/>
        <w:numPr>
          <w:ilvl w:val="0"/>
          <w:numId w:val="43"/>
        </w:numPr>
        <w:contextualSpacing w:val="0"/>
        <w:rPr>
          <w:rFonts w:eastAsia="Times New Roman" w:cs="Arial"/>
          <w:szCs w:val="20"/>
        </w:rPr>
      </w:pPr>
      <w:r w:rsidRPr="00841A54">
        <w:rPr>
          <w:rFonts w:eastAsia="Arial" w:cs="Arial"/>
          <w:szCs w:val="20"/>
        </w:rPr>
        <w:t xml:space="preserve">L’une des raisons pour lesquelles il peut être difficile de poursuivre les membres et </w:t>
      </w:r>
      <w:r w:rsidRPr="00841A54">
        <w:rPr>
          <w:rFonts w:cs="Arial"/>
          <w:szCs w:val="20"/>
        </w:rPr>
        <w:t xml:space="preserve">affiliés </w:t>
      </w:r>
      <w:r w:rsidRPr="00841A54">
        <w:rPr>
          <w:rFonts w:eastAsia="Arial" w:cs="Arial"/>
          <w:szCs w:val="20"/>
        </w:rPr>
        <w:t>d’associations ou de groupes terroristes pour l’ensemble des actes criminels qu’ils auraient commis dans le cadre de conflits armés non internationaux sur le sol étranger réside dans la difficulté à établir la compétence extraterritoriale. Pour surmonter cet obstacle et garantir que les auteurs d’infractions pénales répondent pleinement de leurs actes, la recommandation appellent les États membres à envisager tous les chefs de compétence possibles, y compris la protection de leurs intérêts nationaux, conformément à leur droit interne, dont le pouvoir discrétionnaire du ministère public ou l’autorisation d’une autorité nationale compétente pour ouvrir une procédure, le cas échéant.</w:t>
      </w:r>
    </w:p>
    <w:p w14:paraId="1DA94CBB" w14:textId="77777777" w:rsidR="00421DEB" w:rsidRPr="00841A54" w:rsidRDefault="00421DEB" w:rsidP="005B7C70">
      <w:pPr>
        <w:pStyle w:val="Paragraphedeliste"/>
        <w:widowControl w:val="0"/>
        <w:ind w:left="0"/>
        <w:contextualSpacing w:val="0"/>
        <w:rPr>
          <w:rFonts w:cs="Arial"/>
          <w:szCs w:val="20"/>
        </w:rPr>
      </w:pPr>
    </w:p>
    <w:p w14:paraId="02F155B7"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À l’appui de la lutte contre l’impunité, la recommandation réaffirme le droit des États à consacrer dans leurs lois nationales une compétence universelle pour les crimes de guerre</w:t>
      </w:r>
      <w:r w:rsidRPr="00841A54">
        <w:rPr>
          <w:rStyle w:val="Appelnotedebasdep"/>
          <w:rFonts w:eastAsia="Times New Roman" w:cs="Arial"/>
          <w:szCs w:val="20"/>
        </w:rPr>
        <w:footnoteReference w:id="10"/>
      </w:r>
      <w:r w:rsidRPr="00841A54">
        <w:rPr>
          <w:rFonts w:eastAsia="Arial" w:cs="Arial"/>
          <w:szCs w:val="20"/>
        </w:rPr>
        <w:t>, les crimes contre l’humanité et le génocide. La grande majorité des États membres sont également parties au Statut de Rome de la Cour pénale internationale (CPI) et ont, pour la plupart, intégré dans leur droit interne des dispositions qui établissent une compétence universelle pour ces crimes. Lorsque ce n’est pas le cas, la recommandation préconise d’intégrer de telles dispositions en droit interne afin que les autorités compétentes puissent traduire en justice les auteurs présumés, conformément au principe de complémentarité. Parallèlement, la recommandation encourage le petit nombre d’États membres qui ne sont pas parties au Statut de Rome de la CPI à intégrer les violations graves du DIH et les autres crimes internationaux les plus graves dans leur cadre juridique national, afin de permettre le cumul des poursuites lorsque des actes criminels peuvent relever à la fois du cadre de lutte contre le terrorisme et du DIH.</w:t>
      </w:r>
    </w:p>
    <w:p w14:paraId="7F71EE4C" w14:textId="77777777" w:rsidR="00421DEB" w:rsidRPr="00841A54" w:rsidRDefault="00421DEB" w:rsidP="005B7C70">
      <w:pPr>
        <w:pStyle w:val="Paragraphedeliste"/>
        <w:widowControl w:val="0"/>
        <w:contextualSpacing w:val="0"/>
        <w:rPr>
          <w:rFonts w:cs="Arial"/>
          <w:szCs w:val="20"/>
        </w:rPr>
      </w:pPr>
    </w:p>
    <w:p w14:paraId="50CFC8E1"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Dans le même temps, la recommandation reconnaît que la portée de la compétence universelle varie considérablement d’un État à l’autre et dépend des conditions prévues par la législation nationale. Par exemple, dans certains pays, le droit pénal impose que les suspects soient présents et/ou aient leur résidence habituelle sur le territoire de l’État concerné pour que celui-ci exerce la compétence universelle sur leur comportement criminel allégué</w:t>
      </w:r>
      <w:r w:rsidRPr="00841A54">
        <w:rPr>
          <w:rStyle w:val="Appelnotedebasdep"/>
          <w:rFonts w:cs="Arial"/>
          <w:szCs w:val="20"/>
        </w:rPr>
        <w:footnoteReference w:id="11"/>
      </w:r>
      <w:r w:rsidRPr="00841A54">
        <w:rPr>
          <w:rFonts w:eastAsia="Arial" w:cs="Arial"/>
          <w:szCs w:val="20"/>
        </w:rPr>
        <w:t>. Dans d’autres pays, il existe des filtres procéduraux qui exigent une demande préalable de la part d’une autorité gouvernementale compétente. En conséquence, la recommandation conseille que la loi précise expressément les conditions applicables et, lorsque la compétence universelle s’applique aux infractions terroristes, qu’elle définisse clairement ces infractions. Par ailleurs, la loi devrait être interprétée d’une manière compatible avec les obligations internationales qui incombent aux États en vertu du DIH, afin d’éviter de restreindre indûment la possibilité de poursuivre les suspects.</w:t>
      </w:r>
    </w:p>
    <w:p w14:paraId="11487E7B" w14:textId="77777777" w:rsidR="005B7C70" w:rsidRPr="00841A54" w:rsidRDefault="005B7C70" w:rsidP="005B7C70">
      <w:pPr>
        <w:widowControl w:val="0"/>
        <w:rPr>
          <w:rFonts w:eastAsia="Arial" w:cs="Arial"/>
          <w:szCs w:val="20"/>
        </w:rPr>
      </w:pPr>
      <w:r w:rsidRPr="00841A54">
        <w:rPr>
          <w:rFonts w:eastAsia="Arial" w:cs="Arial"/>
          <w:szCs w:val="20"/>
        </w:rPr>
        <w:br w:type="page"/>
      </w:r>
    </w:p>
    <w:p w14:paraId="784E1E31" w14:textId="76CC28DC"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lastRenderedPageBreak/>
        <w:t xml:space="preserve">L’exercice de la compétence universelle pour les crimes internationaux les plus graves et, le cas échéant, les infractions liées au terrorisme qui auraient été commises dans le cadre de conflits armés non internationaux, devrait également respecter les normes internationales et du Conseil de l’Europe relatives aux droits humains, en particulier le droit à un procès équitable, le droit à un recours effectif et le droit de ne pas être jugé ou condamné deux fois pour les mêmes faits (principe </w:t>
      </w:r>
      <w:r w:rsidRPr="00841A54">
        <w:rPr>
          <w:rFonts w:eastAsia="Arial" w:cs="Arial"/>
          <w:i/>
          <w:iCs/>
          <w:szCs w:val="20"/>
        </w:rPr>
        <w:t>ne bis in idem</w:t>
      </w:r>
      <w:r w:rsidRPr="00841A54">
        <w:rPr>
          <w:rFonts w:eastAsia="Arial" w:cs="Arial"/>
          <w:szCs w:val="20"/>
        </w:rPr>
        <w:t>). Ce principe figure dans de nombreux instruments conventionnels, tels que la Convention européenne d’extradition (STE n° 24, article 9), la Convention du Conseil de l’Europe relative au blanchiment, au dépistage, à la saisie et à la confiscation des produits du crime et au financement du terrorisme (STCE n</w:t>
      </w:r>
      <w:r w:rsidRPr="00841A54">
        <w:rPr>
          <w:rFonts w:eastAsia="Arial" w:cs="Arial"/>
          <w:szCs w:val="20"/>
          <w:vertAlign w:val="superscript"/>
        </w:rPr>
        <w:t>o</w:t>
      </w:r>
      <w:r w:rsidRPr="00841A54">
        <w:rPr>
          <w:rFonts w:eastAsia="Arial" w:cs="Arial"/>
          <w:szCs w:val="20"/>
        </w:rPr>
        <w:t> 198, article 28(1)(f)) et la Convention européenne des droits de l’homme (article 4 du Protocole n</w:t>
      </w:r>
      <w:r w:rsidRPr="00841A54">
        <w:rPr>
          <w:rFonts w:eastAsia="Arial" w:cs="Arial"/>
          <w:szCs w:val="20"/>
          <w:vertAlign w:val="superscript"/>
        </w:rPr>
        <w:t>o</w:t>
      </w:r>
      <w:r w:rsidRPr="00841A54">
        <w:rPr>
          <w:rFonts w:eastAsia="Arial" w:cs="Arial"/>
          <w:szCs w:val="20"/>
        </w:rPr>
        <w:t> 7). L’article 4 du Protocole n</w:t>
      </w:r>
      <w:r w:rsidRPr="00841A54">
        <w:rPr>
          <w:rFonts w:eastAsia="Arial" w:cs="Arial"/>
          <w:szCs w:val="20"/>
          <w:vertAlign w:val="superscript"/>
        </w:rPr>
        <w:t>o</w:t>
      </w:r>
      <w:r w:rsidRPr="00841A54">
        <w:rPr>
          <w:rFonts w:eastAsia="Arial" w:cs="Arial"/>
          <w:szCs w:val="20"/>
        </w:rPr>
        <w:t> 7 consacre un droit fondamental qui garantit que nul ne peut être jugé ou puni pénalement pour une infraction pour laquelle il a déjà été définitivement condamné ou acquitté</w:t>
      </w:r>
      <w:r w:rsidRPr="00841A54">
        <w:rPr>
          <w:rStyle w:val="Appelnotedebasdep"/>
          <w:rFonts w:cs="Arial"/>
          <w:szCs w:val="20"/>
        </w:rPr>
        <w:footnoteReference w:id="12"/>
      </w:r>
      <w:r w:rsidRPr="00841A54">
        <w:rPr>
          <w:rFonts w:eastAsia="Arial" w:cs="Arial"/>
          <w:szCs w:val="20"/>
        </w:rPr>
        <w:t>.</w:t>
      </w:r>
    </w:p>
    <w:p w14:paraId="67E92B45" w14:textId="77777777" w:rsidR="00421DEB" w:rsidRPr="00841A54" w:rsidRDefault="00421DEB" w:rsidP="005B7C70">
      <w:pPr>
        <w:pStyle w:val="Paragraphedeliste"/>
        <w:widowControl w:val="0"/>
        <w:contextualSpacing w:val="0"/>
        <w:rPr>
          <w:rFonts w:cs="Arial"/>
          <w:szCs w:val="20"/>
        </w:rPr>
      </w:pPr>
    </w:p>
    <w:p w14:paraId="772DDE70"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La portée du principe </w:t>
      </w:r>
      <w:r w:rsidRPr="00841A54">
        <w:rPr>
          <w:rFonts w:eastAsia="Arial" w:cs="Arial"/>
          <w:i/>
          <w:iCs/>
          <w:szCs w:val="20"/>
        </w:rPr>
        <w:t>ne bis in idem</w:t>
      </w:r>
      <w:r w:rsidRPr="00841A54">
        <w:rPr>
          <w:rFonts w:eastAsia="Arial" w:cs="Arial"/>
          <w:szCs w:val="20"/>
        </w:rPr>
        <w:t xml:space="preserve"> diffère d’un instrument conventionnel à l’autre. L’article 4 du Protocole n</w:t>
      </w:r>
      <w:r w:rsidRPr="00841A54">
        <w:rPr>
          <w:rFonts w:eastAsia="Arial" w:cs="Arial"/>
          <w:szCs w:val="20"/>
          <w:vertAlign w:val="superscript"/>
        </w:rPr>
        <w:t>o</w:t>
      </w:r>
      <w:r w:rsidRPr="00841A54">
        <w:rPr>
          <w:rFonts w:eastAsia="Arial" w:cs="Arial"/>
          <w:szCs w:val="20"/>
        </w:rPr>
        <w:t xml:space="preserve"> 7 à la Convention européenne des droits de l’homme ne s’applique qu’aux procédures pénales qui relèvent « des juridictions du même État ». En revanche, la Charte des droits fondamentaux de l’UE (article 50) offre une protection plus large, car elle s’applique aux procédures pénales engagées « dans l’Union […] conformément à la loi ». Enfin, certaines conventions pertinentes du Conseil de l’Europe s’appliquent aussi aux États tiers qui y sont parties et étendent donc l’application du principe </w:t>
      </w:r>
      <w:r w:rsidRPr="00841A54">
        <w:rPr>
          <w:rFonts w:eastAsia="Arial" w:cs="Arial"/>
          <w:i/>
          <w:iCs/>
          <w:szCs w:val="20"/>
        </w:rPr>
        <w:t>ne bis in idem</w:t>
      </w:r>
      <w:r w:rsidRPr="00841A54">
        <w:rPr>
          <w:rFonts w:eastAsia="Arial" w:cs="Arial"/>
          <w:szCs w:val="20"/>
        </w:rPr>
        <w:t xml:space="preserve"> à ces États. Par conséquent, la mesure dans laquelle ce principe s’applique devrait être évaluée au cas par cas.</w:t>
      </w:r>
    </w:p>
    <w:p w14:paraId="35BB6FDD" w14:textId="77777777" w:rsidR="00421DEB" w:rsidRPr="00841A54" w:rsidRDefault="00421DEB" w:rsidP="005B7C70">
      <w:pPr>
        <w:pStyle w:val="Paragraphedeliste"/>
        <w:widowControl w:val="0"/>
        <w:contextualSpacing w:val="0"/>
        <w:rPr>
          <w:rFonts w:cs="Arial"/>
          <w:szCs w:val="20"/>
        </w:rPr>
      </w:pPr>
    </w:p>
    <w:p w14:paraId="72BF50D1"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En ce qui concerne les autres chefs de compétence possibles, la recommandation évoque l’extension des principes de personnalité active et passive aux ressortissants étrangers qui résident habituellement sur le territoire de l’État. En règle générale, pour la personnalité active élargie, ce critère est évalué au moment où l’infraction ou le crime est commis et/ou lorsque la procédure pénale est engagée ; pour la personnalité passive élargie, ce critère est évalué au moment où les faits se sont produits.</w:t>
      </w:r>
    </w:p>
    <w:p w14:paraId="308C5278" w14:textId="77777777" w:rsidR="00421DEB" w:rsidRPr="00841A54" w:rsidRDefault="00421DEB" w:rsidP="005B7C70">
      <w:pPr>
        <w:pStyle w:val="Paragraphedeliste"/>
        <w:widowControl w:val="0"/>
        <w:contextualSpacing w:val="0"/>
        <w:rPr>
          <w:rFonts w:cs="Arial"/>
          <w:szCs w:val="20"/>
        </w:rPr>
      </w:pPr>
    </w:p>
    <w:p w14:paraId="124498D8"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Lorsqu’ils établissent leur compétence dans les affaires visées par la présente recommandation, les États membres devraient accorder la priorité à leur obligation de rendre compte, tant pour les infractions liées au terrorisme que pour les crimes internationaux les plus graves. En vertu du droit international</w:t>
      </w:r>
      <w:r w:rsidRPr="00841A54">
        <w:rPr>
          <w:rStyle w:val="Appelnotedebasdep"/>
          <w:rFonts w:cs="Arial"/>
          <w:szCs w:val="20"/>
        </w:rPr>
        <w:footnoteReference w:id="13"/>
      </w:r>
      <w:r w:rsidRPr="00841A54">
        <w:rPr>
          <w:rFonts w:eastAsia="Arial" w:cs="Arial"/>
          <w:szCs w:val="20"/>
        </w:rPr>
        <w:t>, les délais de prescription ne s’appliquent pas aux violations graves du DIH et aux autres crimes internationaux les plus graves, y compris lorsqu’ils sont commis dans le cadre de conflits armés non internationaux auxquels participent des groupes armés non étatiques désignés comme terroristes. Dans le même temps, plusieurs règles statutaires relatives aux délais de prescription peuvent s’appliquer à une même affaire en cas de cumul des poursuites, ce qui signifie qu’il existe un risque de voir des enquêtes ineffectives et des poursuites tardives aboutir à la prescription des infractions et crimes concernés.</w:t>
      </w:r>
    </w:p>
    <w:p w14:paraId="6CA84260" w14:textId="77777777" w:rsidR="00421DEB" w:rsidRPr="00841A54" w:rsidRDefault="00421DEB" w:rsidP="005B7C70">
      <w:pPr>
        <w:widowControl w:val="0"/>
        <w:rPr>
          <w:rFonts w:cs="Arial"/>
          <w:szCs w:val="20"/>
        </w:rPr>
      </w:pPr>
    </w:p>
    <w:p w14:paraId="0E0747A7" w14:textId="77777777" w:rsidR="00421DEB" w:rsidRPr="00841A54" w:rsidRDefault="00421DEB" w:rsidP="005B7C70">
      <w:pPr>
        <w:pStyle w:val="Titre1"/>
        <w:keepNext w:val="0"/>
        <w:keepLines w:val="0"/>
        <w:widowControl w:val="0"/>
        <w:ind w:hanging="1060"/>
        <w:rPr>
          <w:rFonts w:eastAsia="Times New Roman" w:cs="Arial"/>
          <w:szCs w:val="20"/>
          <w:lang w:val="fr-FR"/>
        </w:rPr>
      </w:pPr>
      <w:bookmarkStart w:id="29" w:name="_Toc224544505"/>
      <w:r w:rsidRPr="00841A54">
        <w:rPr>
          <w:rFonts w:eastAsia="Arial" w:cs="Arial"/>
          <w:bCs/>
          <w:szCs w:val="20"/>
          <w:lang w:val="fr-FR"/>
        </w:rPr>
        <w:t>Chapitre III – Utiliser des moyens d’enquête efficaces pour obtenir des preuves recevables</w:t>
      </w:r>
      <w:bookmarkEnd w:id="29"/>
    </w:p>
    <w:p w14:paraId="48547F00" w14:textId="77777777" w:rsidR="00421DEB" w:rsidRPr="00841A54" w:rsidRDefault="00421DEB" w:rsidP="005B7C70">
      <w:pPr>
        <w:widowControl w:val="0"/>
        <w:rPr>
          <w:rFonts w:cs="Arial"/>
          <w:szCs w:val="20"/>
        </w:rPr>
      </w:pPr>
    </w:p>
    <w:p w14:paraId="6C98F8B7"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En vertu du droit international coutumier et d’un certain nombre de traités qui s’appliquent aux actes commis dans le cadre de conflits armés à la fois internationaux et non internationaux, comme le Statut de Rome de la CPI, les États membres sont tenus d’enquêter sur les crimes de guerre, les crimes contre l’humanité et les actes de génocide qui relèvent de leur compétence et, le cas échéant, de poursuivre les suspects</w:t>
      </w:r>
      <w:r w:rsidRPr="00841A54">
        <w:rPr>
          <w:rStyle w:val="Appelnotedebasdep"/>
          <w:rFonts w:cs="Arial"/>
          <w:szCs w:val="20"/>
        </w:rPr>
        <w:footnoteReference w:id="14"/>
      </w:r>
      <w:r w:rsidRPr="00841A54">
        <w:rPr>
          <w:rFonts w:eastAsia="Arial" w:cs="Arial"/>
          <w:szCs w:val="20"/>
        </w:rPr>
        <w:t>.</w:t>
      </w:r>
    </w:p>
    <w:p w14:paraId="438A7CE4" w14:textId="77777777" w:rsidR="00421DEB" w:rsidRPr="00841A54" w:rsidRDefault="00421DEB" w:rsidP="005B7C70">
      <w:pPr>
        <w:pStyle w:val="Paragraphedeliste"/>
        <w:widowControl w:val="0"/>
        <w:ind w:left="0"/>
        <w:contextualSpacing w:val="0"/>
        <w:rPr>
          <w:rFonts w:cs="Arial"/>
          <w:szCs w:val="20"/>
        </w:rPr>
      </w:pPr>
    </w:p>
    <w:p w14:paraId="32E60CC6"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En vertu de la Convention européenne des droits de l’homme, notamment de son article 2 (droit à la vie), l’obligation procédurale de mener une enquête effective s’applique indépendamment de ce que les personnes censément responsables soient des agents de l’État ou des particuliers, ou de ce que celles-ci soient inconnues ou non. Cette obligation suppose la conduite d’une enquête indépendante, rapide et adéquate, de nature à permettre l’identification et la sanction des responsables et associant les victimes ou leurs proches à la procédure dans toute la mesure nécessaire à la protection de leurs intérêts légitimes</w:t>
      </w:r>
      <w:r w:rsidRPr="00841A54">
        <w:rPr>
          <w:rStyle w:val="Appelnotedebasdep"/>
          <w:rFonts w:cs="Arial"/>
          <w:szCs w:val="20"/>
        </w:rPr>
        <w:footnoteReference w:id="15"/>
      </w:r>
      <w:r w:rsidRPr="00841A54">
        <w:rPr>
          <w:rFonts w:eastAsia="Arial" w:cs="Arial"/>
          <w:szCs w:val="20"/>
        </w:rPr>
        <w:t>.</w:t>
      </w:r>
    </w:p>
    <w:p w14:paraId="79BB9CC4" w14:textId="450D9E58" w:rsidR="005B7C70" w:rsidRPr="00841A54" w:rsidRDefault="005B7C70" w:rsidP="005B7C70">
      <w:pPr>
        <w:widowControl w:val="0"/>
        <w:rPr>
          <w:rFonts w:eastAsia="Arial" w:cs="Arial"/>
          <w:szCs w:val="20"/>
        </w:rPr>
      </w:pPr>
    </w:p>
    <w:p w14:paraId="070D5FD3" w14:textId="3312328E"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Pour se conformer à leurs obligations internationales, les États membres disposent d’un large éventail de moyens d’enquête. La recommandation se concentre sur ceux prévus par la Recommandation </w:t>
      </w:r>
      <w:bookmarkStart w:id="30" w:name="_ML_000000000006_VALID"/>
      <w:r w:rsidR="001664AA" w:rsidRPr="001664AA">
        <w:rPr>
          <w:rFonts w:eastAsia="Arial" w:cs="Arial"/>
          <w:szCs w:val="20"/>
        </w:rPr>
        <w:fldChar w:fldCharType="begin"/>
      </w:r>
      <w:r w:rsidR="001664AA" w:rsidRPr="001664AA">
        <w:rPr>
          <w:rFonts w:eastAsia="Arial" w:cs="Arial"/>
          <w:szCs w:val="20"/>
        </w:rPr>
        <w:instrText>HYPERLINK "https://search.coe.int/cm/fre#%7B%22CoEReference%22:[%22CM/Rec(2017)6%22],%22CoELanguageId%22:[%22fre%22],%22CoECollection%22:[%22COE_DOC%22],%22po%22:%7B%22ref%22:%22=%22%7D%7D" \o "Recommandation du Comité des Ministres aux États membres relative aux \« techniques spéciales d’enquête \» en relation avec des infractions graves y compris des actes de terrorisme (adoptée par le Comité des Ministres le 5 juillet 2017, lors de la 1291e réunion des Délégués des Ministres)"</w:instrText>
      </w:r>
      <w:r w:rsidR="001664AA" w:rsidRPr="001664AA">
        <w:rPr>
          <w:rFonts w:eastAsia="Arial" w:cs="Arial"/>
          <w:szCs w:val="20"/>
        </w:rPr>
      </w:r>
      <w:r w:rsidR="001664AA" w:rsidRPr="001664AA">
        <w:rPr>
          <w:rFonts w:eastAsia="Arial" w:cs="Arial"/>
          <w:szCs w:val="20"/>
        </w:rPr>
        <w:fldChar w:fldCharType="separate"/>
      </w:r>
      <w:bookmarkEnd w:id="30"/>
      <w:r w:rsidR="001664AA" w:rsidRPr="001664AA">
        <w:rPr>
          <w:rStyle w:val="Lienhypertexte"/>
          <w:rFonts w:eastAsia="Arial" w:cs="Arial"/>
          <w:szCs w:val="20"/>
        </w:rPr>
        <w:t>CM/Rec(2017)6</w:t>
      </w:r>
      <w:r w:rsidR="001664AA" w:rsidRPr="001664AA">
        <w:rPr>
          <w:rFonts w:eastAsia="Arial" w:cs="Arial"/>
          <w:szCs w:val="20"/>
        </w:rPr>
        <w:fldChar w:fldCharType="end"/>
      </w:r>
      <w:r w:rsidRPr="00841A54">
        <w:rPr>
          <w:rFonts w:eastAsia="Arial" w:cs="Arial"/>
          <w:szCs w:val="20"/>
        </w:rPr>
        <w:t xml:space="preserve"> relative aux « techniques spéciales d’enquête » en relation avec des infractions graves, y compris des actes de terrorisme, tels les agents sous couverture et les mesures de surveillance secrète. Lorsque ces techniques ne s’appliquent qu’aux infractions terroristes, les États membres concernés sont encouragés à autoriser leur utilisation ou l’utilisation de leurs résultats pour enquêter aussi sur les comportements répréhensibles associés à des violations graves du DIH et aux autres crimes internationaux les plus graves commis par des personnes soupçonnées de terrorisme pendant un conflit armé non international. </w:t>
      </w:r>
      <w:r w:rsidRPr="00841A54">
        <w:rPr>
          <w:rFonts w:eastAsia="Arial" w:cs="Arial"/>
          <w:szCs w:val="20"/>
        </w:rPr>
        <w:lastRenderedPageBreak/>
        <w:t>Compte tenu du degré élevé d’ingérence dans les droits et libertés fondamentaux, en particulier le droit à la vie privée, que revêtent ces moyens d’enquête, leur utilisation doit être encadrée par des garanties adéquates et suffisantes contre les abus et l’arbitraire, comme l’exigent l’article 8 de la Convention européenne des droits de l’homme et la jurisprudence pertinente de la Cour européenne des droits de l’homme.</w:t>
      </w:r>
    </w:p>
    <w:p w14:paraId="2721DC66" w14:textId="77777777" w:rsidR="00421DEB" w:rsidRPr="00841A54" w:rsidRDefault="00421DEB" w:rsidP="005B7C70">
      <w:pPr>
        <w:pStyle w:val="Paragraphedeliste"/>
        <w:widowControl w:val="0"/>
        <w:contextualSpacing w:val="0"/>
        <w:rPr>
          <w:rFonts w:cs="Arial"/>
          <w:szCs w:val="20"/>
        </w:rPr>
      </w:pPr>
    </w:p>
    <w:p w14:paraId="5910F81D"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En ce qui concerne la collecte d’informations dans les zones de conflit où opèrent des groupes armés non étatiques désignés comme terroristes, la recommandation fait également référence aux enquêtes structurelles ou à d’autres formes d’enquêtes sur une situation déterminée, si le droit national le prévoit. Celles-ci permettent aux autorités nationales de collecter des informations et de rassembler des preuves avant qu’un suspect n’ait été identifié et de chercher à rassembler des preuves sur les éléments contextuels des crimes et les structures ou groupements d’auteurs potentiels qui opèrent dans ce cadre.</w:t>
      </w:r>
    </w:p>
    <w:p w14:paraId="7B0B602D" w14:textId="77777777" w:rsidR="00421DEB" w:rsidRPr="00841A54" w:rsidRDefault="00421DEB" w:rsidP="005B7C70">
      <w:pPr>
        <w:pStyle w:val="Paragraphedeliste"/>
        <w:widowControl w:val="0"/>
        <w:contextualSpacing w:val="0"/>
        <w:rPr>
          <w:rFonts w:eastAsia="Times New Roman" w:cs="Arial"/>
          <w:szCs w:val="20"/>
        </w:rPr>
      </w:pPr>
    </w:p>
    <w:p w14:paraId="7E7590E9" w14:textId="004EE490"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Pour aller plus loin, la présente recommandation invite les États membres à s’inspirer de la Recommandation </w:t>
      </w:r>
      <w:bookmarkStart w:id="31" w:name="_ML_000000000007_VALID"/>
      <w:r w:rsidR="001664AA" w:rsidRPr="001664AA">
        <w:rPr>
          <w:rFonts w:eastAsia="Arial" w:cs="Arial"/>
          <w:szCs w:val="20"/>
        </w:rPr>
        <w:fldChar w:fldCharType="begin"/>
      </w:r>
      <w:r w:rsidR="001664AA" w:rsidRPr="001664AA">
        <w:rPr>
          <w:rFonts w:eastAsia="Arial" w:cs="Arial"/>
          <w:szCs w:val="20"/>
        </w:rPr>
        <w:instrText>HYPERLINK "https://search.coe.int/cm/fre#%7B%22CoEReference%22:[%22CM/Rec(2022)8%22],%22CoELanguageId%22:[%22fre%22],%22CoECollection%22:[%22COE_DOC%22],%22po%22:%7B%22ref%22:%22=%22%7D%7D" \o "Recommandation du Comité des Ministres aux États membres sur l’utilisation d’informations recueillies dans des zones de conflit comme preuves dans le cadre de procédures pénales relatives à des infractions terroristes (adoptée par le Comité des Ministres le 30 mars 2022, lors de la 1430e réunion des Délégués des Ministres)"</w:instrText>
      </w:r>
      <w:r w:rsidR="001664AA" w:rsidRPr="001664AA">
        <w:rPr>
          <w:rFonts w:eastAsia="Arial" w:cs="Arial"/>
          <w:szCs w:val="20"/>
        </w:rPr>
      </w:r>
      <w:r w:rsidR="001664AA" w:rsidRPr="001664AA">
        <w:rPr>
          <w:rFonts w:eastAsia="Arial" w:cs="Arial"/>
          <w:szCs w:val="20"/>
        </w:rPr>
        <w:fldChar w:fldCharType="separate"/>
      </w:r>
      <w:bookmarkEnd w:id="31"/>
      <w:r w:rsidR="001664AA" w:rsidRPr="001664AA">
        <w:rPr>
          <w:rStyle w:val="Lienhypertexte"/>
          <w:rFonts w:eastAsia="Arial" w:cs="Arial"/>
          <w:szCs w:val="20"/>
        </w:rPr>
        <w:t>CM/Rec(2022)8</w:t>
      </w:r>
      <w:r w:rsidR="001664AA" w:rsidRPr="001664AA">
        <w:rPr>
          <w:rFonts w:eastAsia="Arial" w:cs="Arial"/>
          <w:szCs w:val="20"/>
        </w:rPr>
        <w:fldChar w:fldCharType="end"/>
      </w:r>
      <w:r w:rsidRPr="00841A54">
        <w:rPr>
          <w:rFonts w:eastAsia="Arial" w:cs="Arial"/>
          <w:szCs w:val="20"/>
        </w:rPr>
        <w:t xml:space="preserve"> du Conseil de l’Europe sur l’utilisation d’informations recueillies dans les zones de conflit comme preuves dans le cadre de procédures pénales relatives à des infractions terroristes, ainsi que de la compilation des « Pratiques comparées concernant l’utilisation d’informations recueillies dans des zones de conflit comme preuves dans le cadre de procédures pénales ».</w:t>
      </w:r>
    </w:p>
    <w:p w14:paraId="7F453081" w14:textId="77777777" w:rsidR="00421DEB" w:rsidRPr="00841A54" w:rsidRDefault="00421DEB" w:rsidP="005B7C70">
      <w:pPr>
        <w:pStyle w:val="Paragraphedeliste"/>
        <w:widowControl w:val="0"/>
        <w:contextualSpacing w:val="0"/>
        <w:rPr>
          <w:rFonts w:cs="Arial"/>
          <w:szCs w:val="20"/>
        </w:rPr>
      </w:pPr>
    </w:p>
    <w:p w14:paraId="1C62BA6E"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cs="Arial"/>
          <w:szCs w:val="20"/>
        </w:rPr>
        <w:t>En ce qui concerne les règles de preuve, il devrait être tenu dûment compte de la confidentialité des informations et des documents produits ou obtenus par le CICR dans l’exercice de son mandat en vertu du DIH, ainsi que de l’immunité de témoignage de ses représentants. Ces privilèges et immunités, qui sont notamment reconnus par tous les statuts et/ou règlements de procédure et de preuve des tribunaux internationaux, tels que la CPI, visent à garantir la protection des activités humanitaires impartiales et du personnel du CICR et s’appliquent à toutes les procédures, qu’elles concernent des violations graves du DIH ou des infractions terroristes. Une approche au cas par cas est possible, le CICR pouvant, à titre exceptionnel, lever les privilèges et les immunités de l’organisation.</w:t>
      </w:r>
    </w:p>
    <w:p w14:paraId="1296C14A" w14:textId="77777777" w:rsidR="00421DEB" w:rsidRPr="00841A54" w:rsidRDefault="00421DEB" w:rsidP="005B7C70">
      <w:pPr>
        <w:widowControl w:val="0"/>
        <w:rPr>
          <w:rFonts w:cs="Arial"/>
          <w:szCs w:val="20"/>
        </w:rPr>
      </w:pPr>
    </w:p>
    <w:p w14:paraId="3C81F79E" w14:textId="77777777" w:rsidR="00421DEB" w:rsidRPr="00841A54" w:rsidRDefault="00421DEB" w:rsidP="005B7C70">
      <w:pPr>
        <w:pStyle w:val="Titre1"/>
        <w:keepNext w:val="0"/>
        <w:keepLines w:val="0"/>
        <w:widowControl w:val="0"/>
        <w:ind w:left="0" w:firstLine="0"/>
        <w:rPr>
          <w:rFonts w:eastAsia="Times New Roman" w:cs="Arial"/>
          <w:szCs w:val="20"/>
          <w:lang w:val="fr-FR"/>
        </w:rPr>
      </w:pPr>
      <w:bookmarkStart w:id="32" w:name="_Toc224544506"/>
      <w:r w:rsidRPr="00841A54">
        <w:rPr>
          <w:rFonts w:eastAsia="Arial" w:cs="Arial"/>
          <w:bCs/>
          <w:szCs w:val="20"/>
          <w:lang w:val="fr-FR"/>
        </w:rPr>
        <w:t>Chapitre IV – Mettre en œuvre des stratégies de poursuites visant à garantir le plein respect de l’obligation de rendre des comptes</w:t>
      </w:r>
      <w:bookmarkEnd w:id="32"/>
    </w:p>
    <w:p w14:paraId="61054A07" w14:textId="77777777" w:rsidR="00421DEB" w:rsidRPr="00841A54" w:rsidRDefault="00421DEB" w:rsidP="005B7C70">
      <w:pPr>
        <w:widowControl w:val="0"/>
        <w:rPr>
          <w:rFonts w:cs="Arial"/>
          <w:szCs w:val="20"/>
        </w:rPr>
      </w:pPr>
    </w:p>
    <w:p w14:paraId="22F5E262"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L’objectif de ce chapitre est de fournir aux États membres des orientations sur la manière de poursuivre effectivement, et d’une façon respectueuse des droits humains, les personnes soupçonnées de terrorisme qui relèvent de leur juridiction pour l’ensemble de leurs activités criminelles menées dans le cadre d’un conflit armé non international, afin qu’ils s’acquittent de leurs obligations au titre du DIH tout en luttant contre le terrorisme. Sur la base d’une analyse des pratiques nationales, en particulier celles des juridictions qui ont mis au point des approches de cumul des poursuites, cette partie de la recommandation examine divers scénarios et stratégies de poursuite et définit certains principes clés qui pourraient s’appliquer dans les cas pertinents, dans les conditions prévues par le droit interne.</w:t>
      </w:r>
    </w:p>
    <w:p w14:paraId="4DFA9C66" w14:textId="77777777" w:rsidR="00421DEB" w:rsidRPr="00841A54" w:rsidRDefault="00421DEB" w:rsidP="005B7C70">
      <w:pPr>
        <w:pStyle w:val="Paragraphedeliste"/>
        <w:widowControl w:val="0"/>
        <w:ind w:left="0"/>
        <w:contextualSpacing w:val="0"/>
        <w:rPr>
          <w:rFonts w:cs="Arial"/>
          <w:szCs w:val="20"/>
        </w:rPr>
      </w:pPr>
    </w:p>
    <w:p w14:paraId="224EC3E2"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Dans un premier temps, les autorités compétentes des États membres devraient évaluer de façon exhaustive les faits de chaque affaire au regard de tous les régimes juridiques susceptibles de s’appliquer afin d’éliminer, dans la mesure du possible, les lacunes en matière d’obligation de rendre des comptes. En fonction des résultats de cette évaluation, ces autorités devraient envisager la possibilité i. de qualifier le même acte constitutif à la fois d’infraction terroriste et de crime international le plus grave et de retenir des chefs d’accusation cumulatifs plutôt qu’alternatifs, si la législation nationale le permet ; et/ou ii. </w:t>
      </w:r>
      <w:proofErr w:type="gramStart"/>
      <w:r w:rsidRPr="00841A54">
        <w:rPr>
          <w:rFonts w:eastAsia="Arial" w:cs="Arial"/>
          <w:szCs w:val="20"/>
        </w:rPr>
        <w:t>de</w:t>
      </w:r>
      <w:proofErr w:type="gramEnd"/>
      <w:r w:rsidRPr="00841A54">
        <w:rPr>
          <w:rFonts w:eastAsia="Arial" w:cs="Arial"/>
          <w:szCs w:val="20"/>
        </w:rPr>
        <w:t xml:space="preserve"> </w:t>
      </w:r>
      <w:bookmarkStart w:id="33" w:name="_Hlk224311708"/>
      <w:r w:rsidRPr="00841A54">
        <w:rPr>
          <w:rFonts w:eastAsia="Arial" w:cs="Arial"/>
          <w:szCs w:val="20"/>
        </w:rPr>
        <w:t>retenir des chefs d’accusation cumulatifs</w:t>
      </w:r>
      <w:bookmarkEnd w:id="33"/>
      <w:r w:rsidRPr="00841A54">
        <w:rPr>
          <w:rFonts w:eastAsia="Arial" w:cs="Arial"/>
          <w:szCs w:val="20"/>
        </w:rPr>
        <w:t xml:space="preserve"> pour plusieurs actes – qui reçoivent chacun une qualification différente, mais qui ont un lien factuel, temporel et géographique – et d’engager des poursuites distinctes pour des infractions terroristes, des crimes internationaux les plus graves et d’autres infractions nationales</w:t>
      </w:r>
      <w:r w:rsidRPr="00841A54">
        <w:rPr>
          <w:rStyle w:val="Appelnotedebasdep"/>
          <w:rFonts w:eastAsia="Times New Roman" w:cs="Arial"/>
          <w:szCs w:val="20"/>
        </w:rPr>
        <w:footnoteReference w:id="16"/>
      </w:r>
      <w:r w:rsidRPr="00841A54">
        <w:rPr>
          <w:rFonts w:eastAsia="Arial" w:cs="Arial"/>
          <w:szCs w:val="20"/>
        </w:rPr>
        <w:t>.</w:t>
      </w:r>
    </w:p>
    <w:p w14:paraId="42BD6BE0" w14:textId="77777777" w:rsidR="00421DEB" w:rsidRPr="00841A54" w:rsidRDefault="00421DEB" w:rsidP="005B7C70">
      <w:pPr>
        <w:pStyle w:val="Paragraphedeliste"/>
        <w:widowControl w:val="0"/>
        <w:contextualSpacing w:val="0"/>
        <w:rPr>
          <w:rFonts w:eastAsia="Times New Roman" w:cs="Arial"/>
          <w:szCs w:val="20"/>
        </w:rPr>
      </w:pPr>
    </w:p>
    <w:p w14:paraId="77E041BE"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Dans le deuxième cas de figure, les chefs d’accusation cumulés peuvent être portées simultanément ou successivement. Ce dernier cas se produit, par exemple, lorsque des preuves de violations graves du DIH et/ou d’autres crimes internationaux les plus graves apparaissent au cours d’une procédure pénale relative à des infractions terroristes commises dans le cadre d’un conflit armé non international, ce qui justifie de retenir des chefs d’accusation supplémentaires contre l’auteur présumé.</w:t>
      </w:r>
    </w:p>
    <w:p w14:paraId="1A19AFFE" w14:textId="6876661D" w:rsidR="005B7C70" w:rsidRPr="00841A54" w:rsidRDefault="005B7C70" w:rsidP="005B7C70">
      <w:pPr>
        <w:widowControl w:val="0"/>
        <w:rPr>
          <w:rFonts w:eastAsia="Arial" w:cs="Arial"/>
          <w:szCs w:val="20"/>
        </w:rPr>
      </w:pPr>
    </w:p>
    <w:p w14:paraId="50ADAF7D" w14:textId="1BF827C0"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Afin de prévenir l’impunité, la recommandation invite également les États membres à envisager de poursuivre les suspects pour des infractions terroristes, des violations graves du DIH et d’autres crimes internationaux les plus graves commis dans le cadre d’un conflit armé non international même si les suspects ne se trouvent pas sur leur territoire, si la législation nationale le permet et conformément aux normes du Conseil de l’Europe applicables aux procédures pénales menées par contumace</w:t>
      </w:r>
      <w:r w:rsidRPr="00841A54">
        <w:rPr>
          <w:rStyle w:val="Appelnotedebasdep"/>
          <w:rFonts w:cs="Arial"/>
          <w:szCs w:val="20"/>
        </w:rPr>
        <w:footnoteReference w:id="17"/>
      </w:r>
      <w:r w:rsidRPr="00841A54">
        <w:rPr>
          <w:rFonts w:eastAsia="Arial" w:cs="Arial"/>
          <w:szCs w:val="20"/>
        </w:rPr>
        <w:t>.</w:t>
      </w:r>
    </w:p>
    <w:p w14:paraId="5BAF84FE" w14:textId="77777777" w:rsidR="005B7C70" w:rsidRPr="00841A54" w:rsidRDefault="005B7C70">
      <w:pPr>
        <w:rPr>
          <w:rFonts w:eastAsia="Arial" w:cs="Arial"/>
          <w:b/>
          <w:bCs/>
          <w:kern w:val="2"/>
          <w:szCs w:val="20"/>
          <w14:ligatures w14:val="standardContextual"/>
        </w:rPr>
      </w:pPr>
      <w:bookmarkStart w:id="34" w:name="_Toc224544507"/>
      <w:r w:rsidRPr="00841A54">
        <w:rPr>
          <w:rFonts w:eastAsia="Arial" w:cs="Arial"/>
          <w:bCs/>
          <w:szCs w:val="20"/>
        </w:rPr>
        <w:br w:type="page"/>
      </w:r>
    </w:p>
    <w:p w14:paraId="47F73FAA" w14:textId="08A276AD" w:rsidR="00421DEB" w:rsidRPr="00841A54" w:rsidRDefault="00421DEB" w:rsidP="005B7C70">
      <w:pPr>
        <w:pStyle w:val="Titre1"/>
        <w:keepNext w:val="0"/>
        <w:keepLines w:val="0"/>
        <w:widowControl w:val="0"/>
        <w:ind w:hanging="1060"/>
        <w:rPr>
          <w:rFonts w:eastAsia="Times New Roman" w:cs="Arial"/>
          <w:szCs w:val="20"/>
          <w:lang w:val="fr-FR"/>
        </w:rPr>
      </w:pPr>
      <w:r w:rsidRPr="00841A54">
        <w:rPr>
          <w:rFonts w:eastAsia="Arial" w:cs="Arial"/>
          <w:bCs/>
          <w:szCs w:val="20"/>
          <w:lang w:val="fr-FR"/>
        </w:rPr>
        <w:lastRenderedPageBreak/>
        <w:t>Chapitre V – S’appuyer sur des procédures adéquates et de meilleurs processus de coordination</w:t>
      </w:r>
      <w:bookmarkEnd w:id="34"/>
    </w:p>
    <w:p w14:paraId="73523F96" w14:textId="77777777" w:rsidR="00421DEB" w:rsidRPr="00841A54" w:rsidRDefault="00421DEB" w:rsidP="005B7C70">
      <w:pPr>
        <w:pStyle w:val="Paragraphedeliste"/>
        <w:widowControl w:val="0"/>
        <w:contextualSpacing w:val="0"/>
        <w:rPr>
          <w:rFonts w:cs="Arial"/>
          <w:szCs w:val="20"/>
        </w:rPr>
      </w:pPr>
    </w:p>
    <w:p w14:paraId="355E4DBC"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Les procédures pénales engagées à l’encontre des personnes soupçonnées ou accusées d’avoir participé aux infractions et aux crimes visés par la recommandation sont soumises aux exigences de l’article 6 de la Convention européenne des droits de l’homme relatives au droit à un procès équitable, qui comprend la présomption d’innocence et les droits de la défense</w:t>
      </w:r>
      <w:r w:rsidRPr="00841A54">
        <w:rPr>
          <w:rStyle w:val="Appelnotedebasdep"/>
          <w:rFonts w:eastAsia="Times New Roman" w:cs="Arial"/>
          <w:szCs w:val="20"/>
        </w:rPr>
        <w:footnoteReference w:id="18"/>
      </w:r>
      <w:r w:rsidRPr="00841A54">
        <w:rPr>
          <w:rFonts w:eastAsia="Arial" w:cs="Arial"/>
          <w:szCs w:val="20"/>
        </w:rPr>
        <w:t>.</w:t>
      </w:r>
    </w:p>
    <w:p w14:paraId="7DD90307" w14:textId="77777777" w:rsidR="00421DEB" w:rsidRPr="00841A54" w:rsidRDefault="00421DEB" w:rsidP="005B7C70">
      <w:pPr>
        <w:pStyle w:val="Paragraphedeliste"/>
        <w:widowControl w:val="0"/>
        <w:ind w:left="0"/>
        <w:contextualSpacing w:val="0"/>
        <w:rPr>
          <w:rFonts w:cs="Arial"/>
          <w:szCs w:val="20"/>
        </w:rPr>
      </w:pPr>
    </w:p>
    <w:p w14:paraId="09562CAA" w14:textId="44491F21"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En ce qui concerne les droits des victimes, la présente recommandation renvoie à la Recommandation </w:t>
      </w:r>
      <w:bookmarkStart w:id="35" w:name="_ML_000000000008_VALID"/>
      <w:r w:rsidR="001664AA" w:rsidRPr="001664AA">
        <w:rPr>
          <w:rFonts w:eastAsia="Arial" w:cs="Arial"/>
          <w:szCs w:val="20"/>
        </w:rPr>
        <w:fldChar w:fldCharType="begin"/>
      </w:r>
      <w:r w:rsidR="001664AA" w:rsidRPr="001664AA">
        <w:rPr>
          <w:rFonts w:eastAsia="Arial" w:cs="Arial"/>
          <w:szCs w:val="20"/>
        </w:rPr>
        <w:instrText>HYPERLINK "https://search.coe.int/cm/fre#%7B%22CoEReference%22:[%22CM/Rec(2023)2%22],%22CoELanguageId%22:[%22fre%22],%22CoECollection%22:[%22COE_DOC%22],%22po%22:%7B%22ref%22:%22=%22%7D%7D" \o "Recommandation du Comité des Ministres aux États membres sur les droits, les services d’aide et le soutien des victimes de la criminalité (adoptée par le Comité des Ministres le 15 mars 2023, lors de la 1460e réunion des Délégués des Ministres)"</w:instrText>
      </w:r>
      <w:r w:rsidR="001664AA" w:rsidRPr="001664AA">
        <w:rPr>
          <w:rFonts w:eastAsia="Arial" w:cs="Arial"/>
          <w:szCs w:val="20"/>
        </w:rPr>
      </w:r>
      <w:r w:rsidR="001664AA" w:rsidRPr="001664AA">
        <w:rPr>
          <w:rFonts w:eastAsia="Arial" w:cs="Arial"/>
          <w:szCs w:val="20"/>
        </w:rPr>
        <w:fldChar w:fldCharType="separate"/>
      </w:r>
      <w:bookmarkEnd w:id="35"/>
      <w:r w:rsidR="001664AA" w:rsidRPr="001664AA">
        <w:rPr>
          <w:rStyle w:val="Lienhypertexte"/>
          <w:rFonts w:eastAsia="Arial" w:cs="Arial"/>
          <w:szCs w:val="20"/>
        </w:rPr>
        <w:t>CM/Rec(2023)2</w:t>
      </w:r>
      <w:r w:rsidR="001664AA" w:rsidRPr="001664AA">
        <w:rPr>
          <w:rFonts w:eastAsia="Arial" w:cs="Arial"/>
          <w:szCs w:val="20"/>
        </w:rPr>
        <w:fldChar w:fldCharType="end"/>
      </w:r>
      <w:r w:rsidRPr="00841A54">
        <w:rPr>
          <w:rFonts w:eastAsia="Arial" w:cs="Arial"/>
          <w:szCs w:val="20"/>
        </w:rPr>
        <w:t xml:space="preserve"> sur les droits, les services d’aide et le soutien des victimes de la criminalité, à la Recommandation </w:t>
      </w:r>
      <w:bookmarkStart w:id="36" w:name="_ML_000000000009_VALID"/>
      <w:r w:rsidR="001664AA" w:rsidRPr="001664AA">
        <w:rPr>
          <w:rFonts w:eastAsia="Arial" w:cs="Arial"/>
          <w:szCs w:val="20"/>
        </w:rPr>
        <w:fldChar w:fldCharType="begin"/>
      </w:r>
      <w:r w:rsidR="001664AA" w:rsidRPr="001664AA">
        <w:rPr>
          <w:rFonts w:eastAsia="Arial" w:cs="Arial"/>
          <w:szCs w:val="20"/>
        </w:rPr>
        <w:instrText>HYPERLINK "https://search.coe.int/cm/fre#%7B%22CoEReference%22:[%22Rec(2005)9%22],%22CoELanguageId%22:[%22fre%22],%22CoECollection%22:[%22COE_DOC%22],%22po%22:%7B%22ref%22:%22=%22%7D%7D" \o "Recommandation Rec(2005)9 du Comité des Ministres aux Etats membres relative à la protection de témoins et des collaborateurs de justice"</w:instrText>
      </w:r>
      <w:r w:rsidR="001664AA" w:rsidRPr="001664AA">
        <w:rPr>
          <w:rFonts w:eastAsia="Arial" w:cs="Arial"/>
          <w:szCs w:val="20"/>
        </w:rPr>
      </w:r>
      <w:r w:rsidR="001664AA" w:rsidRPr="001664AA">
        <w:rPr>
          <w:rFonts w:eastAsia="Arial" w:cs="Arial"/>
          <w:szCs w:val="20"/>
        </w:rPr>
        <w:fldChar w:fldCharType="separate"/>
      </w:r>
      <w:bookmarkEnd w:id="36"/>
      <w:r w:rsidR="001664AA" w:rsidRPr="001664AA">
        <w:rPr>
          <w:rStyle w:val="Lienhypertexte"/>
          <w:rFonts w:eastAsia="Arial" w:cs="Arial"/>
          <w:szCs w:val="20"/>
        </w:rPr>
        <w:t>Rec(2005)9</w:t>
      </w:r>
      <w:r w:rsidR="001664AA" w:rsidRPr="001664AA">
        <w:rPr>
          <w:rFonts w:eastAsia="Arial" w:cs="Arial"/>
          <w:szCs w:val="20"/>
        </w:rPr>
        <w:fldChar w:fldCharType="end"/>
      </w:r>
      <w:r w:rsidRPr="00841A54">
        <w:rPr>
          <w:rFonts w:eastAsia="Arial" w:cs="Arial"/>
          <w:szCs w:val="20"/>
        </w:rPr>
        <w:t xml:space="preserve"> relative à la protection des témoins et des collaborateurs de justice ainsi qu’aux Lignes directrices sur les services d’aide et autres mesures pour les victimes du terrorisme. Ces instruments soulignent l’importance de prendre des mesures de protection effectives contre les actes d’intimidation et les représailles, ainsi que de prévoir des services d’aide adéquats pour répondre aux besoins des victimes du terrorisme et d’autres crimes graves.</w:t>
      </w:r>
    </w:p>
    <w:p w14:paraId="49FC38D1" w14:textId="77777777" w:rsidR="00421DEB" w:rsidRPr="00841A54" w:rsidRDefault="00421DEB" w:rsidP="005B7C70">
      <w:pPr>
        <w:pStyle w:val="Paragraphedeliste"/>
        <w:widowControl w:val="0"/>
        <w:contextualSpacing w:val="0"/>
        <w:rPr>
          <w:rFonts w:cs="Arial"/>
          <w:szCs w:val="20"/>
        </w:rPr>
      </w:pPr>
    </w:p>
    <w:p w14:paraId="6C1C9991"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Les victimes vulnérables, telles que les personnes qui ont subi des violences sexuelles et des violences fondées sur le genre et les enfants, peuvent nécessiter des mesures spécifiques mieux adaptées à leur cas. En outre, la situation de certaines femmes et de certains jeunes qui reviennent d’une zone touchée par un conflit armé non international se caractérise par une dynamique complexe, dans la mesure où ils peuvent être à la fois victimes et auteurs d’actes de violence susceptibles de constituer des infractions terroristes, des violations graves du DIH et/ou d’autres crimes internationaux les plus graves. Leur situation devrait donc être abordée de façon globale, en adoptant une approche qui tienne compte des traumatismes, du genre, de l’âge et de l’intérêt supérieur de l’enfant, comme le prévoient respectivement les Lignes directrices relatives aux programmes de désengagement et de réinsertion des femmes ayant des liens avec le terrorisme et celles relatives aux programmes de (ré)insertion pour les enfants touchés par le terrorisme.</w:t>
      </w:r>
    </w:p>
    <w:p w14:paraId="203C423E" w14:textId="77777777" w:rsidR="00421DEB" w:rsidRPr="00841A54" w:rsidRDefault="00421DEB" w:rsidP="005B7C70">
      <w:pPr>
        <w:widowControl w:val="0"/>
        <w:rPr>
          <w:rFonts w:cs="Arial"/>
          <w:szCs w:val="20"/>
        </w:rPr>
      </w:pPr>
    </w:p>
    <w:p w14:paraId="42C61406"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La recommandation appelle les États membres à assurer une coordination et un échange d’informations effectifs au niveau national pour enquêter et poursuivre les infractions et les crimes qui relèvent de son champ d’application, quelle que soit leur organisation interne. Une coordination effective au niveau national devrait en outre s’appuyer sur un renforcement des capacités, qui pourrait se traduire par la mise en place d’une formation spécialisée à destination des autorités compétentes sur l’interaction entre les cadres de lutte contre le terrorisme et le DIH, y compris les effets de cette interaction sur la responsabilité pénale. À cet égard, les États membres peuvent notamment solliciter l’expertise du CICR en sa qualité de gardien du DIH.</w:t>
      </w:r>
    </w:p>
    <w:p w14:paraId="43FAF94E" w14:textId="77777777" w:rsidR="00421DEB" w:rsidRPr="00841A54" w:rsidRDefault="00421DEB" w:rsidP="005B7C70">
      <w:pPr>
        <w:pStyle w:val="Paragraphedeliste"/>
        <w:widowControl w:val="0"/>
        <w:contextualSpacing w:val="0"/>
        <w:rPr>
          <w:rFonts w:cs="Arial"/>
          <w:szCs w:val="20"/>
        </w:rPr>
      </w:pPr>
    </w:p>
    <w:p w14:paraId="0E3AF7FC"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Des exemples de pratiques nationales montrent que le fait de recourir à des unités spécialisées dans la lutte contre le terrorisme et les crimes internationaux les plus graves pour enquêter et engager des poursuites dans des affaires susceptibles de présenter une double dimension peut favoriser et renforcer l’efficacité du cumul des poursuites</w:t>
      </w:r>
      <w:r w:rsidRPr="00841A54">
        <w:rPr>
          <w:rStyle w:val="Appelnotedebasdep"/>
          <w:rFonts w:eastAsia="Times New Roman" w:cs="Arial"/>
          <w:szCs w:val="20"/>
        </w:rPr>
        <w:footnoteReference w:id="19"/>
      </w:r>
      <w:r w:rsidRPr="00841A54">
        <w:rPr>
          <w:rFonts w:eastAsia="Arial" w:cs="Arial"/>
          <w:szCs w:val="20"/>
        </w:rPr>
        <w:t>. À la lumière de cette observation, la recommandation préconise la création de telles unités spécialisées au sein des services d’enquête, du ministère public et des tribunaux. Ces unités peuvent être mises en place soit au niveau central, soit au niveau régional ou départemental. Les États membres qui n’optent pas pour cette solution devraient promouvoir une coopération étroite et un échange d’informations sur les affaires pertinentes entre les enquêteurs et les procureurs compétents.</w:t>
      </w:r>
    </w:p>
    <w:p w14:paraId="24ADFE73" w14:textId="633C6D6A" w:rsidR="005B7C70" w:rsidRPr="00841A54" w:rsidRDefault="005B7C70" w:rsidP="005B7C70">
      <w:pPr>
        <w:widowControl w:val="0"/>
        <w:rPr>
          <w:rFonts w:eastAsia="Arial" w:cs="Arial"/>
          <w:b/>
          <w:bCs/>
          <w:kern w:val="2"/>
          <w:szCs w:val="20"/>
          <w14:ligatures w14:val="standardContextual"/>
        </w:rPr>
      </w:pPr>
      <w:bookmarkStart w:id="37" w:name="_Toc224544508"/>
    </w:p>
    <w:p w14:paraId="79B66AB3" w14:textId="1C41D5A6" w:rsidR="00421DEB" w:rsidRPr="00841A54" w:rsidRDefault="00421DEB" w:rsidP="005B7C70">
      <w:pPr>
        <w:pStyle w:val="Titre1"/>
        <w:keepNext w:val="0"/>
        <w:keepLines w:val="0"/>
        <w:widowControl w:val="0"/>
        <w:ind w:hanging="1060"/>
        <w:rPr>
          <w:rFonts w:cs="Arial"/>
          <w:szCs w:val="20"/>
          <w:lang w:val="fr-FR"/>
        </w:rPr>
      </w:pPr>
      <w:r w:rsidRPr="00841A54">
        <w:rPr>
          <w:rFonts w:eastAsia="Arial" w:cs="Arial"/>
          <w:bCs/>
          <w:szCs w:val="20"/>
          <w:lang w:val="fr-FR"/>
        </w:rPr>
        <w:t>Chapitre VI – Préserver la sphère du DIH dans le cadre de la lutte contre le terrorisme</w:t>
      </w:r>
      <w:bookmarkEnd w:id="37"/>
    </w:p>
    <w:p w14:paraId="66284C03" w14:textId="77777777" w:rsidR="00421DEB" w:rsidRPr="00841A54" w:rsidRDefault="00421DEB" w:rsidP="005B7C70">
      <w:pPr>
        <w:pStyle w:val="Paragraphedeliste"/>
        <w:widowControl w:val="0"/>
        <w:contextualSpacing w:val="0"/>
        <w:rPr>
          <w:rFonts w:cs="Arial"/>
          <w:szCs w:val="20"/>
        </w:rPr>
      </w:pPr>
    </w:p>
    <w:p w14:paraId="32F8FA03" w14:textId="77777777" w:rsidR="00421DEB" w:rsidRPr="00841A54" w:rsidRDefault="00421DEB" w:rsidP="005B7C70">
      <w:pPr>
        <w:pStyle w:val="Paragraphedeliste"/>
        <w:widowControl w:val="0"/>
        <w:numPr>
          <w:ilvl w:val="0"/>
          <w:numId w:val="43"/>
        </w:numPr>
        <w:contextualSpacing w:val="0"/>
        <w:rPr>
          <w:rFonts w:eastAsia="Arial" w:cs="Arial"/>
          <w:szCs w:val="20"/>
        </w:rPr>
      </w:pPr>
      <w:r w:rsidRPr="00841A54">
        <w:rPr>
          <w:rFonts w:eastAsia="Arial" w:cs="Arial"/>
          <w:szCs w:val="20"/>
        </w:rPr>
        <w:t>L’approche à l’origine de la recommandation est fondée sur l’idée qu’il est à la fois obligatoire et possible de protéger l’intégrité du DIH sans nuire à l’efficacité des mesures de lutte contre le terrorisme. Le DIH et les cadres de lutte contre le terrorisme peuvent s’appliquer conjointement. Les obligations concurrentes découlant de ces deux régimes juridiques peuvent conduire à des situations où ils se recoupent, voire s’opposent. Ces situations comprennent les cas où des actes sont interdits à la fois par le DIH et par les cadres de lutte contre le terrorisme (par exemple, les attaques contre des civils) ; les cas où des actes ne sont pas couverts par le DIH mais exclusivement par les cadres de lutte contre le terrorisme (par exemple, le financement du terrorisme ou les déplacements dans le but de rejoindre des associations ou des groupes terroristes) ; et les cas où des actes sont licites au regard du DIH mais ne sont pas spécifiquement reconnus comme tels par les cadres de lutte contre le terrorisme (par exemple, les attaques contre des objectifs militaires ou la mise en œuvre d’activités humanitaires par des organisations humanitaires impartiales). Pour ces deux dernières situations, le Protocole additionnel II prévoit en outre qu’à « </w:t>
      </w:r>
      <w:r w:rsidRPr="00841A54">
        <w:rPr>
          <w:rFonts w:eastAsia="Arial" w:cs="Arial"/>
          <w:iCs/>
          <w:szCs w:val="20"/>
        </w:rPr>
        <w:t>la cessation des hostilités, les autorités au pouvoir s’efforceront d’accorder la plus large amnistie possible aux personnes qui auront pris part au conflit armé ou qui auront été privées de liberté pour des motifs en relation avec le conflit armé, qu’elles soient internées ou détenues</w:t>
      </w:r>
      <w:r w:rsidRPr="00841A54">
        <w:rPr>
          <w:rFonts w:eastAsia="Arial" w:cs="Arial"/>
          <w:szCs w:val="20"/>
        </w:rPr>
        <w:t> »</w:t>
      </w:r>
      <w:r w:rsidRPr="00841A54">
        <w:rPr>
          <w:rStyle w:val="Appelnotedebasdep"/>
          <w:rFonts w:eastAsia="Arial" w:cs="Arial"/>
          <w:szCs w:val="20"/>
        </w:rPr>
        <w:footnoteReference w:id="20"/>
      </w:r>
      <w:r w:rsidRPr="00841A54">
        <w:rPr>
          <w:rFonts w:eastAsia="Arial" w:cs="Arial"/>
          <w:szCs w:val="20"/>
        </w:rPr>
        <w:t xml:space="preserve">. Afin de faire face à ces situations, la recommandation souligne l’importance des </w:t>
      </w:r>
      <w:r w:rsidRPr="00841A54">
        <w:rPr>
          <w:rFonts w:eastAsia="Arial" w:cs="Arial"/>
          <w:szCs w:val="20"/>
        </w:rPr>
        <w:lastRenderedPageBreak/>
        <w:t>moyens permettant de traiter ces chevauchements et la contradiction potentielle entre les cadres de lutte contre le terrorisme et le DIH.</w:t>
      </w:r>
    </w:p>
    <w:p w14:paraId="149C26A6" w14:textId="77777777" w:rsidR="00421DEB" w:rsidRPr="00841A54" w:rsidRDefault="00421DEB" w:rsidP="005B7C70">
      <w:pPr>
        <w:widowControl w:val="0"/>
        <w:rPr>
          <w:rFonts w:cs="Arial"/>
          <w:szCs w:val="20"/>
        </w:rPr>
      </w:pPr>
    </w:p>
    <w:p w14:paraId="458374D0" w14:textId="77777777" w:rsidR="00421DEB" w:rsidRPr="00841A54" w:rsidRDefault="00421DEB" w:rsidP="005B7C70">
      <w:pPr>
        <w:pStyle w:val="Titre2"/>
        <w:keepNext w:val="0"/>
        <w:keepLines w:val="0"/>
        <w:widowControl w:val="0"/>
        <w:ind w:hanging="1060"/>
        <w:rPr>
          <w:rFonts w:cs="Arial"/>
          <w:szCs w:val="20"/>
        </w:rPr>
      </w:pPr>
      <w:bookmarkStart w:id="38" w:name="_Toc224544509"/>
      <w:r w:rsidRPr="00841A54">
        <w:rPr>
          <w:rFonts w:eastAsia="Arial" w:cs="Arial"/>
          <w:iCs/>
          <w:szCs w:val="20"/>
          <w:lang w:val="fr-FR"/>
        </w:rPr>
        <w:t>Clauses d’exclusion</w:t>
      </w:r>
      <w:bookmarkEnd w:id="38"/>
    </w:p>
    <w:p w14:paraId="5F25267A" w14:textId="77777777" w:rsidR="00421DEB" w:rsidRPr="00841A54" w:rsidRDefault="00421DEB" w:rsidP="005B7C70">
      <w:pPr>
        <w:widowControl w:val="0"/>
        <w:rPr>
          <w:rFonts w:cs="Arial"/>
          <w:szCs w:val="20"/>
        </w:rPr>
      </w:pPr>
    </w:p>
    <w:p w14:paraId="2F420B23"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cs="Arial"/>
          <w:szCs w:val="20"/>
        </w:rPr>
        <w:t>Les clauses d’exclusion ont généralement pour objectif de clarifier la relation entre les lois antiterroristes et le DIH en fixant des limites à ce qui constitue une infraction terroriste, et ce en excluant de leur champ d’application certains actes, acteurs ou cibles dans le contexte d’un conflit armé.</w:t>
      </w:r>
    </w:p>
    <w:p w14:paraId="13B1F803" w14:textId="77777777" w:rsidR="00421DEB" w:rsidRPr="00841A54" w:rsidRDefault="00421DEB" w:rsidP="005B7C70">
      <w:pPr>
        <w:pStyle w:val="Paragraphedeliste"/>
        <w:widowControl w:val="0"/>
        <w:ind w:left="0"/>
        <w:contextualSpacing w:val="0"/>
        <w:rPr>
          <w:rFonts w:cs="Arial"/>
          <w:szCs w:val="20"/>
        </w:rPr>
      </w:pPr>
    </w:p>
    <w:p w14:paraId="2D844AB5"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La recommandation rappelle que les « activités des forces armées en période de conflit armé, au sens donné à ces termes en droit international humanitaire, qui sont régies par ce droit » sont exclues du champ d’application de la Convention du Conseil de l’Europe pour la prévention du terrorisme (article 26, paragraphe 5).</w:t>
      </w:r>
    </w:p>
    <w:p w14:paraId="4732BD66" w14:textId="77777777" w:rsidR="00421DEB" w:rsidRPr="00841A54" w:rsidRDefault="00421DEB" w:rsidP="005B7C70">
      <w:pPr>
        <w:pStyle w:val="Paragraphedeliste"/>
        <w:widowControl w:val="0"/>
        <w:ind w:left="0"/>
        <w:contextualSpacing w:val="0"/>
        <w:rPr>
          <w:rFonts w:cs="Arial"/>
          <w:szCs w:val="20"/>
        </w:rPr>
      </w:pPr>
    </w:p>
    <w:p w14:paraId="0098BC03"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En prenant acte du fait que certaines juridictions ont expressément intégré cette exclusion dans leur cadre de lutte contre le terrorisme, la recommandation invite les États membres, </w:t>
      </w:r>
      <w:r w:rsidRPr="00841A54">
        <w:rPr>
          <w:rFonts w:cs="Arial"/>
          <w:szCs w:val="20"/>
        </w:rPr>
        <w:t>conformément à leurs obligations conventionnelles</w:t>
      </w:r>
      <w:r w:rsidRPr="00841A54">
        <w:rPr>
          <w:rStyle w:val="Appelnotedebasdep"/>
          <w:rFonts w:cs="Arial"/>
          <w:szCs w:val="20"/>
        </w:rPr>
        <w:footnoteReference w:id="21"/>
      </w:r>
      <w:r w:rsidRPr="00841A54">
        <w:rPr>
          <w:rFonts w:cs="Arial"/>
          <w:szCs w:val="20"/>
        </w:rPr>
        <w:t xml:space="preserve">, à l’appliquer également </w:t>
      </w:r>
      <w:r w:rsidRPr="00841A54">
        <w:rPr>
          <w:rFonts w:eastAsia="Arial" w:cs="Arial"/>
          <w:szCs w:val="20"/>
        </w:rPr>
        <w:t xml:space="preserve">aux activités liées aux conflits armés menées par des groupes armés non étatiques dans le respect du DIH, que ces groupes soient ou non désignés comme terroristes sur le plan national et/ou international. La recommandation précise en outre que le champ d’application personnel et matériel de l’exclusion, lorsque celle-ci existe ou est introduite sous la forme d’une clause générale ou spécifique à une infraction, devrait être clairement défini dans la législation nationale </w:t>
      </w:r>
      <w:r w:rsidRPr="00841A54">
        <w:rPr>
          <w:rFonts w:cs="Arial"/>
          <w:szCs w:val="20"/>
        </w:rPr>
        <w:t>afin de garantir que les actes régis par le DIH et conformes à celui-ci ne soient pas considérés comme des infractions terroristes, même lorsqu’ils sont commis par des parties non étatiques à un conflit armé non international.</w:t>
      </w:r>
    </w:p>
    <w:p w14:paraId="7E717D47" w14:textId="77777777" w:rsidR="00421DEB" w:rsidRPr="00841A54" w:rsidRDefault="00421DEB" w:rsidP="005B7C70">
      <w:pPr>
        <w:widowControl w:val="0"/>
        <w:rPr>
          <w:rFonts w:cs="Arial"/>
          <w:szCs w:val="20"/>
        </w:rPr>
      </w:pPr>
    </w:p>
    <w:p w14:paraId="62E003DA"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Dans les pays où il n’existe pas de dispositions explicites, l’exclusion d’activités menées par des groupes armés non étatiques dans le cadre d’un </w:t>
      </w:r>
      <w:r w:rsidRPr="00841A54">
        <w:rPr>
          <w:rFonts w:cs="Arial"/>
          <w:szCs w:val="20"/>
        </w:rPr>
        <w:t>conflit armé non international</w:t>
      </w:r>
      <w:r w:rsidRPr="00841A54">
        <w:rPr>
          <w:rFonts w:eastAsia="Arial" w:cs="Arial"/>
          <w:szCs w:val="20"/>
        </w:rPr>
        <w:t>, qui sont régies par le DIH et conformes à celui-ci, du champ d’application des lois antiterroristes peut découler de l’interprétation de ces lois par les autorités compétentes, notamment judiciaires. Ces pratiques nationales sont fondées sur les obligations qui découlent des Conventions de Genève de 1949 et des résolutions du Conseil de sécurité des Nations Unies, des dispositions définissant une exception pour les conflits armés prévues à l’article 26, paragraphes 4 et 5, de la Convention du Conseil de l’Europe pour la prévention du terrorisme et/ou des principes similaires énoncés dans la Directive (UE) 2017/541 (considérant 37).</w:t>
      </w:r>
    </w:p>
    <w:p w14:paraId="4700BFB3" w14:textId="77777777" w:rsidR="00421DEB" w:rsidRPr="00841A54" w:rsidRDefault="00421DEB" w:rsidP="005B7C70">
      <w:pPr>
        <w:pStyle w:val="Paragraphedeliste"/>
        <w:widowControl w:val="0"/>
        <w:contextualSpacing w:val="0"/>
        <w:rPr>
          <w:rFonts w:eastAsia="Times New Roman" w:cs="Arial"/>
          <w:szCs w:val="20"/>
        </w:rPr>
      </w:pPr>
    </w:p>
    <w:p w14:paraId="02C71963"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La classification d’un conflit armé comme un </w:t>
      </w:r>
      <w:r w:rsidRPr="00841A54">
        <w:rPr>
          <w:rFonts w:cs="Arial"/>
          <w:szCs w:val="20"/>
        </w:rPr>
        <w:t>conflit armé non international</w:t>
      </w:r>
      <w:r w:rsidRPr="00841A54">
        <w:rPr>
          <w:rFonts w:eastAsia="Arial" w:cs="Arial"/>
          <w:szCs w:val="20"/>
        </w:rPr>
        <w:t xml:space="preserve"> ou d’une association ou d’un groupe terroriste comme un groupe armé non étatique relève aussi exclusivement du DIH. Ces qualifications doivent donc être déterminées au cas par cas, sur la base des faits constatés sur le terrain, analysés à la lumière des conditions juridiques et des facteurs fondés sur le DIH qui sont énumérés dans la recommandation.</w:t>
      </w:r>
    </w:p>
    <w:p w14:paraId="2B2598E6" w14:textId="77777777" w:rsidR="00421DEB" w:rsidRPr="00841A54" w:rsidRDefault="00421DEB" w:rsidP="005B7C70">
      <w:pPr>
        <w:widowControl w:val="0"/>
        <w:rPr>
          <w:rFonts w:cs="Arial"/>
          <w:szCs w:val="20"/>
        </w:rPr>
      </w:pPr>
    </w:p>
    <w:p w14:paraId="5C67704B" w14:textId="77777777" w:rsidR="00421DEB" w:rsidRPr="00841A54" w:rsidRDefault="00421DEB" w:rsidP="005B7C70">
      <w:pPr>
        <w:pStyle w:val="Titre2"/>
        <w:keepNext w:val="0"/>
        <w:keepLines w:val="0"/>
        <w:widowControl w:val="0"/>
        <w:ind w:hanging="1060"/>
        <w:rPr>
          <w:rFonts w:cs="Arial"/>
          <w:szCs w:val="20"/>
        </w:rPr>
      </w:pPr>
      <w:bookmarkStart w:id="39" w:name="_Toc224544510"/>
      <w:r w:rsidRPr="00841A54">
        <w:rPr>
          <w:rFonts w:eastAsia="Arial" w:cs="Arial"/>
          <w:iCs/>
          <w:szCs w:val="20"/>
          <w:lang w:val="fr-FR"/>
        </w:rPr>
        <w:t>Clauses d’exemption</w:t>
      </w:r>
      <w:bookmarkEnd w:id="39"/>
      <w:r w:rsidRPr="00841A54">
        <w:rPr>
          <w:rFonts w:eastAsia="Arial" w:cs="Arial"/>
          <w:iCs/>
          <w:szCs w:val="20"/>
          <w:lang w:val="fr-FR"/>
        </w:rPr>
        <w:t xml:space="preserve"> humanitaires</w:t>
      </w:r>
    </w:p>
    <w:p w14:paraId="074BDBB2" w14:textId="77777777" w:rsidR="00421DEB" w:rsidRPr="00841A54" w:rsidRDefault="00421DEB" w:rsidP="005B7C70">
      <w:pPr>
        <w:pStyle w:val="Paragraphedeliste"/>
        <w:widowControl w:val="0"/>
        <w:contextualSpacing w:val="0"/>
        <w:rPr>
          <w:rFonts w:cs="Arial"/>
          <w:szCs w:val="20"/>
        </w:rPr>
      </w:pPr>
    </w:p>
    <w:p w14:paraId="0437E51A"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Les clauses d’exemption humanitaire ont pour objectif de garantir que les activités humanitaires menées par des organisations humanitaires impartiales</w:t>
      </w:r>
      <w:r w:rsidRPr="00841A54">
        <w:rPr>
          <w:rStyle w:val="Appelnotedebasdep"/>
          <w:rFonts w:eastAsia="Arial" w:cs="Arial"/>
          <w:szCs w:val="20"/>
        </w:rPr>
        <w:footnoteReference w:id="22"/>
      </w:r>
      <w:r w:rsidRPr="00841A54">
        <w:rPr>
          <w:rFonts w:eastAsia="Arial" w:cs="Arial"/>
          <w:szCs w:val="20"/>
        </w:rPr>
        <w:t>, prévues, autorisées et protégées par le droit international humanitaire, ne soient pas criminalisées par les cadres législatifs de lutte contre le terrorisme. Comme le souligne le préambule, les lois antiterroristes doivent être compatibles avec les règles du DIH régissant les activités humanitaires et l’accès humanitaire, y compris l’obligation de permettre et de faciliter les activités humanitaires et d’assurer le respect et la protection du personnel humanitaire. Dans cet esprit, et compte tenu des pratiques comparées, la recommandation invite les États membres qui ne disposent pas encore, dans ces lois, d’exemptions humanitaires spécifiques pour les activités purement humanitaires menées par des organisations humanitaires impartiales conformément au DIH à introduire des dispositions à cet effet. Avant l’introduction de telles dispositions, les États membres pourraient également envisager de protéger les activités humanitaires des organisations humanitaires impartiales par le biais d’instructions au ministère public ou d’autres documents d’orientation.</w:t>
      </w:r>
    </w:p>
    <w:p w14:paraId="6F5CDB14" w14:textId="77777777" w:rsidR="00421DEB" w:rsidRPr="00841A54" w:rsidRDefault="00421DEB" w:rsidP="005B7C70">
      <w:pPr>
        <w:pStyle w:val="Paragraphedeliste"/>
        <w:widowControl w:val="0"/>
        <w:ind w:left="0"/>
        <w:contextualSpacing w:val="0"/>
        <w:rPr>
          <w:rFonts w:cs="Arial"/>
          <w:szCs w:val="20"/>
        </w:rPr>
      </w:pPr>
    </w:p>
    <w:p w14:paraId="584D76CA"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Les clauses d’exemption humanitaires devraient également préciser quelles activités sont couvertes. En vertu du DIH, les activités exclusivement humanitaires </w:t>
      </w:r>
      <w:r w:rsidRPr="00841A54">
        <w:rPr>
          <w:rFonts w:cs="Arial"/>
          <w:szCs w:val="20"/>
        </w:rPr>
        <w:t xml:space="preserve">comprennent à la fois les activités d’assistance et de protection et </w:t>
      </w:r>
      <w:r w:rsidRPr="00841A54">
        <w:rPr>
          <w:rFonts w:eastAsia="Arial" w:cs="Arial"/>
          <w:szCs w:val="20"/>
        </w:rPr>
        <w:t xml:space="preserve">sont celles qui sont menées sans aucune distinction de caractère défavorable et qui visent uniquement à soulager la souffrance humaine. Il s’agit, par exemple, de faciliter les opérations de secours humanitaire aux civils en détresse ; de rechercher, recueillir, soigner et évacuer les morts, les blessés, les malades et les naufragés (y </w:t>
      </w:r>
      <w:r w:rsidRPr="00841A54">
        <w:rPr>
          <w:rFonts w:cs="Arial"/>
          <w:szCs w:val="20"/>
        </w:rPr>
        <w:t xml:space="preserve">compris les membres d’associations et de groupes terroristes mis hors de </w:t>
      </w:r>
      <w:r w:rsidRPr="00841A54">
        <w:rPr>
          <w:rFonts w:cs="Arial"/>
          <w:szCs w:val="20"/>
        </w:rPr>
        <w:lastRenderedPageBreak/>
        <w:t>combat)</w:t>
      </w:r>
      <w:r w:rsidRPr="00841A54">
        <w:rPr>
          <w:rFonts w:eastAsia="Arial" w:cs="Arial"/>
          <w:szCs w:val="20"/>
        </w:rPr>
        <w:t> ; de rendre compte du sort des personnes disparues</w:t>
      </w:r>
      <w:r w:rsidRPr="00841A54">
        <w:rPr>
          <w:rStyle w:val="Appelnotedebasdep"/>
          <w:rFonts w:cs="Arial"/>
          <w:szCs w:val="20"/>
        </w:rPr>
        <w:footnoteReference w:id="23"/>
      </w:r>
      <w:r w:rsidRPr="00841A54">
        <w:rPr>
          <w:rFonts w:eastAsia="Arial" w:cs="Arial"/>
          <w:szCs w:val="20"/>
        </w:rPr>
        <w:t xml:space="preserve"> ; de </w:t>
      </w:r>
      <w:r w:rsidRPr="00841A54">
        <w:rPr>
          <w:rFonts w:cs="Arial"/>
          <w:szCs w:val="20"/>
        </w:rPr>
        <w:t>rendre visite et apporter une assistance aux détenus ; de dispenser une formation au DIH ou de servir de relais pour</w:t>
      </w:r>
      <w:r w:rsidRPr="00841A54">
        <w:rPr>
          <w:rFonts w:eastAsia="Arial" w:cs="Arial"/>
          <w:szCs w:val="20"/>
        </w:rPr>
        <w:t xml:space="preserve"> les offres de services aux parties au conflit armé non international, en particulier les services fournis par un « organisme humanitaire impartial, tel que le [CICR] », conformément à l’article 3 commun aux Conventions de Genève de 1949</w:t>
      </w:r>
      <w:r w:rsidRPr="00841A54">
        <w:rPr>
          <w:rStyle w:val="Appelnotedebasdep"/>
          <w:rFonts w:eastAsia="Arial" w:cs="Arial"/>
          <w:szCs w:val="20"/>
        </w:rPr>
        <w:footnoteReference w:id="24"/>
      </w:r>
      <w:r w:rsidRPr="00841A54">
        <w:rPr>
          <w:rFonts w:eastAsia="Arial" w:cs="Arial"/>
          <w:szCs w:val="20"/>
        </w:rPr>
        <w:t>.</w:t>
      </w:r>
    </w:p>
    <w:p w14:paraId="2ED30C35" w14:textId="77777777" w:rsidR="00421DEB" w:rsidRPr="00841A54" w:rsidRDefault="00421DEB" w:rsidP="005B7C70">
      <w:pPr>
        <w:pStyle w:val="Paragraphedeliste"/>
        <w:widowControl w:val="0"/>
        <w:contextualSpacing w:val="0"/>
        <w:rPr>
          <w:rFonts w:cs="Arial"/>
          <w:szCs w:val="20"/>
        </w:rPr>
      </w:pPr>
    </w:p>
    <w:p w14:paraId="71882B83"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cs="Arial"/>
          <w:szCs w:val="20"/>
        </w:rPr>
        <w:t>Dans la mesure où cela est compatible avec la structure du droit pénal des États membres, les clauses d’exemption ne doivent pas nécessairement prendre la forme de dispositions légales explicites, à condition qu’il ressorte de manière suffisamment claire de la définition et de l’interprétation des infractions terroristes concernées, ainsi que d’autres instruments juridiques internationaux ou régionaux, que les activités purement humanitaires menées par des organisations humanitaires impartiales conformément au DIH ne sont pas criminalisées.</w:t>
      </w:r>
    </w:p>
    <w:p w14:paraId="0FFA2DC3" w14:textId="77777777" w:rsidR="00421DEB" w:rsidRPr="00841A54" w:rsidRDefault="00421DEB" w:rsidP="005B7C70">
      <w:pPr>
        <w:widowControl w:val="0"/>
        <w:rPr>
          <w:rFonts w:cs="Arial"/>
          <w:szCs w:val="20"/>
        </w:rPr>
      </w:pPr>
    </w:p>
    <w:p w14:paraId="0BBA5E58"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Pour sauvegarder l’action humanitaire fondée sur des principes, la recommandation invite les États membres à coopérer activement avec le secteur privé. Ils peuvent notamment créer des forums ou des mécanismes nationaux au sein desquels des organismes gouvernementaux, des organisations à but non lucratif et des sociétés de services financiers peuvent échanger des informations et des points de vue et étudier les bonnes pratiques en matière de transparence des mesures pertinentes, telles que les processus d’octroi de licences et d’exemption, pour éviter le désengagement face aux risques et autres manifestations d’application excessive des sanctions. Certains États ont également mis en place une autorité spéciale qui sert de point de contact à cet égard</w:t>
      </w:r>
      <w:r w:rsidRPr="00841A54">
        <w:rPr>
          <w:rStyle w:val="Appelnotedebasdep"/>
          <w:rFonts w:eastAsia="Times New Roman" w:cs="Arial"/>
          <w:szCs w:val="20"/>
        </w:rPr>
        <w:footnoteReference w:id="25"/>
      </w:r>
      <w:r w:rsidRPr="00841A54">
        <w:rPr>
          <w:rFonts w:eastAsia="Arial" w:cs="Arial"/>
          <w:szCs w:val="20"/>
        </w:rPr>
        <w:t xml:space="preserve">. </w:t>
      </w:r>
      <w:r w:rsidRPr="00841A54">
        <w:rPr>
          <w:rFonts w:cs="Arial"/>
          <w:szCs w:val="20"/>
        </w:rPr>
        <w:t>Dans le cadre de ces mécanismes, les autorités nationales compétentes pourraient préciser le champ d’application des exemptions humanitaires, y compris dans la législation antiterroriste, telles qu’elles peuvent découler du droit national ou de son interprétation conformément au droit directement applicable de l’UE ou aux résolutions du Conseil de sécurité des Nations Unies, et fournir des orientations chaque fois que cela leur est demandé afin d’éviter des conséquences néfastes inutiles sur l’action humanitaire impartiale.</w:t>
      </w:r>
    </w:p>
    <w:p w14:paraId="07C21AE8" w14:textId="77777777" w:rsidR="00421DEB" w:rsidRPr="00841A54" w:rsidRDefault="00421DEB" w:rsidP="005B7C70">
      <w:pPr>
        <w:pStyle w:val="Titre1"/>
        <w:keepNext w:val="0"/>
        <w:keepLines w:val="0"/>
        <w:widowControl w:val="0"/>
        <w:rPr>
          <w:rFonts w:eastAsia="Arial" w:cs="Arial"/>
          <w:bCs/>
          <w:szCs w:val="20"/>
          <w:lang w:val="fr-FR"/>
        </w:rPr>
      </w:pPr>
      <w:bookmarkStart w:id="40" w:name="_Toc224544511"/>
    </w:p>
    <w:p w14:paraId="3C8EEDF4" w14:textId="77777777" w:rsidR="00421DEB" w:rsidRPr="00841A54" w:rsidRDefault="00421DEB" w:rsidP="005B7C70">
      <w:pPr>
        <w:pStyle w:val="Titre1"/>
        <w:keepNext w:val="0"/>
        <w:keepLines w:val="0"/>
        <w:widowControl w:val="0"/>
        <w:ind w:hanging="1060"/>
        <w:rPr>
          <w:rFonts w:eastAsia="Times New Roman" w:cs="Arial"/>
          <w:szCs w:val="20"/>
          <w:lang w:val="fr-FR"/>
        </w:rPr>
      </w:pPr>
      <w:r w:rsidRPr="00841A54">
        <w:rPr>
          <w:rFonts w:eastAsia="Arial" w:cs="Arial"/>
          <w:bCs/>
          <w:szCs w:val="20"/>
          <w:lang w:val="fr-FR"/>
        </w:rPr>
        <w:t>Chapitre VII – Renforcer la coopération internationale</w:t>
      </w:r>
      <w:bookmarkEnd w:id="40"/>
    </w:p>
    <w:p w14:paraId="524B81E8" w14:textId="77777777" w:rsidR="00421DEB" w:rsidRPr="00841A54" w:rsidRDefault="00421DEB" w:rsidP="005B7C70">
      <w:pPr>
        <w:pStyle w:val="Paragraphedeliste"/>
        <w:widowControl w:val="0"/>
        <w:ind w:left="0"/>
        <w:contextualSpacing w:val="0"/>
        <w:rPr>
          <w:rFonts w:cs="Arial"/>
          <w:szCs w:val="20"/>
        </w:rPr>
      </w:pPr>
    </w:p>
    <w:p w14:paraId="35C37A12" w14:textId="77777777" w:rsidR="00421DEB" w:rsidRPr="00841A54" w:rsidRDefault="00421DEB" w:rsidP="005B7C70">
      <w:pPr>
        <w:pStyle w:val="Titre2"/>
        <w:keepNext w:val="0"/>
        <w:keepLines w:val="0"/>
        <w:widowControl w:val="0"/>
        <w:ind w:hanging="1060"/>
        <w:rPr>
          <w:rFonts w:cs="Arial"/>
          <w:szCs w:val="20"/>
        </w:rPr>
      </w:pPr>
      <w:bookmarkStart w:id="41" w:name="_Toc224544512"/>
      <w:r w:rsidRPr="00841A54">
        <w:rPr>
          <w:rFonts w:eastAsia="Arial" w:cs="Arial"/>
          <w:iCs/>
          <w:szCs w:val="20"/>
          <w:lang w:val="fr-FR"/>
        </w:rPr>
        <w:t>Extradition et entraide judiciaire</w:t>
      </w:r>
      <w:bookmarkEnd w:id="41"/>
    </w:p>
    <w:p w14:paraId="272EE7BF" w14:textId="77777777" w:rsidR="00421DEB" w:rsidRPr="00841A54" w:rsidRDefault="00421DEB" w:rsidP="005B7C70">
      <w:pPr>
        <w:pStyle w:val="Paragraphedeliste"/>
        <w:widowControl w:val="0"/>
        <w:ind w:left="0"/>
        <w:contextualSpacing w:val="0"/>
        <w:rPr>
          <w:rFonts w:cs="Arial"/>
          <w:szCs w:val="20"/>
        </w:rPr>
      </w:pPr>
    </w:p>
    <w:p w14:paraId="4D7D50BE"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La recommandation souligne l’importance que revêt la coopération internationale dans la lutte contre l’impunité pour les infractions et les crimes qui relèvent de son champ d’application. Dans cette perspective, elle appelle les États membres à utiliser tous les moyens disponibles, ou à en développer de nouveaux si nécessaire, pour garantir que les personnes présentes sur leur territoire qui sont soupçonnées d’avoir commis de tels infractions et crimes lors d’un conflit armé non international à l’étranger soient traduites en justice devant une juridiction compétente, y compris, le cas échéant, un tribunal étranger.</w:t>
      </w:r>
    </w:p>
    <w:p w14:paraId="5B8F785E" w14:textId="77777777" w:rsidR="00421DEB" w:rsidRPr="00841A54" w:rsidRDefault="00421DEB" w:rsidP="005B7C70">
      <w:pPr>
        <w:pStyle w:val="Paragraphedeliste"/>
        <w:widowControl w:val="0"/>
        <w:ind w:left="0"/>
        <w:contextualSpacing w:val="0"/>
        <w:rPr>
          <w:rFonts w:cs="Arial"/>
          <w:szCs w:val="20"/>
        </w:rPr>
      </w:pPr>
    </w:p>
    <w:p w14:paraId="2A0984D8"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En règle générale, les États membres devraient extrader ou remettre les personnes soupçonnées de terrorisme qui se trouvent sur leur territoire dès lors qu’ils reçoivent une demande ou un mandat d’arrêt européen émis par la juridiction compétente, selon le cas. Si l’extradition ou la remise n’est pas demandée ou n’est pas possible, ils devraient poursuivre ces personnes soupçonnées conformément au principe </w:t>
      </w:r>
      <w:proofErr w:type="spellStart"/>
      <w:r w:rsidRPr="00841A54">
        <w:rPr>
          <w:rFonts w:eastAsia="Arial" w:cs="Arial"/>
          <w:i/>
          <w:iCs/>
          <w:szCs w:val="20"/>
        </w:rPr>
        <w:t>aut</w:t>
      </w:r>
      <w:proofErr w:type="spellEnd"/>
      <w:r w:rsidRPr="00841A54">
        <w:rPr>
          <w:rFonts w:eastAsia="Arial" w:cs="Arial"/>
          <w:i/>
          <w:iCs/>
          <w:szCs w:val="20"/>
        </w:rPr>
        <w:t xml:space="preserve"> </w:t>
      </w:r>
      <w:proofErr w:type="spellStart"/>
      <w:r w:rsidRPr="00841A54">
        <w:rPr>
          <w:rFonts w:eastAsia="Arial" w:cs="Arial"/>
          <w:i/>
          <w:iCs/>
          <w:szCs w:val="20"/>
        </w:rPr>
        <w:t>dedere</w:t>
      </w:r>
      <w:proofErr w:type="spellEnd"/>
      <w:r w:rsidRPr="00841A54">
        <w:rPr>
          <w:rFonts w:eastAsia="Arial" w:cs="Arial"/>
          <w:i/>
          <w:iCs/>
          <w:szCs w:val="20"/>
        </w:rPr>
        <w:t xml:space="preserve"> </w:t>
      </w:r>
      <w:proofErr w:type="spellStart"/>
      <w:r w:rsidRPr="00841A54">
        <w:rPr>
          <w:rFonts w:eastAsia="Arial" w:cs="Arial"/>
          <w:i/>
          <w:iCs/>
          <w:szCs w:val="20"/>
        </w:rPr>
        <w:t>aut</w:t>
      </w:r>
      <w:proofErr w:type="spellEnd"/>
      <w:r w:rsidRPr="00841A54">
        <w:rPr>
          <w:rFonts w:eastAsia="Arial" w:cs="Arial"/>
          <w:i/>
          <w:iCs/>
          <w:szCs w:val="20"/>
        </w:rPr>
        <w:t xml:space="preserve"> </w:t>
      </w:r>
      <w:proofErr w:type="spellStart"/>
      <w:r w:rsidRPr="00841A54">
        <w:rPr>
          <w:rFonts w:eastAsia="Arial" w:cs="Arial"/>
          <w:i/>
          <w:iCs/>
          <w:szCs w:val="20"/>
        </w:rPr>
        <w:t>judicare</w:t>
      </w:r>
      <w:proofErr w:type="spellEnd"/>
      <w:r w:rsidRPr="00841A54">
        <w:rPr>
          <w:rFonts w:eastAsia="Arial" w:cs="Arial"/>
          <w:i/>
          <w:iCs/>
          <w:szCs w:val="20"/>
        </w:rPr>
        <w:t xml:space="preserve"> </w:t>
      </w:r>
      <w:r w:rsidRPr="00841A54">
        <w:rPr>
          <w:rFonts w:eastAsia="Arial" w:cs="Arial"/>
          <w:szCs w:val="20"/>
        </w:rPr>
        <w:t>et aux dispositions de la Convention du Conseil de l’Europe pour la prévention du terrorisme (article 18). Compte tenu du champ d’application de la présente recommandation et du mandat du CDCT prévu par la Stratégie du Conseil de l’Europe contre le terrorisme (2023-2027), la même règle devrait s’appliquer aux violations graves du DIH et aux autres crimes internationaux les plus graves qui auraient été commis par des personnes soupçonnées de terrorisme au cours d’un conflit armé non international.</w:t>
      </w:r>
    </w:p>
    <w:p w14:paraId="4A3A0C03" w14:textId="77777777" w:rsidR="00421DEB" w:rsidRPr="00841A54" w:rsidRDefault="00421DEB" w:rsidP="005B7C70">
      <w:pPr>
        <w:pStyle w:val="Paragraphedeliste"/>
        <w:widowControl w:val="0"/>
        <w:contextualSpacing w:val="0"/>
        <w:rPr>
          <w:rFonts w:eastAsia="Times New Roman" w:cs="Arial"/>
          <w:szCs w:val="20"/>
        </w:rPr>
      </w:pPr>
    </w:p>
    <w:p w14:paraId="2FEBBC1D"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Pour poursuivre les personnes présentes sur le territoire de l’État pour les infractions et crimes visés par la recommandation, il faut d’abord établir la compétence, conformément aux principes énoncés au chapitre II. Bien qu’un État puisse exercer sa compétence sur n’importe quel fondement, lorsqu’il s’agit d’une infraction ou d’un crime qui aurait été commis à l’étranger sans aucun lien avec l’État du for, cette obligation correspondrait nécessairement à l’exercice de la compétence universelle et serait donc soumise à des limitations. Lorsque cela n’est pas possible, et afin d’éviter l’impunité pour les crimes internationaux les plus graves, une autre solution consisterait à remettre l’auteur présumé à une juridiction pénale internationale compétente ou à une juridiction dont la compétence a été reconnue par l’État concerné</w:t>
      </w:r>
      <w:r w:rsidRPr="00841A54">
        <w:rPr>
          <w:rStyle w:val="Appelnotedebasdep"/>
          <w:rFonts w:cs="Arial"/>
          <w:szCs w:val="20"/>
        </w:rPr>
        <w:footnoteReference w:id="26"/>
      </w:r>
      <w:r w:rsidRPr="00841A54">
        <w:rPr>
          <w:rFonts w:eastAsia="Arial" w:cs="Arial"/>
          <w:szCs w:val="20"/>
        </w:rPr>
        <w:t>.</w:t>
      </w:r>
    </w:p>
    <w:p w14:paraId="019C6308" w14:textId="77777777" w:rsidR="00421DEB" w:rsidRPr="00841A54" w:rsidRDefault="00421DEB" w:rsidP="005B7C70">
      <w:pPr>
        <w:pStyle w:val="Paragraphedeliste"/>
        <w:widowControl w:val="0"/>
        <w:contextualSpacing w:val="0"/>
        <w:rPr>
          <w:rFonts w:cs="Arial"/>
          <w:szCs w:val="20"/>
        </w:rPr>
      </w:pPr>
    </w:p>
    <w:p w14:paraId="678FC9C0"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Afin de renforcer la coopération internationale, la présente recommandation s’appuie sur l’acquis du Conseil de l’Europe et sur des initiatives telles que la Convention européenne d’entraide judiciaire en matière pénale (STE n</w:t>
      </w:r>
      <w:r w:rsidRPr="00841A54">
        <w:rPr>
          <w:rFonts w:eastAsia="Arial" w:cs="Arial"/>
          <w:szCs w:val="20"/>
          <w:vertAlign w:val="superscript"/>
        </w:rPr>
        <w:t>o </w:t>
      </w:r>
      <w:r w:rsidRPr="00841A54">
        <w:rPr>
          <w:rFonts w:eastAsia="Arial" w:cs="Arial"/>
          <w:szCs w:val="20"/>
        </w:rPr>
        <w:t xml:space="preserve">30) et ses trois protocoles additionnels. Par ailleurs, la recommandation encourage les États membres à devenir parties à la Convention de Ljubljana-La Haye pour la coopération internationale en matière </w:t>
      </w:r>
      <w:r w:rsidRPr="00841A54">
        <w:rPr>
          <w:rFonts w:eastAsia="Arial" w:cs="Arial"/>
          <w:szCs w:val="20"/>
        </w:rPr>
        <w:lastRenderedPageBreak/>
        <w:t>d’enquête et de poursuite du crime de génocide, des crimes contre l’humanité, des crimes de guerre et d’autres crimes internationaux (2023)</w:t>
      </w:r>
      <w:r w:rsidRPr="00841A54">
        <w:rPr>
          <w:rStyle w:val="Appelnotedebasdep"/>
          <w:rFonts w:eastAsia="Times New Roman" w:cs="Arial"/>
          <w:szCs w:val="20"/>
        </w:rPr>
        <w:footnoteReference w:id="27"/>
      </w:r>
      <w:r w:rsidRPr="00841A54">
        <w:rPr>
          <w:rFonts w:eastAsia="Arial" w:cs="Arial"/>
          <w:szCs w:val="20"/>
        </w:rPr>
        <w:t>, qui est particulièrement adaptée pour garantir le respect du DIH dans la lutte contre le terrorisme, conformément à l’objectif de la recommandation.</w:t>
      </w:r>
    </w:p>
    <w:p w14:paraId="123BAC29" w14:textId="77777777" w:rsidR="00421DEB" w:rsidRPr="00841A54" w:rsidRDefault="00421DEB" w:rsidP="005B7C70">
      <w:pPr>
        <w:widowControl w:val="0"/>
        <w:rPr>
          <w:rFonts w:eastAsia="Times New Roman" w:cs="Arial"/>
          <w:szCs w:val="20"/>
        </w:rPr>
      </w:pPr>
    </w:p>
    <w:p w14:paraId="164864EF" w14:textId="77777777" w:rsidR="00421DEB" w:rsidRPr="00841A54" w:rsidRDefault="00421DEB" w:rsidP="005B7C70">
      <w:pPr>
        <w:pStyle w:val="Titre2"/>
        <w:keepNext w:val="0"/>
        <w:keepLines w:val="0"/>
        <w:widowControl w:val="0"/>
        <w:ind w:hanging="1060"/>
        <w:rPr>
          <w:rFonts w:eastAsia="Times New Roman" w:cs="Arial"/>
          <w:szCs w:val="20"/>
        </w:rPr>
      </w:pPr>
      <w:bookmarkStart w:id="42" w:name="_Toc224544513"/>
      <w:r w:rsidRPr="00841A54">
        <w:rPr>
          <w:rFonts w:eastAsia="Arial" w:cs="Arial"/>
          <w:iCs/>
          <w:szCs w:val="20"/>
          <w:lang w:val="fr-FR"/>
        </w:rPr>
        <w:t>Coopération internationale en matière d’enquêtes</w:t>
      </w:r>
      <w:bookmarkEnd w:id="42"/>
    </w:p>
    <w:p w14:paraId="7254D59A" w14:textId="77777777" w:rsidR="00421DEB" w:rsidRPr="00841A54" w:rsidRDefault="00421DEB" w:rsidP="005B7C70">
      <w:pPr>
        <w:widowControl w:val="0"/>
        <w:rPr>
          <w:rFonts w:eastAsia="Times New Roman" w:cs="Arial"/>
          <w:szCs w:val="20"/>
        </w:rPr>
      </w:pPr>
    </w:p>
    <w:p w14:paraId="3B93584D"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La recommandation encourage la coopération entre les États membres dans le cadre des enquêtes relatives aux infractions et aux crimes relevant de son champ d’application, tant par le biais de mécanismes informels que de moyens spécifiques mis au point au niveau régional. L’un des moyens les plus avancés utilisés en matière d’enquêtes est l’équipe commune d’enquête, qui repose sur un accord juridique conclu entre les autorités compétentes de deux ou plusieurs États en vue de mener des enquêtes pénales. Constituées de procureurs et de services d’enquête, ainsi que de juges, les équipes communes d’enquête peuvent bénéficier du soutien opérationnel, juridique et financier d’Eurojust afin d’assurer une coordination plus rapide et plus efficace</w:t>
      </w:r>
      <w:r w:rsidRPr="00841A54">
        <w:rPr>
          <w:rStyle w:val="Appelnotedebasdep"/>
          <w:rFonts w:cs="Arial"/>
          <w:szCs w:val="20"/>
        </w:rPr>
        <w:footnoteReference w:id="28"/>
      </w:r>
      <w:r w:rsidRPr="00841A54">
        <w:rPr>
          <w:rFonts w:eastAsia="Arial" w:cs="Arial"/>
          <w:szCs w:val="20"/>
        </w:rPr>
        <w:t>. La recommandation encourage également les États membres à solliciter, dans la mesure du possible, l’aide analytique et l’expertise technique d’Europol</w:t>
      </w:r>
      <w:r w:rsidRPr="00841A54">
        <w:rPr>
          <w:rStyle w:val="Appelnotedebasdep"/>
          <w:rFonts w:eastAsia="Times New Roman" w:cs="Arial"/>
          <w:szCs w:val="20"/>
        </w:rPr>
        <w:footnoteReference w:id="29"/>
      </w:r>
      <w:r w:rsidRPr="00841A54">
        <w:rPr>
          <w:rFonts w:eastAsia="Arial" w:cs="Arial"/>
          <w:szCs w:val="20"/>
        </w:rPr>
        <w:t>.</w:t>
      </w:r>
    </w:p>
    <w:p w14:paraId="1EAF566B" w14:textId="77777777" w:rsidR="00421DEB" w:rsidRPr="00841A54" w:rsidRDefault="00421DEB" w:rsidP="005B7C70">
      <w:pPr>
        <w:widowControl w:val="0"/>
        <w:rPr>
          <w:rFonts w:cs="Arial"/>
          <w:szCs w:val="20"/>
        </w:rPr>
      </w:pPr>
    </w:p>
    <w:p w14:paraId="4793158C"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La collecte de preuves est un élément clé du domaine de la coopération internationale en matière pénale. Pour faciliter une telle coopération, la recommandation invite les États membres à ratifier et à mettre en œuvre le Deuxième Protocole additionnel à la Convention du Conseil de l’Europe sur la cybercriminalité relatif au renforcement de la coopération et de la divulgation de preuves électroniques (STCE n</w:t>
      </w:r>
      <w:r w:rsidRPr="00841A54">
        <w:rPr>
          <w:rFonts w:eastAsia="Arial" w:cs="Arial"/>
          <w:szCs w:val="20"/>
          <w:vertAlign w:val="superscript"/>
        </w:rPr>
        <w:t>o</w:t>
      </w:r>
      <w:r w:rsidRPr="00841A54">
        <w:rPr>
          <w:rFonts w:eastAsia="Arial" w:cs="Arial"/>
          <w:szCs w:val="20"/>
        </w:rPr>
        <w:t> 224), qui prévoit des moyens efficaces pour obtenir des informations stockées sous forme électronique sur des systèmes informatiques dans plusieurs pays, y compris une coopération immédiate en cas d’urgence ou des enquêtes conjointes, dans le respect des garanties relatives aux droits humains et à l’État de droit. Afin de renforcer davantage la coopération internationale en matière pénale, les États membres peuvent également envisager d’adhérer à la Convention des Nations Unies contre la cybercriminalité, adoptée par l’Assemblée générale des Nations Unies le 24 décembre 2024</w:t>
      </w:r>
      <w:r w:rsidRPr="00841A54">
        <w:rPr>
          <w:rStyle w:val="Appelnotedebasdep"/>
          <w:rFonts w:eastAsia="Arial" w:cs="Arial"/>
          <w:szCs w:val="20"/>
        </w:rPr>
        <w:footnoteReference w:id="30"/>
      </w:r>
      <w:r w:rsidRPr="00841A54">
        <w:rPr>
          <w:rFonts w:eastAsia="Arial" w:cs="Arial"/>
          <w:szCs w:val="20"/>
        </w:rPr>
        <w:t>.</w:t>
      </w:r>
    </w:p>
    <w:p w14:paraId="70AE6B0E" w14:textId="77777777" w:rsidR="00421DEB" w:rsidRPr="00841A54" w:rsidRDefault="00421DEB" w:rsidP="005B7C70">
      <w:pPr>
        <w:widowControl w:val="0"/>
        <w:rPr>
          <w:rFonts w:cs="Arial"/>
          <w:szCs w:val="20"/>
        </w:rPr>
      </w:pPr>
    </w:p>
    <w:p w14:paraId="6E4DF810"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Afin de s’assurer que les personnes soupçonnées de terrorisme rendent compte des crimes internationaux les plus graves qu’elles auraient commis dans le cadre d’un conflit armé non international, la recommandation appelle les États membres à envisager d’utiliser les informations fournies par les entités des Nations Unies, y compris le Mécanisme international impartial et indépendant sur la Syrie</w:t>
      </w:r>
      <w:r w:rsidRPr="00841A54">
        <w:rPr>
          <w:rFonts w:eastAsia="Times New Roman" w:cs="Arial"/>
          <w:szCs w:val="20"/>
          <w:vertAlign w:val="superscript"/>
        </w:rPr>
        <w:footnoteReference w:id="31"/>
      </w:r>
      <w:r w:rsidRPr="00841A54">
        <w:rPr>
          <w:rFonts w:eastAsia="Arial" w:cs="Arial"/>
          <w:szCs w:val="20"/>
        </w:rPr>
        <w:t xml:space="preserve">. Les États membres sont également appelés à utiliser </w:t>
      </w:r>
      <w:r w:rsidRPr="00841A54">
        <w:rPr>
          <w:rFonts w:eastAsia="Times New Roman" w:cs="Arial"/>
          <w:szCs w:val="20"/>
        </w:rPr>
        <w:t xml:space="preserve">et </w:t>
      </w:r>
      <w:r w:rsidRPr="00841A54">
        <w:rPr>
          <w:rFonts w:eastAsia="Arial" w:cs="Arial"/>
          <w:szCs w:val="20"/>
        </w:rPr>
        <w:t xml:space="preserve">à </w:t>
      </w:r>
      <w:r w:rsidRPr="00841A54">
        <w:rPr>
          <w:rFonts w:eastAsia="Times New Roman" w:cs="Arial"/>
          <w:szCs w:val="20"/>
        </w:rPr>
        <w:t>transmettre des informations à des bases de données judiciaires et des outils</w:t>
      </w:r>
      <w:r w:rsidRPr="00841A54">
        <w:rPr>
          <w:rFonts w:eastAsia="Arial" w:cs="Arial"/>
          <w:szCs w:val="20"/>
        </w:rPr>
        <w:t>, telles que la base de données sur les preuves de grands crimes internationaux (</w:t>
      </w:r>
      <w:proofErr w:type="spellStart"/>
      <w:r w:rsidRPr="00841A54">
        <w:rPr>
          <w:rFonts w:eastAsia="Times New Roman" w:cs="Arial"/>
          <w:i/>
          <w:iCs/>
          <w:szCs w:val="20"/>
        </w:rPr>
        <w:t>Core</w:t>
      </w:r>
      <w:proofErr w:type="spellEnd"/>
      <w:r w:rsidRPr="00841A54">
        <w:rPr>
          <w:rFonts w:eastAsia="Times New Roman" w:cs="Arial"/>
          <w:i/>
          <w:iCs/>
          <w:szCs w:val="20"/>
        </w:rPr>
        <w:t xml:space="preserve"> International Crimes Evidence </w:t>
      </w:r>
      <w:proofErr w:type="spellStart"/>
      <w:r w:rsidRPr="00841A54">
        <w:rPr>
          <w:rFonts w:eastAsia="Times New Roman" w:cs="Arial"/>
          <w:i/>
          <w:iCs/>
          <w:szCs w:val="20"/>
        </w:rPr>
        <w:t>Database</w:t>
      </w:r>
      <w:proofErr w:type="spellEnd"/>
      <w:r w:rsidRPr="00841A54">
        <w:rPr>
          <w:rFonts w:eastAsia="Times New Roman" w:cs="Arial"/>
          <w:i/>
          <w:iCs/>
          <w:szCs w:val="20"/>
        </w:rPr>
        <w:t>,</w:t>
      </w:r>
      <w:r w:rsidRPr="00841A54">
        <w:rPr>
          <w:rFonts w:eastAsia="Times New Roman" w:cs="Arial"/>
          <w:szCs w:val="20"/>
        </w:rPr>
        <w:t xml:space="preserve"> </w:t>
      </w:r>
      <w:r w:rsidRPr="00841A54">
        <w:rPr>
          <w:rFonts w:eastAsia="Arial" w:cs="Arial"/>
          <w:szCs w:val="20"/>
        </w:rPr>
        <w:t>CICED) de l’Eurojust</w:t>
      </w:r>
      <w:r w:rsidRPr="00841A54">
        <w:rPr>
          <w:rStyle w:val="Appelnotedebasdep"/>
          <w:rFonts w:eastAsia="Times New Roman" w:cs="Arial"/>
          <w:szCs w:val="20"/>
        </w:rPr>
        <w:footnoteReference w:id="32"/>
      </w:r>
      <w:r w:rsidRPr="00841A54">
        <w:rPr>
          <w:rFonts w:eastAsia="Arial" w:cs="Arial"/>
          <w:szCs w:val="20"/>
        </w:rPr>
        <w:t xml:space="preserve"> et, le cas échéant, le registre judiciaire européen antiterroriste</w:t>
      </w:r>
      <w:r w:rsidRPr="00841A54">
        <w:rPr>
          <w:rStyle w:val="Appelnotedebasdep"/>
          <w:rFonts w:eastAsia="Times New Roman" w:cs="Arial"/>
          <w:szCs w:val="20"/>
        </w:rPr>
        <w:footnoteReference w:id="33"/>
      </w:r>
      <w:r w:rsidRPr="00841A54">
        <w:rPr>
          <w:rFonts w:eastAsia="Arial" w:cs="Arial"/>
          <w:szCs w:val="20"/>
        </w:rPr>
        <w:t>.</w:t>
      </w:r>
    </w:p>
    <w:p w14:paraId="403260F1" w14:textId="77777777" w:rsidR="00421DEB" w:rsidRPr="00841A54" w:rsidRDefault="00421DEB" w:rsidP="005B7C70">
      <w:pPr>
        <w:widowControl w:val="0"/>
        <w:rPr>
          <w:rFonts w:eastAsia="Times New Roman" w:cs="Arial"/>
          <w:szCs w:val="20"/>
        </w:rPr>
      </w:pPr>
    </w:p>
    <w:p w14:paraId="67BDE360" w14:textId="77777777" w:rsidR="00421DEB" w:rsidRPr="00841A54" w:rsidRDefault="00421DEB" w:rsidP="005B7C70">
      <w:pPr>
        <w:pStyle w:val="Paragraphedeliste"/>
        <w:widowControl w:val="0"/>
        <w:numPr>
          <w:ilvl w:val="0"/>
          <w:numId w:val="43"/>
        </w:numPr>
        <w:contextualSpacing w:val="0"/>
        <w:rPr>
          <w:rFonts w:cs="Arial"/>
          <w:szCs w:val="20"/>
        </w:rPr>
      </w:pPr>
      <w:r w:rsidRPr="00841A54">
        <w:rPr>
          <w:rFonts w:eastAsia="Arial" w:cs="Arial"/>
          <w:szCs w:val="20"/>
        </w:rPr>
        <w:t xml:space="preserve">Enfin, la recommandation indique que les autorités compétentes des États membres auraient également intérêt à participer au </w:t>
      </w:r>
      <w:r w:rsidRPr="00841A54">
        <w:rPr>
          <w:rFonts w:eastAsia="Times New Roman" w:cs="Arial"/>
          <w:szCs w:val="20"/>
        </w:rPr>
        <w:t>Réseau de poursuite des génocides</w:t>
      </w:r>
      <w:r w:rsidRPr="00841A54">
        <w:rPr>
          <w:rFonts w:eastAsia="Arial" w:cs="Arial"/>
          <w:szCs w:val="20"/>
        </w:rPr>
        <w:t>.</w:t>
      </w:r>
      <w:r w:rsidRPr="00841A54">
        <w:rPr>
          <w:rStyle w:val="Appelnotedebasdep"/>
          <w:rFonts w:eastAsia="Arial" w:cs="Arial"/>
          <w:szCs w:val="20"/>
        </w:rPr>
        <w:footnoteReference w:id="34"/>
      </w:r>
      <w:r w:rsidRPr="00841A54">
        <w:rPr>
          <w:rFonts w:eastAsia="Arial" w:cs="Arial"/>
          <w:szCs w:val="20"/>
        </w:rPr>
        <w:t xml:space="preserve"> En s’engageant à partager leur expertise, leurs bonnes pratiques et leurs informations opérationnelles, en particulier sur la question du cumul des poursuites pour les crimes internationaux les plus graves et les infractions terroristes connexes, les États membres renforceraient l’efficacité de l’obligation de rendre des comptes pour ces crimes et infractions, tout en permettant d’atteindre les objectifs de la recommandation.</w:t>
      </w:r>
    </w:p>
    <w:sectPr w:rsidR="00421DEB" w:rsidRPr="00841A54" w:rsidSect="00544F6A">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992" w:right="851" w:bottom="709" w:left="1077" w:header="454" w:footer="340" w:gutter="113"/>
      <w:paperSrc w:first="15" w:other="15"/>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00EBB" w14:textId="77777777" w:rsidR="000537EE" w:rsidRDefault="000537EE" w:rsidP="00FD6043">
      <w:r>
        <w:separator/>
      </w:r>
    </w:p>
  </w:endnote>
  <w:endnote w:type="continuationSeparator" w:id="0">
    <w:p w14:paraId="29053901" w14:textId="77777777" w:rsidR="000537EE" w:rsidRDefault="000537EE"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Times New Roman"/>
    <w:charset w:val="00"/>
    <w:family w:val="auto"/>
    <w:pitch w:val="variable"/>
    <w:sig w:usb0="E00002AF" w:usb1="5000607B" w:usb2="00000000" w:usb3="00000000" w:csb0="0000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254E2" w14:textId="77777777" w:rsidR="007573BA" w:rsidRDefault="007573B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17006" w14:textId="77777777" w:rsidR="002F3006" w:rsidRPr="002F3006" w:rsidRDefault="002F3006" w:rsidP="002F3006">
    <w:pPr>
      <w:pStyle w:val="Pieddepage"/>
      <w:jc w:val="right"/>
      <w:rPr>
        <w:rFonts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AE25F" w14:textId="77777777" w:rsidR="00AE76B8" w:rsidRPr="00113EB0" w:rsidRDefault="00E1656D" w:rsidP="00E15639">
    <w:pPr>
      <w:pStyle w:val="Pieddepage"/>
      <w:rPr>
        <w:sz w:val="16"/>
        <w:szCs w:val="16"/>
      </w:rPr>
    </w:pPr>
    <w:r>
      <w:rPr>
        <w:sz w:val="16"/>
        <w:szCs w:val="16"/>
      </w:rPr>
      <w:t>Site internet </w:t>
    </w:r>
    <w:r w:rsidR="00E15639" w:rsidRPr="00113EB0">
      <w:rPr>
        <w:sz w:val="16"/>
        <w:szCs w:val="16"/>
      </w:rPr>
      <w:t xml:space="preserve">: </w:t>
    </w:r>
    <w:hyperlink r:id="rId1" w:history="1">
      <w:r w:rsidR="00AE76B8" w:rsidRPr="00533557">
        <w:rPr>
          <w:rStyle w:val="Lienhypertexte"/>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7D423" w14:textId="77777777" w:rsidR="000537EE" w:rsidRDefault="000537EE" w:rsidP="00FD6043">
      <w:r>
        <w:separator/>
      </w:r>
    </w:p>
  </w:footnote>
  <w:footnote w:type="continuationSeparator" w:id="0">
    <w:p w14:paraId="7D2DB852" w14:textId="77777777" w:rsidR="000537EE" w:rsidRDefault="000537EE" w:rsidP="00FD6043">
      <w:r>
        <w:continuationSeparator/>
      </w:r>
    </w:p>
  </w:footnote>
  <w:footnote w:id="1">
    <w:p w14:paraId="0585ACE6" w14:textId="77777777" w:rsidR="00421DEB" w:rsidRPr="00841A54" w:rsidRDefault="00421DEB" w:rsidP="00421DEB">
      <w:pPr>
        <w:pStyle w:val="Notedebasdepage"/>
        <w:rPr>
          <w:b/>
          <w:bCs/>
        </w:rPr>
      </w:pPr>
      <w:r w:rsidRPr="00841A54">
        <w:rPr>
          <w:rStyle w:val="Appelnotedebasdep"/>
        </w:rPr>
        <w:footnoteRef/>
      </w:r>
      <w:r w:rsidRPr="00841A54">
        <w:t xml:space="preserve"> Article 6, paragraphe 5, du Protocole additionnel aux Conventions de Genève du 12 août 1949 relatif à la protection des victimes des conflits armés non internationaux, 8 juin 1977 (Protocole additionnel II).</w:t>
      </w:r>
    </w:p>
  </w:footnote>
  <w:footnote w:id="2">
    <w:p w14:paraId="7446B111"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Assemblée parlementaire du Conseil de l’Europe, </w:t>
      </w:r>
      <w:hyperlink r:id="rId1" w:history="1">
        <w:r w:rsidRPr="00841A54">
          <w:rPr>
            <w:rFonts w:eastAsia="Arial"/>
            <w:szCs w:val="16"/>
          </w:rPr>
          <w:t>Résolution 2475 (2023)</w:t>
        </w:r>
      </w:hyperlink>
      <w:r w:rsidRPr="00841A54">
        <w:rPr>
          <w:rFonts w:eastAsia="Arial"/>
          <w:szCs w:val="16"/>
        </w:rPr>
        <w:t xml:space="preserve"> « Traiter la question des combattants étrangers de Daech et de leurs familles qui rentrent de Syrie et d’ailleurs dans les États membres du Conseil de l’Europe ».</w:t>
      </w:r>
    </w:p>
  </w:footnote>
  <w:footnote w:id="3">
    <w:p w14:paraId="5703DE3F" w14:textId="77777777" w:rsidR="00421DEB" w:rsidRPr="00841A54" w:rsidRDefault="00421DEB" w:rsidP="00421DEB">
      <w:pPr>
        <w:pStyle w:val="Notedebasdepage"/>
        <w:rPr>
          <w:szCs w:val="16"/>
        </w:rPr>
      </w:pPr>
      <w:r w:rsidRPr="00841A54">
        <w:rPr>
          <w:rStyle w:val="Appelnotedebasdep"/>
          <w:szCs w:val="16"/>
        </w:rPr>
        <w:footnoteRef/>
      </w:r>
      <w:r w:rsidRPr="00841A54">
        <w:rPr>
          <w:rFonts w:eastAsia="Arial"/>
          <w:szCs w:val="16"/>
        </w:rPr>
        <w:t xml:space="preserve"> Voir Mehra T. (2023), </w:t>
      </w:r>
      <w:hyperlink r:id="rId2" w:history="1">
        <w:proofErr w:type="spellStart"/>
        <w:r w:rsidRPr="00841A54">
          <w:rPr>
            <w:rFonts w:eastAsia="Arial"/>
            <w:szCs w:val="16"/>
          </w:rPr>
          <w:t>Improving</w:t>
        </w:r>
        <w:proofErr w:type="spellEnd"/>
        <w:r w:rsidRPr="00841A54">
          <w:rPr>
            <w:rFonts w:eastAsia="Arial"/>
            <w:szCs w:val="16"/>
          </w:rPr>
          <w:t xml:space="preserve"> the prospects of </w:t>
        </w:r>
        <w:proofErr w:type="spellStart"/>
        <w:r w:rsidRPr="00841A54">
          <w:rPr>
            <w:rFonts w:eastAsia="Arial"/>
            <w:szCs w:val="16"/>
          </w:rPr>
          <w:t>prosecuting</w:t>
        </w:r>
        <w:proofErr w:type="spellEnd"/>
        <w:r w:rsidRPr="00841A54">
          <w:rPr>
            <w:rFonts w:eastAsia="Arial"/>
            <w:szCs w:val="16"/>
          </w:rPr>
          <w:t xml:space="preserve"> “</w:t>
        </w:r>
        <w:proofErr w:type="spellStart"/>
        <w:r w:rsidRPr="00841A54">
          <w:rPr>
            <w:rFonts w:eastAsia="Arial"/>
            <w:szCs w:val="16"/>
          </w:rPr>
          <w:t>terrorists</w:t>
        </w:r>
        <w:proofErr w:type="spellEnd"/>
        <w:r w:rsidRPr="00841A54">
          <w:rPr>
            <w:rFonts w:eastAsia="Arial"/>
            <w:szCs w:val="16"/>
          </w:rPr>
          <w:t xml:space="preserve">” for </w:t>
        </w:r>
        <w:proofErr w:type="spellStart"/>
        <w:r w:rsidRPr="00841A54">
          <w:rPr>
            <w:rFonts w:eastAsia="Arial"/>
            <w:szCs w:val="16"/>
          </w:rPr>
          <w:t>core</w:t>
        </w:r>
        <w:proofErr w:type="spellEnd"/>
        <w:r w:rsidRPr="00841A54">
          <w:rPr>
            <w:rFonts w:eastAsia="Arial"/>
            <w:szCs w:val="16"/>
          </w:rPr>
          <w:t xml:space="preserve"> international crimes </w:t>
        </w:r>
        <w:proofErr w:type="spellStart"/>
        <w:r w:rsidRPr="00841A54">
          <w:rPr>
            <w:rFonts w:eastAsia="Arial"/>
            <w:szCs w:val="16"/>
          </w:rPr>
          <w:t>committed</w:t>
        </w:r>
        <w:proofErr w:type="spellEnd"/>
        <w:r w:rsidRPr="00841A54">
          <w:rPr>
            <w:rFonts w:eastAsia="Arial"/>
            <w:szCs w:val="16"/>
          </w:rPr>
          <w:t xml:space="preserve"> in the </w:t>
        </w:r>
        <w:proofErr w:type="spellStart"/>
        <w:r w:rsidRPr="00841A54">
          <w:rPr>
            <w:rFonts w:eastAsia="Arial"/>
            <w:szCs w:val="16"/>
          </w:rPr>
          <w:t>context</w:t>
        </w:r>
        <w:proofErr w:type="spellEnd"/>
        <w:r w:rsidRPr="00841A54">
          <w:rPr>
            <w:rFonts w:eastAsia="Arial"/>
            <w:szCs w:val="16"/>
          </w:rPr>
          <w:t xml:space="preserve"> of the </w:t>
        </w:r>
        <w:proofErr w:type="spellStart"/>
        <w:r w:rsidRPr="00841A54">
          <w:rPr>
            <w:rFonts w:eastAsia="Arial"/>
            <w:szCs w:val="16"/>
          </w:rPr>
          <w:t>conflict</w:t>
        </w:r>
        <w:proofErr w:type="spellEnd"/>
        <w:r w:rsidRPr="00841A54">
          <w:rPr>
            <w:rFonts w:eastAsia="Arial"/>
            <w:szCs w:val="16"/>
          </w:rPr>
          <w:t xml:space="preserve"> in Syria and Iraq</w:t>
        </w:r>
      </w:hyperlink>
      <w:r w:rsidRPr="00841A54">
        <w:rPr>
          <w:rFonts w:eastAsia="Arial"/>
          <w:szCs w:val="16"/>
        </w:rPr>
        <w:t>, Centre international de lutte contre le terrorisme (ICCT) et la base de données de l’ICCT sur les liens entre le terrorisme et la criminalité internationale (</w:t>
      </w:r>
      <w:proofErr w:type="spellStart"/>
      <w:r>
        <w:fldChar w:fldCharType="begin"/>
      </w:r>
      <w:r>
        <w:instrText>HYPERLINK "https://interlinkagesdatabase.icct.nl/"</w:instrText>
      </w:r>
      <w:r>
        <w:fldChar w:fldCharType="separate"/>
      </w:r>
      <w:r w:rsidRPr="00841A54">
        <w:rPr>
          <w:rStyle w:val="Lienhypertexte"/>
        </w:rPr>
        <w:t>Database</w:t>
      </w:r>
      <w:proofErr w:type="spellEnd"/>
      <w:r w:rsidRPr="00841A54">
        <w:rPr>
          <w:rStyle w:val="Lienhypertexte"/>
        </w:rPr>
        <w:t xml:space="preserve"> on </w:t>
      </w:r>
      <w:proofErr w:type="spellStart"/>
      <w:r w:rsidRPr="00841A54">
        <w:rPr>
          <w:rStyle w:val="Lienhypertexte"/>
        </w:rPr>
        <w:t>Interlinkages</w:t>
      </w:r>
      <w:proofErr w:type="spellEnd"/>
      <w:r w:rsidRPr="00841A54">
        <w:rPr>
          <w:rStyle w:val="Lienhypertexte"/>
        </w:rPr>
        <w:t xml:space="preserve"> </w:t>
      </w:r>
      <w:proofErr w:type="spellStart"/>
      <w:r w:rsidRPr="00841A54">
        <w:rPr>
          <w:rStyle w:val="Lienhypertexte"/>
        </w:rPr>
        <w:t>between</w:t>
      </w:r>
      <w:proofErr w:type="spellEnd"/>
      <w:r w:rsidRPr="00841A54">
        <w:rPr>
          <w:rStyle w:val="Lienhypertexte"/>
        </w:rPr>
        <w:t xml:space="preserve"> </w:t>
      </w:r>
      <w:proofErr w:type="spellStart"/>
      <w:r w:rsidRPr="00841A54">
        <w:rPr>
          <w:rStyle w:val="Lienhypertexte"/>
        </w:rPr>
        <w:t>Terrorism</w:t>
      </w:r>
      <w:proofErr w:type="spellEnd"/>
      <w:r w:rsidRPr="00841A54">
        <w:rPr>
          <w:rStyle w:val="Lienhypertexte"/>
        </w:rPr>
        <w:t xml:space="preserve"> and International Crimes</w:t>
      </w:r>
      <w:r>
        <w:fldChar w:fldCharType="end"/>
      </w:r>
      <w:r w:rsidRPr="00841A54">
        <w:rPr>
          <w:rFonts w:eastAsia="Arial"/>
          <w:szCs w:val="16"/>
        </w:rPr>
        <w:t>) (en anglais seulement) ; Agence de l’Union européenne pour la coopération judiciaire en matière pénale (Eurojust)/Réseau européen de points de contact en ce qui concerne les personnes responsables de génocide, de crimes contre l’humanité et de crimes de guerre (</w:t>
      </w:r>
      <w:r w:rsidRPr="00841A54">
        <w:rPr>
          <w:rFonts w:eastAsia="Times New Roman" w:cs="Arial"/>
        </w:rPr>
        <w:t>Réseau de poursuite des génocides</w:t>
      </w:r>
      <w:r w:rsidRPr="00841A54">
        <w:rPr>
          <w:rFonts w:eastAsia="Arial"/>
          <w:szCs w:val="16"/>
        </w:rPr>
        <w:t xml:space="preserve">) (2020), </w:t>
      </w:r>
      <w:hyperlink r:id="rId3" w:history="1">
        <w:r w:rsidRPr="00841A54">
          <w:rPr>
            <w:rFonts w:eastAsia="Arial"/>
            <w:szCs w:val="16"/>
          </w:rPr>
          <w:t>Poursuites cumulées à l’encontre des combattants terroristes étrangers pour des grands crimes internationaux et pour des infractions liées au terrorisme</w:t>
        </w:r>
      </w:hyperlink>
      <w:r w:rsidRPr="00841A54">
        <w:rPr>
          <w:rFonts w:eastAsia="Arial"/>
          <w:szCs w:val="16"/>
        </w:rPr>
        <w:t> (synthèse disponible en français) ; Eurojust/</w:t>
      </w:r>
      <w:r w:rsidRPr="00841A54">
        <w:rPr>
          <w:rFonts w:eastAsia="Times New Roman" w:cs="Arial"/>
        </w:rPr>
        <w:t xml:space="preserve"> Réseau de poursuite des génocides</w:t>
      </w:r>
      <w:r w:rsidRPr="00841A54">
        <w:rPr>
          <w:rFonts w:eastAsia="Arial"/>
          <w:szCs w:val="16"/>
        </w:rPr>
        <w:t xml:space="preserve"> (2025), </w:t>
      </w:r>
      <w:hyperlink r:id="rId4" w:history="1">
        <w:r w:rsidRPr="00841A54">
          <w:rPr>
            <w:rFonts w:eastAsia="Arial"/>
            <w:szCs w:val="16"/>
          </w:rPr>
          <w:t>Poursuites cumulées à l’encontre des combattants terroristes étrangers pour des grands crimes internationaux et pour des infractions liées au terrorisme : Rapport</w:t>
        </w:r>
      </w:hyperlink>
      <w:r w:rsidRPr="00841A54">
        <w:rPr>
          <w:rFonts w:eastAsia="Arial"/>
          <w:szCs w:val="16"/>
        </w:rPr>
        <w:t> (synthèse disponible en français) ; Base de données Eurojust sur la jurisprudence nationale relative aux crimes internationaux fondamentaux (</w:t>
      </w:r>
      <w:hyperlink r:id="rId5" w:history="1">
        <w:r w:rsidRPr="00841A54">
          <w:rPr>
            <w:rStyle w:val="Lienhypertexte"/>
            <w:rFonts w:eastAsia="Arial"/>
            <w:szCs w:val="16"/>
          </w:rPr>
          <w:t xml:space="preserve">National jurisprudence </w:t>
        </w:r>
        <w:proofErr w:type="spellStart"/>
        <w:r w:rsidRPr="00841A54">
          <w:rPr>
            <w:rStyle w:val="Lienhypertexte"/>
            <w:rFonts w:eastAsia="Arial"/>
            <w:szCs w:val="16"/>
          </w:rPr>
          <w:t>database</w:t>
        </w:r>
        <w:proofErr w:type="spellEnd"/>
        <w:r w:rsidRPr="00841A54">
          <w:rPr>
            <w:rStyle w:val="Lienhypertexte"/>
            <w:rFonts w:eastAsia="Arial"/>
            <w:szCs w:val="16"/>
          </w:rPr>
          <w:t xml:space="preserve"> on </w:t>
        </w:r>
        <w:proofErr w:type="spellStart"/>
        <w:r w:rsidRPr="00841A54">
          <w:rPr>
            <w:rStyle w:val="Lienhypertexte"/>
            <w:rFonts w:eastAsia="Arial"/>
            <w:szCs w:val="16"/>
          </w:rPr>
          <w:t>core</w:t>
        </w:r>
        <w:proofErr w:type="spellEnd"/>
        <w:r w:rsidRPr="00841A54">
          <w:rPr>
            <w:rStyle w:val="Lienhypertexte"/>
            <w:rFonts w:eastAsia="Arial"/>
            <w:szCs w:val="16"/>
          </w:rPr>
          <w:t xml:space="preserve"> international crimes</w:t>
        </w:r>
      </w:hyperlink>
      <w:r w:rsidRPr="00841A54">
        <w:rPr>
          <w:rFonts w:eastAsia="Arial"/>
          <w:szCs w:val="16"/>
        </w:rPr>
        <w:t xml:space="preserve">) ; et Direction exécutive du Comité contre le terrorisme du Conseil de sécurité des Nations Unies (DECT) (2022), </w:t>
      </w:r>
      <w:hyperlink r:id="rId6" w:history="1">
        <w:r w:rsidRPr="00841A54">
          <w:rPr>
            <w:rFonts w:eastAsia="Arial"/>
            <w:szCs w:val="16"/>
          </w:rPr>
          <w:t xml:space="preserve">The </w:t>
        </w:r>
        <w:proofErr w:type="spellStart"/>
        <w:r w:rsidRPr="00841A54">
          <w:rPr>
            <w:rFonts w:eastAsia="Arial"/>
            <w:szCs w:val="16"/>
          </w:rPr>
          <w:t>interrelationship</w:t>
        </w:r>
        <w:proofErr w:type="spellEnd"/>
        <w:r w:rsidRPr="00841A54">
          <w:rPr>
            <w:rFonts w:eastAsia="Arial"/>
            <w:szCs w:val="16"/>
          </w:rPr>
          <w:t xml:space="preserve"> </w:t>
        </w:r>
        <w:proofErr w:type="spellStart"/>
        <w:r w:rsidRPr="00841A54">
          <w:rPr>
            <w:rFonts w:eastAsia="Arial"/>
            <w:szCs w:val="16"/>
          </w:rPr>
          <w:t>between</w:t>
        </w:r>
        <w:proofErr w:type="spellEnd"/>
        <w:r w:rsidRPr="00841A54">
          <w:rPr>
            <w:rFonts w:eastAsia="Arial"/>
            <w:szCs w:val="16"/>
          </w:rPr>
          <w:t xml:space="preserve"> </w:t>
        </w:r>
        <w:proofErr w:type="spellStart"/>
        <w:r w:rsidRPr="00841A54">
          <w:rPr>
            <w:rFonts w:eastAsia="Arial"/>
            <w:szCs w:val="16"/>
          </w:rPr>
          <w:t>counter-terrorism</w:t>
        </w:r>
        <w:proofErr w:type="spellEnd"/>
        <w:r w:rsidRPr="00841A54">
          <w:rPr>
            <w:rFonts w:eastAsia="Arial"/>
            <w:szCs w:val="16"/>
          </w:rPr>
          <w:t xml:space="preserve"> </w:t>
        </w:r>
        <w:proofErr w:type="spellStart"/>
        <w:r w:rsidRPr="00841A54">
          <w:rPr>
            <w:rFonts w:eastAsia="Arial"/>
            <w:szCs w:val="16"/>
          </w:rPr>
          <w:t>frameworks</w:t>
        </w:r>
        <w:proofErr w:type="spellEnd"/>
        <w:r w:rsidRPr="00841A54">
          <w:rPr>
            <w:rFonts w:eastAsia="Arial"/>
            <w:szCs w:val="16"/>
          </w:rPr>
          <w:t xml:space="preserve"> and international </w:t>
        </w:r>
        <w:proofErr w:type="spellStart"/>
        <w:r w:rsidRPr="00841A54">
          <w:rPr>
            <w:rFonts w:eastAsia="Arial"/>
            <w:szCs w:val="16"/>
          </w:rPr>
          <w:t>humanitarian</w:t>
        </w:r>
        <w:proofErr w:type="spellEnd"/>
        <w:r w:rsidRPr="00841A54">
          <w:rPr>
            <w:rFonts w:eastAsia="Arial"/>
            <w:szCs w:val="16"/>
          </w:rPr>
          <w:t xml:space="preserve"> </w:t>
        </w:r>
        <w:proofErr w:type="spellStart"/>
        <w:r w:rsidRPr="00841A54">
          <w:rPr>
            <w:rFonts w:eastAsia="Arial"/>
            <w:szCs w:val="16"/>
          </w:rPr>
          <w:t>law</w:t>
        </w:r>
        <w:proofErr w:type="spellEnd"/>
      </w:hyperlink>
      <w:r w:rsidRPr="00841A54">
        <w:rPr>
          <w:rFonts w:eastAsia="Arial"/>
          <w:szCs w:val="16"/>
        </w:rPr>
        <w:t xml:space="preserve"> (en anglais seulement). </w:t>
      </w:r>
    </w:p>
  </w:footnote>
  <w:footnote w:id="4">
    <w:p w14:paraId="4A720781" w14:textId="77777777" w:rsidR="00421DEB" w:rsidRPr="00841A54" w:rsidRDefault="00421DEB" w:rsidP="00421DEB">
      <w:pPr>
        <w:pStyle w:val="Notedebasdepage"/>
        <w:rPr>
          <w:szCs w:val="16"/>
        </w:rPr>
      </w:pPr>
      <w:r w:rsidRPr="00841A54">
        <w:rPr>
          <w:rStyle w:val="Appelnotedebasdep"/>
          <w:szCs w:val="16"/>
        </w:rPr>
        <w:footnoteRef/>
      </w:r>
      <w:r w:rsidRPr="00841A54">
        <w:rPr>
          <w:rFonts w:eastAsia="Arial"/>
          <w:szCs w:val="16"/>
        </w:rPr>
        <w:t xml:space="preserve"> Il est fait mention ici de la procédure pénale engagée en France contre Lafarge S.A pour complicité de crimes contre l’humanité, financement d’activités terroristes et mise en danger de la vie d’autrui. </w:t>
      </w:r>
      <w:hyperlink r:id="rId7" w:history="1">
        <w:r w:rsidRPr="00841A54">
          <w:rPr>
            <w:rFonts w:eastAsia="Arial"/>
            <w:szCs w:val="16"/>
          </w:rPr>
          <w:t>Cour de cassation, criminelle, Chambre criminelle, 7 septembre 2021, 19-87.367, publié au bulletin - Légifrance</w:t>
        </w:r>
      </w:hyperlink>
      <w:r w:rsidRPr="00841A54">
        <w:rPr>
          <w:rFonts w:eastAsia="Arial"/>
          <w:szCs w:val="16"/>
        </w:rPr>
        <w:t>.</w:t>
      </w:r>
    </w:p>
  </w:footnote>
  <w:footnote w:id="5">
    <w:p w14:paraId="1396B9EE"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w:t>
      </w:r>
      <w:hyperlink r:id="rId8" w:history="1">
        <w:r w:rsidRPr="00841A54">
          <w:rPr>
            <w:rFonts w:eastAsia="Arial"/>
            <w:szCs w:val="16"/>
          </w:rPr>
          <w:t>Convention internationale pour la répression du financement du terrorisme</w:t>
        </w:r>
      </w:hyperlink>
      <w:r w:rsidRPr="00841A54">
        <w:rPr>
          <w:rFonts w:eastAsia="Arial"/>
          <w:szCs w:val="16"/>
        </w:rPr>
        <w:t xml:space="preserve">, 9 décembre 1999. </w:t>
      </w:r>
    </w:p>
  </w:footnote>
  <w:footnote w:id="6">
    <w:p w14:paraId="18679FAD" w14:textId="77777777" w:rsidR="00421DEB" w:rsidRPr="00841A54" w:rsidRDefault="00421DEB" w:rsidP="00421DEB">
      <w:pPr>
        <w:pStyle w:val="Notedebasdepage"/>
      </w:pPr>
      <w:r w:rsidRPr="00841A54">
        <w:rPr>
          <w:rStyle w:val="Appelnotedebasdep"/>
          <w:rFonts w:cs="Arial"/>
          <w:szCs w:val="16"/>
        </w:rPr>
        <w:footnoteRef/>
      </w:r>
      <w:r w:rsidRPr="00841A54">
        <w:rPr>
          <w:rFonts w:eastAsia="Arial" w:cs="Arial"/>
          <w:szCs w:val="16"/>
        </w:rPr>
        <w:t xml:space="preserve"> Voir CICR (2024), « </w:t>
      </w:r>
      <w:hyperlink r:id="rId9" w:history="1">
        <w:r w:rsidRPr="00841A54">
          <w:rPr>
            <w:rFonts w:eastAsia="Arial" w:cs="Arial"/>
            <w:szCs w:val="16"/>
          </w:rPr>
          <w:t>Comment le terme « conflit armé » est-il défini en droit international humanitaire ?</w:t>
        </w:r>
      </w:hyperlink>
      <w:r w:rsidRPr="00841A54">
        <w:t> », CICR, prise de position.</w:t>
      </w:r>
    </w:p>
  </w:footnote>
  <w:footnote w:id="7">
    <w:p w14:paraId="5A657CDF" w14:textId="77777777" w:rsidR="00421DEB" w:rsidRPr="00841A54" w:rsidRDefault="00421DEB" w:rsidP="00421DEB">
      <w:pPr>
        <w:pStyle w:val="Notedebasdepage"/>
        <w:rPr>
          <w:szCs w:val="16"/>
        </w:rPr>
      </w:pPr>
      <w:r w:rsidRPr="00841A54">
        <w:rPr>
          <w:rStyle w:val="Appelnotedebasdep"/>
          <w:szCs w:val="16"/>
        </w:rPr>
        <w:footnoteRef/>
      </w:r>
      <w:r w:rsidRPr="00841A54">
        <w:rPr>
          <w:rFonts w:eastAsia="Arial"/>
          <w:szCs w:val="16"/>
        </w:rPr>
        <w:t xml:space="preserve"> Voir Eurojust/</w:t>
      </w:r>
      <w:r w:rsidRPr="00841A54">
        <w:rPr>
          <w:rFonts w:eastAsia="Times New Roman" w:cs="Arial"/>
        </w:rPr>
        <w:t xml:space="preserve"> Réseau de poursuite des génocides</w:t>
      </w:r>
      <w:r w:rsidRPr="00841A54">
        <w:rPr>
          <w:rFonts w:eastAsia="Arial"/>
          <w:szCs w:val="16"/>
        </w:rPr>
        <w:t xml:space="preserve"> (2020), </w:t>
      </w:r>
      <w:r w:rsidRPr="00841A54">
        <w:rPr>
          <w:rFonts w:eastAsia="Arial"/>
          <w:i/>
          <w:iCs/>
          <w:szCs w:val="16"/>
        </w:rPr>
        <w:t xml:space="preserve">op. </w:t>
      </w:r>
      <w:proofErr w:type="spellStart"/>
      <w:proofErr w:type="gramStart"/>
      <w:r w:rsidRPr="00841A54">
        <w:rPr>
          <w:rFonts w:eastAsia="Arial"/>
          <w:i/>
          <w:iCs/>
          <w:szCs w:val="16"/>
        </w:rPr>
        <w:t>cit</w:t>
      </w:r>
      <w:proofErr w:type="spellEnd"/>
      <w:proofErr w:type="gramEnd"/>
      <w:r w:rsidRPr="00841A54">
        <w:rPr>
          <w:rFonts w:eastAsia="Arial"/>
          <w:szCs w:val="16"/>
        </w:rPr>
        <w:t xml:space="preserve">., p. 8 à 12. </w:t>
      </w:r>
    </w:p>
  </w:footnote>
  <w:footnote w:id="8">
    <w:p w14:paraId="02746CBA" w14:textId="77777777" w:rsidR="00421DEB" w:rsidRPr="00841A54" w:rsidRDefault="00421DEB" w:rsidP="00421DEB">
      <w:pPr>
        <w:pStyle w:val="Notedebasdepage"/>
        <w:rPr>
          <w:szCs w:val="16"/>
        </w:rPr>
      </w:pPr>
      <w:r w:rsidRPr="00841A54">
        <w:rPr>
          <w:rStyle w:val="Appelnotedebasdep"/>
          <w:szCs w:val="16"/>
        </w:rPr>
        <w:footnoteRef/>
      </w:r>
      <w:r w:rsidRPr="00841A54">
        <w:rPr>
          <w:rFonts w:eastAsia="Arial"/>
          <w:szCs w:val="16"/>
        </w:rPr>
        <w:t xml:space="preserve"> Cour européenne des droits de l’homme, </w:t>
      </w:r>
      <w:proofErr w:type="spellStart"/>
      <w:r w:rsidRPr="00841A54">
        <w:rPr>
          <w:rFonts w:eastAsia="Arial"/>
          <w:i/>
          <w:iCs/>
          <w:szCs w:val="16"/>
        </w:rPr>
        <w:t>Jorgic</w:t>
      </w:r>
      <w:proofErr w:type="spellEnd"/>
      <w:r w:rsidRPr="00841A54">
        <w:rPr>
          <w:rFonts w:eastAsia="Arial"/>
          <w:i/>
          <w:iCs/>
          <w:szCs w:val="16"/>
        </w:rPr>
        <w:t xml:space="preserve"> c. Allemagne</w:t>
      </w:r>
      <w:r w:rsidRPr="00841A54">
        <w:rPr>
          <w:rFonts w:eastAsia="Arial"/>
          <w:szCs w:val="16"/>
        </w:rPr>
        <w:t>, requête n</w:t>
      </w:r>
      <w:r w:rsidRPr="00841A54">
        <w:rPr>
          <w:rFonts w:eastAsia="Arial"/>
          <w:szCs w:val="16"/>
          <w:vertAlign w:val="superscript"/>
        </w:rPr>
        <w:t>o</w:t>
      </w:r>
      <w:r w:rsidRPr="00841A54">
        <w:rPr>
          <w:rFonts w:eastAsia="Arial"/>
          <w:szCs w:val="16"/>
        </w:rPr>
        <w:t> </w:t>
      </w:r>
      <w:hyperlink r:id="rId10" w:anchor="{%22languageisocode%22:[%22FRE%22],%22appno%22:[%2274613/01%22],%22documentcollectionid2%22:[%22CHAMBER%22],%22itemid%22:[%22001-81609%22]}" w:tgtFrame="_blank" w:history="1">
        <w:r w:rsidRPr="00841A54">
          <w:rPr>
            <w:rFonts w:eastAsia="Arial"/>
            <w:szCs w:val="16"/>
          </w:rPr>
          <w:t>74613/01</w:t>
        </w:r>
      </w:hyperlink>
      <w:r w:rsidRPr="00841A54">
        <w:rPr>
          <w:rFonts w:eastAsia="Arial"/>
          <w:szCs w:val="16"/>
        </w:rPr>
        <w:t xml:space="preserve">, arrêt du 12 juillet 2007, </w:t>
      </w:r>
      <w:r w:rsidRPr="00841A54">
        <w:rPr>
          <w:rFonts w:eastAsia="Arial" w:cs="Arial"/>
          <w:szCs w:val="16"/>
        </w:rPr>
        <w:t>paragraphe 53.</w:t>
      </w:r>
    </w:p>
  </w:footnote>
  <w:footnote w:id="9">
    <w:p w14:paraId="477BDCC2" w14:textId="77777777" w:rsidR="00421DEB" w:rsidRPr="00841A54" w:rsidRDefault="00421DEB" w:rsidP="00421DEB">
      <w:pPr>
        <w:pStyle w:val="Notedebasdepage"/>
      </w:pPr>
      <w:r w:rsidRPr="00841A54">
        <w:rPr>
          <w:rStyle w:val="Appelnotedebasdep"/>
        </w:rPr>
        <w:footnoteRef/>
      </w:r>
      <w:r w:rsidRPr="00841A54">
        <w:t xml:space="preserve"> </w:t>
      </w:r>
      <w:hyperlink r:id="rId11" w:tooltip="42000A0712(01)" w:history="1">
        <w:r w:rsidRPr="00841A54">
          <w:rPr>
            <w:rStyle w:val="Lienhypertexte"/>
          </w:rPr>
          <w:t>Convention établie par le Conseil conformément à l'article 34 du traité sur l'Union européenne, relative à l'entraide judiciaire en matière pénale entre les États membres de l'Union européenne</w:t>
        </w:r>
      </w:hyperlink>
      <w:r w:rsidRPr="00841A54">
        <w:t xml:space="preserve"> (2000).</w:t>
      </w:r>
    </w:p>
  </w:footnote>
  <w:footnote w:id="10">
    <w:p w14:paraId="75D0D95D"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CICR (2005), </w:t>
      </w:r>
      <w:hyperlink r:id="rId12" w:history="1">
        <w:r w:rsidRPr="00841A54">
          <w:rPr>
            <w:rFonts w:eastAsia="Arial"/>
            <w:szCs w:val="16"/>
          </w:rPr>
          <w:t>Bases de données de Droit international coutumier, Règle 157. La compétence universelle en matière de crimes de guerre</w:t>
        </w:r>
      </w:hyperlink>
      <w:r w:rsidRPr="00841A54">
        <w:rPr>
          <w:rFonts w:eastAsia="Arial"/>
          <w:szCs w:val="16"/>
        </w:rPr>
        <w:t xml:space="preserve">. </w:t>
      </w:r>
    </w:p>
  </w:footnote>
  <w:footnote w:id="11">
    <w:p w14:paraId="682FC24A"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Mehra T., </w:t>
      </w:r>
      <w:r w:rsidRPr="00841A54">
        <w:rPr>
          <w:rFonts w:eastAsia="Arial"/>
          <w:i/>
          <w:iCs/>
          <w:szCs w:val="16"/>
        </w:rPr>
        <w:t xml:space="preserve">op. </w:t>
      </w:r>
      <w:proofErr w:type="spellStart"/>
      <w:proofErr w:type="gramStart"/>
      <w:r w:rsidRPr="00841A54">
        <w:rPr>
          <w:rFonts w:eastAsia="Arial"/>
          <w:i/>
          <w:iCs/>
          <w:szCs w:val="16"/>
        </w:rPr>
        <w:t>cit</w:t>
      </w:r>
      <w:proofErr w:type="spellEnd"/>
      <w:proofErr w:type="gramEnd"/>
      <w:r w:rsidRPr="00841A54">
        <w:rPr>
          <w:rFonts w:eastAsia="Arial"/>
          <w:i/>
          <w:iCs/>
          <w:szCs w:val="16"/>
        </w:rPr>
        <w:t>.</w:t>
      </w:r>
      <w:r w:rsidRPr="00841A54">
        <w:rPr>
          <w:rFonts w:eastAsia="Arial"/>
          <w:szCs w:val="16"/>
        </w:rPr>
        <w:t>, p. 13 et 14.</w:t>
      </w:r>
    </w:p>
  </w:footnote>
  <w:footnote w:id="12">
    <w:p w14:paraId="0B3D7451"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Voir Plateforme de partage des connaissances de la Cour européenne des droits de l’homme (CEDH-KS),</w:t>
      </w:r>
      <w:hyperlink r:id="rId13" w:history="1">
        <w:r w:rsidRPr="00841A54">
          <w:rPr>
            <w:rFonts w:eastAsia="Arial"/>
            <w:szCs w:val="16"/>
          </w:rPr>
          <w:t>Article 4 du Protocole n</w:t>
        </w:r>
        <w:r w:rsidRPr="00841A54">
          <w:rPr>
            <w:rFonts w:eastAsia="Arial"/>
            <w:szCs w:val="16"/>
            <w:vertAlign w:val="superscript"/>
          </w:rPr>
          <w:t>o</w:t>
        </w:r>
        <w:r w:rsidRPr="00841A54">
          <w:rPr>
            <w:rFonts w:eastAsia="Arial"/>
            <w:szCs w:val="16"/>
          </w:rPr>
          <w:t> 7 – Droit à ne pas être jugé ou puni deux fois</w:t>
        </w:r>
      </w:hyperlink>
      <w:r w:rsidRPr="00841A54">
        <w:rPr>
          <w:rFonts w:eastAsia="Arial"/>
          <w:szCs w:val="16"/>
        </w:rPr>
        <w:t xml:space="preserve">. </w:t>
      </w:r>
    </w:p>
  </w:footnote>
  <w:footnote w:id="13">
    <w:p w14:paraId="4FA3FC53"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Voir la Convention des Nations Unies sur l’imprescriptibilité des crimes de guerre et des crimes contre l’humanité (1968) ; </w:t>
      </w:r>
      <w:r w:rsidRPr="00841A54">
        <w:rPr>
          <w:rFonts w:eastAsia="Arial" w:cs="Arial"/>
          <w:szCs w:val="16"/>
        </w:rPr>
        <w:t>la Convention européenne sur l’imprescriptibilité des crimes contre l’humanité et des crimes de guerre (STE n</w:t>
      </w:r>
      <w:r w:rsidRPr="00841A54">
        <w:rPr>
          <w:rFonts w:eastAsia="Arial" w:cs="Arial"/>
          <w:szCs w:val="16"/>
          <w:vertAlign w:val="superscript"/>
        </w:rPr>
        <w:t>o</w:t>
      </w:r>
      <w:r w:rsidRPr="00841A54">
        <w:rPr>
          <w:rFonts w:eastAsia="Arial" w:cs="Arial"/>
          <w:szCs w:val="16"/>
        </w:rPr>
        <w:t> 82, 1974) ; et l’article 29 du Statut de Rome de la CPI.</w:t>
      </w:r>
    </w:p>
  </w:footnote>
  <w:footnote w:id="14">
    <w:p w14:paraId="6113DF22"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CICR (2005), </w:t>
      </w:r>
      <w:hyperlink r:id="rId14" w:history="1">
        <w:r w:rsidRPr="00841A54">
          <w:rPr>
            <w:rFonts w:eastAsia="Arial"/>
            <w:szCs w:val="16"/>
          </w:rPr>
          <w:t>Bases de données de Droit international coutumier, Règle 158. Les poursuites pour crime de guerre</w:t>
        </w:r>
      </w:hyperlink>
      <w:r w:rsidRPr="00841A54">
        <w:rPr>
          <w:rFonts w:eastAsia="Arial"/>
          <w:szCs w:val="16"/>
        </w:rPr>
        <w:t xml:space="preserve">. </w:t>
      </w:r>
    </w:p>
  </w:footnote>
  <w:footnote w:id="15">
    <w:p w14:paraId="5263F32B"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Voir Plateforme de partage des connaissances de la Cour européenne des droits de l’homme (CEDH-KS),</w:t>
      </w:r>
      <w:hyperlink r:id="rId15" w:history="1">
        <w:r w:rsidRPr="00841A54">
          <w:rPr>
            <w:rFonts w:eastAsia="Arial"/>
            <w:szCs w:val="16"/>
          </w:rPr>
          <w:t>Article 2 - Droit à la vie</w:t>
        </w:r>
      </w:hyperlink>
      <w:r w:rsidRPr="00841A54">
        <w:rPr>
          <w:rFonts w:eastAsia="Arial"/>
          <w:szCs w:val="16"/>
        </w:rPr>
        <w:t>.</w:t>
      </w:r>
    </w:p>
  </w:footnote>
  <w:footnote w:id="16">
    <w:p w14:paraId="5F748DF6"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Voir Eurojust/</w:t>
      </w:r>
      <w:r w:rsidRPr="00841A54">
        <w:rPr>
          <w:rFonts w:eastAsia="Times New Roman" w:cs="Arial"/>
        </w:rPr>
        <w:t xml:space="preserve"> Réseau de poursuite des génocides</w:t>
      </w:r>
      <w:r w:rsidRPr="00841A54">
        <w:rPr>
          <w:rFonts w:eastAsia="Arial"/>
          <w:szCs w:val="16"/>
        </w:rPr>
        <w:t xml:space="preserve"> (2025), </w:t>
      </w:r>
      <w:r w:rsidRPr="00841A54">
        <w:rPr>
          <w:rFonts w:eastAsia="Arial"/>
          <w:i/>
          <w:iCs/>
          <w:szCs w:val="16"/>
        </w:rPr>
        <w:t xml:space="preserve">op. </w:t>
      </w:r>
      <w:proofErr w:type="spellStart"/>
      <w:proofErr w:type="gramStart"/>
      <w:r w:rsidRPr="00841A54">
        <w:rPr>
          <w:rFonts w:eastAsia="Arial"/>
          <w:i/>
          <w:iCs/>
          <w:szCs w:val="16"/>
        </w:rPr>
        <w:t>cit</w:t>
      </w:r>
      <w:proofErr w:type="spellEnd"/>
      <w:proofErr w:type="gramEnd"/>
      <w:r w:rsidRPr="00841A54">
        <w:rPr>
          <w:rFonts w:eastAsia="Arial"/>
          <w:szCs w:val="16"/>
        </w:rPr>
        <w:t xml:space="preserve">., p. 8, et les sources qui y sont citées. </w:t>
      </w:r>
    </w:p>
  </w:footnote>
  <w:footnote w:id="17">
    <w:p w14:paraId="1577124D"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Conseil de l’Europe (2024), “</w:t>
      </w:r>
      <w:proofErr w:type="spellStart"/>
      <w:r w:rsidRPr="00841A54">
        <w:rPr>
          <w:rFonts w:eastAsia="Arial"/>
          <w:szCs w:val="16"/>
        </w:rPr>
        <w:t>Overview</w:t>
      </w:r>
      <w:proofErr w:type="spellEnd"/>
      <w:r w:rsidRPr="00841A54">
        <w:rPr>
          <w:rFonts w:eastAsia="Arial"/>
          <w:szCs w:val="16"/>
        </w:rPr>
        <w:t xml:space="preserve"> of the </w:t>
      </w:r>
      <w:proofErr w:type="spellStart"/>
      <w:r w:rsidRPr="00841A54">
        <w:rPr>
          <w:rFonts w:eastAsia="Arial"/>
          <w:szCs w:val="16"/>
        </w:rPr>
        <w:t>European</w:t>
      </w:r>
      <w:proofErr w:type="spellEnd"/>
      <w:r w:rsidRPr="00841A54">
        <w:rPr>
          <w:rFonts w:eastAsia="Arial"/>
          <w:szCs w:val="16"/>
        </w:rPr>
        <w:t xml:space="preserve"> standards </w:t>
      </w:r>
      <w:proofErr w:type="spellStart"/>
      <w:r w:rsidRPr="00841A54">
        <w:rPr>
          <w:rFonts w:eastAsia="Arial"/>
          <w:szCs w:val="16"/>
        </w:rPr>
        <w:t>regarding</w:t>
      </w:r>
      <w:proofErr w:type="spellEnd"/>
      <w:r w:rsidRPr="00841A54">
        <w:rPr>
          <w:rFonts w:eastAsia="Arial"/>
          <w:szCs w:val="16"/>
        </w:rPr>
        <w:t xml:space="preserve"> </w:t>
      </w:r>
      <w:proofErr w:type="spellStart"/>
      <w:r w:rsidRPr="00841A54">
        <w:rPr>
          <w:rFonts w:eastAsia="Arial"/>
          <w:szCs w:val="16"/>
        </w:rPr>
        <w:t>criminal</w:t>
      </w:r>
      <w:proofErr w:type="spellEnd"/>
      <w:r w:rsidRPr="00841A54">
        <w:rPr>
          <w:rFonts w:eastAsia="Arial"/>
          <w:szCs w:val="16"/>
        </w:rPr>
        <w:t xml:space="preserve"> </w:t>
      </w:r>
      <w:hyperlink r:id="rId16" w:history="1">
        <w:proofErr w:type="spellStart"/>
        <w:r w:rsidRPr="00841A54">
          <w:rPr>
            <w:rStyle w:val="Lienhypertexte"/>
            <w:rFonts w:eastAsia="Arial"/>
            <w:szCs w:val="16"/>
          </w:rPr>
          <w:t>proceedings</w:t>
        </w:r>
        <w:proofErr w:type="spellEnd"/>
      </w:hyperlink>
      <w:r w:rsidRPr="00841A54">
        <w:rPr>
          <w:rFonts w:eastAsia="Arial"/>
          <w:szCs w:val="16"/>
        </w:rPr>
        <w:t xml:space="preserve"> </w:t>
      </w:r>
      <w:proofErr w:type="spellStart"/>
      <w:r w:rsidRPr="00841A54">
        <w:rPr>
          <w:rFonts w:eastAsia="Arial"/>
          <w:szCs w:val="16"/>
        </w:rPr>
        <w:t>held</w:t>
      </w:r>
      <w:proofErr w:type="spellEnd"/>
      <w:r w:rsidRPr="00841A54">
        <w:rPr>
          <w:rFonts w:eastAsia="Arial"/>
          <w:szCs w:val="16"/>
        </w:rPr>
        <w:t xml:space="preserve"> </w:t>
      </w:r>
      <w:r w:rsidRPr="00841A54">
        <w:rPr>
          <w:rFonts w:eastAsia="Arial"/>
          <w:i/>
          <w:iCs/>
          <w:szCs w:val="16"/>
        </w:rPr>
        <w:t>in absentia</w:t>
      </w:r>
      <w:r w:rsidRPr="00841A54">
        <w:rPr>
          <w:rFonts w:eastAsia="Arial"/>
          <w:szCs w:val="16"/>
        </w:rPr>
        <w:t>”, projet « Promouvoir les droits de l'homme dans le système de justice pénale en Ukraine », mis en œuvre dans le cadre du plan d’action du Conseil de l'Europe pour l'Ukraine « Résilience, relance et reconstruction » 2023-2026. (</w:t>
      </w:r>
      <w:proofErr w:type="gramStart"/>
      <w:r w:rsidRPr="00841A54">
        <w:rPr>
          <w:rFonts w:eastAsia="Arial"/>
          <w:szCs w:val="16"/>
        </w:rPr>
        <w:t>en</w:t>
      </w:r>
      <w:proofErr w:type="gramEnd"/>
      <w:r w:rsidRPr="00841A54">
        <w:rPr>
          <w:rFonts w:eastAsia="Arial"/>
          <w:szCs w:val="16"/>
        </w:rPr>
        <w:t xml:space="preserve"> anglais seulement).</w:t>
      </w:r>
    </w:p>
  </w:footnote>
  <w:footnote w:id="18">
    <w:p w14:paraId="1405D816"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Voir Plateforme de partage des connaissances de la Cour européenne des droits de l’homme (CEDH-KS), </w:t>
      </w:r>
      <w:hyperlink r:id="rId17" w:history="1">
        <w:r w:rsidRPr="00841A54">
          <w:rPr>
            <w:rFonts w:eastAsia="Arial"/>
            <w:szCs w:val="16"/>
          </w:rPr>
          <w:t>Article 6 – pénal - Droit à un procès équitable</w:t>
        </w:r>
      </w:hyperlink>
      <w:r w:rsidRPr="00841A54">
        <w:rPr>
          <w:rFonts w:eastAsia="Arial"/>
          <w:szCs w:val="16"/>
        </w:rPr>
        <w:t>.</w:t>
      </w:r>
    </w:p>
  </w:footnote>
  <w:footnote w:id="19">
    <w:p w14:paraId="3F3F7BBD"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Pour des exemples, voir Eurojust/</w:t>
      </w:r>
      <w:r w:rsidRPr="00841A54">
        <w:rPr>
          <w:rFonts w:eastAsia="Times New Roman" w:cs="Arial"/>
        </w:rPr>
        <w:t xml:space="preserve"> Réseau de poursuite des génocides</w:t>
      </w:r>
      <w:r w:rsidRPr="00841A54">
        <w:rPr>
          <w:rFonts w:eastAsia="Arial"/>
          <w:szCs w:val="16"/>
        </w:rPr>
        <w:t xml:space="preserve"> (2025), </w:t>
      </w:r>
      <w:r w:rsidRPr="00841A54">
        <w:rPr>
          <w:rFonts w:eastAsia="Arial"/>
          <w:i/>
          <w:iCs/>
          <w:szCs w:val="16"/>
        </w:rPr>
        <w:t xml:space="preserve">op. </w:t>
      </w:r>
      <w:proofErr w:type="spellStart"/>
      <w:proofErr w:type="gramStart"/>
      <w:r w:rsidRPr="00841A54">
        <w:rPr>
          <w:rFonts w:eastAsia="Arial"/>
          <w:i/>
          <w:iCs/>
          <w:szCs w:val="16"/>
        </w:rPr>
        <w:t>cit</w:t>
      </w:r>
      <w:proofErr w:type="spellEnd"/>
      <w:proofErr w:type="gramEnd"/>
      <w:r w:rsidRPr="00841A54">
        <w:rPr>
          <w:rFonts w:eastAsia="Arial"/>
          <w:szCs w:val="16"/>
        </w:rPr>
        <w:t xml:space="preserve">., p. 17. </w:t>
      </w:r>
    </w:p>
  </w:footnote>
  <w:footnote w:id="20">
    <w:p w14:paraId="017AE0E6" w14:textId="77777777" w:rsidR="00421DEB" w:rsidRPr="00841A54" w:rsidRDefault="00421DEB" w:rsidP="00421DEB">
      <w:pPr>
        <w:pStyle w:val="Notedebasdepage"/>
      </w:pPr>
      <w:r w:rsidRPr="00841A54">
        <w:rPr>
          <w:rStyle w:val="Appelnotedebasdep"/>
        </w:rPr>
        <w:footnoteRef/>
      </w:r>
      <w:r w:rsidRPr="00841A54">
        <w:t xml:space="preserve"> Article 6, paragraphe 5, du Protocole additionnel II.</w:t>
      </w:r>
      <w:r w:rsidRPr="00841A54">
        <w:rPr>
          <w:rFonts w:eastAsia="Arial"/>
          <w:szCs w:val="16"/>
        </w:rPr>
        <w:t xml:space="preserve"> Voir également CICR, </w:t>
      </w:r>
      <w:hyperlink r:id="rId18" w:history="1">
        <w:r w:rsidRPr="00841A54">
          <w:rPr>
            <w:rStyle w:val="Lienhypertexte"/>
            <w:rFonts w:eastAsia="Arial"/>
            <w:szCs w:val="16"/>
          </w:rPr>
          <w:t>DIH coutumier - Règle 159. L'amnistie</w:t>
        </w:r>
      </w:hyperlink>
      <w:r w:rsidRPr="00841A54">
        <w:rPr>
          <w:rFonts w:eastAsia="Arial"/>
          <w:szCs w:val="16"/>
        </w:rPr>
        <w:t>, selon laquelle la pratique des États établit cette disposition comme une norme du droit international coutumier applicable dans les conflits armés non internationaux.</w:t>
      </w:r>
    </w:p>
  </w:footnote>
  <w:footnote w:id="21">
    <w:p w14:paraId="621285DC" w14:textId="77777777" w:rsidR="00421DEB" w:rsidRPr="00841A54" w:rsidRDefault="00421DEB" w:rsidP="00421DEB">
      <w:pPr>
        <w:pStyle w:val="Notedebasdepage"/>
      </w:pPr>
      <w:r w:rsidRPr="00841A54">
        <w:rPr>
          <w:rStyle w:val="Appelnotedebasdep"/>
        </w:rPr>
        <w:footnoteRef/>
      </w:r>
      <w:r w:rsidRPr="00841A54">
        <w:t xml:space="preserve"> Article 6, paragraphe 5, du Protocole additionnel II.</w:t>
      </w:r>
    </w:p>
  </w:footnote>
  <w:footnote w:id="22">
    <w:p w14:paraId="7BA62C80" w14:textId="77777777" w:rsidR="00421DEB" w:rsidRPr="00841A54" w:rsidRDefault="00421DEB" w:rsidP="00421DEB">
      <w:pPr>
        <w:pStyle w:val="Notedebasdepage"/>
      </w:pPr>
      <w:r w:rsidRPr="00841A54">
        <w:rPr>
          <w:rStyle w:val="Appelnotedebasdep"/>
        </w:rPr>
        <w:footnoteRef/>
      </w:r>
      <w:r w:rsidRPr="00841A54">
        <w:t xml:space="preserve"> Il est loisible aux États membres de déterminer quelles entités peuvent être considérées comme des organisations humanitaires impartiales au sens du DIH. Voir Ferraro T. (2022), « </w:t>
      </w:r>
      <w:hyperlink r:id="rId19" w:history="1">
        <w:r w:rsidRPr="00841A54">
          <w:rPr>
            <w:rStyle w:val="Lienhypertexte"/>
          </w:rPr>
          <w:t xml:space="preserve">International </w:t>
        </w:r>
        <w:proofErr w:type="spellStart"/>
        <w:r w:rsidRPr="00841A54">
          <w:rPr>
            <w:rStyle w:val="Lienhypertexte"/>
          </w:rPr>
          <w:t>humanitarian</w:t>
        </w:r>
        <w:proofErr w:type="spellEnd"/>
        <w:r w:rsidRPr="00841A54">
          <w:rPr>
            <w:rStyle w:val="Lienhypertexte"/>
          </w:rPr>
          <w:t xml:space="preserve"> </w:t>
        </w:r>
        <w:proofErr w:type="spellStart"/>
        <w:r w:rsidRPr="00841A54">
          <w:rPr>
            <w:rStyle w:val="Lienhypertexte"/>
          </w:rPr>
          <w:t>law</w:t>
        </w:r>
        <w:proofErr w:type="spellEnd"/>
        <w:r w:rsidRPr="00841A54">
          <w:rPr>
            <w:rStyle w:val="Lienhypertexte"/>
          </w:rPr>
          <w:t xml:space="preserve">, </w:t>
        </w:r>
        <w:proofErr w:type="spellStart"/>
        <w:r w:rsidRPr="00841A54">
          <w:rPr>
            <w:rStyle w:val="Lienhypertexte"/>
          </w:rPr>
          <w:t>principled</w:t>
        </w:r>
        <w:proofErr w:type="spellEnd"/>
        <w:r w:rsidRPr="00841A54">
          <w:rPr>
            <w:rStyle w:val="Lienhypertexte"/>
          </w:rPr>
          <w:t xml:space="preserve"> </w:t>
        </w:r>
        <w:proofErr w:type="spellStart"/>
        <w:r w:rsidRPr="00841A54">
          <w:rPr>
            <w:rStyle w:val="Lienhypertexte"/>
          </w:rPr>
          <w:t>humanitarian</w:t>
        </w:r>
        <w:proofErr w:type="spellEnd"/>
        <w:r w:rsidRPr="00841A54">
          <w:rPr>
            <w:rStyle w:val="Lienhypertexte"/>
          </w:rPr>
          <w:t xml:space="preserve"> action, </w:t>
        </w:r>
        <w:proofErr w:type="spellStart"/>
        <w:r w:rsidRPr="00841A54">
          <w:rPr>
            <w:rStyle w:val="Lienhypertexte"/>
          </w:rPr>
          <w:t>counterterrorism</w:t>
        </w:r>
        <w:proofErr w:type="spellEnd"/>
        <w:r w:rsidRPr="00841A54">
          <w:rPr>
            <w:rStyle w:val="Lienhypertexte"/>
          </w:rPr>
          <w:t xml:space="preserve"> and </w:t>
        </w:r>
        <w:proofErr w:type="gramStart"/>
        <w:r w:rsidRPr="00841A54">
          <w:rPr>
            <w:rStyle w:val="Lienhypertexte"/>
          </w:rPr>
          <w:t>sanctions:</w:t>
        </w:r>
        <w:proofErr w:type="gramEnd"/>
        <w:r w:rsidRPr="00841A54">
          <w:rPr>
            <w:rStyle w:val="Lienhypertexte"/>
          </w:rPr>
          <w:t xml:space="preserve"> Some perspectives on </w:t>
        </w:r>
        <w:proofErr w:type="spellStart"/>
        <w:r w:rsidRPr="00841A54">
          <w:rPr>
            <w:rStyle w:val="Lienhypertexte"/>
          </w:rPr>
          <w:t>selected</w:t>
        </w:r>
        <w:proofErr w:type="spellEnd"/>
        <w:r w:rsidRPr="00841A54">
          <w:rPr>
            <w:rStyle w:val="Lienhypertexte"/>
          </w:rPr>
          <w:t xml:space="preserve"> issues</w:t>
        </w:r>
      </w:hyperlink>
      <w:r w:rsidRPr="00841A54">
        <w:t> », Revue internationale de la Croix-Rouge (RICR), vol. 103, n</w:t>
      </w:r>
      <w:r w:rsidRPr="00841A54">
        <w:rPr>
          <w:vertAlign w:val="superscript"/>
        </w:rPr>
        <w:t>o</w:t>
      </w:r>
      <w:r w:rsidRPr="00841A54">
        <w:t> 916-917, p. 152-154 (en anglais seulement).</w:t>
      </w:r>
    </w:p>
  </w:footnote>
  <w:footnote w:id="23">
    <w:p w14:paraId="31061F2A"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Voir CICR (2005), </w:t>
      </w:r>
      <w:hyperlink r:id="rId20" w:history="1">
        <w:r w:rsidRPr="00841A54">
          <w:rPr>
            <w:rFonts w:eastAsia="Arial"/>
            <w:szCs w:val="16"/>
          </w:rPr>
          <w:t>Bases de données de Droit international humanitaire – Règles du DIH coutumier</w:t>
        </w:r>
      </w:hyperlink>
      <w:r w:rsidRPr="00841A54">
        <w:rPr>
          <w:rFonts w:eastAsia="Arial"/>
          <w:szCs w:val="16"/>
        </w:rPr>
        <w:t>, Règles 55 et 109 à 117.</w:t>
      </w:r>
    </w:p>
  </w:footnote>
  <w:footnote w:id="24">
    <w:p w14:paraId="52E6610E" w14:textId="77777777" w:rsidR="00421DEB" w:rsidRPr="000D15E7" w:rsidRDefault="00421DEB" w:rsidP="00421DEB">
      <w:pPr>
        <w:pStyle w:val="Notedebasdepage"/>
        <w:rPr>
          <w:lang w:val="es-ES"/>
        </w:rPr>
      </w:pPr>
      <w:r w:rsidRPr="00841A54">
        <w:rPr>
          <w:rStyle w:val="Appelnotedebasdep"/>
        </w:rPr>
        <w:footnoteRef/>
      </w:r>
      <w:r w:rsidRPr="000D15E7">
        <w:rPr>
          <w:lang w:val="es-ES"/>
        </w:rPr>
        <w:t xml:space="preserve"> </w:t>
      </w:r>
      <w:proofErr w:type="spellStart"/>
      <w:r w:rsidRPr="000D15E7">
        <w:rPr>
          <w:lang w:val="es-ES"/>
        </w:rPr>
        <w:t>Voir</w:t>
      </w:r>
      <w:proofErr w:type="spellEnd"/>
      <w:r w:rsidRPr="000D15E7">
        <w:rPr>
          <w:lang w:val="es-ES"/>
        </w:rPr>
        <w:t xml:space="preserve"> Ferraro T. (2022), </w:t>
      </w:r>
      <w:proofErr w:type="spellStart"/>
      <w:r w:rsidRPr="000D15E7">
        <w:rPr>
          <w:lang w:val="es-ES"/>
        </w:rPr>
        <w:t>op</w:t>
      </w:r>
      <w:proofErr w:type="spellEnd"/>
      <w:r w:rsidRPr="000D15E7">
        <w:rPr>
          <w:lang w:val="es-ES"/>
        </w:rPr>
        <w:t>. cit., p. 150-152.</w:t>
      </w:r>
    </w:p>
  </w:footnote>
  <w:footnote w:id="25">
    <w:p w14:paraId="6B2624E8" w14:textId="77777777" w:rsidR="00421DEB" w:rsidRPr="00841A54" w:rsidRDefault="00421DEB" w:rsidP="00421DEB">
      <w:pPr>
        <w:pStyle w:val="Notedebasdepage"/>
        <w:rPr>
          <w:lang w:val="en-GB"/>
        </w:rPr>
      </w:pPr>
      <w:r w:rsidRPr="00841A54">
        <w:rPr>
          <w:rStyle w:val="Appelnotedebasdep"/>
        </w:rPr>
        <w:footnoteRef/>
      </w:r>
      <w:r w:rsidRPr="00841A54">
        <w:rPr>
          <w:rFonts w:eastAsia="Arial"/>
          <w:szCs w:val="16"/>
          <w:lang w:val="en-GB"/>
        </w:rPr>
        <w:t xml:space="preserve"> DECT (2022), </w:t>
      </w:r>
      <w:hyperlink r:id="rId21" w:history="1">
        <w:r w:rsidRPr="00841A54">
          <w:rPr>
            <w:rFonts w:eastAsia="Arial"/>
            <w:szCs w:val="16"/>
            <w:lang w:val="en-GB"/>
          </w:rPr>
          <w:t>The Interrelationship Between Counter-terrorism Frameworks and International Humanitarian Law</w:t>
        </w:r>
      </w:hyperlink>
      <w:r w:rsidRPr="00841A54">
        <w:rPr>
          <w:rFonts w:eastAsia="Arial"/>
          <w:szCs w:val="16"/>
          <w:lang w:val="en-GB"/>
        </w:rPr>
        <w:t>, p. 32 (</w:t>
      </w:r>
      <w:proofErr w:type="spellStart"/>
      <w:r w:rsidRPr="00841A54">
        <w:rPr>
          <w:rFonts w:eastAsia="Arial"/>
          <w:szCs w:val="16"/>
          <w:lang w:val="en-GB"/>
        </w:rPr>
        <w:t>en</w:t>
      </w:r>
      <w:proofErr w:type="spellEnd"/>
      <w:r w:rsidRPr="00841A54">
        <w:rPr>
          <w:rFonts w:eastAsia="Arial"/>
          <w:szCs w:val="16"/>
          <w:lang w:val="en-GB"/>
        </w:rPr>
        <w:t xml:space="preserve"> anglais </w:t>
      </w:r>
      <w:proofErr w:type="spellStart"/>
      <w:r w:rsidRPr="00841A54">
        <w:rPr>
          <w:rFonts w:eastAsia="Arial"/>
          <w:szCs w:val="16"/>
          <w:lang w:val="en-GB"/>
        </w:rPr>
        <w:t>seulement</w:t>
      </w:r>
      <w:proofErr w:type="spellEnd"/>
      <w:r w:rsidRPr="00841A54">
        <w:rPr>
          <w:rFonts w:eastAsia="Arial"/>
          <w:szCs w:val="16"/>
          <w:lang w:val="en-GB"/>
        </w:rPr>
        <w:t>).</w:t>
      </w:r>
    </w:p>
  </w:footnote>
  <w:footnote w:id="26">
    <w:p w14:paraId="3162DBC8"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Voir Commission du droit international (2014), « </w:t>
      </w:r>
      <w:hyperlink r:id="rId22" w:history="1">
        <w:r w:rsidRPr="00841A54">
          <w:rPr>
            <w:rFonts w:eastAsia="Arial"/>
            <w:szCs w:val="16"/>
          </w:rPr>
          <w:t>Rapport final sur l’obligation d’extrader ou de poursuivre (</w:t>
        </w:r>
        <w:proofErr w:type="spellStart"/>
        <w:r w:rsidRPr="00841A54">
          <w:rPr>
            <w:rFonts w:eastAsia="Arial"/>
            <w:szCs w:val="16"/>
          </w:rPr>
          <w:t>aut</w:t>
        </w:r>
        <w:proofErr w:type="spellEnd"/>
        <w:r w:rsidRPr="00841A54">
          <w:rPr>
            <w:rFonts w:eastAsia="Arial"/>
            <w:szCs w:val="16"/>
          </w:rPr>
          <w:t xml:space="preserve"> </w:t>
        </w:r>
        <w:proofErr w:type="spellStart"/>
        <w:r w:rsidRPr="00841A54">
          <w:rPr>
            <w:rFonts w:eastAsia="Arial"/>
            <w:szCs w:val="16"/>
          </w:rPr>
          <w:t>dedere</w:t>
        </w:r>
        <w:proofErr w:type="spellEnd"/>
        <w:r w:rsidRPr="00841A54">
          <w:rPr>
            <w:rFonts w:eastAsia="Arial"/>
            <w:szCs w:val="16"/>
          </w:rPr>
          <w:t xml:space="preserve"> </w:t>
        </w:r>
        <w:proofErr w:type="spellStart"/>
        <w:r w:rsidRPr="00841A54">
          <w:rPr>
            <w:rFonts w:eastAsia="Arial"/>
            <w:szCs w:val="16"/>
          </w:rPr>
          <w:t>aut</w:t>
        </w:r>
        <w:proofErr w:type="spellEnd"/>
        <w:r w:rsidRPr="00841A54">
          <w:rPr>
            <w:rFonts w:eastAsia="Arial"/>
            <w:szCs w:val="16"/>
          </w:rPr>
          <w:t xml:space="preserve"> </w:t>
        </w:r>
        <w:proofErr w:type="spellStart"/>
        <w:r w:rsidRPr="00841A54">
          <w:rPr>
            <w:rFonts w:eastAsia="Arial"/>
            <w:szCs w:val="16"/>
          </w:rPr>
          <w:t>judicare</w:t>
        </w:r>
        <w:proofErr w:type="spellEnd"/>
        <w:r w:rsidRPr="00841A54">
          <w:rPr>
            <w:rFonts w:eastAsia="Arial"/>
            <w:szCs w:val="16"/>
          </w:rPr>
          <w:t>)</w:t>
        </w:r>
      </w:hyperlink>
      <w:r w:rsidRPr="00841A54">
        <w:rPr>
          <w:rFonts w:eastAsia="Arial"/>
          <w:szCs w:val="16"/>
        </w:rPr>
        <w:t>”, Annuaire de la Commission de droit international 2014, Vol. II, Partie 2, p. 91-105, paragraphes 18 et 35.</w:t>
      </w:r>
    </w:p>
  </w:footnote>
  <w:footnote w:id="27">
    <w:p w14:paraId="3896591B" w14:textId="77777777" w:rsidR="00421DEB" w:rsidRPr="00841A54" w:rsidRDefault="00421DEB" w:rsidP="00421DEB">
      <w:pPr>
        <w:pStyle w:val="Notedebasdepage"/>
      </w:pPr>
      <w:r w:rsidRPr="00841A54">
        <w:rPr>
          <w:rStyle w:val="Appelnotedebasdep"/>
        </w:rPr>
        <w:footnoteRef/>
      </w:r>
      <w:r w:rsidRPr="00841A54">
        <w:t xml:space="preserve"> </w:t>
      </w:r>
      <w:hyperlink r:id="rId23" w:history="1">
        <w:r w:rsidRPr="00841A54">
          <w:rPr>
            <w:rStyle w:val="Lienhypertexte"/>
          </w:rPr>
          <w:t>https://www.gov.si/en/registries/projects/mla-initiative/</w:t>
        </w:r>
      </w:hyperlink>
      <w:r w:rsidRPr="00841A54">
        <w:t xml:space="preserve">. </w:t>
      </w:r>
    </w:p>
  </w:footnote>
  <w:footnote w:id="28">
    <w:p w14:paraId="7AE5254A"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Voir </w:t>
      </w:r>
      <w:hyperlink r:id="rId24" w:history="1">
        <w:r w:rsidRPr="00841A54">
          <w:rPr>
            <w:rFonts w:eastAsia="Arial"/>
            <w:szCs w:val="16"/>
          </w:rPr>
          <w:t xml:space="preserve">Joint investigation </w:t>
        </w:r>
        <w:proofErr w:type="gramStart"/>
        <w:r w:rsidRPr="00841A54">
          <w:rPr>
            <w:rFonts w:eastAsia="Arial"/>
            <w:szCs w:val="16"/>
          </w:rPr>
          <w:t>teams</w:t>
        </w:r>
        <w:proofErr w:type="gramEnd"/>
        <w:r w:rsidRPr="00841A54">
          <w:rPr>
            <w:rFonts w:eastAsia="Arial"/>
            <w:szCs w:val="16"/>
          </w:rPr>
          <w:t xml:space="preserve"> | Eurojust | Agence de l’Union européenne pour la coopération judiciaire en matière pénale</w:t>
        </w:r>
      </w:hyperlink>
      <w:r w:rsidRPr="00841A54">
        <w:rPr>
          <w:rFonts w:eastAsia="Arial"/>
          <w:szCs w:val="16"/>
        </w:rPr>
        <w:t xml:space="preserve"> (en anglais seulement).</w:t>
      </w:r>
    </w:p>
  </w:footnote>
  <w:footnote w:id="29">
    <w:p w14:paraId="43D488D6" w14:textId="77777777" w:rsidR="00421DEB" w:rsidRPr="00841A54" w:rsidRDefault="00421DEB" w:rsidP="00421DEB">
      <w:pPr>
        <w:pStyle w:val="Notedebasdepage"/>
        <w:rPr>
          <w:lang w:val="en-GB"/>
        </w:rPr>
      </w:pPr>
      <w:r w:rsidRPr="00841A54">
        <w:rPr>
          <w:rStyle w:val="Appelnotedebasdep"/>
        </w:rPr>
        <w:footnoteRef/>
      </w:r>
      <w:r w:rsidRPr="00841A54">
        <w:rPr>
          <w:rFonts w:eastAsia="Arial"/>
          <w:szCs w:val="16"/>
          <w:lang w:val="en-GB"/>
        </w:rPr>
        <w:t xml:space="preserve"> Voir </w:t>
      </w:r>
      <w:hyperlink r:id="rId25" w:history="1">
        <w:r w:rsidRPr="00841A54">
          <w:rPr>
            <w:rFonts w:eastAsia="Arial"/>
            <w:szCs w:val="16"/>
            <w:lang w:val="en-GB"/>
          </w:rPr>
          <w:t>Services and support - A full range of crime-fighting tools and methods | Europol</w:t>
        </w:r>
      </w:hyperlink>
      <w:r w:rsidRPr="00841A54">
        <w:rPr>
          <w:rFonts w:eastAsia="Arial"/>
          <w:szCs w:val="16"/>
          <w:lang w:val="en-GB"/>
        </w:rPr>
        <w:t xml:space="preserve"> (</w:t>
      </w:r>
      <w:proofErr w:type="spellStart"/>
      <w:r w:rsidRPr="00841A54">
        <w:rPr>
          <w:rFonts w:eastAsia="Arial"/>
          <w:szCs w:val="16"/>
          <w:lang w:val="en-GB"/>
        </w:rPr>
        <w:t>en</w:t>
      </w:r>
      <w:proofErr w:type="spellEnd"/>
      <w:r w:rsidRPr="00841A54">
        <w:rPr>
          <w:rFonts w:eastAsia="Arial"/>
          <w:szCs w:val="16"/>
          <w:lang w:val="en-GB"/>
        </w:rPr>
        <w:t xml:space="preserve"> anglais </w:t>
      </w:r>
      <w:proofErr w:type="spellStart"/>
      <w:r w:rsidRPr="00841A54">
        <w:rPr>
          <w:rFonts w:eastAsia="Arial"/>
          <w:szCs w:val="16"/>
          <w:lang w:val="en-GB"/>
        </w:rPr>
        <w:t>seulement</w:t>
      </w:r>
      <w:proofErr w:type="spellEnd"/>
      <w:r w:rsidRPr="00841A54">
        <w:rPr>
          <w:rFonts w:eastAsia="Arial"/>
          <w:szCs w:val="16"/>
          <w:lang w:val="en-GB"/>
        </w:rPr>
        <w:t>).</w:t>
      </w:r>
    </w:p>
  </w:footnote>
  <w:footnote w:id="30">
    <w:p w14:paraId="4B924472" w14:textId="77777777" w:rsidR="00421DEB" w:rsidRPr="00841A54" w:rsidRDefault="00421DEB" w:rsidP="00421DEB">
      <w:pPr>
        <w:pStyle w:val="Notedebasdepage"/>
      </w:pPr>
      <w:r w:rsidRPr="00841A54">
        <w:rPr>
          <w:rStyle w:val="Appelnotedebasdep"/>
        </w:rPr>
        <w:footnoteRef/>
      </w:r>
      <w:r w:rsidRPr="00841A54">
        <w:t xml:space="preserve"> </w:t>
      </w:r>
      <w:hyperlink r:id="rId26" w:history="1">
        <w:r w:rsidRPr="00841A54">
          <w:rPr>
            <w:rStyle w:val="Lienhypertexte"/>
          </w:rPr>
          <w:t>R</w:t>
        </w:r>
        <w:r w:rsidRPr="00841A54">
          <w:rPr>
            <w:rStyle w:val="Lienhypertexte"/>
            <w:rFonts w:eastAsia="Arial"/>
            <w:szCs w:val="16"/>
          </w:rPr>
          <w:t>é</w:t>
        </w:r>
        <w:r w:rsidRPr="00841A54">
          <w:rPr>
            <w:rStyle w:val="Lienhypertexte"/>
          </w:rPr>
          <w:t>solution 79/243 (2024)</w:t>
        </w:r>
      </w:hyperlink>
      <w:r w:rsidRPr="00841A54">
        <w:t xml:space="preserve"> de l’Assemblée générale des Nations Unies.</w:t>
      </w:r>
    </w:p>
  </w:footnote>
  <w:footnote w:id="31">
    <w:p w14:paraId="4558A6ED" w14:textId="77777777" w:rsidR="00421DEB" w:rsidRPr="00841A54" w:rsidRDefault="00421DEB" w:rsidP="00421DEB">
      <w:pPr>
        <w:pStyle w:val="Notedebasdepage"/>
      </w:pPr>
      <w:r w:rsidRPr="00841A54">
        <w:rPr>
          <w:rStyle w:val="Appelnotedebasdep"/>
          <w:rFonts w:cs="Arial"/>
          <w:szCs w:val="16"/>
        </w:rPr>
        <w:footnoteRef/>
      </w:r>
      <w:r w:rsidRPr="00841A54">
        <w:rPr>
          <w:rFonts w:eastAsia="Arial"/>
          <w:szCs w:val="16"/>
        </w:rPr>
        <w:t xml:space="preserve"> Voir le Mécanisme international, impartial et indépendant a été créé par la Résolution A/71/248 de l’Assemblée générale des Nations Unies pour faciliter les enquêtes sur les violations les plus graves du droit international commises en Syrie depuis mars 2011 et aider à juger les personnes qui en sont responsables (</w:t>
      </w:r>
      <w:hyperlink r:id="rId27" w:history="1">
        <w:r w:rsidRPr="00841A54">
          <w:rPr>
            <w:rFonts w:eastAsia="Arial" w:cs="Arial"/>
            <w:szCs w:val="16"/>
          </w:rPr>
          <w:t>IIIM</w:t>
        </w:r>
      </w:hyperlink>
      <w:r w:rsidRPr="00841A54">
        <w:t>)</w:t>
      </w:r>
      <w:r w:rsidRPr="00841A54">
        <w:rPr>
          <w:rFonts w:eastAsia="Arial"/>
          <w:szCs w:val="16"/>
        </w:rPr>
        <w:t>.</w:t>
      </w:r>
    </w:p>
  </w:footnote>
  <w:footnote w:id="32">
    <w:p w14:paraId="75089FF2"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Voir </w:t>
      </w:r>
      <w:hyperlink r:id="rId28" w:history="1">
        <w:proofErr w:type="spellStart"/>
        <w:r w:rsidRPr="00841A54">
          <w:rPr>
            <w:rFonts w:eastAsia="Arial"/>
            <w:szCs w:val="16"/>
          </w:rPr>
          <w:t>Core</w:t>
        </w:r>
        <w:proofErr w:type="spellEnd"/>
        <w:r w:rsidRPr="00841A54">
          <w:rPr>
            <w:rFonts w:eastAsia="Arial"/>
            <w:szCs w:val="16"/>
          </w:rPr>
          <w:t xml:space="preserve"> International Crimes Evidence </w:t>
        </w:r>
        <w:proofErr w:type="spellStart"/>
        <w:r w:rsidRPr="00841A54">
          <w:rPr>
            <w:rFonts w:eastAsia="Arial"/>
            <w:szCs w:val="16"/>
          </w:rPr>
          <w:t>Database</w:t>
        </w:r>
        <w:proofErr w:type="spellEnd"/>
        <w:r w:rsidRPr="00841A54">
          <w:rPr>
            <w:rFonts w:eastAsia="Arial"/>
            <w:szCs w:val="16"/>
          </w:rPr>
          <w:t xml:space="preserve"> | Eurojust | Agence de l’Union européenne pour la coopération judiciaire en matière pénale</w:t>
        </w:r>
      </w:hyperlink>
      <w:r w:rsidRPr="00841A54">
        <w:rPr>
          <w:rFonts w:eastAsia="Arial"/>
          <w:szCs w:val="16"/>
        </w:rPr>
        <w:t xml:space="preserve"> (en anglais seulement). Voir aussi le </w:t>
      </w:r>
      <w:hyperlink r:id="rId29" w:history="1">
        <w:r w:rsidRPr="00841A54">
          <w:rPr>
            <w:rFonts w:eastAsia="Arial"/>
            <w:szCs w:val="16"/>
          </w:rPr>
          <w:t>Règlement (UE) 2022/838</w:t>
        </w:r>
      </w:hyperlink>
      <w:r w:rsidRPr="00841A54">
        <w:rPr>
          <w:rFonts w:eastAsia="Arial"/>
          <w:szCs w:val="16"/>
        </w:rPr>
        <w:t xml:space="preserve"> du Parlement européen et du Conseil du 30 mai 2022 modifiant le règlement (UE) 2018/1727 en ce qui concerne la préservation, l’analyse et la conservation, au sein d’Eurojust, des éléments de preuve relatifs aux génocides, aux crimes contre l’humanité, aux crimes de guerre et aux infractions pénales connexes. </w:t>
      </w:r>
    </w:p>
  </w:footnote>
  <w:footnote w:id="33">
    <w:p w14:paraId="66ECFC8D" w14:textId="77777777" w:rsidR="00421DEB" w:rsidRPr="00841A54" w:rsidRDefault="00421DEB" w:rsidP="00421DEB">
      <w:pPr>
        <w:pStyle w:val="Notedebasdepage"/>
      </w:pPr>
      <w:r w:rsidRPr="00841A54">
        <w:rPr>
          <w:rStyle w:val="Appelnotedebasdep"/>
        </w:rPr>
        <w:footnoteRef/>
      </w:r>
      <w:r w:rsidRPr="00841A54">
        <w:rPr>
          <w:rFonts w:eastAsia="Arial"/>
          <w:szCs w:val="16"/>
        </w:rPr>
        <w:t xml:space="preserve"> Voir le </w:t>
      </w:r>
      <w:hyperlink r:id="rId30" w:history="1">
        <w:r w:rsidRPr="00841A54">
          <w:rPr>
            <w:rFonts w:eastAsia="Arial"/>
            <w:szCs w:val="16"/>
          </w:rPr>
          <w:t>Règlement (UE) 2023/2131</w:t>
        </w:r>
      </w:hyperlink>
      <w:r w:rsidRPr="00841A54">
        <w:rPr>
          <w:rFonts w:eastAsia="Arial"/>
          <w:szCs w:val="16"/>
        </w:rPr>
        <w:t xml:space="preserve"> du Parlement européen et du Conseil du 4 octobre 2023 modifiant le règlement (UE) 2018/1727 du Parlement européen et du Conseil et la décision 2005/671/JAI du Conseil en ce qui concerne l’échange d’informations numériques dans les affaires de terrorisme.</w:t>
      </w:r>
    </w:p>
  </w:footnote>
  <w:footnote w:id="34">
    <w:p w14:paraId="2CA18DF5" w14:textId="77777777" w:rsidR="00421DEB" w:rsidRPr="00841A54" w:rsidRDefault="00421DEB" w:rsidP="00421DEB">
      <w:pPr>
        <w:pStyle w:val="Notedebasdepage"/>
        <w:rPr>
          <w:lang w:val="en-US"/>
        </w:rPr>
      </w:pPr>
      <w:r w:rsidRPr="00841A54">
        <w:rPr>
          <w:rStyle w:val="Appelnotedebasdep"/>
        </w:rPr>
        <w:footnoteRef/>
      </w:r>
      <w:r w:rsidRPr="00841A54">
        <w:t xml:space="preserve"> </w:t>
      </w:r>
      <w:r w:rsidRPr="00841A54">
        <w:rPr>
          <w:lang w:val="en-US"/>
        </w:rPr>
        <w:t xml:space="preserve">Voir </w:t>
      </w:r>
      <w:hyperlink r:id="rId31" w:history="1">
        <w:proofErr w:type="spellStart"/>
        <w:r w:rsidRPr="00841A54">
          <w:rPr>
            <w:rStyle w:val="Lienhypertexte"/>
          </w:rPr>
          <w:t>Genocide</w:t>
        </w:r>
        <w:proofErr w:type="spellEnd"/>
        <w:r w:rsidRPr="00841A54">
          <w:rPr>
            <w:rStyle w:val="Lienhypertexte"/>
          </w:rPr>
          <w:t xml:space="preserve"> </w:t>
        </w:r>
        <w:proofErr w:type="spellStart"/>
        <w:r w:rsidRPr="00841A54">
          <w:rPr>
            <w:rStyle w:val="Lienhypertexte"/>
          </w:rPr>
          <w:t>Prosecution</w:t>
        </w:r>
        <w:proofErr w:type="spellEnd"/>
        <w:r w:rsidRPr="00841A54">
          <w:rPr>
            <w:rStyle w:val="Lienhypertexte"/>
          </w:rPr>
          <w:t xml:space="preserve"> Network | Eurojust | </w:t>
        </w:r>
        <w:proofErr w:type="spellStart"/>
        <w:r w:rsidRPr="00841A54">
          <w:rPr>
            <w:rStyle w:val="Lienhypertexte"/>
          </w:rPr>
          <w:t>European</w:t>
        </w:r>
        <w:proofErr w:type="spellEnd"/>
        <w:r w:rsidRPr="00841A54">
          <w:rPr>
            <w:rStyle w:val="Lienhypertexte"/>
          </w:rPr>
          <w:t xml:space="preserve"> Union Agency for Criminal Justice </w:t>
        </w:r>
        <w:proofErr w:type="spellStart"/>
        <w:r w:rsidRPr="00841A54">
          <w:rPr>
            <w:rStyle w:val="Lienhypertexte"/>
          </w:rPr>
          <w:t>Cooperation</w:t>
        </w:r>
        <w:proofErr w:type="spellEnd"/>
      </w:hyperlink>
      <w:r w:rsidRPr="00841A54">
        <w:rPr>
          <w:lang w:val="en-US"/>
        </w:rPr>
        <w:t xml:space="preserve"> (</w:t>
      </w:r>
      <w:proofErr w:type="spellStart"/>
      <w:r w:rsidRPr="00841A54">
        <w:rPr>
          <w:lang w:val="en-US"/>
        </w:rPr>
        <w:t>en</w:t>
      </w:r>
      <w:proofErr w:type="spellEnd"/>
      <w:r w:rsidRPr="00841A54">
        <w:rPr>
          <w:lang w:val="en-US"/>
        </w:rPr>
        <w:t xml:space="preserve"> anglais </w:t>
      </w:r>
      <w:proofErr w:type="spellStart"/>
      <w:r w:rsidRPr="00841A54">
        <w:rPr>
          <w:lang w:val="en-US"/>
        </w:rPr>
        <w:t>seulement</w:t>
      </w:r>
      <w:proofErr w:type="spellEnd"/>
      <w:r w:rsidRPr="00841A54">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4CCB" w14:textId="6F8F9768" w:rsidR="00E24C57" w:rsidRPr="00491E67" w:rsidRDefault="009342FF" w:rsidP="00491E67">
    <w:pPr>
      <w:pStyle w:val="En-tte"/>
    </w:pPr>
    <w:proofErr w:type="gramStart"/>
    <w:r w:rsidRPr="00491E67">
      <w:t>CM(</w:t>
    </w:r>
    <w:proofErr w:type="gramEnd"/>
    <w:r w:rsidR="00BF1736">
      <w:t>20</w:t>
    </w:r>
    <w:r w:rsidR="001D3B8E">
      <w:t>26</w:t>
    </w:r>
    <w:r w:rsidRPr="00491E67">
      <w:t>)</w:t>
    </w:r>
    <w:r w:rsidR="001D3B8E">
      <w:t>1</w:t>
    </w:r>
    <w:r w:rsidR="00A44E46">
      <w:t>31</w:t>
    </w:r>
    <w:r w:rsidR="005811BC">
      <w:t>-add</w:t>
    </w:r>
    <w:r w:rsidR="00421DEB">
      <w:t>2</w:t>
    </w:r>
    <w:r w:rsidR="007573BA">
      <w:t>final</w:t>
    </w:r>
    <w:r w:rsidR="00E15639" w:rsidRPr="00491E67">
      <w:tab/>
    </w:r>
    <w:r w:rsidR="00E15639" w:rsidRPr="00491E67">
      <w:fldChar w:fldCharType="begin"/>
    </w:r>
    <w:r w:rsidR="00E15639" w:rsidRPr="00491E67">
      <w:instrText xml:space="preserve"> PAGE  \* Arabic  \* MERGEFORMAT </w:instrText>
    </w:r>
    <w:r w:rsidR="00E15639" w:rsidRPr="00491E67">
      <w:fldChar w:fldCharType="separate"/>
    </w:r>
    <w:r w:rsidR="000B5C6D">
      <w:rPr>
        <w:noProof/>
      </w:rPr>
      <w:t>2</w:t>
    </w:r>
    <w:r w:rsidR="00E15639" w:rsidRPr="00491E6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372C1" w14:textId="3133F416" w:rsidR="00E24C57" w:rsidRPr="00491E67" w:rsidRDefault="00E15639" w:rsidP="00491E67">
    <w:pPr>
      <w:pStyle w:val="En-tte"/>
    </w:pPr>
    <w:r w:rsidRPr="00491E67">
      <w:tab/>
    </w:r>
    <w:r w:rsidRPr="00491E67">
      <w:fldChar w:fldCharType="begin"/>
    </w:r>
    <w:r w:rsidRPr="00491E67">
      <w:instrText xml:space="preserve"> PAGE  \* Arabic  \* MERGEFORMAT </w:instrText>
    </w:r>
    <w:r w:rsidRPr="00491E67">
      <w:fldChar w:fldCharType="separate"/>
    </w:r>
    <w:r w:rsidR="000B5C6D">
      <w:rPr>
        <w:noProof/>
      </w:rPr>
      <w:t>3</w:t>
    </w:r>
    <w:r w:rsidRPr="00491E67">
      <w:fldChar w:fldCharType="end"/>
    </w:r>
    <w:r w:rsidR="00E475F9" w:rsidRPr="00491E67">
      <w:tab/>
    </w:r>
    <w:proofErr w:type="gramStart"/>
    <w:r w:rsidR="009342FF" w:rsidRPr="00491E67">
      <w:t>CM(</w:t>
    </w:r>
    <w:proofErr w:type="gramEnd"/>
    <w:r w:rsidR="00BF1736">
      <w:t>20</w:t>
    </w:r>
    <w:r w:rsidR="00FF5E2C">
      <w:t>26</w:t>
    </w:r>
    <w:r w:rsidR="009342FF" w:rsidRPr="00491E67">
      <w:t>)</w:t>
    </w:r>
    <w:r w:rsidR="00FF5E2C">
      <w:t>1</w:t>
    </w:r>
    <w:r w:rsidR="00A44E46">
      <w:t>31</w:t>
    </w:r>
    <w:r w:rsidR="005811BC">
      <w:t>-add</w:t>
    </w:r>
    <w:r w:rsidR="00421DEB">
      <w:t>2</w:t>
    </w:r>
    <w:r w:rsidR="007573BA">
      <w:t>final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88F4F" w14:textId="77777777" w:rsidR="00135BDB" w:rsidRDefault="00770642" w:rsidP="00123CDD">
    <w:pPr>
      <w:pStyle w:val="En-tte"/>
      <w:spacing w:after="2280"/>
    </w:pPr>
    <w:r>
      <w:rPr>
        <w:noProof/>
      </w:rPr>
      <w:drawing>
        <wp:anchor distT="0" distB="0" distL="114300" distR="114300" simplePos="0" relativeHeight="251659264" behindDoc="1" locked="0" layoutInCell="0" allowOverlap="0" wp14:anchorId="24A944AA" wp14:editId="0CBBFEFC">
          <wp:simplePos x="0" y="0"/>
          <wp:positionH relativeFrom="page">
            <wp:posOffset>306</wp:posOffset>
          </wp:positionH>
          <wp:positionV relativeFrom="page">
            <wp:posOffset>0</wp:posOffset>
          </wp:positionV>
          <wp:extent cx="7548587" cy="10677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ColourLogo.png"/>
                  <pic:cNvPicPr/>
                </pic:nvPicPr>
                <pic:blipFill>
                  <a:blip r:embed="rId1">
                    <a:extLst>
                      <a:ext uri="{28A0092B-C50C-407E-A947-70E740481C1C}">
                        <a14:useLocalDpi xmlns:a14="http://schemas.microsoft.com/office/drawing/2010/main" val="0"/>
                      </a:ext>
                    </a:extLst>
                  </a:blip>
                  <a:stretch>
                    <a:fillRect/>
                  </a:stretch>
                </pic:blipFill>
                <pic:spPr>
                  <a:xfrm>
                    <a:off x="0" y="0"/>
                    <a:ext cx="7548587" cy="10677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0E60"/>
    <w:multiLevelType w:val="hybridMultilevel"/>
    <w:tmpl w:val="8DCA1E30"/>
    <w:lvl w:ilvl="0" w:tplc="A2C4C040">
      <w:start w:val="24"/>
      <w:numFmt w:val="decimal"/>
      <w:lvlText w:val="%1."/>
      <w:lvlJc w:val="left"/>
      <w:pPr>
        <w:ind w:left="720" w:hanging="360"/>
      </w:pPr>
      <w:rPr>
        <w:rFonts w:hint="default"/>
      </w:rPr>
    </w:lvl>
    <w:lvl w:ilvl="1" w:tplc="10A4C964" w:tentative="1">
      <w:start w:val="1"/>
      <w:numFmt w:val="lowerLetter"/>
      <w:lvlText w:val="%2."/>
      <w:lvlJc w:val="left"/>
      <w:pPr>
        <w:ind w:left="1440" w:hanging="360"/>
      </w:pPr>
    </w:lvl>
    <w:lvl w:ilvl="2" w:tplc="75D046DC" w:tentative="1">
      <w:start w:val="1"/>
      <w:numFmt w:val="lowerRoman"/>
      <w:lvlText w:val="%3."/>
      <w:lvlJc w:val="right"/>
      <w:pPr>
        <w:ind w:left="2160" w:hanging="180"/>
      </w:pPr>
    </w:lvl>
    <w:lvl w:ilvl="3" w:tplc="CEC024D6" w:tentative="1">
      <w:start w:val="1"/>
      <w:numFmt w:val="decimal"/>
      <w:lvlText w:val="%4."/>
      <w:lvlJc w:val="left"/>
      <w:pPr>
        <w:ind w:left="2880" w:hanging="360"/>
      </w:pPr>
    </w:lvl>
    <w:lvl w:ilvl="4" w:tplc="A7482958" w:tentative="1">
      <w:start w:val="1"/>
      <w:numFmt w:val="lowerLetter"/>
      <w:lvlText w:val="%5."/>
      <w:lvlJc w:val="left"/>
      <w:pPr>
        <w:ind w:left="3600" w:hanging="360"/>
      </w:pPr>
    </w:lvl>
    <w:lvl w:ilvl="5" w:tplc="6CE05142" w:tentative="1">
      <w:start w:val="1"/>
      <w:numFmt w:val="lowerRoman"/>
      <w:lvlText w:val="%6."/>
      <w:lvlJc w:val="right"/>
      <w:pPr>
        <w:ind w:left="4320" w:hanging="180"/>
      </w:pPr>
    </w:lvl>
    <w:lvl w:ilvl="6" w:tplc="DBF277D0" w:tentative="1">
      <w:start w:val="1"/>
      <w:numFmt w:val="decimal"/>
      <w:lvlText w:val="%7."/>
      <w:lvlJc w:val="left"/>
      <w:pPr>
        <w:ind w:left="5040" w:hanging="360"/>
      </w:pPr>
    </w:lvl>
    <w:lvl w:ilvl="7" w:tplc="EA02E924" w:tentative="1">
      <w:start w:val="1"/>
      <w:numFmt w:val="lowerLetter"/>
      <w:lvlText w:val="%8."/>
      <w:lvlJc w:val="left"/>
      <w:pPr>
        <w:ind w:left="5760" w:hanging="360"/>
      </w:pPr>
    </w:lvl>
    <w:lvl w:ilvl="8" w:tplc="8D183FA6" w:tentative="1">
      <w:start w:val="1"/>
      <w:numFmt w:val="lowerRoman"/>
      <w:lvlText w:val="%9."/>
      <w:lvlJc w:val="right"/>
      <w:pPr>
        <w:ind w:left="6480" w:hanging="180"/>
      </w:pPr>
    </w:lvl>
  </w:abstractNum>
  <w:abstractNum w:abstractNumId="1" w15:restartNumberingAfterBreak="0">
    <w:nsid w:val="10990103"/>
    <w:multiLevelType w:val="hybridMultilevel"/>
    <w:tmpl w:val="2042EF78"/>
    <w:lvl w:ilvl="0" w:tplc="AD2E4340">
      <w:start w:val="1"/>
      <w:numFmt w:val="decimal"/>
      <w:lvlText w:val="%1."/>
      <w:lvlJc w:val="left"/>
      <w:pPr>
        <w:ind w:left="0" w:firstLine="0"/>
      </w:pPr>
      <w:rPr>
        <w:rFonts w:hint="default"/>
      </w:rPr>
    </w:lvl>
    <w:lvl w:ilvl="1" w:tplc="6E82CF8A" w:tentative="1">
      <w:start w:val="1"/>
      <w:numFmt w:val="lowerLetter"/>
      <w:lvlText w:val="%2."/>
      <w:lvlJc w:val="left"/>
      <w:pPr>
        <w:ind w:left="1440" w:hanging="360"/>
      </w:pPr>
    </w:lvl>
    <w:lvl w:ilvl="2" w:tplc="988CC94E" w:tentative="1">
      <w:start w:val="1"/>
      <w:numFmt w:val="lowerRoman"/>
      <w:lvlText w:val="%3."/>
      <w:lvlJc w:val="right"/>
      <w:pPr>
        <w:ind w:left="2160" w:hanging="180"/>
      </w:pPr>
    </w:lvl>
    <w:lvl w:ilvl="3" w:tplc="69B6DE6E" w:tentative="1">
      <w:start w:val="1"/>
      <w:numFmt w:val="decimal"/>
      <w:lvlText w:val="%4."/>
      <w:lvlJc w:val="left"/>
      <w:pPr>
        <w:ind w:left="2880" w:hanging="360"/>
      </w:pPr>
    </w:lvl>
    <w:lvl w:ilvl="4" w:tplc="D2B04DD0" w:tentative="1">
      <w:start w:val="1"/>
      <w:numFmt w:val="lowerLetter"/>
      <w:lvlText w:val="%5."/>
      <w:lvlJc w:val="left"/>
      <w:pPr>
        <w:ind w:left="3600" w:hanging="360"/>
      </w:pPr>
    </w:lvl>
    <w:lvl w:ilvl="5" w:tplc="BE1481A8" w:tentative="1">
      <w:start w:val="1"/>
      <w:numFmt w:val="lowerRoman"/>
      <w:lvlText w:val="%6."/>
      <w:lvlJc w:val="right"/>
      <w:pPr>
        <w:ind w:left="4320" w:hanging="180"/>
      </w:pPr>
    </w:lvl>
    <w:lvl w:ilvl="6" w:tplc="829617B6" w:tentative="1">
      <w:start w:val="1"/>
      <w:numFmt w:val="decimal"/>
      <w:lvlText w:val="%7."/>
      <w:lvlJc w:val="left"/>
      <w:pPr>
        <w:ind w:left="5040" w:hanging="360"/>
      </w:pPr>
    </w:lvl>
    <w:lvl w:ilvl="7" w:tplc="E33C2ED0" w:tentative="1">
      <w:start w:val="1"/>
      <w:numFmt w:val="lowerLetter"/>
      <w:lvlText w:val="%8."/>
      <w:lvlJc w:val="left"/>
      <w:pPr>
        <w:ind w:left="5760" w:hanging="360"/>
      </w:pPr>
    </w:lvl>
    <w:lvl w:ilvl="8" w:tplc="4C909F5A" w:tentative="1">
      <w:start w:val="1"/>
      <w:numFmt w:val="lowerRoman"/>
      <w:lvlText w:val="%9."/>
      <w:lvlJc w:val="right"/>
      <w:pPr>
        <w:ind w:left="6480" w:hanging="180"/>
      </w:pPr>
    </w:lvl>
  </w:abstractNum>
  <w:abstractNum w:abstractNumId="2" w15:restartNumberingAfterBreak="0">
    <w:nsid w:val="14F11523"/>
    <w:multiLevelType w:val="hybridMultilevel"/>
    <w:tmpl w:val="D10A18A4"/>
    <w:lvl w:ilvl="0" w:tplc="174E9302">
      <w:start w:val="1"/>
      <w:numFmt w:val="decimal"/>
      <w:lvlText w:val="%1."/>
      <w:lvlJc w:val="left"/>
      <w:pPr>
        <w:ind w:left="720" w:hanging="360"/>
      </w:pPr>
      <w:rPr>
        <w:rFonts w:hint="default"/>
      </w:rPr>
    </w:lvl>
    <w:lvl w:ilvl="1" w:tplc="55A05030" w:tentative="1">
      <w:start w:val="1"/>
      <w:numFmt w:val="lowerLetter"/>
      <w:lvlText w:val="%2."/>
      <w:lvlJc w:val="left"/>
      <w:pPr>
        <w:ind w:left="1440" w:hanging="360"/>
      </w:pPr>
    </w:lvl>
    <w:lvl w:ilvl="2" w:tplc="DA5A38B4" w:tentative="1">
      <w:start w:val="1"/>
      <w:numFmt w:val="lowerRoman"/>
      <w:lvlText w:val="%3."/>
      <w:lvlJc w:val="right"/>
      <w:pPr>
        <w:ind w:left="2160" w:hanging="180"/>
      </w:pPr>
    </w:lvl>
    <w:lvl w:ilvl="3" w:tplc="AAE6B2EC" w:tentative="1">
      <w:start w:val="1"/>
      <w:numFmt w:val="decimal"/>
      <w:lvlText w:val="%4."/>
      <w:lvlJc w:val="left"/>
      <w:pPr>
        <w:ind w:left="2880" w:hanging="360"/>
      </w:pPr>
    </w:lvl>
    <w:lvl w:ilvl="4" w:tplc="BB8ED37C" w:tentative="1">
      <w:start w:val="1"/>
      <w:numFmt w:val="lowerLetter"/>
      <w:lvlText w:val="%5."/>
      <w:lvlJc w:val="left"/>
      <w:pPr>
        <w:ind w:left="3600" w:hanging="360"/>
      </w:pPr>
    </w:lvl>
    <w:lvl w:ilvl="5" w:tplc="C548EEF2" w:tentative="1">
      <w:start w:val="1"/>
      <w:numFmt w:val="lowerRoman"/>
      <w:lvlText w:val="%6."/>
      <w:lvlJc w:val="right"/>
      <w:pPr>
        <w:ind w:left="4320" w:hanging="180"/>
      </w:pPr>
    </w:lvl>
    <w:lvl w:ilvl="6" w:tplc="5E6A813C" w:tentative="1">
      <w:start w:val="1"/>
      <w:numFmt w:val="decimal"/>
      <w:lvlText w:val="%7."/>
      <w:lvlJc w:val="left"/>
      <w:pPr>
        <w:ind w:left="5040" w:hanging="360"/>
      </w:pPr>
    </w:lvl>
    <w:lvl w:ilvl="7" w:tplc="63540E12" w:tentative="1">
      <w:start w:val="1"/>
      <w:numFmt w:val="lowerLetter"/>
      <w:lvlText w:val="%8."/>
      <w:lvlJc w:val="left"/>
      <w:pPr>
        <w:ind w:left="5760" w:hanging="360"/>
      </w:pPr>
    </w:lvl>
    <w:lvl w:ilvl="8" w:tplc="054482DC" w:tentative="1">
      <w:start w:val="1"/>
      <w:numFmt w:val="lowerRoman"/>
      <w:lvlText w:val="%9."/>
      <w:lvlJc w:val="right"/>
      <w:pPr>
        <w:ind w:left="6480" w:hanging="180"/>
      </w:pPr>
    </w:lvl>
  </w:abstractNum>
  <w:abstractNum w:abstractNumId="3" w15:restartNumberingAfterBreak="0">
    <w:nsid w:val="19C9682C"/>
    <w:multiLevelType w:val="hybridMultilevel"/>
    <w:tmpl w:val="8564C176"/>
    <w:lvl w:ilvl="0" w:tplc="F1EED262">
      <w:start w:val="1"/>
      <w:numFmt w:val="decimal"/>
      <w:lvlText w:val="%1."/>
      <w:lvlJc w:val="left"/>
      <w:pPr>
        <w:ind w:left="1065" w:hanging="705"/>
      </w:pPr>
      <w:rPr>
        <w:rFonts w:hint="default"/>
      </w:rPr>
    </w:lvl>
    <w:lvl w:ilvl="1" w:tplc="BB1CC14E" w:tentative="1">
      <w:start w:val="1"/>
      <w:numFmt w:val="lowerLetter"/>
      <w:lvlText w:val="%2."/>
      <w:lvlJc w:val="left"/>
      <w:pPr>
        <w:ind w:left="1440" w:hanging="360"/>
      </w:pPr>
    </w:lvl>
    <w:lvl w:ilvl="2" w:tplc="7BA877C6" w:tentative="1">
      <w:start w:val="1"/>
      <w:numFmt w:val="lowerRoman"/>
      <w:lvlText w:val="%3."/>
      <w:lvlJc w:val="right"/>
      <w:pPr>
        <w:ind w:left="2160" w:hanging="180"/>
      </w:pPr>
    </w:lvl>
    <w:lvl w:ilvl="3" w:tplc="8D10363A" w:tentative="1">
      <w:start w:val="1"/>
      <w:numFmt w:val="decimal"/>
      <w:lvlText w:val="%4."/>
      <w:lvlJc w:val="left"/>
      <w:pPr>
        <w:ind w:left="2880" w:hanging="360"/>
      </w:pPr>
    </w:lvl>
    <w:lvl w:ilvl="4" w:tplc="DD7467D0" w:tentative="1">
      <w:start w:val="1"/>
      <w:numFmt w:val="lowerLetter"/>
      <w:lvlText w:val="%5."/>
      <w:lvlJc w:val="left"/>
      <w:pPr>
        <w:ind w:left="3600" w:hanging="360"/>
      </w:pPr>
    </w:lvl>
    <w:lvl w:ilvl="5" w:tplc="202C882A" w:tentative="1">
      <w:start w:val="1"/>
      <w:numFmt w:val="lowerRoman"/>
      <w:lvlText w:val="%6."/>
      <w:lvlJc w:val="right"/>
      <w:pPr>
        <w:ind w:left="4320" w:hanging="180"/>
      </w:pPr>
    </w:lvl>
    <w:lvl w:ilvl="6" w:tplc="2B826D48" w:tentative="1">
      <w:start w:val="1"/>
      <w:numFmt w:val="decimal"/>
      <w:lvlText w:val="%7."/>
      <w:lvlJc w:val="left"/>
      <w:pPr>
        <w:ind w:left="5040" w:hanging="360"/>
      </w:pPr>
    </w:lvl>
    <w:lvl w:ilvl="7" w:tplc="CFA8F422" w:tentative="1">
      <w:start w:val="1"/>
      <w:numFmt w:val="lowerLetter"/>
      <w:lvlText w:val="%8."/>
      <w:lvlJc w:val="left"/>
      <w:pPr>
        <w:ind w:left="5760" w:hanging="360"/>
      </w:pPr>
    </w:lvl>
    <w:lvl w:ilvl="8" w:tplc="83A85D88" w:tentative="1">
      <w:start w:val="1"/>
      <w:numFmt w:val="lowerRoman"/>
      <w:lvlText w:val="%9."/>
      <w:lvlJc w:val="right"/>
      <w:pPr>
        <w:ind w:left="6480" w:hanging="180"/>
      </w:pPr>
    </w:lvl>
  </w:abstractNum>
  <w:abstractNum w:abstractNumId="4" w15:restartNumberingAfterBreak="0">
    <w:nsid w:val="1BB70220"/>
    <w:multiLevelType w:val="hybridMultilevel"/>
    <w:tmpl w:val="C19E6218"/>
    <w:lvl w:ilvl="0" w:tplc="8BC6BC02">
      <w:start w:val="32"/>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C2A1CD4"/>
    <w:multiLevelType w:val="hybridMultilevel"/>
    <w:tmpl w:val="A99C68F6"/>
    <w:lvl w:ilvl="0" w:tplc="F43C326C">
      <w:start w:val="4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552532"/>
    <w:multiLevelType w:val="hybridMultilevel"/>
    <w:tmpl w:val="317CDBE4"/>
    <w:lvl w:ilvl="0" w:tplc="295E75EE">
      <w:start w:val="1"/>
      <w:numFmt w:val="bullet"/>
      <w:lvlText w:val=""/>
      <w:lvlJc w:val="left"/>
      <w:pPr>
        <w:ind w:left="720" w:hanging="360"/>
      </w:pPr>
      <w:rPr>
        <w:rFonts w:ascii="Symbol" w:hAnsi="Symbol" w:hint="default"/>
      </w:rPr>
    </w:lvl>
    <w:lvl w:ilvl="1" w:tplc="90BC1830" w:tentative="1">
      <w:start w:val="1"/>
      <w:numFmt w:val="bullet"/>
      <w:lvlText w:val="o"/>
      <w:lvlJc w:val="left"/>
      <w:pPr>
        <w:ind w:left="1440" w:hanging="360"/>
      </w:pPr>
      <w:rPr>
        <w:rFonts w:ascii="Courier New" w:hAnsi="Courier New" w:cs="Courier New" w:hint="default"/>
      </w:rPr>
    </w:lvl>
    <w:lvl w:ilvl="2" w:tplc="3D542B4C" w:tentative="1">
      <w:start w:val="1"/>
      <w:numFmt w:val="bullet"/>
      <w:lvlText w:val=""/>
      <w:lvlJc w:val="left"/>
      <w:pPr>
        <w:ind w:left="2160" w:hanging="360"/>
      </w:pPr>
      <w:rPr>
        <w:rFonts w:ascii="Wingdings" w:hAnsi="Wingdings" w:hint="default"/>
      </w:rPr>
    </w:lvl>
    <w:lvl w:ilvl="3" w:tplc="63AE802A" w:tentative="1">
      <w:start w:val="1"/>
      <w:numFmt w:val="bullet"/>
      <w:lvlText w:val=""/>
      <w:lvlJc w:val="left"/>
      <w:pPr>
        <w:ind w:left="2880" w:hanging="360"/>
      </w:pPr>
      <w:rPr>
        <w:rFonts w:ascii="Symbol" w:hAnsi="Symbol" w:hint="default"/>
      </w:rPr>
    </w:lvl>
    <w:lvl w:ilvl="4" w:tplc="672C86C8" w:tentative="1">
      <w:start w:val="1"/>
      <w:numFmt w:val="bullet"/>
      <w:lvlText w:val="o"/>
      <w:lvlJc w:val="left"/>
      <w:pPr>
        <w:ind w:left="3600" w:hanging="360"/>
      </w:pPr>
      <w:rPr>
        <w:rFonts w:ascii="Courier New" w:hAnsi="Courier New" w:cs="Courier New" w:hint="default"/>
      </w:rPr>
    </w:lvl>
    <w:lvl w:ilvl="5" w:tplc="086A2F34" w:tentative="1">
      <w:start w:val="1"/>
      <w:numFmt w:val="bullet"/>
      <w:lvlText w:val=""/>
      <w:lvlJc w:val="left"/>
      <w:pPr>
        <w:ind w:left="4320" w:hanging="360"/>
      </w:pPr>
      <w:rPr>
        <w:rFonts w:ascii="Wingdings" w:hAnsi="Wingdings" w:hint="default"/>
      </w:rPr>
    </w:lvl>
    <w:lvl w:ilvl="6" w:tplc="2D243DE8" w:tentative="1">
      <w:start w:val="1"/>
      <w:numFmt w:val="bullet"/>
      <w:lvlText w:val=""/>
      <w:lvlJc w:val="left"/>
      <w:pPr>
        <w:ind w:left="5040" w:hanging="360"/>
      </w:pPr>
      <w:rPr>
        <w:rFonts w:ascii="Symbol" w:hAnsi="Symbol" w:hint="default"/>
      </w:rPr>
    </w:lvl>
    <w:lvl w:ilvl="7" w:tplc="3E440314" w:tentative="1">
      <w:start w:val="1"/>
      <w:numFmt w:val="bullet"/>
      <w:lvlText w:val="o"/>
      <w:lvlJc w:val="left"/>
      <w:pPr>
        <w:ind w:left="5760" w:hanging="360"/>
      </w:pPr>
      <w:rPr>
        <w:rFonts w:ascii="Courier New" w:hAnsi="Courier New" w:cs="Courier New" w:hint="default"/>
      </w:rPr>
    </w:lvl>
    <w:lvl w:ilvl="8" w:tplc="5308D510" w:tentative="1">
      <w:start w:val="1"/>
      <w:numFmt w:val="bullet"/>
      <w:lvlText w:val=""/>
      <w:lvlJc w:val="left"/>
      <w:pPr>
        <w:ind w:left="6480" w:hanging="360"/>
      </w:pPr>
      <w:rPr>
        <w:rFonts w:ascii="Wingdings" w:hAnsi="Wingdings" w:hint="default"/>
      </w:rPr>
    </w:lvl>
  </w:abstractNum>
  <w:abstractNum w:abstractNumId="7" w15:restartNumberingAfterBreak="0">
    <w:nsid w:val="1CD70C9F"/>
    <w:multiLevelType w:val="hybridMultilevel"/>
    <w:tmpl w:val="B002D1F6"/>
    <w:lvl w:ilvl="0" w:tplc="FC5AB782">
      <w:start w:val="1"/>
      <w:numFmt w:val="decimal"/>
      <w:lvlText w:val="%1)"/>
      <w:lvlJc w:val="left"/>
      <w:pPr>
        <w:ind w:left="720" w:hanging="360"/>
      </w:pPr>
      <w:rPr>
        <w:rFonts w:hint="default"/>
      </w:rPr>
    </w:lvl>
    <w:lvl w:ilvl="1" w:tplc="7688DC52" w:tentative="1">
      <w:start w:val="1"/>
      <w:numFmt w:val="lowerLetter"/>
      <w:lvlText w:val="%2."/>
      <w:lvlJc w:val="left"/>
      <w:pPr>
        <w:ind w:left="1440" w:hanging="360"/>
      </w:pPr>
    </w:lvl>
    <w:lvl w:ilvl="2" w:tplc="BC2A46DA" w:tentative="1">
      <w:start w:val="1"/>
      <w:numFmt w:val="lowerRoman"/>
      <w:lvlText w:val="%3."/>
      <w:lvlJc w:val="right"/>
      <w:pPr>
        <w:ind w:left="2160" w:hanging="180"/>
      </w:pPr>
    </w:lvl>
    <w:lvl w:ilvl="3" w:tplc="64A451CE" w:tentative="1">
      <w:start w:val="1"/>
      <w:numFmt w:val="decimal"/>
      <w:lvlText w:val="%4."/>
      <w:lvlJc w:val="left"/>
      <w:pPr>
        <w:ind w:left="2880" w:hanging="360"/>
      </w:pPr>
    </w:lvl>
    <w:lvl w:ilvl="4" w:tplc="D9DA066C" w:tentative="1">
      <w:start w:val="1"/>
      <w:numFmt w:val="lowerLetter"/>
      <w:lvlText w:val="%5."/>
      <w:lvlJc w:val="left"/>
      <w:pPr>
        <w:ind w:left="3600" w:hanging="360"/>
      </w:pPr>
    </w:lvl>
    <w:lvl w:ilvl="5" w:tplc="97F28AD4" w:tentative="1">
      <w:start w:val="1"/>
      <w:numFmt w:val="lowerRoman"/>
      <w:lvlText w:val="%6."/>
      <w:lvlJc w:val="right"/>
      <w:pPr>
        <w:ind w:left="4320" w:hanging="180"/>
      </w:pPr>
    </w:lvl>
    <w:lvl w:ilvl="6" w:tplc="487668CA" w:tentative="1">
      <w:start w:val="1"/>
      <w:numFmt w:val="decimal"/>
      <w:lvlText w:val="%7."/>
      <w:lvlJc w:val="left"/>
      <w:pPr>
        <w:ind w:left="5040" w:hanging="360"/>
      </w:pPr>
    </w:lvl>
    <w:lvl w:ilvl="7" w:tplc="7188EDB0" w:tentative="1">
      <w:start w:val="1"/>
      <w:numFmt w:val="lowerLetter"/>
      <w:lvlText w:val="%8."/>
      <w:lvlJc w:val="left"/>
      <w:pPr>
        <w:ind w:left="5760" w:hanging="360"/>
      </w:pPr>
    </w:lvl>
    <w:lvl w:ilvl="8" w:tplc="27E25218" w:tentative="1">
      <w:start w:val="1"/>
      <w:numFmt w:val="lowerRoman"/>
      <w:lvlText w:val="%9."/>
      <w:lvlJc w:val="right"/>
      <w:pPr>
        <w:ind w:left="6480" w:hanging="180"/>
      </w:pPr>
    </w:lvl>
  </w:abstractNum>
  <w:abstractNum w:abstractNumId="8" w15:restartNumberingAfterBreak="0">
    <w:nsid w:val="1D2017B2"/>
    <w:multiLevelType w:val="hybridMultilevel"/>
    <w:tmpl w:val="2FA8AD9E"/>
    <w:lvl w:ilvl="0" w:tplc="4440DA6A">
      <w:start w:val="2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B95AA0"/>
    <w:multiLevelType w:val="hybridMultilevel"/>
    <w:tmpl w:val="ADB0CDCC"/>
    <w:lvl w:ilvl="0" w:tplc="4C0A7004">
      <w:start w:val="4"/>
      <w:numFmt w:val="bullet"/>
      <w:lvlText w:val="-"/>
      <w:lvlJc w:val="left"/>
      <w:pPr>
        <w:ind w:left="720" w:hanging="360"/>
      </w:pPr>
      <w:rPr>
        <w:rFonts w:ascii="Arial" w:eastAsiaTheme="minorHAnsi" w:hAnsi="Arial" w:hint="default"/>
        <w:b w:val="0"/>
        <w:lang w:val="en-G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9708DD"/>
    <w:multiLevelType w:val="hybridMultilevel"/>
    <w:tmpl w:val="A56CC028"/>
    <w:lvl w:ilvl="0" w:tplc="B1AE1824">
      <w:numFmt w:val="bullet"/>
      <w:lvlText w:val="-"/>
      <w:lvlJc w:val="left"/>
      <w:pPr>
        <w:ind w:left="720" w:hanging="360"/>
      </w:pPr>
      <w:rPr>
        <w:rFonts w:ascii="Calibri" w:eastAsiaTheme="minorHAnsi" w:hAnsi="Calibri" w:cs="Calibri" w:hint="default"/>
      </w:rPr>
    </w:lvl>
    <w:lvl w:ilvl="1" w:tplc="957E6B32" w:tentative="1">
      <w:start w:val="1"/>
      <w:numFmt w:val="bullet"/>
      <w:lvlText w:val="o"/>
      <w:lvlJc w:val="left"/>
      <w:pPr>
        <w:ind w:left="1440" w:hanging="360"/>
      </w:pPr>
      <w:rPr>
        <w:rFonts w:ascii="Courier New" w:hAnsi="Courier New" w:cs="Courier New" w:hint="default"/>
      </w:rPr>
    </w:lvl>
    <w:lvl w:ilvl="2" w:tplc="B8484CCE" w:tentative="1">
      <w:start w:val="1"/>
      <w:numFmt w:val="bullet"/>
      <w:lvlText w:val=""/>
      <w:lvlJc w:val="left"/>
      <w:pPr>
        <w:ind w:left="2160" w:hanging="360"/>
      </w:pPr>
      <w:rPr>
        <w:rFonts w:ascii="Wingdings" w:hAnsi="Wingdings" w:hint="default"/>
      </w:rPr>
    </w:lvl>
    <w:lvl w:ilvl="3" w:tplc="0EEE2E34" w:tentative="1">
      <w:start w:val="1"/>
      <w:numFmt w:val="bullet"/>
      <w:lvlText w:val=""/>
      <w:lvlJc w:val="left"/>
      <w:pPr>
        <w:ind w:left="2880" w:hanging="360"/>
      </w:pPr>
      <w:rPr>
        <w:rFonts w:ascii="Symbol" w:hAnsi="Symbol" w:hint="default"/>
      </w:rPr>
    </w:lvl>
    <w:lvl w:ilvl="4" w:tplc="E9BC6BB8" w:tentative="1">
      <w:start w:val="1"/>
      <w:numFmt w:val="bullet"/>
      <w:lvlText w:val="o"/>
      <w:lvlJc w:val="left"/>
      <w:pPr>
        <w:ind w:left="3600" w:hanging="360"/>
      </w:pPr>
      <w:rPr>
        <w:rFonts w:ascii="Courier New" w:hAnsi="Courier New" w:cs="Courier New" w:hint="default"/>
      </w:rPr>
    </w:lvl>
    <w:lvl w:ilvl="5" w:tplc="CF906444" w:tentative="1">
      <w:start w:val="1"/>
      <w:numFmt w:val="bullet"/>
      <w:lvlText w:val=""/>
      <w:lvlJc w:val="left"/>
      <w:pPr>
        <w:ind w:left="4320" w:hanging="360"/>
      </w:pPr>
      <w:rPr>
        <w:rFonts w:ascii="Wingdings" w:hAnsi="Wingdings" w:hint="default"/>
      </w:rPr>
    </w:lvl>
    <w:lvl w:ilvl="6" w:tplc="0994F49C" w:tentative="1">
      <w:start w:val="1"/>
      <w:numFmt w:val="bullet"/>
      <w:lvlText w:val=""/>
      <w:lvlJc w:val="left"/>
      <w:pPr>
        <w:ind w:left="5040" w:hanging="360"/>
      </w:pPr>
      <w:rPr>
        <w:rFonts w:ascii="Symbol" w:hAnsi="Symbol" w:hint="default"/>
      </w:rPr>
    </w:lvl>
    <w:lvl w:ilvl="7" w:tplc="BD0CE780" w:tentative="1">
      <w:start w:val="1"/>
      <w:numFmt w:val="bullet"/>
      <w:lvlText w:val="o"/>
      <w:lvlJc w:val="left"/>
      <w:pPr>
        <w:ind w:left="5760" w:hanging="360"/>
      </w:pPr>
      <w:rPr>
        <w:rFonts w:ascii="Courier New" w:hAnsi="Courier New" w:cs="Courier New" w:hint="default"/>
      </w:rPr>
    </w:lvl>
    <w:lvl w:ilvl="8" w:tplc="9F6EB1E6" w:tentative="1">
      <w:start w:val="1"/>
      <w:numFmt w:val="bullet"/>
      <w:lvlText w:val=""/>
      <w:lvlJc w:val="left"/>
      <w:pPr>
        <w:ind w:left="6480" w:hanging="360"/>
      </w:pPr>
      <w:rPr>
        <w:rFonts w:ascii="Wingdings" w:hAnsi="Wingdings" w:hint="default"/>
      </w:rPr>
    </w:lvl>
  </w:abstractNum>
  <w:abstractNum w:abstractNumId="11" w15:restartNumberingAfterBreak="0">
    <w:nsid w:val="25777E51"/>
    <w:multiLevelType w:val="hybridMultilevel"/>
    <w:tmpl w:val="82C2D318"/>
    <w:lvl w:ilvl="0" w:tplc="EB408BBE">
      <w:start w:val="3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721376"/>
    <w:multiLevelType w:val="hybridMultilevel"/>
    <w:tmpl w:val="CC428AFC"/>
    <w:lvl w:ilvl="0" w:tplc="E0FA5E48">
      <w:start w:val="1"/>
      <w:numFmt w:val="decimal"/>
      <w:lvlText w:val="%1)"/>
      <w:lvlJc w:val="left"/>
      <w:pPr>
        <w:ind w:left="720" w:hanging="360"/>
      </w:pPr>
      <w:rPr>
        <w:rFonts w:hint="default"/>
      </w:rPr>
    </w:lvl>
    <w:lvl w:ilvl="1" w:tplc="878C94E4" w:tentative="1">
      <w:start w:val="1"/>
      <w:numFmt w:val="lowerLetter"/>
      <w:lvlText w:val="%2."/>
      <w:lvlJc w:val="left"/>
      <w:pPr>
        <w:ind w:left="1440" w:hanging="360"/>
      </w:pPr>
    </w:lvl>
    <w:lvl w:ilvl="2" w:tplc="9B441B28" w:tentative="1">
      <w:start w:val="1"/>
      <w:numFmt w:val="lowerRoman"/>
      <w:lvlText w:val="%3."/>
      <w:lvlJc w:val="right"/>
      <w:pPr>
        <w:ind w:left="2160" w:hanging="180"/>
      </w:pPr>
    </w:lvl>
    <w:lvl w:ilvl="3" w:tplc="1196E43E" w:tentative="1">
      <w:start w:val="1"/>
      <w:numFmt w:val="decimal"/>
      <w:lvlText w:val="%4."/>
      <w:lvlJc w:val="left"/>
      <w:pPr>
        <w:ind w:left="2880" w:hanging="360"/>
      </w:pPr>
    </w:lvl>
    <w:lvl w:ilvl="4" w:tplc="A7E8E22A" w:tentative="1">
      <w:start w:val="1"/>
      <w:numFmt w:val="lowerLetter"/>
      <w:lvlText w:val="%5."/>
      <w:lvlJc w:val="left"/>
      <w:pPr>
        <w:ind w:left="3600" w:hanging="360"/>
      </w:pPr>
    </w:lvl>
    <w:lvl w:ilvl="5" w:tplc="F27AFAE6" w:tentative="1">
      <w:start w:val="1"/>
      <w:numFmt w:val="lowerRoman"/>
      <w:lvlText w:val="%6."/>
      <w:lvlJc w:val="right"/>
      <w:pPr>
        <w:ind w:left="4320" w:hanging="180"/>
      </w:pPr>
    </w:lvl>
    <w:lvl w:ilvl="6" w:tplc="0F082504" w:tentative="1">
      <w:start w:val="1"/>
      <w:numFmt w:val="decimal"/>
      <w:lvlText w:val="%7."/>
      <w:lvlJc w:val="left"/>
      <w:pPr>
        <w:ind w:left="5040" w:hanging="360"/>
      </w:pPr>
    </w:lvl>
    <w:lvl w:ilvl="7" w:tplc="54189F4E" w:tentative="1">
      <w:start w:val="1"/>
      <w:numFmt w:val="lowerLetter"/>
      <w:lvlText w:val="%8."/>
      <w:lvlJc w:val="left"/>
      <w:pPr>
        <w:ind w:left="5760" w:hanging="360"/>
      </w:pPr>
    </w:lvl>
    <w:lvl w:ilvl="8" w:tplc="FA368392" w:tentative="1">
      <w:start w:val="1"/>
      <w:numFmt w:val="lowerRoman"/>
      <w:lvlText w:val="%9."/>
      <w:lvlJc w:val="right"/>
      <w:pPr>
        <w:ind w:left="6480" w:hanging="180"/>
      </w:pPr>
    </w:lvl>
  </w:abstractNum>
  <w:abstractNum w:abstractNumId="13" w15:restartNumberingAfterBreak="0">
    <w:nsid w:val="28126398"/>
    <w:multiLevelType w:val="hybridMultilevel"/>
    <w:tmpl w:val="61322102"/>
    <w:lvl w:ilvl="0" w:tplc="D5268C5E">
      <w:start w:val="1"/>
      <w:numFmt w:val="lowerRoman"/>
      <w:lvlText w:val="%1)"/>
      <w:lvlJc w:val="left"/>
      <w:pPr>
        <w:ind w:left="2145" w:hanging="720"/>
      </w:pPr>
      <w:rPr>
        <w:rFonts w:hint="default"/>
      </w:rPr>
    </w:lvl>
    <w:lvl w:ilvl="1" w:tplc="5EE02074" w:tentative="1">
      <w:start w:val="1"/>
      <w:numFmt w:val="lowerLetter"/>
      <w:lvlText w:val="%2."/>
      <w:lvlJc w:val="left"/>
      <w:pPr>
        <w:ind w:left="2505" w:hanging="360"/>
      </w:pPr>
    </w:lvl>
    <w:lvl w:ilvl="2" w:tplc="4630300A" w:tentative="1">
      <w:start w:val="1"/>
      <w:numFmt w:val="lowerRoman"/>
      <w:lvlText w:val="%3."/>
      <w:lvlJc w:val="right"/>
      <w:pPr>
        <w:ind w:left="3225" w:hanging="180"/>
      </w:pPr>
    </w:lvl>
    <w:lvl w:ilvl="3" w:tplc="3CC6F434" w:tentative="1">
      <w:start w:val="1"/>
      <w:numFmt w:val="decimal"/>
      <w:lvlText w:val="%4."/>
      <w:lvlJc w:val="left"/>
      <w:pPr>
        <w:ind w:left="3945" w:hanging="360"/>
      </w:pPr>
    </w:lvl>
    <w:lvl w:ilvl="4" w:tplc="1428B008" w:tentative="1">
      <w:start w:val="1"/>
      <w:numFmt w:val="lowerLetter"/>
      <w:lvlText w:val="%5."/>
      <w:lvlJc w:val="left"/>
      <w:pPr>
        <w:ind w:left="4665" w:hanging="360"/>
      </w:pPr>
    </w:lvl>
    <w:lvl w:ilvl="5" w:tplc="BD0E715A" w:tentative="1">
      <w:start w:val="1"/>
      <w:numFmt w:val="lowerRoman"/>
      <w:lvlText w:val="%6."/>
      <w:lvlJc w:val="right"/>
      <w:pPr>
        <w:ind w:left="5385" w:hanging="180"/>
      </w:pPr>
    </w:lvl>
    <w:lvl w:ilvl="6" w:tplc="F2E6E482" w:tentative="1">
      <w:start w:val="1"/>
      <w:numFmt w:val="decimal"/>
      <w:lvlText w:val="%7."/>
      <w:lvlJc w:val="left"/>
      <w:pPr>
        <w:ind w:left="6105" w:hanging="360"/>
      </w:pPr>
    </w:lvl>
    <w:lvl w:ilvl="7" w:tplc="0D642016" w:tentative="1">
      <w:start w:val="1"/>
      <w:numFmt w:val="lowerLetter"/>
      <w:lvlText w:val="%8."/>
      <w:lvlJc w:val="left"/>
      <w:pPr>
        <w:ind w:left="6825" w:hanging="360"/>
      </w:pPr>
    </w:lvl>
    <w:lvl w:ilvl="8" w:tplc="5B2E6C92" w:tentative="1">
      <w:start w:val="1"/>
      <w:numFmt w:val="lowerRoman"/>
      <w:lvlText w:val="%9."/>
      <w:lvlJc w:val="right"/>
      <w:pPr>
        <w:ind w:left="7545" w:hanging="180"/>
      </w:pPr>
    </w:lvl>
  </w:abstractNum>
  <w:abstractNum w:abstractNumId="14" w15:restartNumberingAfterBreak="0">
    <w:nsid w:val="2893471F"/>
    <w:multiLevelType w:val="hybridMultilevel"/>
    <w:tmpl w:val="8CFE734E"/>
    <w:lvl w:ilvl="0" w:tplc="A26CB37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A3B576F"/>
    <w:multiLevelType w:val="hybridMultilevel"/>
    <w:tmpl w:val="4DF64E24"/>
    <w:lvl w:ilvl="0" w:tplc="E83A9062">
      <w:start w:val="5"/>
      <w:numFmt w:val="bullet"/>
      <w:lvlText w:val="-"/>
      <w:lvlJc w:val="left"/>
      <w:pPr>
        <w:ind w:left="720" w:hanging="360"/>
      </w:pPr>
      <w:rPr>
        <w:rFonts w:ascii="Arial" w:eastAsiaTheme="minorHAnsi" w:hAnsi="Arial" w:cs="Arial" w:hint="default"/>
      </w:rPr>
    </w:lvl>
    <w:lvl w:ilvl="1" w:tplc="6972DB1A" w:tentative="1">
      <w:start w:val="1"/>
      <w:numFmt w:val="bullet"/>
      <w:lvlText w:val="o"/>
      <w:lvlJc w:val="left"/>
      <w:pPr>
        <w:ind w:left="1440" w:hanging="360"/>
      </w:pPr>
      <w:rPr>
        <w:rFonts w:ascii="Courier New" w:hAnsi="Courier New" w:cs="Courier New" w:hint="default"/>
      </w:rPr>
    </w:lvl>
    <w:lvl w:ilvl="2" w:tplc="F3468846" w:tentative="1">
      <w:start w:val="1"/>
      <w:numFmt w:val="bullet"/>
      <w:lvlText w:val=""/>
      <w:lvlJc w:val="left"/>
      <w:pPr>
        <w:ind w:left="2160" w:hanging="360"/>
      </w:pPr>
      <w:rPr>
        <w:rFonts w:ascii="Wingdings" w:hAnsi="Wingdings" w:hint="default"/>
      </w:rPr>
    </w:lvl>
    <w:lvl w:ilvl="3" w:tplc="5F5CB0E0" w:tentative="1">
      <w:start w:val="1"/>
      <w:numFmt w:val="bullet"/>
      <w:lvlText w:val=""/>
      <w:lvlJc w:val="left"/>
      <w:pPr>
        <w:ind w:left="2880" w:hanging="360"/>
      </w:pPr>
      <w:rPr>
        <w:rFonts w:ascii="Symbol" w:hAnsi="Symbol" w:hint="default"/>
      </w:rPr>
    </w:lvl>
    <w:lvl w:ilvl="4" w:tplc="15BE7952" w:tentative="1">
      <w:start w:val="1"/>
      <w:numFmt w:val="bullet"/>
      <w:lvlText w:val="o"/>
      <w:lvlJc w:val="left"/>
      <w:pPr>
        <w:ind w:left="3600" w:hanging="360"/>
      </w:pPr>
      <w:rPr>
        <w:rFonts w:ascii="Courier New" w:hAnsi="Courier New" w:cs="Courier New" w:hint="default"/>
      </w:rPr>
    </w:lvl>
    <w:lvl w:ilvl="5" w:tplc="DAA8F6F4" w:tentative="1">
      <w:start w:val="1"/>
      <w:numFmt w:val="bullet"/>
      <w:lvlText w:val=""/>
      <w:lvlJc w:val="left"/>
      <w:pPr>
        <w:ind w:left="4320" w:hanging="360"/>
      </w:pPr>
      <w:rPr>
        <w:rFonts w:ascii="Wingdings" w:hAnsi="Wingdings" w:hint="default"/>
      </w:rPr>
    </w:lvl>
    <w:lvl w:ilvl="6" w:tplc="B2749798" w:tentative="1">
      <w:start w:val="1"/>
      <w:numFmt w:val="bullet"/>
      <w:lvlText w:val=""/>
      <w:lvlJc w:val="left"/>
      <w:pPr>
        <w:ind w:left="5040" w:hanging="360"/>
      </w:pPr>
      <w:rPr>
        <w:rFonts w:ascii="Symbol" w:hAnsi="Symbol" w:hint="default"/>
      </w:rPr>
    </w:lvl>
    <w:lvl w:ilvl="7" w:tplc="1A9C1232" w:tentative="1">
      <w:start w:val="1"/>
      <w:numFmt w:val="bullet"/>
      <w:lvlText w:val="o"/>
      <w:lvlJc w:val="left"/>
      <w:pPr>
        <w:ind w:left="5760" w:hanging="360"/>
      </w:pPr>
      <w:rPr>
        <w:rFonts w:ascii="Courier New" w:hAnsi="Courier New" w:cs="Courier New" w:hint="default"/>
      </w:rPr>
    </w:lvl>
    <w:lvl w:ilvl="8" w:tplc="6138FFCE" w:tentative="1">
      <w:start w:val="1"/>
      <w:numFmt w:val="bullet"/>
      <w:lvlText w:val=""/>
      <w:lvlJc w:val="left"/>
      <w:pPr>
        <w:ind w:left="6480" w:hanging="360"/>
      </w:pPr>
      <w:rPr>
        <w:rFonts w:ascii="Wingdings" w:hAnsi="Wingdings" w:hint="default"/>
      </w:rPr>
    </w:lvl>
  </w:abstractNum>
  <w:abstractNum w:abstractNumId="16" w15:restartNumberingAfterBreak="0">
    <w:nsid w:val="2C00444C"/>
    <w:multiLevelType w:val="hybridMultilevel"/>
    <w:tmpl w:val="1856EFA4"/>
    <w:lvl w:ilvl="0" w:tplc="C262AE24">
      <w:start w:val="3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E333F1"/>
    <w:multiLevelType w:val="hybridMultilevel"/>
    <w:tmpl w:val="C7D0092A"/>
    <w:lvl w:ilvl="0" w:tplc="628624CC">
      <w:start w:val="1"/>
      <w:numFmt w:val="decimal"/>
      <w:lvlText w:val="%1."/>
      <w:lvlJc w:val="left"/>
      <w:pPr>
        <w:ind w:left="720" w:hanging="360"/>
      </w:pPr>
    </w:lvl>
    <w:lvl w:ilvl="1" w:tplc="0506F7F2" w:tentative="1">
      <w:start w:val="1"/>
      <w:numFmt w:val="lowerLetter"/>
      <w:lvlText w:val="%2."/>
      <w:lvlJc w:val="left"/>
      <w:pPr>
        <w:ind w:left="1440" w:hanging="360"/>
      </w:pPr>
    </w:lvl>
    <w:lvl w:ilvl="2" w:tplc="B37874E2" w:tentative="1">
      <w:start w:val="1"/>
      <w:numFmt w:val="lowerRoman"/>
      <w:lvlText w:val="%3."/>
      <w:lvlJc w:val="right"/>
      <w:pPr>
        <w:ind w:left="2160" w:hanging="180"/>
      </w:pPr>
    </w:lvl>
    <w:lvl w:ilvl="3" w:tplc="85EE9502" w:tentative="1">
      <w:start w:val="1"/>
      <w:numFmt w:val="decimal"/>
      <w:lvlText w:val="%4."/>
      <w:lvlJc w:val="left"/>
      <w:pPr>
        <w:ind w:left="2880" w:hanging="360"/>
      </w:pPr>
    </w:lvl>
    <w:lvl w:ilvl="4" w:tplc="1C86BFEA" w:tentative="1">
      <w:start w:val="1"/>
      <w:numFmt w:val="lowerLetter"/>
      <w:lvlText w:val="%5."/>
      <w:lvlJc w:val="left"/>
      <w:pPr>
        <w:ind w:left="3600" w:hanging="360"/>
      </w:pPr>
    </w:lvl>
    <w:lvl w:ilvl="5" w:tplc="F24CCC56" w:tentative="1">
      <w:start w:val="1"/>
      <w:numFmt w:val="lowerRoman"/>
      <w:lvlText w:val="%6."/>
      <w:lvlJc w:val="right"/>
      <w:pPr>
        <w:ind w:left="4320" w:hanging="180"/>
      </w:pPr>
    </w:lvl>
    <w:lvl w:ilvl="6" w:tplc="A14EB670" w:tentative="1">
      <w:start w:val="1"/>
      <w:numFmt w:val="decimal"/>
      <w:lvlText w:val="%7."/>
      <w:lvlJc w:val="left"/>
      <w:pPr>
        <w:ind w:left="5040" w:hanging="360"/>
      </w:pPr>
    </w:lvl>
    <w:lvl w:ilvl="7" w:tplc="8D4884AA" w:tentative="1">
      <w:start w:val="1"/>
      <w:numFmt w:val="lowerLetter"/>
      <w:lvlText w:val="%8."/>
      <w:lvlJc w:val="left"/>
      <w:pPr>
        <w:ind w:left="5760" w:hanging="360"/>
      </w:pPr>
    </w:lvl>
    <w:lvl w:ilvl="8" w:tplc="085ACE38" w:tentative="1">
      <w:start w:val="1"/>
      <w:numFmt w:val="lowerRoman"/>
      <w:lvlText w:val="%9."/>
      <w:lvlJc w:val="right"/>
      <w:pPr>
        <w:ind w:left="6480" w:hanging="180"/>
      </w:pPr>
    </w:lvl>
  </w:abstractNum>
  <w:abstractNum w:abstractNumId="18" w15:restartNumberingAfterBreak="0">
    <w:nsid w:val="2D2B1186"/>
    <w:multiLevelType w:val="multilevel"/>
    <w:tmpl w:val="E118D488"/>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E55EC3"/>
    <w:multiLevelType w:val="hybridMultilevel"/>
    <w:tmpl w:val="86D080F2"/>
    <w:lvl w:ilvl="0" w:tplc="6F429988">
      <w:numFmt w:val="bullet"/>
      <w:lvlText w:val="-"/>
      <w:lvlJc w:val="left"/>
      <w:pPr>
        <w:ind w:left="720" w:hanging="360"/>
      </w:pPr>
      <w:rPr>
        <w:rFonts w:ascii="Arial" w:eastAsiaTheme="minorHAnsi" w:hAnsi="Arial" w:cs="Arial" w:hint="default"/>
      </w:rPr>
    </w:lvl>
    <w:lvl w:ilvl="1" w:tplc="71E28228" w:tentative="1">
      <w:start w:val="1"/>
      <w:numFmt w:val="bullet"/>
      <w:lvlText w:val="o"/>
      <w:lvlJc w:val="left"/>
      <w:pPr>
        <w:ind w:left="1440" w:hanging="360"/>
      </w:pPr>
      <w:rPr>
        <w:rFonts w:ascii="Courier New" w:hAnsi="Courier New" w:cs="Courier New" w:hint="default"/>
      </w:rPr>
    </w:lvl>
    <w:lvl w:ilvl="2" w:tplc="AF54CD5C" w:tentative="1">
      <w:start w:val="1"/>
      <w:numFmt w:val="bullet"/>
      <w:lvlText w:val=""/>
      <w:lvlJc w:val="left"/>
      <w:pPr>
        <w:ind w:left="2160" w:hanging="360"/>
      </w:pPr>
      <w:rPr>
        <w:rFonts w:ascii="Wingdings" w:hAnsi="Wingdings" w:hint="default"/>
      </w:rPr>
    </w:lvl>
    <w:lvl w:ilvl="3" w:tplc="D2CEB736" w:tentative="1">
      <w:start w:val="1"/>
      <w:numFmt w:val="bullet"/>
      <w:lvlText w:val=""/>
      <w:lvlJc w:val="left"/>
      <w:pPr>
        <w:ind w:left="2880" w:hanging="360"/>
      </w:pPr>
      <w:rPr>
        <w:rFonts w:ascii="Symbol" w:hAnsi="Symbol" w:hint="default"/>
      </w:rPr>
    </w:lvl>
    <w:lvl w:ilvl="4" w:tplc="04300BCA" w:tentative="1">
      <w:start w:val="1"/>
      <w:numFmt w:val="bullet"/>
      <w:lvlText w:val="o"/>
      <w:lvlJc w:val="left"/>
      <w:pPr>
        <w:ind w:left="3600" w:hanging="360"/>
      </w:pPr>
      <w:rPr>
        <w:rFonts w:ascii="Courier New" w:hAnsi="Courier New" w:cs="Courier New" w:hint="default"/>
      </w:rPr>
    </w:lvl>
    <w:lvl w:ilvl="5" w:tplc="B418B4D4" w:tentative="1">
      <w:start w:val="1"/>
      <w:numFmt w:val="bullet"/>
      <w:lvlText w:val=""/>
      <w:lvlJc w:val="left"/>
      <w:pPr>
        <w:ind w:left="4320" w:hanging="360"/>
      </w:pPr>
      <w:rPr>
        <w:rFonts w:ascii="Wingdings" w:hAnsi="Wingdings" w:hint="default"/>
      </w:rPr>
    </w:lvl>
    <w:lvl w:ilvl="6" w:tplc="D52694D6" w:tentative="1">
      <w:start w:val="1"/>
      <w:numFmt w:val="bullet"/>
      <w:lvlText w:val=""/>
      <w:lvlJc w:val="left"/>
      <w:pPr>
        <w:ind w:left="5040" w:hanging="360"/>
      </w:pPr>
      <w:rPr>
        <w:rFonts w:ascii="Symbol" w:hAnsi="Symbol" w:hint="default"/>
      </w:rPr>
    </w:lvl>
    <w:lvl w:ilvl="7" w:tplc="7A8010C0" w:tentative="1">
      <w:start w:val="1"/>
      <w:numFmt w:val="bullet"/>
      <w:lvlText w:val="o"/>
      <w:lvlJc w:val="left"/>
      <w:pPr>
        <w:ind w:left="5760" w:hanging="360"/>
      </w:pPr>
      <w:rPr>
        <w:rFonts w:ascii="Courier New" w:hAnsi="Courier New" w:cs="Courier New" w:hint="default"/>
      </w:rPr>
    </w:lvl>
    <w:lvl w:ilvl="8" w:tplc="DC2072F6" w:tentative="1">
      <w:start w:val="1"/>
      <w:numFmt w:val="bullet"/>
      <w:lvlText w:val=""/>
      <w:lvlJc w:val="left"/>
      <w:pPr>
        <w:ind w:left="6480" w:hanging="360"/>
      </w:pPr>
      <w:rPr>
        <w:rFonts w:ascii="Wingdings" w:hAnsi="Wingdings" w:hint="default"/>
      </w:rPr>
    </w:lvl>
  </w:abstractNum>
  <w:abstractNum w:abstractNumId="20" w15:restartNumberingAfterBreak="0">
    <w:nsid w:val="2E2869BF"/>
    <w:multiLevelType w:val="hybridMultilevel"/>
    <w:tmpl w:val="4FCE1CD0"/>
    <w:lvl w:ilvl="0" w:tplc="3508C60E">
      <w:start w:val="1"/>
      <w:numFmt w:val="decimal"/>
      <w:lvlText w:val="%1."/>
      <w:lvlJc w:val="left"/>
      <w:pPr>
        <w:ind w:left="1065" w:hanging="705"/>
      </w:pPr>
      <w:rPr>
        <w:rFonts w:hint="default"/>
      </w:rPr>
    </w:lvl>
    <w:lvl w:ilvl="1" w:tplc="989650D0" w:tentative="1">
      <w:start w:val="1"/>
      <w:numFmt w:val="lowerLetter"/>
      <w:lvlText w:val="%2."/>
      <w:lvlJc w:val="left"/>
      <w:pPr>
        <w:ind w:left="1440" w:hanging="360"/>
      </w:pPr>
    </w:lvl>
    <w:lvl w:ilvl="2" w:tplc="C5FCC90C" w:tentative="1">
      <w:start w:val="1"/>
      <w:numFmt w:val="lowerRoman"/>
      <w:lvlText w:val="%3."/>
      <w:lvlJc w:val="right"/>
      <w:pPr>
        <w:ind w:left="2160" w:hanging="180"/>
      </w:pPr>
    </w:lvl>
    <w:lvl w:ilvl="3" w:tplc="7DBACF6E" w:tentative="1">
      <w:start w:val="1"/>
      <w:numFmt w:val="decimal"/>
      <w:lvlText w:val="%4."/>
      <w:lvlJc w:val="left"/>
      <w:pPr>
        <w:ind w:left="2880" w:hanging="360"/>
      </w:pPr>
    </w:lvl>
    <w:lvl w:ilvl="4" w:tplc="52B0A5B4" w:tentative="1">
      <w:start w:val="1"/>
      <w:numFmt w:val="lowerLetter"/>
      <w:lvlText w:val="%5."/>
      <w:lvlJc w:val="left"/>
      <w:pPr>
        <w:ind w:left="3600" w:hanging="360"/>
      </w:pPr>
    </w:lvl>
    <w:lvl w:ilvl="5" w:tplc="8A508792" w:tentative="1">
      <w:start w:val="1"/>
      <w:numFmt w:val="lowerRoman"/>
      <w:lvlText w:val="%6."/>
      <w:lvlJc w:val="right"/>
      <w:pPr>
        <w:ind w:left="4320" w:hanging="180"/>
      </w:pPr>
    </w:lvl>
    <w:lvl w:ilvl="6" w:tplc="783C398C" w:tentative="1">
      <w:start w:val="1"/>
      <w:numFmt w:val="decimal"/>
      <w:lvlText w:val="%7."/>
      <w:lvlJc w:val="left"/>
      <w:pPr>
        <w:ind w:left="5040" w:hanging="360"/>
      </w:pPr>
    </w:lvl>
    <w:lvl w:ilvl="7" w:tplc="19F65FFE" w:tentative="1">
      <w:start w:val="1"/>
      <w:numFmt w:val="lowerLetter"/>
      <w:lvlText w:val="%8."/>
      <w:lvlJc w:val="left"/>
      <w:pPr>
        <w:ind w:left="5760" w:hanging="360"/>
      </w:pPr>
    </w:lvl>
    <w:lvl w:ilvl="8" w:tplc="0D920DE6" w:tentative="1">
      <w:start w:val="1"/>
      <w:numFmt w:val="lowerRoman"/>
      <w:lvlText w:val="%9."/>
      <w:lvlJc w:val="right"/>
      <w:pPr>
        <w:ind w:left="6480" w:hanging="180"/>
      </w:pPr>
    </w:lvl>
  </w:abstractNum>
  <w:abstractNum w:abstractNumId="21" w15:restartNumberingAfterBreak="0">
    <w:nsid w:val="3227469C"/>
    <w:multiLevelType w:val="hybridMultilevel"/>
    <w:tmpl w:val="3C306BF0"/>
    <w:lvl w:ilvl="0" w:tplc="D80E5042">
      <w:start w:val="1"/>
      <w:numFmt w:val="upperRoman"/>
      <w:lvlText w:val="%1."/>
      <w:lvlJc w:val="right"/>
      <w:pPr>
        <w:ind w:left="1287" w:hanging="360"/>
      </w:pPr>
    </w:lvl>
    <w:lvl w:ilvl="1" w:tplc="46E64BC0" w:tentative="1">
      <w:start w:val="1"/>
      <w:numFmt w:val="lowerLetter"/>
      <w:lvlText w:val="%2."/>
      <w:lvlJc w:val="left"/>
      <w:pPr>
        <w:ind w:left="2007" w:hanging="360"/>
      </w:pPr>
    </w:lvl>
    <w:lvl w:ilvl="2" w:tplc="8E06F686" w:tentative="1">
      <w:start w:val="1"/>
      <w:numFmt w:val="lowerRoman"/>
      <w:lvlText w:val="%3."/>
      <w:lvlJc w:val="right"/>
      <w:pPr>
        <w:ind w:left="2727" w:hanging="180"/>
      </w:pPr>
    </w:lvl>
    <w:lvl w:ilvl="3" w:tplc="25F2061C" w:tentative="1">
      <w:start w:val="1"/>
      <w:numFmt w:val="decimal"/>
      <w:lvlText w:val="%4."/>
      <w:lvlJc w:val="left"/>
      <w:pPr>
        <w:ind w:left="3447" w:hanging="360"/>
      </w:pPr>
    </w:lvl>
    <w:lvl w:ilvl="4" w:tplc="9C9CB36C" w:tentative="1">
      <w:start w:val="1"/>
      <w:numFmt w:val="lowerLetter"/>
      <w:lvlText w:val="%5."/>
      <w:lvlJc w:val="left"/>
      <w:pPr>
        <w:ind w:left="4167" w:hanging="360"/>
      </w:pPr>
    </w:lvl>
    <w:lvl w:ilvl="5" w:tplc="EC90E1D4" w:tentative="1">
      <w:start w:val="1"/>
      <w:numFmt w:val="lowerRoman"/>
      <w:lvlText w:val="%6."/>
      <w:lvlJc w:val="right"/>
      <w:pPr>
        <w:ind w:left="4887" w:hanging="180"/>
      </w:pPr>
    </w:lvl>
    <w:lvl w:ilvl="6" w:tplc="2EAA885E" w:tentative="1">
      <w:start w:val="1"/>
      <w:numFmt w:val="decimal"/>
      <w:lvlText w:val="%7."/>
      <w:lvlJc w:val="left"/>
      <w:pPr>
        <w:ind w:left="5607" w:hanging="360"/>
      </w:pPr>
    </w:lvl>
    <w:lvl w:ilvl="7" w:tplc="0766587C" w:tentative="1">
      <w:start w:val="1"/>
      <w:numFmt w:val="lowerLetter"/>
      <w:lvlText w:val="%8."/>
      <w:lvlJc w:val="left"/>
      <w:pPr>
        <w:ind w:left="6327" w:hanging="360"/>
      </w:pPr>
    </w:lvl>
    <w:lvl w:ilvl="8" w:tplc="F96E8BC2" w:tentative="1">
      <w:start w:val="1"/>
      <w:numFmt w:val="lowerRoman"/>
      <w:lvlText w:val="%9."/>
      <w:lvlJc w:val="right"/>
      <w:pPr>
        <w:ind w:left="7047" w:hanging="180"/>
      </w:pPr>
    </w:lvl>
  </w:abstractNum>
  <w:abstractNum w:abstractNumId="22" w15:restartNumberingAfterBreak="0">
    <w:nsid w:val="34530536"/>
    <w:multiLevelType w:val="hybridMultilevel"/>
    <w:tmpl w:val="4C1E6864"/>
    <w:lvl w:ilvl="0" w:tplc="1E305CB8">
      <w:start w:val="1"/>
      <w:numFmt w:val="bullet"/>
      <w:lvlText w:val=""/>
      <w:lvlJc w:val="left"/>
      <w:pPr>
        <w:ind w:left="720" w:hanging="360"/>
      </w:pPr>
      <w:rPr>
        <w:rFonts w:ascii="Symbol" w:hAnsi="Symbol" w:hint="default"/>
      </w:rPr>
    </w:lvl>
    <w:lvl w:ilvl="1" w:tplc="84C63C4E" w:tentative="1">
      <w:start w:val="1"/>
      <w:numFmt w:val="bullet"/>
      <w:lvlText w:val="o"/>
      <w:lvlJc w:val="left"/>
      <w:pPr>
        <w:ind w:left="1440" w:hanging="360"/>
      </w:pPr>
      <w:rPr>
        <w:rFonts w:ascii="Courier New" w:hAnsi="Courier New" w:cs="Courier New" w:hint="default"/>
      </w:rPr>
    </w:lvl>
    <w:lvl w:ilvl="2" w:tplc="CCAC5D16" w:tentative="1">
      <w:start w:val="1"/>
      <w:numFmt w:val="bullet"/>
      <w:lvlText w:val=""/>
      <w:lvlJc w:val="left"/>
      <w:pPr>
        <w:ind w:left="2160" w:hanging="360"/>
      </w:pPr>
      <w:rPr>
        <w:rFonts w:ascii="Wingdings" w:hAnsi="Wingdings" w:hint="default"/>
      </w:rPr>
    </w:lvl>
    <w:lvl w:ilvl="3" w:tplc="A596D564" w:tentative="1">
      <w:start w:val="1"/>
      <w:numFmt w:val="bullet"/>
      <w:lvlText w:val=""/>
      <w:lvlJc w:val="left"/>
      <w:pPr>
        <w:ind w:left="2880" w:hanging="360"/>
      </w:pPr>
      <w:rPr>
        <w:rFonts w:ascii="Symbol" w:hAnsi="Symbol" w:hint="default"/>
      </w:rPr>
    </w:lvl>
    <w:lvl w:ilvl="4" w:tplc="DFAC4674" w:tentative="1">
      <w:start w:val="1"/>
      <w:numFmt w:val="bullet"/>
      <w:lvlText w:val="o"/>
      <w:lvlJc w:val="left"/>
      <w:pPr>
        <w:ind w:left="3600" w:hanging="360"/>
      </w:pPr>
      <w:rPr>
        <w:rFonts w:ascii="Courier New" w:hAnsi="Courier New" w:cs="Courier New" w:hint="default"/>
      </w:rPr>
    </w:lvl>
    <w:lvl w:ilvl="5" w:tplc="2EEEAF08" w:tentative="1">
      <w:start w:val="1"/>
      <w:numFmt w:val="bullet"/>
      <w:lvlText w:val=""/>
      <w:lvlJc w:val="left"/>
      <w:pPr>
        <w:ind w:left="4320" w:hanging="360"/>
      </w:pPr>
      <w:rPr>
        <w:rFonts w:ascii="Wingdings" w:hAnsi="Wingdings" w:hint="default"/>
      </w:rPr>
    </w:lvl>
    <w:lvl w:ilvl="6" w:tplc="61F0D3F6" w:tentative="1">
      <w:start w:val="1"/>
      <w:numFmt w:val="bullet"/>
      <w:lvlText w:val=""/>
      <w:lvlJc w:val="left"/>
      <w:pPr>
        <w:ind w:left="5040" w:hanging="360"/>
      </w:pPr>
      <w:rPr>
        <w:rFonts w:ascii="Symbol" w:hAnsi="Symbol" w:hint="default"/>
      </w:rPr>
    </w:lvl>
    <w:lvl w:ilvl="7" w:tplc="14985FD6" w:tentative="1">
      <w:start w:val="1"/>
      <w:numFmt w:val="bullet"/>
      <w:lvlText w:val="o"/>
      <w:lvlJc w:val="left"/>
      <w:pPr>
        <w:ind w:left="5760" w:hanging="360"/>
      </w:pPr>
      <w:rPr>
        <w:rFonts w:ascii="Courier New" w:hAnsi="Courier New" w:cs="Courier New" w:hint="default"/>
      </w:rPr>
    </w:lvl>
    <w:lvl w:ilvl="8" w:tplc="F87074B8" w:tentative="1">
      <w:start w:val="1"/>
      <w:numFmt w:val="bullet"/>
      <w:lvlText w:val=""/>
      <w:lvlJc w:val="left"/>
      <w:pPr>
        <w:ind w:left="6480" w:hanging="360"/>
      </w:pPr>
      <w:rPr>
        <w:rFonts w:ascii="Wingdings" w:hAnsi="Wingdings" w:hint="default"/>
      </w:rPr>
    </w:lvl>
  </w:abstractNum>
  <w:abstractNum w:abstractNumId="23" w15:restartNumberingAfterBreak="0">
    <w:nsid w:val="35710012"/>
    <w:multiLevelType w:val="hybridMultilevel"/>
    <w:tmpl w:val="3222AC9E"/>
    <w:lvl w:ilvl="0" w:tplc="B0F07572">
      <w:start w:val="1"/>
      <w:numFmt w:val="decimal"/>
      <w:lvlText w:val="%1)"/>
      <w:lvlJc w:val="left"/>
      <w:pPr>
        <w:ind w:left="720" w:hanging="360"/>
      </w:pPr>
      <w:rPr>
        <w:rFonts w:cstheme="majorBidi" w:hint="default"/>
      </w:rPr>
    </w:lvl>
    <w:lvl w:ilvl="1" w:tplc="19423C82" w:tentative="1">
      <w:start w:val="1"/>
      <w:numFmt w:val="lowerLetter"/>
      <w:lvlText w:val="%2."/>
      <w:lvlJc w:val="left"/>
      <w:pPr>
        <w:ind w:left="1440" w:hanging="360"/>
      </w:pPr>
    </w:lvl>
    <w:lvl w:ilvl="2" w:tplc="DBF83BC0" w:tentative="1">
      <w:start w:val="1"/>
      <w:numFmt w:val="lowerRoman"/>
      <w:lvlText w:val="%3."/>
      <w:lvlJc w:val="right"/>
      <w:pPr>
        <w:ind w:left="2160" w:hanging="180"/>
      </w:pPr>
    </w:lvl>
    <w:lvl w:ilvl="3" w:tplc="82824F46" w:tentative="1">
      <w:start w:val="1"/>
      <w:numFmt w:val="decimal"/>
      <w:lvlText w:val="%4."/>
      <w:lvlJc w:val="left"/>
      <w:pPr>
        <w:ind w:left="2880" w:hanging="360"/>
      </w:pPr>
    </w:lvl>
    <w:lvl w:ilvl="4" w:tplc="A3F44678" w:tentative="1">
      <w:start w:val="1"/>
      <w:numFmt w:val="lowerLetter"/>
      <w:lvlText w:val="%5."/>
      <w:lvlJc w:val="left"/>
      <w:pPr>
        <w:ind w:left="3600" w:hanging="360"/>
      </w:pPr>
    </w:lvl>
    <w:lvl w:ilvl="5" w:tplc="D584BDEC" w:tentative="1">
      <w:start w:val="1"/>
      <w:numFmt w:val="lowerRoman"/>
      <w:lvlText w:val="%6."/>
      <w:lvlJc w:val="right"/>
      <w:pPr>
        <w:ind w:left="4320" w:hanging="180"/>
      </w:pPr>
    </w:lvl>
    <w:lvl w:ilvl="6" w:tplc="A42A80EE" w:tentative="1">
      <w:start w:val="1"/>
      <w:numFmt w:val="decimal"/>
      <w:lvlText w:val="%7."/>
      <w:lvlJc w:val="left"/>
      <w:pPr>
        <w:ind w:left="5040" w:hanging="360"/>
      </w:pPr>
    </w:lvl>
    <w:lvl w:ilvl="7" w:tplc="BB006FD0" w:tentative="1">
      <w:start w:val="1"/>
      <w:numFmt w:val="lowerLetter"/>
      <w:lvlText w:val="%8."/>
      <w:lvlJc w:val="left"/>
      <w:pPr>
        <w:ind w:left="5760" w:hanging="360"/>
      </w:pPr>
    </w:lvl>
    <w:lvl w:ilvl="8" w:tplc="DFA67F40" w:tentative="1">
      <w:start w:val="1"/>
      <w:numFmt w:val="lowerRoman"/>
      <w:lvlText w:val="%9."/>
      <w:lvlJc w:val="right"/>
      <w:pPr>
        <w:ind w:left="6480" w:hanging="180"/>
      </w:pPr>
    </w:lvl>
  </w:abstractNum>
  <w:abstractNum w:abstractNumId="24" w15:restartNumberingAfterBreak="0">
    <w:nsid w:val="35C87C81"/>
    <w:multiLevelType w:val="hybridMultilevel"/>
    <w:tmpl w:val="6B90DB74"/>
    <w:lvl w:ilvl="0" w:tplc="EBFCE6EC">
      <w:start w:val="1"/>
      <w:numFmt w:val="decimal"/>
      <w:lvlText w:val="%1."/>
      <w:lvlJc w:val="left"/>
      <w:pPr>
        <w:ind w:left="1065" w:hanging="705"/>
      </w:pPr>
      <w:rPr>
        <w:rFonts w:hint="default"/>
      </w:rPr>
    </w:lvl>
    <w:lvl w:ilvl="1" w:tplc="ADD8A626" w:tentative="1">
      <w:start w:val="1"/>
      <w:numFmt w:val="lowerLetter"/>
      <w:lvlText w:val="%2."/>
      <w:lvlJc w:val="left"/>
      <w:pPr>
        <w:ind w:left="1440" w:hanging="360"/>
      </w:pPr>
    </w:lvl>
    <w:lvl w:ilvl="2" w:tplc="97F874A2" w:tentative="1">
      <w:start w:val="1"/>
      <w:numFmt w:val="lowerRoman"/>
      <w:lvlText w:val="%3."/>
      <w:lvlJc w:val="right"/>
      <w:pPr>
        <w:ind w:left="2160" w:hanging="180"/>
      </w:pPr>
    </w:lvl>
    <w:lvl w:ilvl="3" w:tplc="010A4730" w:tentative="1">
      <w:start w:val="1"/>
      <w:numFmt w:val="decimal"/>
      <w:lvlText w:val="%4."/>
      <w:lvlJc w:val="left"/>
      <w:pPr>
        <w:ind w:left="2880" w:hanging="360"/>
      </w:pPr>
    </w:lvl>
    <w:lvl w:ilvl="4" w:tplc="6F408CDE" w:tentative="1">
      <w:start w:val="1"/>
      <w:numFmt w:val="lowerLetter"/>
      <w:lvlText w:val="%5."/>
      <w:lvlJc w:val="left"/>
      <w:pPr>
        <w:ind w:left="3600" w:hanging="360"/>
      </w:pPr>
    </w:lvl>
    <w:lvl w:ilvl="5" w:tplc="873C8C5E" w:tentative="1">
      <w:start w:val="1"/>
      <w:numFmt w:val="lowerRoman"/>
      <w:lvlText w:val="%6."/>
      <w:lvlJc w:val="right"/>
      <w:pPr>
        <w:ind w:left="4320" w:hanging="180"/>
      </w:pPr>
    </w:lvl>
    <w:lvl w:ilvl="6" w:tplc="5F582E6A" w:tentative="1">
      <w:start w:val="1"/>
      <w:numFmt w:val="decimal"/>
      <w:lvlText w:val="%7."/>
      <w:lvlJc w:val="left"/>
      <w:pPr>
        <w:ind w:left="5040" w:hanging="360"/>
      </w:pPr>
    </w:lvl>
    <w:lvl w:ilvl="7" w:tplc="F1D045D8" w:tentative="1">
      <w:start w:val="1"/>
      <w:numFmt w:val="lowerLetter"/>
      <w:lvlText w:val="%8."/>
      <w:lvlJc w:val="left"/>
      <w:pPr>
        <w:ind w:left="5760" w:hanging="360"/>
      </w:pPr>
    </w:lvl>
    <w:lvl w:ilvl="8" w:tplc="0100A07E" w:tentative="1">
      <w:start w:val="1"/>
      <w:numFmt w:val="lowerRoman"/>
      <w:lvlText w:val="%9."/>
      <w:lvlJc w:val="right"/>
      <w:pPr>
        <w:ind w:left="6480" w:hanging="180"/>
      </w:pPr>
    </w:lvl>
  </w:abstractNum>
  <w:abstractNum w:abstractNumId="25" w15:restartNumberingAfterBreak="0">
    <w:nsid w:val="3B9A35FB"/>
    <w:multiLevelType w:val="hybridMultilevel"/>
    <w:tmpl w:val="2786B846"/>
    <w:lvl w:ilvl="0" w:tplc="5156DE5A">
      <w:start w:val="1"/>
      <w:numFmt w:val="upperRoman"/>
      <w:lvlText w:val="%1."/>
      <w:lvlJc w:val="left"/>
      <w:pPr>
        <w:ind w:left="1080" w:hanging="720"/>
      </w:pPr>
      <w:rPr>
        <w:rFonts w:hint="default"/>
      </w:rPr>
    </w:lvl>
    <w:lvl w:ilvl="1" w:tplc="D1765CEA" w:tentative="1">
      <w:start w:val="1"/>
      <w:numFmt w:val="lowerLetter"/>
      <w:lvlText w:val="%2."/>
      <w:lvlJc w:val="left"/>
      <w:pPr>
        <w:ind w:left="1440" w:hanging="360"/>
      </w:pPr>
    </w:lvl>
    <w:lvl w:ilvl="2" w:tplc="CF127468" w:tentative="1">
      <w:start w:val="1"/>
      <w:numFmt w:val="lowerRoman"/>
      <w:lvlText w:val="%3."/>
      <w:lvlJc w:val="right"/>
      <w:pPr>
        <w:ind w:left="2160" w:hanging="180"/>
      </w:pPr>
    </w:lvl>
    <w:lvl w:ilvl="3" w:tplc="3536DED6" w:tentative="1">
      <w:start w:val="1"/>
      <w:numFmt w:val="decimal"/>
      <w:lvlText w:val="%4."/>
      <w:lvlJc w:val="left"/>
      <w:pPr>
        <w:ind w:left="2880" w:hanging="360"/>
      </w:pPr>
    </w:lvl>
    <w:lvl w:ilvl="4" w:tplc="707E1BA2" w:tentative="1">
      <w:start w:val="1"/>
      <w:numFmt w:val="lowerLetter"/>
      <w:lvlText w:val="%5."/>
      <w:lvlJc w:val="left"/>
      <w:pPr>
        <w:ind w:left="3600" w:hanging="360"/>
      </w:pPr>
    </w:lvl>
    <w:lvl w:ilvl="5" w:tplc="9B4636E8" w:tentative="1">
      <w:start w:val="1"/>
      <w:numFmt w:val="lowerRoman"/>
      <w:lvlText w:val="%6."/>
      <w:lvlJc w:val="right"/>
      <w:pPr>
        <w:ind w:left="4320" w:hanging="180"/>
      </w:pPr>
    </w:lvl>
    <w:lvl w:ilvl="6" w:tplc="ADCCF268" w:tentative="1">
      <w:start w:val="1"/>
      <w:numFmt w:val="decimal"/>
      <w:lvlText w:val="%7."/>
      <w:lvlJc w:val="left"/>
      <w:pPr>
        <w:ind w:left="5040" w:hanging="360"/>
      </w:pPr>
    </w:lvl>
    <w:lvl w:ilvl="7" w:tplc="25BE4C66" w:tentative="1">
      <w:start w:val="1"/>
      <w:numFmt w:val="lowerLetter"/>
      <w:lvlText w:val="%8."/>
      <w:lvlJc w:val="left"/>
      <w:pPr>
        <w:ind w:left="5760" w:hanging="360"/>
      </w:pPr>
    </w:lvl>
    <w:lvl w:ilvl="8" w:tplc="76841CAA" w:tentative="1">
      <w:start w:val="1"/>
      <w:numFmt w:val="lowerRoman"/>
      <w:lvlText w:val="%9."/>
      <w:lvlJc w:val="right"/>
      <w:pPr>
        <w:ind w:left="6480" w:hanging="180"/>
      </w:pPr>
    </w:lvl>
  </w:abstractNum>
  <w:abstractNum w:abstractNumId="26" w15:restartNumberingAfterBreak="0">
    <w:nsid w:val="3FAE4074"/>
    <w:multiLevelType w:val="hybridMultilevel"/>
    <w:tmpl w:val="DD36DDB2"/>
    <w:lvl w:ilvl="0" w:tplc="C9FC736A">
      <w:start w:val="1"/>
      <w:numFmt w:val="decimal"/>
      <w:lvlText w:val="%1."/>
      <w:lvlJc w:val="left"/>
      <w:pPr>
        <w:ind w:left="1065" w:hanging="705"/>
      </w:pPr>
      <w:rPr>
        <w:rFonts w:hint="default"/>
      </w:rPr>
    </w:lvl>
    <w:lvl w:ilvl="1" w:tplc="079EBA32" w:tentative="1">
      <w:start w:val="1"/>
      <w:numFmt w:val="lowerLetter"/>
      <w:lvlText w:val="%2."/>
      <w:lvlJc w:val="left"/>
      <w:pPr>
        <w:ind w:left="1440" w:hanging="360"/>
      </w:pPr>
    </w:lvl>
    <w:lvl w:ilvl="2" w:tplc="C9AC6092" w:tentative="1">
      <w:start w:val="1"/>
      <w:numFmt w:val="lowerRoman"/>
      <w:lvlText w:val="%3."/>
      <w:lvlJc w:val="right"/>
      <w:pPr>
        <w:ind w:left="2160" w:hanging="180"/>
      </w:pPr>
    </w:lvl>
    <w:lvl w:ilvl="3" w:tplc="25EE70F4" w:tentative="1">
      <w:start w:val="1"/>
      <w:numFmt w:val="decimal"/>
      <w:lvlText w:val="%4."/>
      <w:lvlJc w:val="left"/>
      <w:pPr>
        <w:ind w:left="2880" w:hanging="360"/>
      </w:pPr>
    </w:lvl>
    <w:lvl w:ilvl="4" w:tplc="C6F64EE0" w:tentative="1">
      <w:start w:val="1"/>
      <w:numFmt w:val="lowerLetter"/>
      <w:lvlText w:val="%5."/>
      <w:lvlJc w:val="left"/>
      <w:pPr>
        <w:ind w:left="3600" w:hanging="360"/>
      </w:pPr>
    </w:lvl>
    <w:lvl w:ilvl="5" w:tplc="7B922C84" w:tentative="1">
      <w:start w:val="1"/>
      <w:numFmt w:val="lowerRoman"/>
      <w:lvlText w:val="%6."/>
      <w:lvlJc w:val="right"/>
      <w:pPr>
        <w:ind w:left="4320" w:hanging="180"/>
      </w:pPr>
    </w:lvl>
    <w:lvl w:ilvl="6" w:tplc="4A6469D0" w:tentative="1">
      <w:start w:val="1"/>
      <w:numFmt w:val="decimal"/>
      <w:lvlText w:val="%7."/>
      <w:lvlJc w:val="left"/>
      <w:pPr>
        <w:ind w:left="5040" w:hanging="360"/>
      </w:pPr>
    </w:lvl>
    <w:lvl w:ilvl="7" w:tplc="B914E342" w:tentative="1">
      <w:start w:val="1"/>
      <w:numFmt w:val="lowerLetter"/>
      <w:lvlText w:val="%8."/>
      <w:lvlJc w:val="left"/>
      <w:pPr>
        <w:ind w:left="5760" w:hanging="360"/>
      </w:pPr>
    </w:lvl>
    <w:lvl w:ilvl="8" w:tplc="EADE062E" w:tentative="1">
      <w:start w:val="1"/>
      <w:numFmt w:val="lowerRoman"/>
      <w:lvlText w:val="%9."/>
      <w:lvlJc w:val="right"/>
      <w:pPr>
        <w:ind w:left="6480" w:hanging="180"/>
      </w:pPr>
    </w:lvl>
  </w:abstractNum>
  <w:abstractNum w:abstractNumId="27" w15:restartNumberingAfterBreak="0">
    <w:nsid w:val="46EF7DEC"/>
    <w:multiLevelType w:val="hybridMultilevel"/>
    <w:tmpl w:val="4CD043EA"/>
    <w:lvl w:ilvl="0" w:tplc="BCB8734A">
      <w:start w:val="1"/>
      <w:numFmt w:val="lowerLetter"/>
      <w:lvlText w:val="%1."/>
      <w:lvlJc w:val="left"/>
      <w:pPr>
        <w:ind w:left="1785" w:hanging="360"/>
      </w:pPr>
    </w:lvl>
    <w:lvl w:ilvl="1" w:tplc="5028A5A8" w:tentative="1">
      <w:start w:val="1"/>
      <w:numFmt w:val="lowerLetter"/>
      <w:lvlText w:val="%2."/>
      <w:lvlJc w:val="left"/>
      <w:pPr>
        <w:ind w:left="2505" w:hanging="360"/>
      </w:pPr>
    </w:lvl>
    <w:lvl w:ilvl="2" w:tplc="A5C6474A" w:tentative="1">
      <w:start w:val="1"/>
      <w:numFmt w:val="lowerRoman"/>
      <w:lvlText w:val="%3."/>
      <w:lvlJc w:val="right"/>
      <w:pPr>
        <w:ind w:left="3225" w:hanging="180"/>
      </w:pPr>
    </w:lvl>
    <w:lvl w:ilvl="3" w:tplc="32904914" w:tentative="1">
      <w:start w:val="1"/>
      <w:numFmt w:val="decimal"/>
      <w:lvlText w:val="%4."/>
      <w:lvlJc w:val="left"/>
      <w:pPr>
        <w:ind w:left="3945" w:hanging="360"/>
      </w:pPr>
    </w:lvl>
    <w:lvl w:ilvl="4" w:tplc="EA1834C6" w:tentative="1">
      <w:start w:val="1"/>
      <w:numFmt w:val="lowerLetter"/>
      <w:lvlText w:val="%5."/>
      <w:lvlJc w:val="left"/>
      <w:pPr>
        <w:ind w:left="4665" w:hanging="360"/>
      </w:pPr>
    </w:lvl>
    <w:lvl w:ilvl="5" w:tplc="00421D72" w:tentative="1">
      <w:start w:val="1"/>
      <w:numFmt w:val="lowerRoman"/>
      <w:lvlText w:val="%6."/>
      <w:lvlJc w:val="right"/>
      <w:pPr>
        <w:ind w:left="5385" w:hanging="180"/>
      </w:pPr>
    </w:lvl>
    <w:lvl w:ilvl="6" w:tplc="1CEE55D0" w:tentative="1">
      <w:start w:val="1"/>
      <w:numFmt w:val="decimal"/>
      <w:lvlText w:val="%7."/>
      <w:lvlJc w:val="left"/>
      <w:pPr>
        <w:ind w:left="6105" w:hanging="360"/>
      </w:pPr>
    </w:lvl>
    <w:lvl w:ilvl="7" w:tplc="7DC6AB7A" w:tentative="1">
      <w:start w:val="1"/>
      <w:numFmt w:val="lowerLetter"/>
      <w:lvlText w:val="%8."/>
      <w:lvlJc w:val="left"/>
      <w:pPr>
        <w:ind w:left="6825" w:hanging="360"/>
      </w:pPr>
    </w:lvl>
    <w:lvl w:ilvl="8" w:tplc="0E1EE148" w:tentative="1">
      <w:start w:val="1"/>
      <w:numFmt w:val="lowerRoman"/>
      <w:lvlText w:val="%9."/>
      <w:lvlJc w:val="right"/>
      <w:pPr>
        <w:ind w:left="7545" w:hanging="180"/>
      </w:pPr>
    </w:lvl>
  </w:abstractNum>
  <w:abstractNum w:abstractNumId="28" w15:restartNumberingAfterBreak="0">
    <w:nsid w:val="47B93D47"/>
    <w:multiLevelType w:val="hybridMultilevel"/>
    <w:tmpl w:val="D6E231F0"/>
    <w:lvl w:ilvl="0" w:tplc="19F646AE">
      <w:start w:val="1"/>
      <w:numFmt w:val="upperRoman"/>
      <w:lvlText w:val="%1."/>
      <w:lvlJc w:val="left"/>
      <w:pPr>
        <w:ind w:left="1080" w:hanging="720"/>
      </w:pPr>
      <w:rPr>
        <w:rFonts w:hint="default"/>
      </w:rPr>
    </w:lvl>
    <w:lvl w:ilvl="1" w:tplc="F818454E" w:tentative="1">
      <w:start w:val="1"/>
      <w:numFmt w:val="lowerLetter"/>
      <w:lvlText w:val="%2."/>
      <w:lvlJc w:val="left"/>
      <w:pPr>
        <w:ind w:left="1440" w:hanging="360"/>
      </w:pPr>
    </w:lvl>
    <w:lvl w:ilvl="2" w:tplc="2A02EE1C" w:tentative="1">
      <w:start w:val="1"/>
      <w:numFmt w:val="lowerRoman"/>
      <w:lvlText w:val="%3."/>
      <w:lvlJc w:val="right"/>
      <w:pPr>
        <w:ind w:left="2160" w:hanging="180"/>
      </w:pPr>
    </w:lvl>
    <w:lvl w:ilvl="3" w:tplc="30163DE6" w:tentative="1">
      <w:start w:val="1"/>
      <w:numFmt w:val="decimal"/>
      <w:lvlText w:val="%4."/>
      <w:lvlJc w:val="left"/>
      <w:pPr>
        <w:ind w:left="2880" w:hanging="360"/>
      </w:pPr>
    </w:lvl>
    <w:lvl w:ilvl="4" w:tplc="12DE4BC6" w:tentative="1">
      <w:start w:val="1"/>
      <w:numFmt w:val="lowerLetter"/>
      <w:lvlText w:val="%5."/>
      <w:lvlJc w:val="left"/>
      <w:pPr>
        <w:ind w:left="3600" w:hanging="360"/>
      </w:pPr>
    </w:lvl>
    <w:lvl w:ilvl="5" w:tplc="3F46C916" w:tentative="1">
      <w:start w:val="1"/>
      <w:numFmt w:val="lowerRoman"/>
      <w:lvlText w:val="%6."/>
      <w:lvlJc w:val="right"/>
      <w:pPr>
        <w:ind w:left="4320" w:hanging="180"/>
      </w:pPr>
    </w:lvl>
    <w:lvl w:ilvl="6" w:tplc="FBE65510" w:tentative="1">
      <w:start w:val="1"/>
      <w:numFmt w:val="decimal"/>
      <w:lvlText w:val="%7."/>
      <w:lvlJc w:val="left"/>
      <w:pPr>
        <w:ind w:left="5040" w:hanging="360"/>
      </w:pPr>
    </w:lvl>
    <w:lvl w:ilvl="7" w:tplc="B08EED26" w:tentative="1">
      <w:start w:val="1"/>
      <w:numFmt w:val="lowerLetter"/>
      <w:lvlText w:val="%8."/>
      <w:lvlJc w:val="left"/>
      <w:pPr>
        <w:ind w:left="5760" w:hanging="360"/>
      </w:pPr>
    </w:lvl>
    <w:lvl w:ilvl="8" w:tplc="80BEA214" w:tentative="1">
      <w:start w:val="1"/>
      <w:numFmt w:val="lowerRoman"/>
      <w:lvlText w:val="%9."/>
      <w:lvlJc w:val="right"/>
      <w:pPr>
        <w:ind w:left="6480" w:hanging="180"/>
      </w:pPr>
    </w:lvl>
  </w:abstractNum>
  <w:abstractNum w:abstractNumId="29" w15:restartNumberingAfterBreak="0">
    <w:nsid w:val="4B037364"/>
    <w:multiLevelType w:val="multilevel"/>
    <w:tmpl w:val="37423E32"/>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EC5AB2"/>
    <w:multiLevelType w:val="hybridMultilevel"/>
    <w:tmpl w:val="326CC496"/>
    <w:lvl w:ilvl="0" w:tplc="FCD63F62">
      <w:start w:val="1"/>
      <w:numFmt w:val="decimal"/>
      <w:lvlText w:val="%1)"/>
      <w:lvlJc w:val="left"/>
      <w:pPr>
        <w:ind w:left="720" w:hanging="360"/>
      </w:pPr>
      <w:rPr>
        <w:rFonts w:hint="default"/>
      </w:rPr>
    </w:lvl>
    <w:lvl w:ilvl="1" w:tplc="DF429276" w:tentative="1">
      <w:start w:val="1"/>
      <w:numFmt w:val="lowerLetter"/>
      <w:lvlText w:val="%2."/>
      <w:lvlJc w:val="left"/>
      <w:pPr>
        <w:ind w:left="1440" w:hanging="360"/>
      </w:pPr>
    </w:lvl>
    <w:lvl w:ilvl="2" w:tplc="50AEB624" w:tentative="1">
      <w:start w:val="1"/>
      <w:numFmt w:val="lowerRoman"/>
      <w:lvlText w:val="%3."/>
      <w:lvlJc w:val="right"/>
      <w:pPr>
        <w:ind w:left="2160" w:hanging="180"/>
      </w:pPr>
    </w:lvl>
    <w:lvl w:ilvl="3" w:tplc="2C587E84" w:tentative="1">
      <w:start w:val="1"/>
      <w:numFmt w:val="decimal"/>
      <w:lvlText w:val="%4."/>
      <w:lvlJc w:val="left"/>
      <w:pPr>
        <w:ind w:left="2880" w:hanging="360"/>
      </w:pPr>
    </w:lvl>
    <w:lvl w:ilvl="4" w:tplc="036C8CB4" w:tentative="1">
      <w:start w:val="1"/>
      <w:numFmt w:val="lowerLetter"/>
      <w:lvlText w:val="%5."/>
      <w:lvlJc w:val="left"/>
      <w:pPr>
        <w:ind w:left="3600" w:hanging="360"/>
      </w:pPr>
    </w:lvl>
    <w:lvl w:ilvl="5" w:tplc="674AEEA6" w:tentative="1">
      <w:start w:val="1"/>
      <w:numFmt w:val="lowerRoman"/>
      <w:lvlText w:val="%6."/>
      <w:lvlJc w:val="right"/>
      <w:pPr>
        <w:ind w:left="4320" w:hanging="180"/>
      </w:pPr>
    </w:lvl>
    <w:lvl w:ilvl="6" w:tplc="EE72174C" w:tentative="1">
      <w:start w:val="1"/>
      <w:numFmt w:val="decimal"/>
      <w:lvlText w:val="%7."/>
      <w:lvlJc w:val="left"/>
      <w:pPr>
        <w:ind w:left="5040" w:hanging="360"/>
      </w:pPr>
    </w:lvl>
    <w:lvl w:ilvl="7" w:tplc="0B2E6116" w:tentative="1">
      <w:start w:val="1"/>
      <w:numFmt w:val="lowerLetter"/>
      <w:lvlText w:val="%8."/>
      <w:lvlJc w:val="left"/>
      <w:pPr>
        <w:ind w:left="5760" w:hanging="360"/>
      </w:pPr>
    </w:lvl>
    <w:lvl w:ilvl="8" w:tplc="FC3ADB4C" w:tentative="1">
      <w:start w:val="1"/>
      <w:numFmt w:val="lowerRoman"/>
      <w:lvlText w:val="%9."/>
      <w:lvlJc w:val="right"/>
      <w:pPr>
        <w:ind w:left="6480" w:hanging="180"/>
      </w:pPr>
    </w:lvl>
  </w:abstractNum>
  <w:abstractNum w:abstractNumId="31" w15:restartNumberingAfterBreak="0">
    <w:nsid w:val="52D16097"/>
    <w:multiLevelType w:val="hybridMultilevel"/>
    <w:tmpl w:val="75801B12"/>
    <w:lvl w:ilvl="0" w:tplc="ACCED2D4">
      <w:start w:val="1"/>
      <w:numFmt w:val="decimal"/>
      <w:lvlText w:val="%1."/>
      <w:lvlJc w:val="left"/>
      <w:pPr>
        <w:ind w:left="720" w:hanging="360"/>
      </w:pPr>
    </w:lvl>
    <w:lvl w:ilvl="1" w:tplc="B70A910E" w:tentative="1">
      <w:start w:val="1"/>
      <w:numFmt w:val="lowerLetter"/>
      <w:lvlText w:val="%2."/>
      <w:lvlJc w:val="left"/>
      <w:pPr>
        <w:ind w:left="1440" w:hanging="360"/>
      </w:pPr>
    </w:lvl>
    <w:lvl w:ilvl="2" w:tplc="3DF65652" w:tentative="1">
      <w:start w:val="1"/>
      <w:numFmt w:val="lowerRoman"/>
      <w:lvlText w:val="%3."/>
      <w:lvlJc w:val="right"/>
      <w:pPr>
        <w:ind w:left="2160" w:hanging="180"/>
      </w:pPr>
    </w:lvl>
    <w:lvl w:ilvl="3" w:tplc="E460C762" w:tentative="1">
      <w:start w:val="1"/>
      <w:numFmt w:val="decimal"/>
      <w:lvlText w:val="%4."/>
      <w:lvlJc w:val="left"/>
      <w:pPr>
        <w:ind w:left="2880" w:hanging="360"/>
      </w:pPr>
    </w:lvl>
    <w:lvl w:ilvl="4" w:tplc="B334519C" w:tentative="1">
      <w:start w:val="1"/>
      <w:numFmt w:val="lowerLetter"/>
      <w:lvlText w:val="%5."/>
      <w:lvlJc w:val="left"/>
      <w:pPr>
        <w:ind w:left="3600" w:hanging="360"/>
      </w:pPr>
    </w:lvl>
    <w:lvl w:ilvl="5" w:tplc="4B321F8E" w:tentative="1">
      <w:start w:val="1"/>
      <w:numFmt w:val="lowerRoman"/>
      <w:lvlText w:val="%6."/>
      <w:lvlJc w:val="right"/>
      <w:pPr>
        <w:ind w:left="4320" w:hanging="180"/>
      </w:pPr>
    </w:lvl>
    <w:lvl w:ilvl="6" w:tplc="D906794A" w:tentative="1">
      <w:start w:val="1"/>
      <w:numFmt w:val="decimal"/>
      <w:lvlText w:val="%7."/>
      <w:lvlJc w:val="left"/>
      <w:pPr>
        <w:ind w:left="5040" w:hanging="360"/>
      </w:pPr>
    </w:lvl>
    <w:lvl w:ilvl="7" w:tplc="6E506D4C" w:tentative="1">
      <w:start w:val="1"/>
      <w:numFmt w:val="lowerLetter"/>
      <w:lvlText w:val="%8."/>
      <w:lvlJc w:val="left"/>
      <w:pPr>
        <w:ind w:left="5760" w:hanging="360"/>
      </w:pPr>
    </w:lvl>
    <w:lvl w:ilvl="8" w:tplc="81EE2156" w:tentative="1">
      <w:start w:val="1"/>
      <w:numFmt w:val="lowerRoman"/>
      <w:lvlText w:val="%9."/>
      <w:lvlJc w:val="right"/>
      <w:pPr>
        <w:ind w:left="6480" w:hanging="180"/>
      </w:pPr>
    </w:lvl>
  </w:abstractNum>
  <w:abstractNum w:abstractNumId="32" w15:restartNumberingAfterBreak="0">
    <w:nsid w:val="54365575"/>
    <w:multiLevelType w:val="hybridMultilevel"/>
    <w:tmpl w:val="6D303F2C"/>
    <w:lvl w:ilvl="0" w:tplc="5F407248">
      <w:start w:val="1"/>
      <w:numFmt w:val="decimal"/>
      <w:lvlText w:val="%1)"/>
      <w:lvlJc w:val="left"/>
      <w:pPr>
        <w:ind w:left="720" w:hanging="360"/>
      </w:pPr>
    </w:lvl>
    <w:lvl w:ilvl="1" w:tplc="959AA5BE">
      <w:start w:val="1"/>
      <w:numFmt w:val="decimal"/>
      <w:lvlText w:val="%2)"/>
      <w:lvlJc w:val="left"/>
      <w:pPr>
        <w:ind w:left="720" w:hanging="360"/>
      </w:pPr>
    </w:lvl>
    <w:lvl w:ilvl="2" w:tplc="D7648E00">
      <w:start w:val="1"/>
      <w:numFmt w:val="decimal"/>
      <w:lvlText w:val="%3)"/>
      <w:lvlJc w:val="left"/>
      <w:pPr>
        <w:ind w:left="720" w:hanging="360"/>
      </w:pPr>
    </w:lvl>
    <w:lvl w:ilvl="3" w:tplc="3CD4E204">
      <w:start w:val="1"/>
      <w:numFmt w:val="decimal"/>
      <w:lvlText w:val="%4)"/>
      <w:lvlJc w:val="left"/>
      <w:pPr>
        <w:ind w:left="720" w:hanging="360"/>
      </w:pPr>
    </w:lvl>
    <w:lvl w:ilvl="4" w:tplc="52C01410">
      <w:start w:val="1"/>
      <w:numFmt w:val="decimal"/>
      <w:lvlText w:val="%5)"/>
      <w:lvlJc w:val="left"/>
      <w:pPr>
        <w:ind w:left="720" w:hanging="360"/>
      </w:pPr>
    </w:lvl>
    <w:lvl w:ilvl="5" w:tplc="1F58BC00">
      <w:start w:val="1"/>
      <w:numFmt w:val="decimal"/>
      <w:lvlText w:val="%6)"/>
      <w:lvlJc w:val="left"/>
      <w:pPr>
        <w:ind w:left="720" w:hanging="360"/>
      </w:pPr>
    </w:lvl>
    <w:lvl w:ilvl="6" w:tplc="F1CA8FC8">
      <w:start w:val="1"/>
      <w:numFmt w:val="decimal"/>
      <w:lvlText w:val="%7)"/>
      <w:lvlJc w:val="left"/>
      <w:pPr>
        <w:ind w:left="720" w:hanging="360"/>
      </w:pPr>
    </w:lvl>
    <w:lvl w:ilvl="7" w:tplc="774E8CF8">
      <w:start w:val="1"/>
      <w:numFmt w:val="decimal"/>
      <w:lvlText w:val="%8)"/>
      <w:lvlJc w:val="left"/>
      <w:pPr>
        <w:ind w:left="720" w:hanging="360"/>
      </w:pPr>
    </w:lvl>
    <w:lvl w:ilvl="8" w:tplc="B2BA0A3A">
      <w:start w:val="1"/>
      <w:numFmt w:val="decimal"/>
      <w:lvlText w:val="%9)"/>
      <w:lvlJc w:val="left"/>
      <w:pPr>
        <w:ind w:left="720" w:hanging="360"/>
      </w:pPr>
    </w:lvl>
  </w:abstractNum>
  <w:abstractNum w:abstractNumId="33" w15:restartNumberingAfterBreak="0">
    <w:nsid w:val="54545B99"/>
    <w:multiLevelType w:val="hybridMultilevel"/>
    <w:tmpl w:val="775210F4"/>
    <w:lvl w:ilvl="0" w:tplc="E1AC2128">
      <w:start w:val="18"/>
      <w:numFmt w:val="decimal"/>
      <w:lvlText w:val="%1."/>
      <w:lvlJc w:val="left"/>
      <w:pPr>
        <w:ind w:left="720" w:hanging="360"/>
      </w:pPr>
      <w:rPr>
        <w:rFonts w:hint="default"/>
      </w:rPr>
    </w:lvl>
    <w:lvl w:ilvl="1" w:tplc="6F663812" w:tentative="1">
      <w:start w:val="1"/>
      <w:numFmt w:val="lowerLetter"/>
      <w:lvlText w:val="%2."/>
      <w:lvlJc w:val="left"/>
      <w:pPr>
        <w:ind w:left="1440" w:hanging="360"/>
      </w:pPr>
    </w:lvl>
    <w:lvl w:ilvl="2" w:tplc="5B96FADE" w:tentative="1">
      <w:start w:val="1"/>
      <w:numFmt w:val="lowerRoman"/>
      <w:lvlText w:val="%3."/>
      <w:lvlJc w:val="right"/>
      <w:pPr>
        <w:ind w:left="2160" w:hanging="180"/>
      </w:pPr>
    </w:lvl>
    <w:lvl w:ilvl="3" w:tplc="D87CB3C2" w:tentative="1">
      <w:start w:val="1"/>
      <w:numFmt w:val="decimal"/>
      <w:lvlText w:val="%4."/>
      <w:lvlJc w:val="left"/>
      <w:pPr>
        <w:ind w:left="2880" w:hanging="360"/>
      </w:pPr>
    </w:lvl>
    <w:lvl w:ilvl="4" w:tplc="A9EC38D6" w:tentative="1">
      <w:start w:val="1"/>
      <w:numFmt w:val="lowerLetter"/>
      <w:lvlText w:val="%5."/>
      <w:lvlJc w:val="left"/>
      <w:pPr>
        <w:ind w:left="3600" w:hanging="360"/>
      </w:pPr>
    </w:lvl>
    <w:lvl w:ilvl="5" w:tplc="ED929A70" w:tentative="1">
      <w:start w:val="1"/>
      <w:numFmt w:val="lowerRoman"/>
      <w:lvlText w:val="%6."/>
      <w:lvlJc w:val="right"/>
      <w:pPr>
        <w:ind w:left="4320" w:hanging="180"/>
      </w:pPr>
    </w:lvl>
    <w:lvl w:ilvl="6" w:tplc="5412C1F4" w:tentative="1">
      <w:start w:val="1"/>
      <w:numFmt w:val="decimal"/>
      <w:lvlText w:val="%7."/>
      <w:lvlJc w:val="left"/>
      <w:pPr>
        <w:ind w:left="5040" w:hanging="360"/>
      </w:pPr>
    </w:lvl>
    <w:lvl w:ilvl="7" w:tplc="5672B2D6" w:tentative="1">
      <w:start w:val="1"/>
      <w:numFmt w:val="lowerLetter"/>
      <w:lvlText w:val="%8."/>
      <w:lvlJc w:val="left"/>
      <w:pPr>
        <w:ind w:left="5760" w:hanging="360"/>
      </w:pPr>
    </w:lvl>
    <w:lvl w:ilvl="8" w:tplc="47C4AE38" w:tentative="1">
      <w:start w:val="1"/>
      <w:numFmt w:val="lowerRoman"/>
      <w:lvlText w:val="%9."/>
      <w:lvlJc w:val="right"/>
      <w:pPr>
        <w:ind w:left="6480" w:hanging="180"/>
      </w:pPr>
    </w:lvl>
  </w:abstractNum>
  <w:abstractNum w:abstractNumId="34" w15:restartNumberingAfterBreak="0">
    <w:nsid w:val="5A7622E4"/>
    <w:multiLevelType w:val="hybridMultilevel"/>
    <w:tmpl w:val="7C0AF720"/>
    <w:lvl w:ilvl="0" w:tplc="EC0AC128">
      <w:start w:val="1"/>
      <w:numFmt w:val="decimal"/>
      <w:lvlText w:val="%1."/>
      <w:lvlJc w:val="left"/>
      <w:pPr>
        <w:ind w:left="1065" w:hanging="705"/>
      </w:pPr>
      <w:rPr>
        <w:rFonts w:hint="default"/>
      </w:rPr>
    </w:lvl>
    <w:lvl w:ilvl="1" w:tplc="A7C25032" w:tentative="1">
      <w:start w:val="1"/>
      <w:numFmt w:val="lowerLetter"/>
      <w:lvlText w:val="%2."/>
      <w:lvlJc w:val="left"/>
      <w:pPr>
        <w:ind w:left="1440" w:hanging="360"/>
      </w:pPr>
    </w:lvl>
    <w:lvl w:ilvl="2" w:tplc="F6A8552C" w:tentative="1">
      <w:start w:val="1"/>
      <w:numFmt w:val="lowerRoman"/>
      <w:lvlText w:val="%3."/>
      <w:lvlJc w:val="right"/>
      <w:pPr>
        <w:ind w:left="2160" w:hanging="180"/>
      </w:pPr>
    </w:lvl>
    <w:lvl w:ilvl="3" w:tplc="F14695F6" w:tentative="1">
      <w:start w:val="1"/>
      <w:numFmt w:val="decimal"/>
      <w:lvlText w:val="%4."/>
      <w:lvlJc w:val="left"/>
      <w:pPr>
        <w:ind w:left="2880" w:hanging="360"/>
      </w:pPr>
    </w:lvl>
    <w:lvl w:ilvl="4" w:tplc="85B0190E" w:tentative="1">
      <w:start w:val="1"/>
      <w:numFmt w:val="lowerLetter"/>
      <w:lvlText w:val="%5."/>
      <w:lvlJc w:val="left"/>
      <w:pPr>
        <w:ind w:left="3600" w:hanging="360"/>
      </w:pPr>
    </w:lvl>
    <w:lvl w:ilvl="5" w:tplc="A0D20BE8" w:tentative="1">
      <w:start w:val="1"/>
      <w:numFmt w:val="lowerRoman"/>
      <w:lvlText w:val="%6."/>
      <w:lvlJc w:val="right"/>
      <w:pPr>
        <w:ind w:left="4320" w:hanging="180"/>
      </w:pPr>
    </w:lvl>
    <w:lvl w:ilvl="6" w:tplc="0ED0B2A0" w:tentative="1">
      <w:start w:val="1"/>
      <w:numFmt w:val="decimal"/>
      <w:lvlText w:val="%7."/>
      <w:lvlJc w:val="left"/>
      <w:pPr>
        <w:ind w:left="5040" w:hanging="360"/>
      </w:pPr>
    </w:lvl>
    <w:lvl w:ilvl="7" w:tplc="3104BEFC" w:tentative="1">
      <w:start w:val="1"/>
      <w:numFmt w:val="lowerLetter"/>
      <w:lvlText w:val="%8."/>
      <w:lvlJc w:val="left"/>
      <w:pPr>
        <w:ind w:left="5760" w:hanging="360"/>
      </w:pPr>
    </w:lvl>
    <w:lvl w:ilvl="8" w:tplc="39ACD5BA" w:tentative="1">
      <w:start w:val="1"/>
      <w:numFmt w:val="lowerRoman"/>
      <w:lvlText w:val="%9."/>
      <w:lvlJc w:val="right"/>
      <w:pPr>
        <w:ind w:left="6480" w:hanging="180"/>
      </w:pPr>
    </w:lvl>
  </w:abstractNum>
  <w:abstractNum w:abstractNumId="35" w15:restartNumberingAfterBreak="0">
    <w:nsid w:val="5AED08A8"/>
    <w:multiLevelType w:val="hybridMultilevel"/>
    <w:tmpl w:val="F8E61E98"/>
    <w:lvl w:ilvl="0" w:tplc="222A2CE8">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5D6B10F2"/>
    <w:multiLevelType w:val="hybridMultilevel"/>
    <w:tmpl w:val="B86EE7CC"/>
    <w:lvl w:ilvl="0" w:tplc="A0C4EB94">
      <w:start w:val="18"/>
      <w:numFmt w:val="decimal"/>
      <w:lvlText w:val="%1."/>
      <w:lvlJc w:val="left"/>
      <w:pPr>
        <w:ind w:left="720" w:hanging="360"/>
      </w:pPr>
      <w:rPr>
        <w:rFonts w:hint="default"/>
      </w:rPr>
    </w:lvl>
    <w:lvl w:ilvl="1" w:tplc="306881A2" w:tentative="1">
      <w:start w:val="1"/>
      <w:numFmt w:val="lowerLetter"/>
      <w:lvlText w:val="%2."/>
      <w:lvlJc w:val="left"/>
      <w:pPr>
        <w:ind w:left="1440" w:hanging="360"/>
      </w:pPr>
    </w:lvl>
    <w:lvl w:ilvl="2" w:tplc="929A8616" w:tentative="1">
      <w:start w:val="1"/>
      <w:numFmt w:val="lowerRoman"/>
      <w:lvlText w:val="%3."/>
      <w:lvlJc w:val="right"/>
      <w:pPr>
        <w:ind w:left="2160" w:hanging="180"/>
      </w:pPr>
    </w:lvl>
    <w:lvl w:ilvl="3" w:tplc="76AE62C2" w:tentative="1">
      <w:start w:val="1"/>
      <w:numFmt w:val="decimal"/>
      <w:lvlText w:val="%4."/>
      <w:lvlJc w:val="left"/>
      <w:pPr>
        <w:ind w:left="2880" w:hanging="360"/>
      </w:pPr>
    </w:lvl>
    <w:lvl w:ilvl="4" w:tplc="44FE37CA" w:tentative="1">
      <w:start w:val="1"/>
      <w:numFmt w:val="lowerLetter"/>
      <w:lvlText w:val="%5."/>
      <w:lvlJc w:val="left"/>
      <w:pPr>
        <w:ind w:left="3600" w:hanging="360"/>
      </w:pPr>
    </w:lvl>
    <w:lvl w:ilvl="5" w:tplc="C2AE17AA" w:tentative="1">
      <w:start w:val="1"/>
      <w:numFmt w:val="lowerRoman"/>
      <w:lvlText w:val="%6."/>
      <w:lvlJc w:val="right"/>
      <w:pPr>
        <w:ind w:left="4320" w:hanging="180"/>
      </w:pPr>
    </w:lvl>
    <w:lvl w:ilvl="6" w:tplc="545A5492" w:tentative="1">
      <w:start w:val="1"/>
      <w:numFmt w:val="decimal"/>
      <w:lvlText w:val="%7."/>
      <w:lvlJc w:val="left"/>
      <w:pPr>
        <w:ind w:left="5040" w:hanging="360"/>
      </w:pPr>
    </w:lvl>
    <w:lvl w:ilvl="7" w:tplc="F1D40648" w:tentative="1">
      <w:start w:val="1"/>
      <w:numFmt w:val="lowerLetter"/>
      <w:lvlText w:val="%8."/>
      <w:lvlJc w:val="left"/>
      <w:pPr>
        <w:ind w:left="5760" w:hanging="360"/>
      </w:pPr>
    </w:lvl>
    <w:lvl w:ilvl="8" w:tplc="550C3B14" w:tentative="1">
      <w:start w:val="1"/>
      <w:numFmt w:val="lowerRoman"/>
      <w:lvlText w:val="%9."/>
      <w:lvlJc w:val="right"/>
      <w:pPr>
        <w:ind w:left="6480" w:hanging="180"/>
      </w:pPr>
    </w:lvl>
  </w:abstractNum>
  <w:abstractNum w:abstractNumId="37" w15:restartNumberingAfterBreak="0">
    <w:nsid w:val="63C41DB7"/>
    <w:multiLevelType w:val="hybridMultilevel"/>
    <w:tmpl w:val="00B81200"/>
    <w:lvl w:ilvl="0" w:tplc="16643EEE">
      <w:start w:val="1"/>
      <w:numFmt w:val="decimal"/>
      <w:lvlText w:val="%1."/>
      <w:lvlJc w:val="left"/>
      <w:pPr>
        <w:ind w:left="720" w:hanging="360"/>
      </w:pPr>
      <w:rPr>
        <w:rFonts w:hint="default"/>
      </w:rPr>
    </w:lvl>
    <w:lvl w:ilvl="1" w:tplc="AC06E34C" w:tentative="1">
      <w:start w:val="1"/>
      <w:numFmt w:val="lowerLetter"/>
      <w:lvlText w:val="%2."/>
      <w:lvlJc w:val="left"/>
      <w:pPr>
        <w:ind w:left="1440" w:hanging="360"/>
      </w:pPr>
    </w:lvl>
    <w:lvl w:ilvl="2" w:tplc="8B86140C" w:tentative="1">
      <w:start w:val="1"/>
      <w:numFmt w:val="lowerRoman"/>
      <w:lvlText w:val="%3."/>
      <w:lvlJc w:val="right"/>
      <w:pPr>
        <w:ind w:left="2160" w:hanging="180"/>
      </w:pPr>
    </w:lvl>
    <w:lvl w:ilvl="3" w:tplc="705AB7DE" w:tentative="1">
      <w:start w:val="1"/>
      <w:numFmt w:val="decimal"/>
      <w:lvlText w:val="%4."/>
      <w:lvlJc w:val="left"/>
      <w:pPr>
        <w:ind w:left="2880" w:hanging="360"/>
      </w:pPr>
    </w:lvl>
    <w:lvl w:ilvl="4" w:tplc="58808522" w:tentative="1">
      <w:start w:val="1"/>
      <w:numFmt w:val="lowerLetter"/>
      <w:lvlText w:val="%5."/>
      <w:lvlJc w:val="left"/>
      <w:pPr>
        <w:ind w:left="3600" w:hanging="360"/>
      </w:pPr>
    </w:lvl>
    <w:lvl w:ilvl="5" w:tplc="FEFA52D6" w:tentative="1">
      <w:start w:val="1"/>
      <w:numFmt w:val="lowerRoman"/>
      <w:lvlText w:val="%6."/>
      <w:lvlJc w:val="right"/>
      <w:pPr>
        <w:ind w:left="4320" w:hanging="180"/>
      </w:pPr>
    </w:lvl>
    <w:lvl w:ilvl="6" w:tplc="3EC2F966" w:tentative="1">
      <w:start w:val="1"/>
      <w:numFmt w:val="decimal"/>
      <w:lvlText w:val="%7."/>
      <w:lvlJc w:val="left"/>
      <w:pPr>
        <w:ind w:left="5040" w:hanging="360"/>
      </w:pPr>
    </w:lvl>
    <w:lvl w:ilvl="7" w:tplc="5FBE895E" w:tentative="1">
      <w:start w:val="1"/>
      <w:numFmt w:val="lowerLetter"/>
      <w:lvlText w:val="%8."/>
      <w:lvlJc w:val="left"/>
      <w:pPr>
        <w:ind w:left="5760" w:hanging="360"/>
      </w:pPr>
    </w:lvl>
    <w:lvl w:ilvl="8" w:tplc="6EC4DD58" w:tentative="1">
      <w:start w:val="1"/>
      <w:numFmt w:val="lowerRoman"/>
      <w:lvlText w:val="%9."/>
      <w:lvlJc w:val="right"/>
      <w:pPr>
        <w:ind w:left="6480" w:hanging="180"/>
      </w:pPr>
    </w:lvl>
  </w:abstractNum>
  <w:abstractNum w:abstractNumId="38" w15:restartNumberingAfterBreak="0">
    <w:nsid w:val="64932603"/>
    <w:multiLevelType w:val="hybridMultilevel"/>
    <w:tmpl w:val="FCC6DD92"/>
    <w:lvl w:ilvl="0" w:tplc="C50CEB98">
      <w:start w:val="4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7BA2A2A"/>
    <w:multiLevelType w:val="hybridMultilevel"/>
    <w:tmpl w:val="124ADDD8"/>
    <w:lvl w:ilvl="0" w:tplc="43E8808E">
      <w:start w:val="24"/>
      <w:numFmt w:val="decimal"/>
      <w:lvlText w:val="%1."/>
      <w:lvlJc w:val="left"/>
      <w:pPr>
        <w:ind w:left="720" w:hanging="360"/>
      </w:pPr>
      <w:rPr>
        <w:rFonts w:hint="default"/>
      </w:rPr>
    </w:lvl>
    <w:lvl w:ilvl="1" w:tplc="67B28AA0" w:tentative="1">
      <w:start w:val="1"/>
      <w:numFmt w:val="lowerLetter"/>
      <w:lvlText w:val="%2."/>
      <w:lvlJc w:val="left"/>
      <w:pPr>
        <w:ind w:left="1440" w:hanging="360"/>
      </w:pPr>
    </w:lvl>
    <w:lvl w:ilvl="2" w:tplc="C27A685C" w:tentative="1">
      <w:start w:val="1"/>
      <w:numFmt w:val="lowerRoman"/>
      <w:lvlText w:val="%3."/>
      <w:lvlJc w:val="right"/>
      <w:pPr>
        <w:ind w:left="2160" w:hanging="180"/>
      </w:pPr>
    </w:lvl>
    <w:lvl w:ilvl="3" w:tplc="13C83928" w:tentative="1">
      <w:start w:val="1"/>
      <w:numFmt w:val="decimal"/>
      <w:lvlText w:val="%4."/>
      <w:lvlJc w:val="left"/>
      <w:pPr>
        <w:ind w:left="2880" w:hanging="360"/>
      </w:pPr>
    </w:lvl>
    <w:lvl w:ilvl="4" w:tplc="4008D3EC" w:tentative="1">
      <w:start w:val="1"/>
      <w:numFmt w:val="lowerLetter"/>
      <w:lvlText w:val="%5."/>
      <w:lvlJc w:val="left"/>
      <w:pPr>
        <w:ind w:left="3600" w:hanging="360"/>
      </w:pPr>
    </w:lvl>
    <w:lvl w:ilvl="5" w:tplc="A39073B0" w:tentative="1">
      <w:start w:val="1"/>
      <w:numFmt w:val="lowerRoman"/>
      <w:lvlText w:val="%6."/>
      <w:lvlJc w:val="right"/>
      <w:pPr>
        <w:ind w:left="4320" w:hanging="180"/>
      </w:pPr>
    </w:lvl>
    <w:lvl w:ilvl="6" w:tplc="C2AE153C" w:tentative="1">
      <w:start w:val="1"/>
      <w:numFmt w:val="decimal"/>
      <w:lvlText w:val="%7."/>
      <w:lvlJc w:val="left"/>
      <w:pPr>
        <w:ind w:left="5040" w:hanging="360"/>
      </w:pPr>
    </w:lvl>
    <w:lvl w:ilvl="7" w:tplc="00B2067E" w:tentative="1">
      <w:start w:val="1"/>
      <w:numFmt w:val="lowerLetter"/>
      <w:lvlText w:val="%8."/>
      <w:lvlJc w:val="left"/>
      <w:pPr>
        <w:ind w:left="5760" w:hanging="360"/>
      </w:pPr>
    </w:lvl>
    <w:lvl w:ilvl="8" w:tplc="7628599A" w:tentative="1">
      <w:start w:val="1"/>
      <w:numFmt w:val="lowerRoman"/>
      <w:lvlText w:val="%9."/>
      <w:lvlJc w:val="right"/>
      <w:pPr>
        <w:ind w:left="6480" w:hanging="180"/>
      </w:pPr>
    </w:lvl>
  </w:abstractNum>
  <w:abstractNum w:abstractNumId="40" w15:restartNumberingAfterBreak="0">
    <w:nsid w:val="68B544CE"/>
    <w:multiLevelType w:val="hybridMultilevel"/>
    <w:tmpl w:val="01381D62"/>
    <w:lvl w:ilvl="0" w:tplc="2E74914E">
      <w:start w:val="4"/>
      <w:numFmt w:val="bullet"/>
      <w:lvlText w:val="-"/>
      <w:lvlJc w:val="left"/>
      <w:pPr>
        <w:ind w:left="720" w:hanging="360"/>
      </w:pPr>
      <w:rPr>
        <w:rFonts w:ascii="Arial" w:eastAsiaTheme="minorHAnsi" w:hAnsi="Arial" w:cs="Arial" w:hint="default"/>
        <w:b w:val="0"/>
        <w:lang w:val="en-GB"/>
      </w:rPr>
    </w:lvl>
    <w:lvl w:ilvl="1" w:tplc="F9DC0BBE" w:tentative="1">
      <w:start w:val="1"/>
      <w:numFmt w:val="bullet"/>
      <w:lvlText w:val="o"/>
      <w:lvlJc w:val="left"/>
      <w:pPr>
        <w:ind w:left="1440" w:hanging="360"/>
      </w:pPr>
      <w:rPr>
        <w:rFonts w:ascii="Courier New" w:hAnsi="Courier New" w:cs="Courier New" w:hint="default"/>
      </w:rPr>
    </w:lvl>
    <w:lvl w:ilvl="2" w:tplc="B4884684" w:tentative="1">
      <w:start w:val="1"/>
      <w:numFmt w:val="bullet"/>
      <w:lvlText w:val=""/>
      <w:lvlJc w:val="left"/>
      <w:pPr>
        <w:ind w:left="2160" w:hanging="360"/>
      </w:pPr>
      <w:rPr>
        <w:rFonts w:ascii="Wingdings" w:hAnsi="Wingdings" w:hint="default"/>
      </w:rPr>
    </w:lvl>
    <w:lvl w:ilvl="3" w:tplc="ADFABD72" w:tentative="1">
      <w:start w:val="1"/>
      <w:numFmt w:val="bullet"/>
      <w:lvlText w:val=""/>
      <w:lvlJc w:val="left"/>
      <w:pPr>
        <w:ind w:left="2880" w:hanging="360"/>
      </w:pPr>
      <w:rPr>
        <w:rFonts w:ascii="Symbol" w:hAnsi="Symbol" w:hint="default"/>
      </w:rPr>
    </w:lvl>
    <w:lvl w:ilvl="4" w:tplc="61161712" w:tentative="1">
      <w:start w:val="1"/>
      <w:numFmt w:val="bullet"/>
      <w:lvlText w:val="o"/>
      <w:lvlJc w:val="left"/>
      <w:pPr>
        <w:ind w:left="3600" w:hanging="360"/>
      </w:pPr>
      <w:rPr>
        <w:rFonts w:ascii="Courier New" w:hAnsi="Courier New" w:cs="Courier New" w:hint="default"/>
      </w:rPr>
    </w:lvl>
    <w:lvl w:ilvl="5" w:tplc="550AEFF6" w:tentative="1">
      <w:start w:val="1"/>
      <w:numFmt w:val="bullet"/>
      <w:lvlText w:val=""/>
      <w:lvlJc w:val="left"/>
      <w:pPr>
        <w:ind w:left="4320" w:hanging="360"/>
      </w:pPr>
      <w:rPr>
        <w:rFonts w:ascii="Wingdings" w:hAnsi="Wingdings" w:hint="default"/>
      </w:rPr>
    </w:lvl>
    <w:lvl w:ilvl="6" w:tplc="4B4635DC" w:tentative="1">
      <w:start w:val="1"/>
      <w:numFmt w:val="bullet"/>
      <w:lvlText w:val=""/>
      <w:lvlJc w:val="left"/>
      <w:pPr>
        <w:ind w:left="5040" w:hanging="360"/>
      </w:pPr>
      <w:rPr>
        <w:rFonts w:ascii="Symbol" w:hAnsi="Symbol" w:hint="default"/>
      </w:rPr>
    </w:lvl>
    <w:lvl w:ilvl="7" w:tplc="AEC42F22" w:tentative="1">
      <w:start w:val="1"/>
      <w:numFmt w:val="bullet"/>
      <w:lvlText w:val="o"/>
      <w:lvlJc w:val="left"/>
      <w:pPr>
        <w:ind w:left="5760" w:hanging="360"/>
      </w:pPr>
      <w:rPr>
        <w:rFonts w:ascii="Courier New" w:hAnsi="Courier New" w:cs="Courier New" w:hint="default"/>
      </w:rPr>
    </w:lvl>
    <w:lvl w:ilvl="8" w:tplc="7C066194" w:tentative="1">
      <w:start w:val="1"/>
      <w:numFmt w:val="bullet"/>
      <w:lvlText w:val=""/>
      <w:lvlJc w:val="left"/>
      <w:pPr>
        <w:ind w:left="6480" w:hanging="360"/>
      </w:pPr>
      <w:rPr>
        <w:rFonts w:ascii="Wingdings" w:hAnsi="Wingdings" w:hint="default"/>
      </w:rPr>
    </w:lvl>
  </w:abstractNum>
  <w:abstractNum w:abstractNumId="41" w15:restartNumberingAfterBreak="0">
    <w:nsid w:val="699D731A"/>
    <w:multiLevelType w:val="hybridMultilevel"/>
    <w:tmpl w:val="EC9EF33E"/>
    <w:lvl w:ilvl="0" w:tplc="CA3E46AE">
      <w:start w:val="1"/>
      <w:numFmt w:val="lowerLetter"/>
      <w:lvlText w:val="%1."/>
      <w:lvlJc w:val="left"/>
      <w:pPr>
        <w:ind w:left="1425" w:hanging="360"/>
      </w:pPr>
      <w:rPr>
        <w:rFonts w:hint="default"/>
      </w:rPr>
    </w:lvl>
    <w:lvl w:ilvl="1" w:tplc="040C0019">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42" w15:restartNumberingAfterBreak="0">
    <w:nsid w:val="6B516047"/>
    <w:multiLevelType w:val="hybridMultilevel"/>
    <w:tmpl w:val="7932E4FC"/>
    <w:lvl w:ilvl="0" w:tplc="EF7649EE">
      <w:start w:val="1"/>
      <w:numFmt w:val="upperRoman"/>
      <w:lvlText w:val="%1."/>
      <w:lvlJc w:val="right"/>
      <w:pPr>
        <w:ind w:left="720" w:hanging="360"/>
      </w:pPr>
    </w:lvl>
    <w:lvl w:ilvl="1" w:tplc="B052D282" w:tentative="1">
      <w:start w:val="1"/>
      <w:numFmt w:val="lowerLetter"/>
      <w:lvlText w:val="%2."/>
      <w:lvlJc w:val="left"/>
      <w:pPr>
        <w:ind w:left="1440" w:hanging="360"/>
      </w:pPr>
    </w:lvl>
    <w:lvl w:ilvl="2" w:tplc="75B4D68A" w:tentative="1">
      <w:start w:val="1"/>
      <w:numFmt w:val="lowerRoman"/>
      <w:lvlText w:val="%3."/>
      <w:lvlJc w:val="right"/>
      <w:pPr>
        <w:ind w:left="2160" w:hanging="180"/>
      </w:pPr>
    </w:lvl>
    <w:lvl w:ilvl="3" w:tplc="29BC74DA" w:tentative="1">
      <w:start w:val="1"/>
      <w:numFmt w:val="decimal"/>
      <w:lvlText w:val="%4."/>
      <w:lvlJc w:val="left"/>
      <w:pPr>
        <w:ind w:left="2880" w:hanging="360"/>
      </w:pPr>
    </w:lvl>
    <w:lvl w:ilvl="4" w:tplc="394C9018" w:tentative="1">
      <w:start w:val="1"/>
      <w:numFmt w:val="lowerLetter"/>
      <w:lvlText w:val="%5."/>
      <w:lvlJc w:val="left"/>
      <w:pPr>
        <w:ind w:left="3600" w:hanging="360"/>
      </w:pPr>
    </w:lvl>
    <w:lvl w:ilvl="5" w:tplc="5B982A4E" w:tentative="1">
      <w:start w:val="1"/>
      <w:numFmt w:val="lowerRoman"/>
      <w:lvlText w:val="%6."/>
      <w:lvlJc w:val="right"/>
      <w:pPr>
        <w:ind w:left="4320" w:hanging="180"/>
      </w:pPr>
    </w:lvl>
    <w:lvl w:ilvl="6" w:tplc="78A8564A" w:tentative="1">
      <w:start w:val="1"/>
      <w:numFmt w:val="decimal"/>
      <w:lvlText w:val="%7."/>
      <w:lvlJc w:val="left"/>
      <w:pPr>
        <w:ind w:left="5040" w:hanging="360"/>
      </w:pPr>
    </w:lvl>
    <w:lvl w:ilvl="7" w:tplc="AAFE79DE" w:tentative="1">
      <w:start w:val="1"/>
      <w:numFmt w:val="lowerLetter"/>
      <w:lvlText w:val="%8."/>
      <w:lvlJc w:val="left"/>
      <w:pPr>
        <w:ind w:left="5760" w:hanging="360"/>
      </w:pPr>
    </w:lvl>
    <w:lvl w:ilvl="8" w:tplc="ABBCCC88" w:tentative="1">
      <w:start w:val="1"/>
      <w:numFmt w:val="lowerRoman"/>
      <w:lvlText w:val="%9."/>
      <w:lvlJc w:val="right"/>
      <w:pPr>
        <w:ind w:left="6480" w:hanging="180"/>
      </w:pPr>
    </w:lvl>
  </w:abstractNum>
  <w:abstractNum w:abstractNumId="43" w15:restartNumberingAfterBreak="0">
    <w:nsid w:val="700839B8"/>
    <w:multiLevelType w:val="hybridMultilevel"/>
    <w:tmpl w:val="AF8CFA46"/>
    <w:lvl w:ilvl="0" w:tplc="B7248896">
      <w:start w:val="13"/>
      <w:numFmt w:val="decimal"/>
      <w:lvlText w:val="%1."/>
      <w:lvlJc w:val="left"/>
      <w:pPr>
        <w:ind w:left="720" w:hanging="360"/>
      </w:pPr>
      <w:rPr>
        <w:rFonts w:hint="default"/>
      </w:rPr>
    </w:lvl>
    <w:lvl w:ilvl="1" w:tplc="6BCCCEC4" w:tentative="1">
      <w:start w:val="1"/>
      <w:numFmt w:val="lowerLetter"/>
      <w:lvlText w:val="%2."/>
      <w:lvlJc w:val="left"/>
      <w:pPr>
        <w:ind w:left="1440" w:hanging="360"/>
      </w:pPr>
    </w:lvl>
    <w:lvl w:ilvl="2" w:tplc="F162031C" w:tentative="1">
      <w:start w:val="1"/>
      <w:numFmt w:val="lowerRoman"/>
      <w:lvlText w:val="%3."/>
      <w:lvlJc w:val="right"/>
      <w:pPr>
        <w:ind w:left="2160" w:hanging="180"/>
      </w:pPr>
    </w:lvl>
    <w:lvl w:ilvl="3" w:tplc="A2622194" w:tentative="1">
      <w:start w:val="1"/>
      <w:numFmt w:val="decimal"/>
      <w:lvlText w:val="%4."/>
      <w:lvlJc w:val="left"/>
      <w:pPr>
        <w:ind w:left="2880" w:hanging="360"/>
      </w:pPr>
    </w:lvl>
    <w:lvl w:ilvl="4" w:tplc="B080C584" w:tentative="1">
      <w:start w:val="1"/>
      <w:numFmt w:val="lowerLetter"/>
      <w:lvlText w:val="%5."/>
      <w:lvlJc w:val="left"/>
      <w:pPr>
        <w:ind w:left="3600" w:hanging="360"/>
      </w:pPr>
    </w:lvl>
    <w:lvl w:ilvl="5" w:tplc="D25EF912" w:tentative="1">
      <w:start w:val="1"/>
      <w:numFmt w:val="lowerRoman"/>
      <w:lvlText w:val="%6."/>
      <w:lvlJc w:val="right"/>
      <w:pPr>
        <w:ind w:left="4320" w:hanging="180"/>
      </w:pPr>
    </w:lvl>
    <w:lvl w:ilvl="6" w:tplc="EABA6A14" w:tentative="1">
      <w:start w:val="1"/>
      <w:numFmt w:val="decimal"/>
      <w:lvlText w:val="%7."/>
      <w:lvlJc w:val="left"/>
      <w:pPr>
        <w:ind w:left="5040" w:hanging="360"/>
      </w:pPr>
    </w:lvl>
    <w:lvl w:ilvl="7" w:tplc="2196F48E" w:tentative="1">
      <w:start w:val="1"/>
      <w:numFmt w:val="lowerLetter"/>
      <w:lvlText w:val="%8."/>
      <w:lvlJc w:val="left"/>
      <w:pPr>
        <w:ind w:left="5760" w:hanging="360"/>
      </w:pPr>
    </w:lvl>
    <w:lvl w:ilvl="8" w:tplc="8BE07716" w:tentative="1">
      <w:start w:val="1"/>
      <w:numFmt w:val="lowerRoman"/>
      <w:lvlText w:val="%9."/>
      <w:lvlJc w:val="right"/>
      <w:pPr>
        <w:ind w:left="6480" w:hanging="180"/>
      </w:pPr>
    </w:lvl>
  </w:abstractNum>
  <w:abstractNum w:abstractNumId="44" w15:restartNumberingAfterBreak="0">
    <w:nsid w:val="7284002A"/>
    <w:multiLevelType w:val="hybridMultilevel"/>
    <w:tmpl w:val="17C671BC"/>
    <w:lvl w:ilvl="0" w:tplc="541C5156">
      <w:start w:val="1"/>
      <w:numFmt w:val="decimal"/>
      <w:lvlText w:val="%1."/>
      <w:lvlJc w:val="left"/>
      <w:pPr>
        <w:ind w:left="720" w:hanging="360"/>
      </w:pPr>
    </w:lvl>
    <w:lvl w:ilvl="1" w:tplc="E69232E4" w:tentative="1">
      <w:start w:val="1"/>
      <w:numFmt w:val="lowerLetter"/>
      <w:lvlText w:val="%2."/>
      <w:lvlJc w:val="left"/>
      <w:pPr>
        <w:ind w:left="1440" w:hanging="360"/>
      </w:pPr>
    </w:lvl>
    <w:lvl w:ilvl="2" w:tplc="A4FE35DC" w:tentative="1">
      <w:start w:val="1"/>
      <w:numFmt w:val="lowerRoman"/>
      <w:lvlText w:val="%3."/>
      <w:lvlJc w:val="right"/>
      <w:pPr>
        <w:ind w:left="2160" w:hanging="180"/>
      </w:pPr>
    </w:lvl>
    <w:lvl w:ilvl="3" w:tplc="8C842092" w:tentative="1">
      <w:start w:val="1"/>
      <w:numFmt w:val="decimal"/>
      <w:lvlText w:val="%4."/>
      <w:lvlJc w:val="left"/>
      <w:pPr>
        <w:ind w:left="2880" w:hanging="360"/>
      </w:pPr>
    </w:lvl>
    <w:lvl w:ilvl="4" w:tplc="FBBCF9CE" w:tentative="1">
      <w:start w:val="1"/>
      <w:numFmt w:val="lowerLetter"/>
      <w:lvlText w:val="%5."/>
      <w:lvlJc w:val="left"/>
      <w:pPr>
        <w:ind w:left="3600" w:hanging="360"/>
      </w:pPr>
    </w:lvl>
    <w:lvl w:ilvl="5" w:tplc="EBC44798" w:tentative="1">
      <w:start w:val="1"/>
      <w:numFmt w:val="lowerRoman"/>
      <w:lvlText w:val="%6."/>
      <w:lvlJc w:val="right"/>
      <w:pPr>
        <w:ind w:left="4320" w:hanging="180"/>
      </w:pPr>
    </w:lvl>
    <w:lvl w:ilvl="6" w:tplc="07B2AF14" w:tentative="1">
      <w:start w:val="1"/>
      <w:numFmt w:val="decimal"/>
      <w:lvlText w:val="%7."/>
      <w:lvlJc w:val="left"/>
      <w:pPr>
        <w:ind w:left="5040" w:hanging="360"/>
      </w:pPr>
    </w:lvl>
    <w:lvl w:ilvl="7" w:tplc="0B14544E" w:tentative="1">
      <w:start w:val="1"/>
      <w:numFmt w:val="lowerLetter"/>
      <w:lvlText w:val="%8."/>
      <w:lvlJc w:val="left"/>
      <w:pPr>
        <w:ind w:left="5760" w:hanging="360"/>
      </w:pPr>
    </w:lvl>
    <w:lvl w:ilvl="8" w:tplc="86D8B41A" w:tentative="1">
      <w:start w:val="1"/>
      <w:numFmt w:val="lowerRoman"/>
      <w:lvlText w:val="%9."/>
      <w:lvlJc w:val="right"/>
      <w:pPr>
        <w:ind w:left="6480" w:hanging="180"/>
      </w:pPr>
    </w:lvl>
  </w:abstractNum>
  <w:abstractNum w:abstractNumId="45" w15:restartNumberingAfterBreak="0">
    <w:nsid w:val="748034A1"/>
    <w:multiLevelType w:val="hybridMultilevel"/>
    <w:tmpl w:val="1F707D18"/>
    <w:lvl w:ilvl="0" w:tplc="6E5C2362">
      <w:start w:val="24"/>
      <w:numFmt w:val="decimal"/>
      <w:lvlText w:val="%1."/>
      <w:lvlJc w:val="left"/>
      <w:pPr>
        <w:ind w:left="720" w:hanging="360"/>
      </w:pPr>
      <w:rPr>
        <w:rFonts w:hint="default"/>
      </w:rPr>
    </w:lvl>
    <w:lvl w:ilvl="1" w:tplc="C58E7FF0" w:tentative="1">
      <w:start w:val="1"/>
      <w:numFmt w:val="lowerLetter"/>
      <w:lvlText w:val="%2."/>
      <w:lvlJc w:val="left"/>
      <w:pPr>
        <w:ind w:left="1440" w:hanging="360"/>
      </w:pPr>
    </w:lvl>
    <w:lvl w:ilvl="2" w:tplc="B6C0859E" w:tentative="1">
      <w:start w:val="1"/>
      <w:numFmt w:val="lowerRoman"/>
      <w:lvlText w:val="%3."/>
      <w:lvlJc w:val="right"/>
      <w:pPr>
        <w:ind w:left="2160" w:hanging="180"/>
      </w:pPr>
    </w:lvl>
    <w:lvl w:ilvl="3" w:tplc="81FAF2AC" w:tentative="1">
      <w:start w:val="1"/>
      <w:numFmt w:val="decimal"/>
      <w:lvlText w:val="%4."/>
      <w:lvlJc w:val="left"/>
      <w:pPr>
        <w:ind w:left="2880" w:hanging="360"/>
      </w:pPr>
    </w:lvl>
    <w:lvl w:ilvl="4" w:tplc="5E54113A" w:tentative="1">
      <w:start w:val="1"/>
      <w:numFmt w:val="lowerLetter"/>
      <w:lvlText w:val="%5."/>
      <w:lvlJc w:val="left"/>
      <w:pPr>
        <w:ind w:left="3600" w:hanging="360"/>
      </w:pPr>
    </w:lvl>
    <w:lvl w:ilvl="5" w:tplc="2E96A56A" w:tentative="1">
      <w:start w:val="1"/>
      <w:numFmt w:val="lowerRoman"/>
      <w:lvlText w:val="%6."/>
      <w:lvlJc w:val="right"/>
      <w:pPr>
        <w:ind w:left="4320" w:hanging="180"/>
      </w:pPr>
    </w:lvl>
    <w:lvl w:ilvl="6" w:tplc="7B7CDF9E" w:tentative="1">
      <w:start w:val="1"/>
      <w:numFmt w:val="decimal"/>
      <w:lvlText w:val="%7."/>
      <w:lvlJc w:val="left"/>
      <w:pPr>
        <w:ind w:left="5040" w:hanging="360"/>
      </w:pPr>
    </w:lvl>
    <w:lvl w:ilvl="7" w:tplc="743A53DA" w:tentative="1">
      <w:start w:val="1"/>
      <w:numFmt w:val="lowerLetter"/>
      <w:lvlText w:val="%8."/>
      <w:lvlJc w:val="left"/>
      <w:pPr>
        <w:ind w:left="5760" w:hanging="360"/>
      </w:pPr>
    </w:lvl>
    <w:lvl w:ilvl="8" w:tplc="5A8415FE" w:tentative="1">
      <w:start w:val="1"/>
      <w:numFmt w:val="lowerRoman"/>
      <w:lvlText w:val="%9."/>
      <w:lvlJc w:val="right"/>
      <w:pPr>
        <w:ind w:left="6480" w:hanging="180"/>
      </w:pPr>
    </w:lvl>
  </w:abstractNum>
  <w:abstractNum w:abstractNumId="46" w15:restartNumberingAfterBreak="0">
    <w:nsid w:val="757B52CA"/>
    <w:multiLevelType w:val="hybridMultilevel"/>
    <w:tmpl w:val="405A51BC"/>
    <w:lvl w:ilvl="0" w:tplc="3612A962">
      <w:start w:val="1"/>
      <w:numFmt w:val="decimal"/>
      <w:lvlText w:val="%1."/>
      <w:lvlJc w:val="left"/>
      <w:pPr>
        <w:ind w:left="720" w:hanging="360"/>
      </w:pPr>
      <w:rPr>
        <w:rFonts w:ascii="Arial" w:hAnsi="Arial" w:cs="Arial" w:hint="default"/>
        <w:color w:val="auto"/>
        <w:sz w:val="20"/>
        <w:szCs w:val="22"/>
      </w:rPr>
    </w:lvl>
    <w:lvl w:ilvl="1" w:tplc="A236590E" w:tentative="1">
      <w:start w:val="1"/>
      <w:numFmt w:val="lowerLetter"/>
      <w:lvlText w:val="%2."/>
      <w:lvlJc w:val="left"/>
      <w:pPr>
        <w:ind w:left="1440" w:hanging="360"/>
      </w:pPr>
    </w:lvl>
    <w:lvl w:ilvl="2" w:tplc="DE1086FE" w:tentative="1">
      <w:start w:val="1"/>
      <w:numFmt w:val="lowerRoman"/>
      <w:lvlText w:val="%3."/>
      <w:lvlJc w:val="right"/>
      <w:pPr>
        <w:ind w:left="2160" w:hanging="180"/>
      </w:pPr>
    </w:lvl>
    <w:lvl w:ilvl="3" w:tplc="2EB8CF7E" w:tentative="1">
      <w:start w:val="1"/>
      <w:numFmt w:val="decimal"/>
      <w:lvlText w:val="%4."/>
      <w:lvlJc w:val="left"/>
      <w:pPr>
        <w:ind w:left="2880" w:hanging="360"/>
      </w:pPr>
    </w:lvl>
    <w:lvl w:ilvl="4" w:tplc="C3260D32" w:tentative="1">
      <w:start w:val="1"/>
      <w:numFmt w:val="lowerLetter"/>
      <w:lvlText w:val="%5."/>
      <w:lvlJc w:val="left"/>
      <w:pPr>
        <w:ind w:left="3600" w:hanging="360"/>
      </w:pPr>
    </w:lvl>
    <w:lvl w:ilvl="5" w:tplc="8C3E8A08" w:tentative="1">
      <w:start w:val="1"/>
      <w:numFmt w:val="lowerRoman"/>
      <w:lvlText w:val="%6."/>
      <w:lvlJc w:val="right"/>
      <w:pPr>
        <w:ind w:left="4320" w:hanging="180"/>
      </w:pPr>
    </w:lvl>
    <w:lvl w:ilvl="6" w:tplc="D940EE84" w:tentative="1">
      <w:start w:val="1"/>
      <w:numFmt w:val="decimal"/>
      <w:lvlText w:val="%7."/>
      <w:lvlJc w:val="left"/>
      <w:pPr>
        <w:ind w:left="5040" w:hanging="360"/>
      </w:pPr>
    </w:lvl>
    <w:lvl w:ilvl="7" w:tplc="FEA0CDDA" w:tentative="1">
      <w:start w:val="1"/>
      <w:numFmt w:val="lowerLetter"/>
      <w:lvlText w:val="%8."/>
      <w:lvlJc w:val="left"/>
      <w:pPr>
        <w:ind w:left="5760" w:hanging="360"/>
      </w:pPr>
    </w:lvl>
    <w:lvl w:ilvl="8" w:tplc="B38445B2" w:tentative="1">
      <w:start w:val="1"/>
      <w:numFmt w:val="lowerRoman"/>
      <w:lvlText w:val="%9."/>
      <w:lvlJc w:val="right"/>
      <w:pPr>
        <w:ind w:left="6480" w:hanging="180"/>
      </w:pPr>
    </w:lvl>
  </w:abstractNum>
  <w:abstractNum w:abstractNumId="47" w15:restartNumberingAfterBreak="0">
    <w:nsid w:val="7BFB2EC0"/>
    <w:multiLevelType w:val="hybridMultilevel"/>
    <w:tmpl w:val="98A43064"/>
    <w:lvl w:ilvl="0" w:tplc="9C7007F6">
      <w:numFmt w:val="bullet"/>
      <w:lvlText w:val="-"/>
      <w:lvlJc w:val="left"/>
      <w:pPr>
        <w:ind w:left="720" w:hanging="360"/>
      </w:pPr>
      <w:rPr>
        <w:rFonts w:ascii="Aptos" w:eastAsia="Aptos" w:hAnsi="Aptos" w:cs="Times New Roman" w:hint="default"/>
      </w:rPr>
    </w:lvl>
    <w:lvl w:ilvl="1" w:tplc="ADC0387E">
      <w:start w:val="1"/>
      <w:numFmt w:val="bullet"/>
      <w:lvlText w:val="o"/>
      <w:lvlJc w:val="left"/>
      <w:pPr>
        <w:ind w:left="1440" w:hanging="360"/>
      </w:pPr>
      <w:rPr>
        <w:rFonts w:ascii="Courier New" w:hAnsi="Courier New" w:cs="Courier New" w:hint="default"/>
      </w:rPr>
    </w:lvl>
    <w:lvl w:ilvl="2" w:tplc="CBE47BE0">
      <w:start w:val="1"/>
      <w:numFmt w:val="bullet"/>
      <w:lvlText w:val=""/>
      <w:lvlJc w:val="left"/>
      <w:pPr>
        <w:ind w:left="2160" w:hanging="360"/>
      </w:pPr>
      <w:rPr>
        <w:rFonts w:ascii="Wingdings" w:hAnsi="Wingdings" w:hint="default"/>
      </w:rPr>
    </w:lvl>
    <w:lvl w:ilvl="3" w:tplc="E19CD740">
      <w:start w:val="1"/>
      <w:numFmt w:val="bullet"/>
      <w:lvlText w:val=""/>
      <w:lvlJc w:val="left"/>
      <w:pPr>
        <w:ind w:left="2880" w:hanging="360"/>
      </w:pPr>
      <w:rPr>
        <w:rFonts w:ascii="Symbol" w:hAnsi="Symbol" w:hint="default"/>
      </w:rPr>
    </w:lvl>
    <w:lvl w:ilvl="4" w:tplc="58146CA0">
      <w:start w:val="1"/>
      <w:numFmt w:val="bullet"/>
      <w:lvlText w:val="o"/>
      <w:lvlJc w:val="left"/>
      <w:pPr>
        <w:ind w:left="3600" w:hanging="360"/>
      </w:pPr>
      <w:rPr>
        <w:rFonts w:ascii="Courier New" w:hAnsi="Courier New" w:cs="Courier New" w:hint="default"/>
      </w:rPr>
    </w:lvl>
    <w:lvl w:ilvl="5" w:tplc="A44EEAFE">
      <w:start w:val="1"/>
      <w:numFmt w:val="bullet"/>
      <w:lvlText w:val=""/>
      <w:lvlJc w:val="left"/>
      <w:pPr>
        <w:ind w:left="4320" w:hanging="360"/>
      </w:pPr>
      <w:rPr>
        <w:rFonts w:ascii="Wingdings" w:hAnsi="Wingdings" w:hint="default"/>
      </w:rPr>
    </w:lvl>
    <w:lvl w:ilvl="6" w:tplc="95F8B71A">
      <w:start w:val="1"/>
      <w:numFmt w:val="bullet"/>
      <w:lvlText w:val=""/>
      <w:lvlJc w:val="left"/>
      <w:pPr>
        <w:ind w:left="5040" w:hanging="360"/>
      </w:pPr>
      <w:rPr>
        <w:rFonts w:ascii="Symbol" w:hAnsi="Symbol" w:hint="default"/>
      </w:rPr>
    </w:lvl>
    <w:lvl w:ilvl="7" w:tplc="182C9F56">
      <w:start w:val="1"/>
      <w:numFmt w:val="bullet"/>
      <w:lvlText w:val="o"/>
      <w:lvlJc w:val="left"/>
      <w:pPr>
        <w:ind w:left="5760" w:hanging="360"/>
      </w:pPr>
      <w:rPr>
        <w:rFonts w:ascii="Courier New" w:hAnsi="Courier New" w:cs="Courier New" w:hint="default"/>
      </w:rPr>
    </w:lvl>
    <w:lvl w:ilvl="8" w:tplc="25A69E2E">
      <w:start w:val="1"/>
      <w:numFmt w:val="bullet"/>
      <w:lvlText w:val=""/>
      <w:lvlJc w:val="left"/>
      <w:pPr>
        <w:ind w:left="6480" w:hanging="360"/>
      </w:pPr>
      <w:rPr>
        <w:rFonts w:ascii="Wingdings" w:hAnsi="Wingdings" w:hint="default"/>
      </w:rPr>
    </w:lvl>
  </w:abstractNum>
  <w:abstractNum w:abstractNumId="48" w15:restartNumberingAfterBreak="0">
    <w:nsid w:val="7F7A43C2"/>
    <w:multiLevelType w:val="hybridMultilevel"/>
    <w:tmpl w:val="D7D6E094"/>
    <w:lvl w:ilvl="0" w:tplc="48569C22">
      <w:start w:val="1"/>
      <w:numFmt w:val="decimal"/>
      <w:lvlText w:val="%1."/>
      <w:lvlJc w:val="left"/>
      <w:pPr>
        <w:ind w:left="1065" w:hanging="705"/>
      </w:pPr>
      <w:rPr>
        <w:rFonts w:hint="default"/>
      </w:rPr>
    </w:lvl>
    <w:lvl w:ilvl="1" w:tplc="758E4F64" w:tentative="1">
      <w:start w:val="1"/>
      <w:numFmt w:val="lowerLetter"/>
      <w:lvlText w:val="%2."/>
      <w:lvlJc w:val="left"/>
      <w:pPr>
        <w:ind w:left="1440" w:hanging="360"/>
      </w:pPr>
    </w:lvl>
    <w:lvl w:ilvl="2" w:tplc="2B907CDC" w:tentative="1">
      <w:start w:val="1"/>
      <w:numFmt w:val="lowerRoman"/>
      <w:lvlText w:val="%3."/>
      <w:lvlJc w:val="right"/>
      <w:pPr>
        <w:ind w:left="2160" w:hanging="180"/>
      </w:pPr>
    </w:lvl>
    <w:lvl w:ilvl="3" w:tplc="9D041C58" w:tentative="1">
      <w:start w:val="1"/>
      <w:numFmt w:val="decimal"/>
      <w:lvlText w:val="%4."/>
      <w:lvlJc w:val="left"/>
      <w:pPr>
        <w:ind w:left="2880" w:hanging="360"/>
      </w:pPr>
    </w:lvl>
    <w:lvl w:ilvl="4" w:tplc="9BC0A5A8" w:tentative="1">
      <w:start w:val="1"/>
      <w:numFmt w:val="lowerLetter"/>
      <w:lvlText w:val="%5."/>
      <w:lvlJc w:val="left"/>
      <w:pPr>
        <w:ind w:left="3600" w:hanging="360"/>
      </w:pPr>
    </w:lvl>
    <w:lvl w:ilvl="5" w:tplc="9C02688C" w:tentative="1">
      <w:start w:val="1"/>
      <w:numFmt w:val="lowerRoman"/>
      <w:lvlText w:val="%6."/>
      <w:lvlJc w:val="right"/>
      <w:pPr>
        <w:ind w:left="4320" w:hanging="180"/>
      </w:pPr>
    </w:lvl>
    <w:lvl w:ilvl="6" w:tplc="34FE45EA" w:tentative="1">
      <w:start w:val="1"/>
      <w:numFmt w:val="decimal"/>
      <w:lvlText w:val="%7."/>
      <w:lvlJc w:val="left"/>
      <w:pPr>
        <w:ind w:left="5040" w:hanging="360"/>
      </w:pPr>
    </w:lvl>
    <w:lvl w:ilvl="7" w:tplc="9708BBFA" w:tentative="1">
      <w:start w:val="1"/>
      <w:numFmt w:val="lowerLetter"/>
      <w:lvlText w:val="%8."/>
      <w:lvlJc w:val="left"/>
      <w:pPr>
        <w:ind w:left="5760" w:hanging="360"/>
      </w:pPr>
    </w:lvl>
    <w:lvl w:ilvl="8" w:tplc="DEE0B816" w:tentative="1">
      <w:start w:val="1"/>
      <w:numFmt w:val="lowerRoman"/>
      <w:lvlText w:val="%9."/>
      <w:lvlJc w:val="right"/>
      <w:pPr>
        <w:ind w:left="6480" w:hanging="180"/>
      </w:pPr>
    </w:lvl>
  </w:abstractNum>
  <w:abstractNum w:abstractNumId="49" w15:restartNumberingAfterBreak="0">
    <w:nsid w:val="7FA5215D"/>
    <w:multiLevelType w:val="hybridMultilevel"/>
    <w:tmpl w:val="55EA4676"/>
    <w:lvl w:ilvl="0" w:tplc="7D00F270">
      <w:start w:val="1"/>
      <w:numFmt w:val="bullet"/>
      <w:lvlText w:val=""/>
      <w:lvlJc w:val="left"/>
      <w:pPr>
        <w:ind w:left="1080" w:hanging="360"/>
      </w:pPr>
      <w:rPr>
        <w:rFonts w:ascii="Symbol" w:hAnsi="Symbol" w:hint="default"/>
      </w:rPr>
    </w:lvl>
    <w:lvl w:ilvl="1" w:tplc="38F80DE4">
      <w:start w:val="1"/>
      <w:numFmt w:val="bullet"/>
      <w:lvlText w:val="o"/>
      <w:lvlJc w:val="left"/>
      <w:pPr>
        <w:ind w:left="1800" w:hanging="360"/>
      </w:pPr>
      <w:rPr>
        <w:rFonts w:ascii="Courier New" w:hAnsi="Courier New" w:cs="Courier New" w:hint="default"/>
      </w:rPr>
    </w:lvl>
    <w:lvl w:ilvl="2" w:tplc="60841DE8" w:tentative="1">
      <w:start w:val="1"/>
      <w:numFmt w:val="bullet"/>
      <w:lvlText w:val=""/>
      <w:lvlJc w:val="left"/>
      <w:pPr>
        <w:ind w:left="2520" w:hanging="360"/>
      </w:pPr>
      <w:rPr>
        <w:rFonts w:ascii="Wingdings" w:hAnsi="Wingdings" w:hint="default"/>
      </w:rPr>
    </w:lvl>
    <w:lvl w:ilvl="3" w:tplc="B7D605D4" w:tentative="1">
      <w:start w:val="1"/>
      <w:numFmt w:val="bullet"/>
      <w:lvlText w:val=""/>
      <w:lvlJc w:val="left"/>
      <w:pPr>
        <w:ind w:left="3240" w:hanging="360"/>
      </w:pPr>
      <w:rPr>
        <w:rFonts w:ascii="Symbol" w:hAnsi="Symbol" w:hint="default"/>
      </w:rPr>
    </w:lvl>
    <w:lvl w:ilvl="4" w:tplc="EAAE975E" w:tentative="1">
      <w:start w:val="1"/>
      <w:numFmt w:val="bullet"/>
      <w:lvlText w:val="o"/>
      <w:lvlJc w:val="left"/>
      <w:pPr>
        <w:ind w:left="3960" w:hanging="360"/>
      </w:pPr>
      <w:rPr>
        <w:rFonts w:ascii="Courier New" w:hAnsi="Courier New" w:cs="Courier New" w:hint="default"/>
      </w:rPr>
    </w:lvl>
    <w:lvl w:ilvl="5" w:tplc="82068406" w:tentative="1">
      <w:start w:val="1"/>
      <w:numFmt w:val="bullet"/>
      <w:lvlText w:val=""/>
      <w:lvlJc w:val="left"/>
      <w:pPr>
        <w:ind w:left="4680" w:hanging="360"/>
      </w:pPr>
      <w:rPr>
        <w:rFonts w:ascii="Wingdings" w:hAnsi="Wingdings" w:hint="default"/>
      </w:rPr>
    </w:lvl>
    <w:lvl w:ilvl="6" w:tplc="5C8E1560" w:tentative="1">
      <w:start w:val="1"/>
      <w:numFmt w:val="bullet"/>
      <w:lvlText w:val=""/>
      <w:lvlJc w:val="left"/>
      <w:pPr>
        <w:ind w:left="5400" w:hanging="360"/>
      </w:pPr>
      <w:rPr>
        <w:rFonts w:ascii="Symbol" w:hAnsi="Symbol" w:hint="default"/>
      </w:rPr>
    </w:lvl>
    <w:lvl w:ilvl="7" w:tplc="4C386188" w:tentative="1">
      <w:start w:val="1"/>
      <w:numFmt w:val="bullet"/>
      <w:lvlText w:val="o"/>
      <w:lvlJc w:val="left"/>
      <w:pPr>
        <w:ind w:left="6120" w:hanging="360"/>
      </w:pPr>
      <w:rPr>
        <w:rFonts w:ascii="Courier New" w:hAnsi="Courier New" w:cs="Courier New" w:hint="default"/>
      </w:rPr>
    </w:lvl>
    <w:lvl w:ilvl="8" w:tplc="09CAE116" w:tentative="1">
      <w:start w:val="1"/>
      <w:numFmt w:val="bullet"/>
      <w:lvlText w:val=""/>
      <w:lvlJc w:val="left"/>
      <w:pPr>
        <w:ind w:left="6840" w:hanging="360"/>
      </w:pPr>
      <w:rPr>
        <w:rFonts w:ascii="Wingdings" w:hAnsi="Wingdings" w:hint="default"/>
      </w:rPr>
    </w:lvl>
  </w:abstractNum>
  <w:num w:numId="1" w16cid:durableId="1707292192">
    <w:abstractNumId w:val="14"/>
  </w:num>
  <w:num w:numId="2" w16cid:durableId="468741462">
    <w:abstractNumId w:val="35"/>
  </w:num>
  <w:num w:numId="3" w16cid:durableId="447511461">
    <w:abstractNumId w:val="41"/>
  </w:num>
  <w:num w:numId="4" w16cid:durableId="20981641">
    <w:abstractNumId w:val="8"/>
  </w:num>
  <w:num w:numId="5" w16cid:durableId="719790275">
    <w:abstractNumId w:val="4"/>
  </w:num>
  <w:num w:numId="6" w16cid:durableId="1046832503">
    <w:abstractNumId w:val="16"/>
  </w:num>
  <w:num w:numId="7" w16cid:durableId="816452758">
    <w:abstractNumId w:val="11"/>
  </w:num>
  <w:num w:numId="8" w16cid:durableId="41486646">
    <w:abstractNumId w:val="38"/>
  </w:num>
  <w:num w:numId="9" w16cid:durableId="2026982324">
    <w:abstractNumId w:val="5"/>
  </w:num>
  <w:num w:numId="10" w16cid:durableId="1323313803">
    <w:abstractNumId w:val="44"/>
  </w:num>
  <w:num w:numId="11" w16cid:durableId="1691563712">
    <w:abstractNumId w:val="31"/>
  </w:num>
  <w:num w:numId="12" w16cid:durableId="1329209667">
    <w:abstractNumId w:val="49"/>
  </w:num>
  <w:num w:numId="13" w16cid:durableId="1558543106">
    <w:abstractNumId w:val="6"/>
  </w:num>
  <w:num w:numId="14" w16cid:durableId="176385034">
    <w:abstractNumId w:val="43"/>
  </w:num>
  <w:num w:numId="15" w16cid:durableId="657155404">
    <w:abstractNumId w:val="33"/>
  </w:num>
  <w:num w:numId="16" w16cid:durableId="948707948">
    <w:abstractNumId w:val="36"/>
  </w:num>
  <w:num w:numId="17" w16cid:durableId="660549826">
    <w:abstractNumId w:val="15"/>
  </w:num>
  <w:num w:numId="18" w16cid:durableId="1147363016">
    <w:abstractNumId w:val="45"/>
  </w:num>
  <w:num w:numId="19" w16cid:durableId="328140598">
    <w:abstractNumId w:val="39"/>
  </w:num>
  <w:num w:numId="20" w16cid:durableId="992493560">
    <w:abstractNumId w:val="0"/>
  </w:num>
  <w:num w:numId="21" w16cid:durableId="2082024965">
    <w:abstractNumId w:val="10"/>
  </w:num>
  <w:num w:numId="22" w16cid:durableId="1841313435">
    <w:abstractNumId w:val="37"/>
  </w:num>
  <w:num w:numId="23" w16cid:durableId="152140889">
    <w:abstractNumId w:val="22"/>
  </w:num>
  <w:num w:numId="24" w16cid:durableId="1811941016">
    <w:abstractNumId w:val="32"/>
  </w:num>
  <w:num w:numId="25" w16cid:durableId="1081944551">
    <w:abstractNumId w:val="2"/>
  </w:num>
  <w:num w:numId="26" w16cid:durableId="1835418516">
    <w:abstractNumId w:val="17"/>
  </w:num>
  <w:num w:numId="27" w16cid:durableId="621616429">
    <w:abstractNumId w:val="42"/>
  </w:num>
  <w:num w:numId="28" w16cid:durableId="1572037614">
    <w:abstractNumId w:val="28"/>
  </w:num>
  <w:num w:numId="29" w16cid:durableId="581644732">
    <w:abstractNumId w:val="3"/>
  </w:num>
  <w:num w:numId="30" w16cid:durableId="1038161572">
    <w:abstractNumId w:val="13"/>
  </w:num>
  <w:num w:numId="31" w16cid:durableId="1754426771">
    <w:abstractNumId w:val="20"/>
  </w:num>
  <w:num w:numId="32" w16cid:durableId="1534614046">
    <w:abstractNumId w:val="27"/>
  </w:num>
  <w:num w:numId="33" w16cid:durableId="1680235895">
    <w:abstractNumId w:val="24"/>
  </w:num>
  <w:num w:numId="34" w16cid:durableId="623657663">
    <w:abstractNumId w:val="34"/>
  </w:num>
  <w:num w:numId="35" w16cid:durableId="324162415">
    <w:abstractNumId w:val="26"/>
  </w:num>
  <w:num w:numId="36" w16cid:durableId="1353726670">
    <w:abstractNumId w:val="48"/>
  </w:num>
  <w:num w:numId="37" w16cid:durableId="61873932">
    <w:abstractNumId w:val="23"/>
  </w:num>
  <w:num w:numId="38" w16cid:durableId="1457722141">
    <w:abstractNumId w:val="30"/>
  </w:num>
  <w:num w:numId="39" w16cid:durableId="1776318047">
    <w:abstractNumId w:val="12"/>
  </w:num>
  <w:num w:numId="40" w16cid:durableId="88476519">
    <w:abstractNumId w:val="7"/>
  </w:num>
  <w:num w:numId="41" w16cid:durableId="1738893928">
    <w:abstractNumId w:val="25"/>
  </w:num>
  <w:num w:numId="42" w16cid:durableId="833060474">
    <w:abstractNumId w:val="21"/>
  </w:num>
  <w:num w:numId="43" w16cid:durableId="622351245">
    <w:abstractNumId w:val="1"/>
  </w:num>
  <w:num w:numId="44" w16cid:durableId="203980581">
    <w:abstractNumId w:val="19"/>
  </w:num>
  <w:num w:numId="45" w16cid:durableId="900678258">
    <w:abstractNumId w:val="40"/>
  </w:num>
  <w:num w:numId="46" w16cid:durableId="661155518">
    <w:abstractNumId w:val="18"/>
  </w:num>
  <w:num w:numId="47" w16cid:durableId="1300498517">
    <w:abstractNumId w:val="29"/>
  </w:num>
  <w:num w:numId="48" w16cid:durableId="1366906254">
    <w:abstractNumId w:val="47"/>
  </w:num>
  <w:num w:numId="49" w16cid:durableId="615719442">
    <w:abstractNumId w:val="46"/>
  </w:num>
  <w:num w:numId="50" w16cid:durableId="1842305939">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attachedTemplate r:id="rId1"/>
  <w:defaultTabStop w:val="709"/>
  <w:hyphenationZone w:val="425"/>
  <w:evenAndOddHeaders/>
  <w:drawingGridHorizontalSpacing w:val="90"/>
  <w:drawingGridVerticalSpacing w:val="245"/>
  <w:displayHorizontalDrawingGridEvery w:val="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94681"/>
    <w:rsid w:val="000059B6"/>
    <w:rsid w:val="00020738"/>
    <w:rsid w:val="00027B2B"/>
    <w:rsid w:val="00035FDF"/>
    <w:rsid w:val="00042A16"/>
    <w:rsid w:val="00050AC0"/>
    <w:rsid w:val="000512BE"/>
    <w:rsid w:val="000537EE"/>
    <w:rsid w:val="00056A11"/>
    <w:rsid w:val="00066CBF"/>
    <w:rsid w:val="00071EA7"/>
    <w:rsid w:val="00072CBD"/>
    <w:rsid w:val="00082CEE"/>
    <w:rsid w:val="00097061"/>
    <w:rsid w:val="000A307B"/>
    <w:rsid w:val="000B5C6D"/>
    <w:rsid w:val="000C52A6"/>
    <w:rsid w:val="000C5E2A"/>
    <w:rsid w:val="000D15E7"/>
    <w:rsid w:val="000E50A4"/>
    <w:rsid w:val="000F4CF2"/>
    <w:rsid w:val="000F58C3"/>
    <w:rsid w:val="000F5ADA"/>
    <w:rsid w:val="000F708C"/>
    <w:rsid w:val="00106141"/>
    <w:rsid w:val="00110729"/>
    <w:rsid w:val="00113EB0"/>
    <w:rsid w:val="00123CDD"/>
    <w:rsid w:val="00134D9A"/>
    <w:rsid w:val="00135BDB"/>
    <w:rsid w:val="00137BB4"/>
    <w:rsid w:val="0014266D"/>
    <w:rsid w:val="00147EF4"/>
    <w:rsid w:val="00153BB3"/>
    <w:rsid w:val="00156DC1"/>
    <w:rsid w:val="00160B03"/>
    <w:rsid w:val="001664AA"/>
    <w:rsid w:val="00171115"/>
    <w:rsid w:val="001A6076"/>
    <w:rsid w:val="001B7E0B"/>
    <w:rsid w:val="001D3B8E"/>
    <w:rsid w:val="001E79EE"/>
    <w:rsid w:val="001E7C29"/>
    <w:rsid w:val="001F297D"/>
    <w:rsid w:val="001F4F04"/>
    <w:rsid w:val="00214299"/>
    <w:rsid w:val="002250DD"/>
    <w:rsid w:val="0023437D"/>
    <w:rsid w:val="00242ABB"/>
    <w:rsid w:val="0024682C"/>
    <w:rsid w:val="00251353"/>
    <w:rsid w:val="00262B36"/>
    <w:rsid w:val="00265917"/>
    <w:rsid w:val="002861FB"/>
    <w:rsid w:val="00293EE6"/>
    <w:rsid w:val="00294681"/>
    <w:rsid w:val="002A2646"/>
    <w:rsid w:val="002B1EAE"/>
    <w:rsid w:val="002C0872"/>
    <w:rsid w:val="002C20BA"/>
    <w:rsid w:val="002C43B5"/>
    <w:rsid w:val="002C4704"/>
    <w:rsid w:val="002D0655"/>
    <w:rsid w:val="002D11B8"/>
    <w:rsid w:val="002E4089"/>
    <w:rsid w:val="002F3006"/>
    <w:rsid w:val="002F405C"/>
    <w:rsid w:val="002F6BB7"/>
    <w:rsid w:val="00303712"/>
    <w:rsid w:val="0031614B"/>
    <w:rsid w:val="003354C4"/>
    <w:rsid w:val="00335CAF"/>
    <w:rsid w:val="003364D1"/>
    <w:rsid w:val="0035253A"/>
    <w:rsid w:val="0037200F"/>
    <w:rsid w:val="00373957"/>
    <w:rsid w:val="003745F2"/>
    <w:rsid w:val="00381C50"/>
    <w:rsid w:val="00385587"/>
    <w:rsid w:val="00392D1D"/>
    <w:rsid w:val="00392FD6"/>
    <w:rsid w:val="003A5509"/>
    <w:rsid w:val="003B2C8C"/>
    <w:rsid w:val="003B345B"/>
    <w:rsid w:val="003D3B17"/>
    <w:rsid w:val="003D48AE"/>
    <w:rsid w:val="003D6AC2"/>
    <w:rsid w:val="003F3D4B"/>
    <w:rsid w:val="0040027C"/>
    <w:rsid w:val="00400868"/>
    <w:rsid w:val="00421DEB"/>
    <w:rsid w:val="004256CB"/>
    <w:rsid w:val="004329B7"/>
    <w:rsid w:val="00440CB1"/>
    <w:rsid w:val="00443709"/>
    <w:rsid w:val="00443A05"/>
    <w:rsid w:val="00447D22"/>
    <w:rsid w:val="004553F6"/>
    <w:rsid w:val="004728F8"/>
    <w:rsid w:val="00480D8B"/>
    <w:rsid w:val="00491E67"/>
    <w:rsid w:val="004A37E1"/>
    <w:rsid w:val="004C0C2F"/>
    <w:rsid w:val="004C11B3"/>
    <w:rsid w:val="004D1C0F"/>
    <w:rsid w:val="004D4AE8"/>
    <w:rsid w:val="004E2A6C"/>
    <w:rsid w:val="004F1D8B"/>
    <w:rsid w:val="0050115D"/>
    <w:rsid w:val="0052173E"/>
    <w:rsid w:val="00537299"/>
    <w:rsid w:val="0054041B"/>
    <w:rsid w:val="00544F6A"/>
    <w:rsid w:val="00550B6C"/>
    <w:rsid w:val="00560DC9"/>
    <w:rsid w:val="00574663"/>
    <w:rsid w:val="005811BC"/>
    <w:rsid w:val="005B1FA1"/>
    <w:rsid w:val="005B3604"/>
    <w:rsid w:val="005B7C70"/>
    <w:rsid w:val="005C73BB"/>
    <w:rsid w:val="005D7BB3"/>
    <w:rsid w:val="005D7CDF"/>
    <w:rsid w:val="005F093B"/>
    <w:rsid w:val="005F3DC6"/>
    <w:rsid w:val="00614982"/>
    <w:rsid w:val="00621E59"/>
    <w:rsid w:val="00643231"/>
    <w:rsid w:val="00643C3F"/>
    <w:rsid w:val="00644AD3"/>
    <w:rsid w:val="006455FA"/>
    <w:rsid w:val="00671684"/>
    <w:rsid w:val="00671EA2"/>
    <w:rsid w:val="006908C5"/>
    <w:rsid w:val="006F0318"/>
    <w:rsid w:val="006F6B48"/>
    <w:rsid w:val="00712E65"/>
    <w:rsid w:val="007150DE"/>
    <w:rsid w:val="00735569"/>
    <w:rsid w:val="0075033F"/>
    <w:rsid w:val="007573BA"/>
    <w:rsid w:val="00761627"/>
    <w:rsid w:val="00770642"/>
    <w:rsid w:val="00773CFE"/>
    <w:rsid w:val="007813CA"/>
    <w:rsid w:val="007A543D"/>
    <w:rsid w:val="007B3DD0"/>
    <w:rsid w:val="007C0AD1"/>
    <w:rsid w:val="007D7B20"/>
    <w:rsid w:val="007E168C"/>
    <w:rsid w:val="007F6C46"/>
    <w:rsid w:val="00800A19"/>
    <w:rsid w:val="008042E6"/>
    <w:rsid w:val="00805F04"/>
    <w:rsid w:val="008077D0"/>
    <w:rsid w:val="00810D5A"/>
    <w:rsid w:val="00814AA2"/>
    <w:rsid w:val="0082394F"/>
    <w:rsid w:val="00841A54"/>
    <w:rsid w:val="00853C90"/>
    <w:rsid w:val="008575F2"/>
    <w:rsid w:val="0087380A"/>
    <w:rsid w:val="008A06B8"/>
    <w:rsid w:val="008A7553"/>
    <w:rsid w:val="008B07D4"/>
    <w:rsid w:val="008C12CC"/>
    <w:rsid w:val="00915AB1"/>
    <w:rsid w:val="00916BF5"/>
    <w:rsid w:val="009215B8"/>
    <w:rsid w:val="00923554"/>
    <w:rsid w:val="009270C4"/>
    <w:rsid w:val="009342FF"/>
    <w:rsid w:val="00940F14"/>
    <w:rsid w:val="00950D67"/>
    <w:rsid w:val="009527D7"/>
    <w:rsid w:val="00953FB4"/>
    <w:rsid w:val="00955512"/>
    <w:rsid w:val="00963962"/>
    <w:rsid w:val="00974C41"/>
    <w:rsid w:val="00990722"/>
    <w:rsid w:val="009B3AB7"/>
    <w:rsid w:val="009C5258"/>
    <w:rsid w:val="009D28F3"/>
    <w:rsid w:val="009D28F7"/>
    <w:rsid w:val="009E0DCC"/>
    <w:rsid w:val="00A12DEC"/>
    <w:rsid w:val="00A13FA3"/>
    <w:rsid w:val="00A161B3"/>
    <w:rsid w:val="00A22D53"/>
    <w:rsid w:val="00A44E46"/>
    <w:rsid w:val="00A474E5"/>
    <w:rsid w:val="00A842D4"/>
    <w:rsid w:val="00A93CA3"/>
    <w:rsid w:val="00AB6552"/>
    <w:rsid w:val="00AB67F8"/>
    <w:rsid w:val="00AB7727"/>
    <w:rsid w:val="00AB780D"/>
    <w:rsid w:val="00AC73AA"/>
    <w:rsid w:val="00AD0EFC"/>
    <w:rsid w:val="00AE76B8"/>
    <w:rsid w:val="00B06133"/>
    <w:rsid w:val="00B129D8"/>
    <w:rsid w:val="00B155F2"/>
    <w:rsid w:val="00B227AE"/>
    <w:rsid w:val="00B41B03"/>
    <w:rsid w:val="00B41EC3"/>
    <w:rsid w:val="00B44F5E"/>
    <w:rsid w:val="00B509CE"/>
    <w:rsid w:val="00B53E0B"/>
    <w:rsid w:val="00B6220A"/>
    <w:rsid w:val="00B63F08"/>
    <w:rsid w:val="00B81BAC"/>
    <w:rsid w:val="00B849E0"/>
    <w:rsid w:val="00B90246"/>
    <w:rsid w:val="00B920E4"/>
    <w:rsid w:val="00BA79A3"/>
    <w:rsid w:val="00BB7DCE"/>
    <w:rsid w:val="00BD25C0"/>
    <w:rsid w:val="00BD683E"/>
    <w:rsid w:val="00BF1736"/>
    <w:rsid w:val="00C049EE"/>
    <w:rsid w:val="00C109FD"/>
    <w:rsid w:val="00C14C2C"/>
    <w:rsid w:val="00C409C2"/>
    <w:rsid w:val="00C52829"/>
    <w:rsid w:val="00C74E6F"/>
    <w:rsid w:val="00C8348A"/>
    <w:rsid w:val="00C86757"/>
    <w:rsid w:val="00C92F89"/>
    <w:rsid w:val="00CC39DC"/>
    <w:rsid w:val="00CE184F"/>
    <w:rsid w:val="00CE1FF8"/>
    <w:rsid w:val="00CE4890"/>
    <w:rsid w:val="00CE6FD2"/>
    <w:rsid w:val="00D0182E"/>
    <w:rsid w:val="00D0265B"/>
    <w:rsid w:val="00D24A57"/>
    <w:rsid w:val="00D32148"/>
    <w:rsid w:val="00D53526"/>
    <w:rsid w:val="00D554E6"/>
    <w:rsid w:val="00D64100"/>
    <w:rsid w:val="00D70628"/>
    <w:rsid w:val="00DA7643"/>
    <w:rsid w:val="00DB029C"/>
    <w:rsid w:val="00DC162E"/>
    <w:rsid w:val="00DC4A39"/>
    <w:rsid w:val="00DE0A21"/>
    <w:rsid w:val="00DF6796"/>
    <w:rsid w:val="00E06538"/>
    <w:rsid w:val="00E1258A"/>
    <w:rsid w:val="00E125C6"/>
    <w:rsid w:val="00E15639"/>
    <w:rsid w:val="00E1656D"/>
    <w:rsid w:val="00E173B5"/>
    <w:rsid w:val="00E24C57"/>
    <w:rsid w:val="00E475F9"/>
    <w:rsid w:val="00E50974"/>
    <w:rsid w:val="00E67406"/>
    <w:rsid w:val="00E86611"/>
    <w:rsid w:val="00E940BF"/>
    <w:rsid w:val="00EA001A"/>
    <w:rsid w:val="00EA643A"/>
    <w:rsid w:val="00EE34E3"/>
    <w:rsid w:val="00EF0BE4"/>
    <w:rsid w:val="00F01885"/>
    <w:rsid w:val="00F168A4"/>
    <w:rsid w:val="00F2380B"/>
    <w:rsid w:val="00F24713"/>
    <w:rsid w:val="00F40699"/>
    <w:rsid w:val="00F40B8D"/>
    <w:rsid w:val="00F433D6"/>
    <w:rsid w:val="00F51DEC"/>
    <w:rsid w:val="00F61D34"/>
    <w:rsid w:val="00F62CC9"/>
    <w:rsid w:val="00F76BBD"/>
    <w:rsid w:val="00F81568"/>
    <w:rsid w:val="00F86A21"/>
    <w:rsid w:val="00F87AD7"/>
    <w:rsid w:val="00F96689"/>
    <w:rsid w:val="00FD557D"/>
    <w:rsid w:val="00FD6043"/>
    <w:rsid w:val="00FF2641"/>
    <w:rsid w:val="00FF3BAB"/>
    <w:rsid w:val="00FF5E2C"/>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4522C"/>
  <w15:docId w15:val="{3602FDFD-6E66-4E97-B64E-64567DF2F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728F8"/>
    <w:rPr>
      <w:rFonts w:ascii="Arial" w:hAnsi="Arial"/>
      <w:szCs w:val="22"/>
      <w:lang w:val="fr-FR" w:eastAsia="en-US"/>
    </w:rPr>
  </w:style>
  <w:style w:type="paragraph" w:styleId="Titre1">
    <w:name w:val="heading 1"/>
    <w:basedOn w:val="Normal"/>
    <w:next w:val="Normal"/>
    <w:link w:val="Titre1Car"/>
    <w:uiPriority w:val="9"/>
    <w:qFormat/>
    <w:rsid w:val="005811BC"/>
    <w:pPr>
      <w:keepNext/>
      <w:keepLines/>
      <w:ind w:left="1060" w:hanging="703"/>
      <w:outlineLvl w:val="0"/>
    </w:pPr>
    <w:rPr>
      <w:rFonts w:eastAsiaTheme="majorEastAsia" w:cstheme="majorBidi"/>
      <w:b/>
      <w:kern w:val="2"/>
      <w:szCs w:val="40"/>
      <w:lang w:val="en-GB"/>
      <w14:ligatures w14:val="standardContextual"/>
    </w:rPr>
  </w:style>
  <w:style w:type="paragraph" w:styleId="Titre2">
    <w:name w:val="heading 2"/>
    <w:basedOn w:val="Normal"/>
    <w:next w:val="Normal"/>
    <w:link w:val="Titre2Car"/>
    <w:uiPriority w:val="9"/>
    <w:unhideWhenUsed/>
    <w:qFormat/>
    <w:rsid w:val="005811BC"/>
    <w:pPr>
      <w:keepNext/>
      <w:keepLines/>
      <w:ind w:left="1060" w:hanging="703"/>
      <w:outlineLvl w:val="1"/>
    </w:pPr>
    <w:rPr>
      <w:rFonts w:eastAsiaTheme="majorEastAsia" w:cstheme="majorBidi"/>
      <w:i/>
      <w:kern w:val="2"/>
      <w:szCs w:val="32"/>
      <w:lang w:val="en-GB"/>
      <w14:ligatures w14:val="standardContextual"/>
    </w:rPr>
  </w:style>
  <w:style w:type="paragraph" w:styleId="Titre3">
    <w:name w:val="heading 3"/>
    <w:basedOn w:val="Normal"/>
    <w:next w:val="Normal"/>
    <w:link w:val="Titre3Car"/>
    <w:uiPriority w:val="9"/>
    <w:unhideWhenUsed/>
    <w:qFormat/>
    <w:rsid w:val="005811BC"/>
    <w:pPr>
      <w:keepNext/>
      <w:keepLines/>
      <w:spacing w:before="160" w:after="80"/>
      <w:ind w:left="1060" w:hanging="703"/>
      <w:outlineLvl w:val="2"/>
    </w:pPr>
    <w:rPr>
      <w:rFonts w:eastAsiaTheme="majorEastAsia" w:cstheme="majorBidi"/>
      <w:color w:val="365F91" w:themeColor="accent1" w:themeShade="BF"/>
      <w:kern w:val="2"/>
      <w:sz w:val="28"/>
      <w:szCs w:val="28"/>
      <w:lang w:val="en-GB"/>
      <w14:ligatures w14:val="standardContextual"/>
    </w:rPr>
  </w:style>
  <w:style w:type="paragraph" w:styleId="Titre4">
    <w:name w:val="heading 4"/>
    <w:basedOn w:val="Normal"/>
    <w:next w:val="Normal"/>
    <w:link w:val="Titre4Car"/>
    <w:uiPriority w:val="9"/>
    <w:unhideWhenUsed/>
    <w:qFormat/>
    <w:rsid w:val="005811BC"/>
    <w:pPr>
      <w:keepNext/>
      <w:keepLines/>
      <w:spacing w:before="80" w:after="40"/>
      <w:ind w:left="1060" w:hanging="703"/>
      <w:outlineLvl w:val="3"/>
    </w:pPr>
    <w:rPr>
      <w:rFonts w:eastAsiaTheme="majorEastAsia" w:cstheme="majorBidi"/>
      <w:i/>
      <w:iCs/>
      <w:color w:val="365F91" w:themeColor="accent1" w:themeShade="BF"/>
      <w:kern w:val="2"/>
      <w:szCs w:val="24"/>
      <w:lang w:val="en-GB"/>
      <w14:ligatures w14:val="standardContextual"/>
    </w:rPr>
  </w:style>
  <w:style w:type="paragraph" w:styleId="Titre5">
    <w:name w:val="heading 5"/>
    <w:basedOn w:val="Normal"/>
    <w:next w:val="Normal"/>
    <w:link w:val="Titre5Car"/>
    <w:uiPriority w:val="9"/>
    <w:semiHidden/>
    <w:unhideWhenUsed/>
    <w:qFormat/>
    <w:rsid w:val="005811BC"/>
    <w:pPr>
      <w:keepNext/>
      <w:keepLines/>
      <w:spacing w:before="80" w:after="40"/>
      <w:ind w:left="1060" w:hanging="703"/>
      <w:outlineLvl w:val="4"/>
    </w:pPr>
    <w:rPr>
      <w:rFonts w:eastAsiaTheme="majorEastAsia" w:cstheme="majorBidi"/>
      <w:color w:val="365F91" w:themeColor="accent1" w:themeShade="BF"/>
      <w:kern w:val="2"/>
      <w:szCs w:val="24"/>
      <w:lang w:val="en-GB"/>
      <w14:ligatures w14:val="standardContextual"/>
    </w:rPr>
  </w:style>
  <w:style w:type="paragraph" w:styleId="Titre6">
    <w:name w:val="heading 6"/>
    <w:basedOn w:val="Normal"/>
    <w:next w:val="Normal"/>
    <w:link w:val="Titre6Car"/>
    <w:uiPriority w:val="9"/>
    <w:semiHidden/>
    <w:unhideWhenUsed/>
    <w:qFormat/>
    <w:rsid w:val="005811BC"/>
    <w:pPr>
      <w:keepNext/>
      <w:keepLines/>
      <w:spacing w:before="40"/>
      <w:ind w:left="1060" w:hanging="703"/>
      <w:outlineLvl w:val="5"/>
    </w:pPr>
    <w:rPr>
      <w:rFonts w:eastAsiaTheme="majorEastAsia" w:cstheme="majorBidi"/>
      <w:i/>
      <w:iCs/>
      <w:color w:val="595959" w:themeColor="text1" w:themeTint="A6"/>
      <w:kern w:val="2"/>
      <w:szCs w:val="24"/>
      <w:lang w:val="en-GB"/>
      <w14:ligatures w14:val="standardContextual"/>
    </w:rPr>
  </w:style>
  <w:style w:type="paragraph" w:styleId="Titre7">
    <w:name w:val="heading 7"/>
    <w:basedOn w:val="Normal"/>
    <w:next w:val="Normal"/>
    <w:link w:val="Titre7Car"/>
    <w:uiPriority w:val="9"/>
    <w:semiHidden/>
    <w:unhideWhenUsed/>
    <w:qFormat/>
    <w:rsid w:val="005811BC"/>
    <w:pPr>
      <w:keepNext/>
      <w:keepLines/>
      <w:spacing w:before="40"/>
      <w:ind w:left="1060" w:hanging="703"/>
      <w:outlineLvl w:val="6"/>
    </w:pPr>
    <w:rPr>
      <w:rFonts w:eastAsiaTheme="majorEastAsia" w:cstheme="majorBidi"/>
      <w:color w:val="595959" w:themeColor="text1" w:themeTint="A6"/>
      <w:kern w:val="2"/>
      <w:szCs w:val="24"/>
      <w:lang w:val="en-GB"/>
      <w14:ligatures w14:val="standardContextual"/>
    </w:rPr>
  </w:style>
  <w:style w:type="paragraph" w:styleId="Titre8">
    <w:name w:val="heading 8"/>
    <w:basedOn w:val="Normal"/>
    <w:next w:val="Normal"/>
    <w:link w:val="Titre8Car"/>
    <w:uiPriority w:val="9"/>
    <w:semiHidden/>
    <w:unhideWhenUsed/>
    <w:qFormat/>
    <w:rsid w:val="005811BC"/>
    <w:pPr>
      <w:keepNext/>
      <w:keepLines/>
      <w:ind w:left="1060" w:hanging="703"/>
      <w:outlineLvl w:val="7"/>
    </w:pPr>
    <w:rPr>
      <w:rFonts w:eastAsiaTheme="majorEastAsia" w:cstheme="majorBidi"/>
      <w:i/>
      <w:iCs/>
      <w:color w:val="272727" w:themeColor="text1" w:themeTint="D8"/>
      <w:kern w:val="2"/>
      <w:szCs w:val="24"/>
      <w:lang w:val="en-GB"/>
      <w14:ligatures w14:val="standardContextual"/>
    </w:rPr>
  </w:style>
  <w:style w:type="paragraph" w:styleId="Titre9">
    <w:name w:val="heading 9"/>
    <w:basedOn w:val="Normal"/>
    <w:next w:val="Normal"/>
    <w:link w:val="Titre9Car"/>
    <w:uiPriority w:val="9"/>
    <w:semiHidden/>
    <w:unhideWhenUsed/>
    <w:qFormat/>
    <w:rsid w:val="005811BC"/>
    <w:pPr>
      <w:keepNext/>
      <w:keepLines/>
      <w:ind w:left="1060" w:hanging="703"/>
      <w:outlineLvl w:val="8"/>
    </w:pPr>
    <w:rPr>
      <w:rFonts w:eastAsiaTheme="majorEastAsia" w:cstheme="majorBidi"/>
      <w:color w:val="272727" w:themeColor="text1" w:themeTint="D8"/>
      <w:kern w:val="2"/>
      <w:szCs w:val="24"/>
      <w:lang w:val="en-GB"/>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37BB4"/>
    <w:pPr>
      <w:tabs>
        <w:tab w:val="center" w:pos="4961"/>
        <w:tab w:val="right" w:pos="9923"/>
      </w:tabs>
    </w:pPr>
    <w:rPr>
      <w:sz w:val="18"/>
    </w:rPr>
  </w:style>
  <w:style w:type="character" w:customStyle="1" w:styleId="En-tteCar">
    <w:name w:val="En-tête Car"/>
    <w:link w:val="En-tte"/>
    <w:uiPriority w:val="99"/>
    <w:rsid w:val="00137BB4"/>
    <w:rPr>
      <w:rFonts w:ascii="Arial" w:hAnsi="Arial"/>
      <w:sz w:val="18"/>
      <w:szCs w:val="22"/>
      <w:lang w:val="fr-FR" w:eastAsia="en-US"/>
    </w:rPr>
  </w:style>
  <w:style w:type="paragraph" w:styleId="Pieddepage">
    <w:name w:val="footer"/>
    <w:basedOn w:val="Normal"/>
    <w:link w:val="PieddepageCar"/>
    <w:uiPriority w:val="99"/>
    <w:unhideWhenUsed/>
    <w:rsid w:val="00FD6043"/>
    <w:pPr>
      <w:tabs>
        <w:tab w:val="center" w:pos="4513"/>
        <w:tab w:val="right" w:pos="9026"/>
      </w:tabs>
    </w:pPr>
  </w:style>
  <w:style w:type="character" w:customStyle="1" w:styleId="PieddepageCar">
    <w:name w:val="Pied de page Car"/>
    <w:basedOn w:val="Policepardfaut"/>
    <w:link w:val="Pieddepage"/>
    <w:uiPriority w:val="99"/>
    <w:rsid w:val="00FD6043"/>
  </w:style>
  <w:style w:type="paragraph" w:styleId="Textedebulles">
    <w:name w:val="Balloon Text"/>
    <w:basedOn w:val="Normal"/>
    <w:link w:val="TextedebullesCar"/>
    <w:uiPriority w:val="99"/>
    <w:semiHidden/>
    <w:unhideWhenUsed/>
    <w:rsid w:val="00FD6043"/>
    <w:rPr>
      <w:rFonts w:ascii="Tahoma" w:hAnsi="Tahoma" w:cs="Tahoma"/>
      <w:sz w:val="16"/>
      <w:szCs w:val="16"/>
    </w:rPr>
  </w:style>
  <w:style w:type="character" w:customStyle="1" w:styleId="TextedebullesCar">
    <w:name w:val="Texte de bulles Car"/>
    <w:link w:val="Textedebulles"/>
    <w:uiPriority w:val="99"/>
    <w:semiHidden/>
    <w:rsid w:val="00FD6043"/>
    <w:rPr>
      <w:rFonts w:ascii="Tahoma" w:hAnsi="Tahoma" w:cs="Tahoma"/>
      <w:sz w:val="16"/>
      <w:szCs w:val="16"/>
    </w:rPr>
  </w:style>
  <w:style w:type="table" w:styleId="Grilledutableau">
    <w:name w:val="Table Grid"/>
    <w:basedOn w:val="TableauNormal"/>
    <w:uiPriority w:val="59"/>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Lienhypertexte">
    <w:name w:val="Hyperlink"/>
    <w:aliases w:val="Note de bas de page Car1,Footnote Text Char1 Car1,Footnote Text Char Char Car1,Footnote Text Char2 Char Char Char Car1,Footnote Text Char1 Char Char Char Char Car1,Footnote Text Char Char Char Char Char Char Car1"/>
    <w:uiPriority w:val="99"/>
    <w:unhideWhenUsed/>
    <w:rsid w:val="00AE76B8"/>
    <w:rPr>
      <w:color w:val="auto"/>
      <w:u w:val="none"/>
    </w:rPr>
  </w:style>
  <w:style w:type="character" w:styleId="Numrodepage">
    <w:name w:val="page number"/>
    <w:basedOn w:val="Policepardfaut"/>
    <w:uiPriority w:val="99"/>
    <w:semiHidden/>
    <w:unhideWhenUsed/>
    <w:rsid w:val="00E24C57"/>
  </w:style>
  <w:style w:type="character" w:styleId="Marquedecommentaire">
    <w:name w:val="annotation reference"/>
    <w:uiPriority w:val="99"/>
    <w:semiHidden/>
    <w:unhideWhenUsed/>
    <w:rsid w:val="002250DD"/>
    <w:rPr>
      <w:sz w:val="18"/>
      <w:szCs w:val="18"/>
    </w:rPr>
  </w:style>
  <w:style w:type="paragraph" w:styleId="Commentaire">
    <w:name w:val="annotation text"/>
    <w:basedOn w:val="Normal"/>
    <w:link w:val="CommentaireCar"/>
    <w:uiPriority w:val="99"/>
    <w:unhideWhenUsed/>
    <w:rsid w:val="002250DD"/>
    <w:rPr>
      <w:sz w:val="24"/>
      <w:szCs w:val="24"/>
    </w:rPr>
  </w:style>
  <w:style w:type="character" w:customStyle="1" w:styleId="CommentaireCar">
    <w:name w:val="Commentaire Car"/>
    <w:link w:val="Commentaire"/>
    <w:uiPriority w:val="99"/>
    <w:rsid w:val="002250DD"/>
    <w:rPr>
      <w:sz w:val="24"/>
      <w:szCs w:val="24"/>
    </w:rPr>
  </w:style>
  <w:style w:type="paragraph" w:styleId="Objetducommentaire">
    <w:name w:val="annotation subject"/>
    <w:basedOn w:val="Commentaire"/>
    <w:next w:val="Commentaire"/>
    <w:link w:val="ObjetducommentaireCar"/>
    <w:uiPriority w:val="99"/>
    <w:semiHidden/>
    <w:unhideWhenUsed/>
    <w:rsid w:val="002250DD"/>
    <w:rPr>
      <w:b/>
      <w:bCs/>
      <w:sz w:val="20"/>
      <w:szCs w:val="20"/>
    </w:rPr>
  </w:style>
  <w:style w:type="character" w:customStyle="1" w:styleId="ObjetducommentaireCar">
    <w:name w:val="Objet du commentaire Car"/>
    <w:link w:val="Objetducommentaire"/>
    <w:uiPriority w:val="99"/>
    <w:semiHidden/>
    <w:rsid w:val="002250DD"/>
    <w:rPr>
      <w:b/>
      <w:bCs/>
      <w:sz w:val="20"/>
      <w:szCs w:val="20"/>
    </w:rPr>
  </w:style>
  <w:style w:type="paragraph" w:styleId="Notedebasdepage">
    <w:name w:val="footnote text"/>
    <w:aliases w:val="Fußnotentextf,Fuﬂnotentextf,Footnote Text Blue,Geneva 9,Font: Geneva 9,Boston 10,f,Podrozdział,Footnote text,Footnote Text Char Char Char Char Char Char,Tekst przypisu,Footnote Text Char Char Char,Footnote,Footnote Text Char1 Char,fn"/>
    <w:basedOn w:val="Normal"/>
    <w:link w:val="NotedebasdepageCar"/>
    <w:uiPriority w:val="99"/>
    <w:unhideWhenUsed/>
    <w:qFormat/>
    <w:rsid w:val="009C5258"/>
    <w:rPr>
      <w:sz w:val="16"/>
      <w:szCs w:val="20"/>
    </w:rPr>
  </w:style>
  <w:style w:type="character" w:customStyle="1" w:styleId="NotedebasdepageCar">
    <w:name w:val="Note de bas de page Car"/>
    <w:aliases w:val="Fußnotentextf Car,Fuﬂnotentextf Car,Footnote Text Blue Car,Geneva 9 Car,Font: Geneva 9 Car,Boston 10 Car,f Car,Podrozdział Car,Footnote text Car,Footnote Text Char Char Char Char Char Char Car,Tekst przypisu Car,Footnote Car"/>
    <w:link w:val="Notedebasdepage"/>
    <w:uiPriority w:val="99"/>
    <w:qFormat/>
    <w:rsid w:val="009C5258"/>
    <w:rPr>
      <w:rFonts w:ascii="Arial" w:hAnsi="Arial"/>
      <w:sz w:val="16"/>
      <w:lang w:val="fr-FR" w:eastAsia="en-US"/>
    </w:rPr>
  </w:style>
  <w:style w:type="character" w:styleId="Appelnotedebasdep">
    <w:name w:val="footnote reference"/>
    <w:aliases w:val="16 Point,Superscript 6 Point, Char Char,Ref,de nota al pie,Footnote Reference Superscript,Footnote symbol, BVI fnr,BVI fnr,ftref,BVI fnr Char Car Char,ftref Char Car Char,16 Point Char Car Char,Footnote reference number,note TESI"/>
    <w:link w:val="BVIfnrCharCar1CarChar"/>
    <w:uiPriority w:val="99"/>
    <w:unhideWhenUsed/>
    <w:qFormat/>
    <w:rsid w:val="00853C90"/>
    <w:rPr>
      <w:vertAlign w:val="superscript"/>
    </w:rPr>
  </w:style>
  <w:style w:type="paragraph" w:styleId="Paragraphedeliste">
    <w:name w:val="List Paragraph"/>
    <w:aliases w:val="MAIN CONTENT,List Paragraph12,Colorful List - Accent 11,List Paragraph2,Normal numbered,List Paragraph11,OBC Bullet,F5 List Paragraph,List Paragraph1,Dot pt,List Paragraph Char Char Char,Indicator Text,Numbered Para 1,Bullet 1"/>
    <w:basedOn w:val="Normal"/>
    <w:link w:val="ParagraphedelisteCar"/>
    <w:uiPriority w:val="34"/>
    <w:qFormat/>
    <w:rsid w:val="001D3B8E"/>
    <w:pPr>
      <w:ind w:left="720"/>
      <w:contextualSpacing/>
    </w:pPr>
  </w:style>
  <w:style w:type="character" w:styleId="lev">
    <w:name w:val="Strong"/>
    <w:basedOn w:val="Policepardfaut"/>
    <w:uiPriority w:val="22"/>
    <w:qFormat/>
    <w:rsid w:val="001D3B8E"/>
    <w:rPr>
      <w:b/>
      <w:bCs/>
    </w:rPr>
  </w:style>
  <w:style w:type="character" w:customStyle="1" w:styleId="ParagraphedelisteCar">
    <w:name w:val="Paragraphe de liste Car"/>
    <w:aliases w:val="MAIN CONTENT Car,List Paragraph12 Car,Colorful List - Accent 11 Car,List Paragraph2 Car,Normal numbered Car,List Paragraph11 Car,OBC Bullet Car,F5 List Paragraph Car,List Paragraph1 Car,Dot pt Car,Indicator Text Car,Bullet 1 Car"/>
    <w:link w:val="Paragraphedeliste"/>
    <w:uiPriority w:val="34"/>
    <w:qFormat/>
    <w:rsid w:val="001D3B8E"/>
    <w:rPr>
      <w:rFonts w:ascii="Arial" w:hAnsi="Arial"/>
      <w:szCs w:val="22"/>
      <w:lang w:val="fr-FR" w:eastAsia="en-US"/>
    </w:rPr>
  </w:style>
  <w:style w:type="paragraph" w:customStyle="1" w:styleId="Corps">
    <w:name w:val="Corps"/>
    <w:rsid w:val="001D3B8E"/>
    <w:pPr>
      <w:pBdr>
        <w:top w:val="nil"/>
        <w:left w:val="nil"/>
        <w:bottom w:val="nil"/>
        <w:right w:val="nil"/>
        <w:between w:val="nil"/>
        <w:bar w:val="nil"/>
      </w:pBdr>
      <w:spacing w:after="160" w:line="259" w:lineRule="auto"/>
    </w:pPr>
    <w:rPr>
      <w:rFonts w:cs="Calibri"/>
      <w:color w:val="000000"/>
      <w:kern w:val="2"/>
      <w:sz w:val="22"/>
      <w:szCs w:val="22"/>
      <w:u w:color="000000"/>
      <w:bdr w:val="nil"/>
      <w:lang w:val="fr-FR" w:eastAsia="fr-FR"/>
      <w14:textOutline w14:w="0" w14:cap="flat" w14:cmpd="sng" w14:algn="ctr">
        <w14:noFill/>
        <w14:prstDash w14:val="solid"/>
        <w14:bevel/>
      </w14:textOutline>
    </w:rPr>
  </w:style>
  <w:style w:type="character" w:customStyle="1" w:styleId="Aucun">
    <w:name w:val="Aucun"/>
    <w:rsid w:val="001D3B8E"/>
  </w:style>
  <w:style w:type="paragraph" w:styleId="Rvision">
    <w:name w:val="Revision"/>
    <w:hidden/>
    <w:uiPriority w:val="99"/>
    <w:semiHidden/>
    <w:rsid w:val="00FF5E2C"/>
    <w:rPr>
      <w:rFonts w:ascii="Arial" w:hAnsi="Arial"/>
      <w:szCs w:val="22"/>
      <w:lang w:val="fr-FR" w:eastAsia="en-US"/>
    </w:rPr>
  </w:style>
  <w:style w:type="character" w:customStyle="1" w:styleId="Titre1Car">
    <w:name w:val="Titre 1 Car"/>
    <w:basedOn w:val="Policepardfaut"/>
    <w:link w:val="Titre1"/>
    <w:uiPriority w:val="9"/>
    <w:rsid w:val="005811BC"/>
    <w:rPr>
      <w:rFonts w:ascii="Arial" w:eastAsiaTheme="majorEastAsia" w:hAnsi="Arial" w:cstheme="majorBidi"/>
      <w:b/>
      <w:kern w:val="2"/>
      <w:szCs w:val="40"/>
      <w:lang w:eastAsia="en-US"/>
      <w14:ligatures w14:val="standardContextual"/>
    </w:rPr>
  </w:style>
  <w:style w:type="character" w:customStyle="1" w:styleId="Titre2Car">
    <w:name w:val="Titre 2 Car"/>
    <w:basedOn w:val="Policepardfaut"/>
    <w:link w:val="Titre2"/>
    <w:uiPriority w:val="9"/>
    <w:rsid w:val="005811BC"/>
    <w:rPr>
      <w:rFonts w:ascii="Arial" w:eastAsiaTheme="majorEastAsia" w:hAnsi="Arial" w:cstheme="majorBidi"/>
      <w:i/>
      <w:kern w:val="2"/>
      <w:szCs w:val="32"/>
      <w:lang w:eastAsia="en-US"/>
      <w14:ligatures w14:val="standardContextual"/>
    </w:rPr>
  </w:style>
  <w:style w:type="character" w:customStyle="1" w:styleId="Titre3Car">
    <w:name w:val="Titre 3 Car"/>
    <w:basedOn w:val="Policepardfaut"/>
    <w:link w:val="Titre3"/>
    <w:uiPriority w:val="9"/>
    <w:rsid w:val="005811BC"/>
    <w:rPr>
      <w:rFonts w:ascii="Arial" w:eastAsiaTheme="majorEastAsia" w:hAnsi="Arial" w:cstheme="majorBidi"/>
      <w:color w:val="365F91" w:themeColor="accent1" w:themeShade="BF"/>
      <w:kern w:val="2"/>
      <w:sz w:val="28"/>
      <w:szCs w:val="28"/>
      <w:lang w:eastAsia="en-US"/>
      <w14:ligatures w14:val="standardContextual"/>
    </w:rPr>
  </w:style>
  <w:style w:type="character" w:customStyle="1" w:styleId="Titre4Car">
    <w:name w:val="Titre 4 Car"/>
    <w:basedOn w:val="Policepardfaut"/>
    <w:link w:val="Titre4"/>
    <w:uiPriority w:val="9"/>
    <w:rsid w:val="005811BC"/>
    <w:rPr>
      <w:rFonts w:ascii="Arial" w:eastAsiaTheme="majorEastAsia" w:hAnsi="Arial" w:cstheme="majorBidi"/>
      <w:i/>
      <w:iCs/>
      <w:color w:val="365F91" w:themeColor="accent1" w:themeShade="BF"/>
      <w:kern w:val="2"/>
      <w:szCs w:val="24"/>
      <w:lang w:eastAsia="en-US"/>
      <w14:ligatures w14:val="standardContextual"/>
    </w:rPr>
  </w:style>
  <w:style w:type="character" w:customStyle="1" w:styleId="Titre5Car">
    <w:name w:val="Titre 5 Car"/>
    <w:basedOn w:val="Policepardfaut"/>
    <w:link w:val="Titre5"/>
    <w:uiPriority w:val="9"/>
    <w:semiHidden/>
    <w:rsid w:val="005811BC"/>
    <w:rPr>
      <w:rFonts w:ascii="Arial" w:eastAsiaTheme="majorEastAsia" w:hAnsi="Arial" w:cstheme="majorBidi"/>
      <w:color w:val="365F91" w:themeColor="accent1" w:themeShade="BF"/>
      <w:kern w:val="2"/>
      <w:szCs w:val="24"/>
      <w:lang w:eastAsia="en-US"/>
      <w14:ligatures w14:val="standardContextual"/>
    </w:rPr>
  </w:style>
  <w:style w:type="character" w:customStyle="1" w:styleId="Titre6Car">
    <w:name w:val="Titre 6 Car"/>
    <w:basedOn w:val="Policepardfaut"/>
    <w:link w:val="Titre6"/>
    <w:uiPriority w:val="9"/>
    <w:semiHidden/>
    <w:rsid w:val="005811BC"/>
    <w:rPr>
      <w:rFonts w:ascii="Arial" w:eastAsiaTheme="majorEastAsia" w:hAnsi="Arial" w:cstheme="majorBidi"/>
      <w:i/>
      <w:iCs/>
      <w:color w:val="595959" w:themeColor="text1" w:themeTint="A6"/>
      <w:kern w:val="2"/>
      <w:szCs w:val="24"/>
      <w:lang w:eastAsia="en-US"/>
      <w14:ligatures w14:val="standardContextual"/>
    </w:rPr>
  </w:style>
  <w:style w:type="character" w:customStyle="1" w:styleId="Titre7Car">
    <w:name w:val="Titre 7 Car"/>
    <w:basedOn w:val="Policepardfaut"/>
    <w:link w:val="Titre7"/>
    <w:uiPriority w:val="9"/>
    <w:semiHidden/>
    <w:rsid w:val="005811BC"/>
    <w:rPr>
      <w:rFonts w:ascii="Arial" w:eastAsiaTheme="majorEastAsia" w:hAnsi="Arial" w:cstheme="majorBidi"/>
      <w:color w:val="595959" w:themeColor="text1" w:themeTint="A6"/>
      <w:kern w:val="2"/>
      <w:szCs w:val="24"/>
      <w:lang w:eastAsia="en-US"/>
      <w14:ligatures w14:val="standardContextual"/>
    </w:rPr>
  </w:style>
  <w:style w:type="character" w:customStyle="1" w:styleId="Titre8Car">
    <w:name w:val="Titre 8 Car"/>
    <w:basedOn w:val="Policepardfaut"/>
    <w:link w:val="Titre8"/>
    <w:uiPriority w:val="9"/>
    <w:semiHidden/>
    <w:rsid w:val="005811BC"/>
    <w:rPr>
      <w:rFonts w:ascii="Arial" w:eastAsiaTheme="majorEastAsia" w:hAnsi="Arial" w:cstheme="majorBidi"/>
      <w:i/>
      <w:iCs/>
      <w:color w:val="272727" w:themeColor="text1" w:themeTint="D8"/>
      <w:kern w:val="2"/>
      <w:szCs w:val="24"/>
      <w:lang w:eastAsia="en-US"/>
      <w14:ligatures w14:val="standardContextual"/>
    </w:rPr>
  </w:style>
  <w:style w:type="character" w:customStyle="1" w:styleId="Titre9Car">
    <w:name w:val="Titre 9 Car"/>
    <w:basedOn w:val="Policepardfaut"/>
    <w:link w:val="Titre9"/>
    <w:uiPriority w:val="9"/>
    <w:semiHidden/>
    <w:rsid w:val="005811BC"/>
    <w:rPr>
      <w:rFonts w:ascii="Arial" w:eastAsiaTheme="majorEastAsia" w:hAnsi="Arial" w:cstheme="majorBidi"/>
      <w:color w:val="272727" w:themeColor="text1" w:themeTint="D8"/>
      <w:kern w:val="2"/>
      <w:szCs w:val="24"/>
      <w:lang w:eastAsia="en-US"/>
      <w14:ligatures w14:val="standardContextual"/>
    </w:rPr>
  </w:style>
  <w:style w:type="paragraph" w:styleId="Titre">
    <w:name w:val="Title"/>
    <w:basedOn w:val="Normal"/>
    <w:next w:val="Normal"/>
    <w:link w:val="TitreCar"/>
    <w:uiPriority w:val="10"/>
    <w:qFormat/>
    <w:rsid w:val="005811BC"/>
    <w:pPr>
      <w:spacing w:after="80"/>
      <w:ind w:left="1060" w:hanging="703"/>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reCar">
    <w:name w:val="Titre Car"/>
    <w:basedOn w:val="Policepardfaut"/>
    <w:link w:val="Titre"/>
    <w:uiPriority w:val="10"/>
    <w:rsid w:val="005811BC"/>
    <w:rPr>
      <w:rFonts w:asciiTheme="majorHAnsi" w:eastAsiaTheme="majorEastAsia" w:hAnsiTheme="majorHAnsi" w:cstheme="majorBidi"/>
      <w:spacing w:val="-10"/>
      <w:kern w:val="28"/>
      <w:sz w:val="56"/>
      <w:szCs w:val="56"/>
      <w:lang w:eastAsia="en-US"/>
      <w14:ligatures w14:val="standardContextual"/>
    </w:rPr>
  </w:style>
  <w:style w:type="paragraph" w:styleId="Sous-titre">
    <w:name w:val="Subtitle"/>
    <w:basedOn w:val="Normal"/>
    <w:next w:val="Normal"/>
    <w:link w:val="Sous-titreCar"/>
    <w:uiPriority w:val="11"/>
    <w:qFormat/>
    <w:rsid w:val="005811BC"/>
    <w:pPr>
      <w:numPr>
        <w:ilvl w:val="1"/>
      </w:numPr>
      <w:ind w:left="1060" w:hanging="703"/>
    </w:pPr>
    <w:rPr>
      <w:rFonts w:eastAsiaTheme="majorEastAsia" w:cstheme="majorBidi"/>
      <w:color w:val="595959" w:themeColor="text1" w:themeTint="A6"/>
      <w:spacing w:val="15"/>
      <w:kern w:val="2"/>
      <w:sz w:val="28"/>
      <w:szCs w:val="28"/>
      <w:lang w:val="en-GB"/>
      <w14:ligatures w14:val="standardContextual"/>
    </w:rPr>
  </w:style>
  <w:style w:type="character" w:customStyle="1" w:styleId="Sous-titreCar">
    <w:name w:val="Sous-titre Car"/>
    <w:basedOn w:val="Policepardfaut"/>
    <w:link w:val="Sous-titre"/>
    <w:uiPriority w:val="11"/>
    <w:rsid w:val="005811BC"/>
    <w:rPr>
      <w:rFonts w:ascii="Arial" w:eastAsiaTheme="majorEastAsia" w:hAnsi="Arial" w:cstheme="majorBidi"/>
      <w:color w:val="595959" w:themeColor="text1" w:themeTint="A6"/>
      <w:spacing w:val="15"/>
      <w:kern w:val="2"/>
      <w:sz w:val="28"/>
      <w:szCs w:val="28"/>
      <w:lang w:eastAsia="en-US"/>
      <w14:ligatures w14:val="standardContextual"/>
    </w:rPr>
  </w:style>
  <w:style w:type="paragraph" w:styleId="Citation">
    <w:name w:val="Quote"/>
    <w:basedOn w:val="Normal"/>
    <w:next w:val="Normal"/>
    <w:link w:val="CitationCar"/>
    <w:uiPriority w:val="29"/>
    <w:qFormat/>
    <w:rsid w:val="005811BC"/>
    <w:pPr>
      <w:spacing w:before="160"/>
      <w:ind w:left="1060" w:hanging="703"/>
      <w:jc w:val="center"/>
    </w:pPr>
    <w:rPr>
      <w:rFonts w:eastAsiaTheme="minorHAnsi" w:cstheme="minorBidi"/>
      <w:i/>
      <w:iCs/>
      <w:color w:val="404040" w:themeColor="text1" w:themeTint="BF"/>
      <w:kern w:val="2"/>
      <w:szCs w:val="24"/>
      <w:lang w:val="en-GB"/>
      <w14:ligatures w14:val="standardContextual"/>
    </w:rPr>
  </w:style>
  <w:style w:type="character" w:customStyle="1" w:styleId="CitationCar">
    <w:name w:val="Citation Car"/>
    <w:basedOn w:val="Policepardfaut"/>
    <w:link w:val="Citation"/>
    <w:uiPriority w:val="29"/>
    <w:rsid w:val="005811BC"/>
    <w:rPr>
      <w:rFonts w:ascii="Arial" w:eastAsiaTheme="minorHAnsi" w:hAnsi="Arial" w:cstheme="minorBidi"/>
      <w:i/>
      <w:iCs/>
      <w:color w:val="404040" w:themeColor="text1" w:themeTint="BF"/>
      <w:kern w:val="2"/>
      <w:szCs w:val="24"/>
      <w:lang w:eastAsia="en-US"/>
      <w14:ligatures w14:val="standardContextual"/>
    </w:rPr>
  </w:style>
  <w:style w:type="character" w:styleId="Accentuationintense">
    <w:name w:val="Intense Emphasis"/>
    <w:basedOn w:val="Policepardfaut"/>
    <w:uiPriority w:val="21"/>
    <w:qFormat/>
    <w:rsid w:val="005811BC"/>
    <w:rPr>
      <w:i/>
      <w:iCs/>
      <w:color w:val="365F91" w:themeColor="accent1" w:themeShade="BF"/>
    </w:rPr>
  </w:style>
  <w:style w:type="paragraph" w:styleId="Citationintense">
    <w:name w:val="Intense Quote"/>
    <w:basedOn w:val="Normal"/>
    <w:next w:val="Normal"/>
    <w:link w:val="CitationintenseCar"/>
    <w:uiPriority w:val="30"/>
    <w:qFormat/>
    <w:rsid w:val="005811BC"/>
    <w:pPr>
      <w:pBdr>
        <w:top w:val="single" w:sz="4" w:space="10" w:color="365F91" w:themeColor="accent1" w:themeShade="BF"/>
        <w:bottom w:val="single" w:sz="4" w:space="10" w:color="365F91" w:themeColor="accent1" w:themeShade="BF"/>
      </w:pBdr>
      <w:spacing w:before="360" w:after="360"/>
      <w:ind w:left="864" w:right="864" w:hanging="703"/>
      <w:jc w:val="center"/>
    </w:pPr>
    <w:rPr>
      <w:rFonts w:eastAsiaTheme="minorHAnsi" w:cstheme="minorBidi"/>
      <w:i/>
      <w:iCs/>
      <w:color w:val="365F91" w:themeColor="accent1" w:themeShade="BF"/>
      <w:kern w:val="2"/>
      <w:szCs w:val="24"/>
      <w:lang w:val="en-GB"/>
      <w14:ligatures w14:val="standardContextual"/>
    </w:rPr>
  </w:style>
  <w:style w:type="character" w:customStyle="1" w:styleId="CitationintenseCar">
    <w:name w:val="Citation intense Car"/>
    <w:basedOn w:val="Policepardfaut"/>
    <w:link w:val="Citationintense"/>
    <w:uiPriority w:val="30"/>
    <w:rsid w:val="005811BC"/>
    <w:rPr>
      <w:rFonts w:ascii="Arial" w:eastAsiaTheme="minorHAnsi" w:hAnsi="Arial" w:cstheme="minorBidi"/>
      <w:i/>
      <w:iCs/>
      <w:color w:val="365F91" w:themeColor="accent1" w:themeShade="BF"/>
      <w:kern w:val="2"/>
      <w:szCs w:val="24"/>
      <w:lang w:eastAsia="en-US"/>
      <w14:ligatures w14:val="standardContextual"/>
    </w:rPr>
  </w:style>
  <w:style w:type="character" w:styleId="Rfrenceintense">
    <w:name w:val="Intense Reference"/>
    <w:basedOn w:val="Policepardfaut"/>
    <w:uiPriority w:val="32"/>
    <w:qFormat/>
    <w:rsid w:val="005811BC"/>
    <w:rPr>
      <w:b/>
      <w:bCs/>
      <w:smallCaps/>
      <w:color w:val="365F91" w:themeColor="accent1" w:themeShade="BF"/>
      <w:spacing w:val="5"/>
    </w:rPr>
  </w:style>
  <w:style w:type="character" w:customStyle="1" w:styleId="Mentionnonrsolue1">
    <w:name w:val="Mention non résolue1"/>
    <w:basedOn w:val="Policepardfaut"/>
    <w:uiPriority w:val="99"/>
    <w:semiHidden/>
    <w:unhideWhenUsed/>
    <w:rsid w:val="005811BC"/>
    <w:rPr>
      <w:color w:val="605E5C"/>
      <w:shd w:val="clear" w:color="auto" w:fill="E1DFDD"/>
    </w:rPr>
  </w:style>
  <w:style w:type="paragraph" w:customStyle="1" w:styleId="BVIfnrCharCar1CarChar">
    <w:name w:val="BVI fnr Char Car1 Car Char"/>
    <w:aliases w:val="BVI fnr Char Car Car Char,ftref Char Car Car Char, BVI fnr Char Car Char Char Car Car Char,BVI fnr Char Car Char Char Car Car Char,ftref Char Car Char Char Car Car Char, BVI fnr Char,BVI fnr Char"/>
    <w:basedOn w:val="Normal"/>
    <w:next w:val="Normal"/>
    <w:link w:val="Appelnotedebasdep"/>
    <w:uiPriority w:val="99"/>
    <w:rsid w:val="005811BC"/>
    <w:pPr>
      <w:spacing w:line="240" w:lineRule="exact"/>
      <w:ind w:left="1060" w:hanging="703"/>
    </w:pPr>
    <w:rPr>
      <w:rFonts w:ascii="Calibri" w:hAnsi="Calibri"/>
      <w:szCs w:val="20"/>
      <w:vertAlign w:val="superscript"/>
      <w:lang w:val="en-GB" w:eastAsia="en-GB"/>
    </w:rPr>
  </w:style>
  <w:style w:type="character" w:styleId="Lienhypertextesuivivisit">
    <w:name w:val="FollowedHyperlink"/>
    <w:basedOn w:val="Policepardfaut"/>
    <w:uiPriority w:val="99"/>
    <w:semiHidden/>
    <w:unhideWhenUsed/>
    <w:rsid w:val="005811BC"/>
    <w:rPr>
      <w:color w:val="800080" w:themeColor="followedHyperlink"/>
      <w:u w:val="single"/>
    </w:rPr>
  </w:style>
  <w:style w:type="paragraph" w:customStyle="1" w:styleId="Default">
    <w:name w:val="Default"/>
    <w:rsid w:val="005811BC"/>
    <w:pPr>
      <w:autoSpaceDE w:val="0"/>
      <w:autoSpaceDN w:val="0"/>
      <w:adjustRightInd w:val="0"/>
      <w:ind w:left="1060" w:hanging="703"/>
    </w:pPr>
    <w:rPr>
      <w:rFonts w:ascii="Arial" w:eastAsiaTheme="minorHAnsi" w:hAnsi="Arial" w:cs="Arial"/>
      <w:color w:val="000000"/>
      <w:sz w:val="24"/>
      <w:szCs w:val="24"/>
      <w:lang w:val="fr-FR" w:eastAsia="en-US"/>
      <w14:ligatures w14:val="standardContextual"/>
    </w:rPr>
  </w:style>
  <w:style w:type="paragraph" w:styleId="NormalWeb">
    <w:name w:val="Normal (Web)"/>
    <w:basedOn w:val="Normal"/>
    <w:uiPriority w:val="99"/>
    <w:semiHidden/>
    <w:unhideWhenUsed/>
    <w:rsid w:val="005811BC"/>
    <w:pPr>
      <w:ind w:left="1060" w:hanging="703"/>
    </w:pPr>
    <w:rPr>
      <w:rFonts w:ascii="Times New Roman" w:eastAsiaTheme="minorHAnsi" w:hAnsi="Times New Roman"/>
      <w:kern w:val="2"/>
      <w:sz w:val="24"/>
      <w:szCs w:val="24"/>
      <w:lang w:val="en-GB"/>
      <w14:ligatures w14:val="standardContextual"/>
    </w:rPr>
  </w:style>
  <w:style w:type="character" w:styleId="Mentionnonrsolue">
    <w:name w:val="Unresolved Mention"/>
    <w:basedOn w:val="Policepardfaut"/>
    <w:uiPriority w:val="99"/>
    <w:semiHidden/>
    <w:unhideWhenUsed/>
    <w:rsid w:val="005811BC"/>
    <w:rPr>
      <w:color w:val="605E5C"/>
      <w:shd w:val="clear" w:color="auto" w:fill="E1DFDD"/>
    </w:rPr>
  </w:style>
  <w:style w:type="paragraph" w:styleId="En-ttedetabledesmatires">
    <w:name w:val="TOC Heading"/>
    <w:basedOn w:val="Titre1"/>
    <w:next w:val="Normal"/>
    <w:uiPriority w:val="39"/>
    <w:unhideWhenUsed/>
    <w:qFormat/>
    <w:rsid w:val="00421DEB"/>
    <w:pPr>
      <w:spacing w:before="240" w:line="259" w:lineRule="auto"/>
      <w:ind w:left="0" w:firstLine="0"/>
      <w:outlineLvl w:val="9"/>
    </w:pPr>
    <w:rPr>
      <w:rFonts w:asciiTheme="majorHAnsi" w:hAnsiTheme="majorHAnsi"/>
      <w:b w:val="0"/>
      <w:color w:val="365F91" w:themeColor="accent1" w:themeShade="BF"/>
      <w:kern w:val="0"/>
      <w:sz w:val="32"/>
      <w:szCs w:val="32"/>
      <w:lang w:val="en-US"/>
      <w14:ligatures w14:val="none"/>
    </w:rPr>
  </w:style>
  <w:style w:type="paragraph" w:styleId="TM1">
    <w:name w:val="toc 1"/>
    <w:basedOn w:val="Normal"/>
    <w:next w:val="Normal"/>
    <w:autoRedefine/>
    <w:uiPriority w:val="39"/>
    <w:unhideWhenUsed/>
    <w:rsid w:val="00421DEB"/>
    <w:pPr>
      <w:spacing w:after="100"/>
      <w:jc w:val="both"/>
    </w:pPr>
    <w:rPr>
      <w:rFonts w:eastAsiaTheme="minorHAnsi" w:cstheme="minorBidi"/>
      <w:kern w:val="2"/>
      <w:szCs w:val="24"/>
      <w:lang w:val="en-GB"/>
      <w14:ligatures w14:val="standardContextual"/>
    </w:rPr>
  </w:style>
  <w:style w:type="paragraph" w:styleId="TM2">
    <w:name w:val="toc 2"/>
    <w:basedOn w:val="Normal"/>
    <w:next w:val="Normal"/>
    <w:autoRedefine/>
    <w:uiPriority w:val="39"/>
    <w:unhideWhenUsed/>
    <w:rsid w:val="00421DEB"/>
    <w:pPr>
      <w:spacing w:after="100"/>
      <w:ind w:left="200"/>
      <w:jc w:val="both"/>
    </w:pPr>
    <w:rPr>
      <w:rFonts w:eastAsiaTheme="minorHAnsi" w:cstheme="minorBidi"/>
      <w:kern w:val="2"/>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81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treaties.un.org/pages/ViewDetails.aspx?src=TREATY&amp;mtdsg_no=XVIII-11&amp;chapter=18&amp;clang=_fr" TargetMode="External"/><Relationship Id="rId13" Type="http://schemas.openxmlformats.org/officeDocument/2006/relationships/hyperlink" Target="https://ks.echr.coe.int/fr/web/echr-ks/article-4-protocol-7" TargetMode="External"/><Relationship Id="rId18" Type="http://schemas.openxmlformats.org/officeDocument/2006/relationships/hyperlink" Target="https://ihl-databases.icrc.org/fr/customary-ihl/v1/rule159" TargetMode="External"/><Relationship Id="rId26" Type="http://schemas.openxmlformats.org/officeDocument/2006/relationships/hyperlink" Target="https://docs.un.org/a/res/79/243" TargetMode="External"/><Relationship Id="rId3" Type="http://schemas.openxmlformats.org/officeDocument/2006/relationships/hyperlink" Target="https://www.eurojust.europa.eu/publication/cumulative-prosecution-foreign-terrorist-fighters-core-international-crimes-terrorism-related" TargetMode="External"/><Relationship Id="rId21" Type="http://schemas.openxmlformats.org/officeDocument/2006/relationships/hyperlink" Target="https://www.un-ilibrary.org/content/books/9789211067996" TargetMode="External"/><Relationship Id="rId7" Type="http://schemas.openxmlformats.org/officeDocument/2006/relationships/hyperlink" Target="https://www.legifrance.gouv.fr/juri/id/JURITEXT000044105521" TargetMode="External"/><Relationship Id="rId12" Type="http://schemas.openxmlformats.org/officeDocument/2006/relationships/hyperlink" Target="https://ihl-databases.icrc.org/fr/customary-ihl/v1/rule157" TargetMode="External"/><Relationship Id="rId17" Type="http://schemas.openxmlformats.org/officeDocument/2006/relationships/hyperlink" Target="https://ks.echr.coe.int/fr/web/echr-ks/article-6-criminal" TargetMode="External"/><Relationship Id="rId25" Type="http://schemas.openxmlformats.org/officeDocument/2006/relationships/hyperlink" Target="https://www.europol.europa.eu/how-we-work/services-support" TargetMode="External"/><Relationship Id="rId2" Type="http://schemas.openxmlformats.org/officeDocument/2006/relationships/hyperlink" Target="https://icct.nl/publication/improving-prospects-prosecuting-terrorists-core-international-crimes-committed-syria" TargetMode="External"/><Relationship Id="rId16" Type="http://schemas.openxmlformats.org/officeDocument/2006/relationships/hyperlink" Target="https://www.coe.int/en/web/kyiv/fostering-human-rights-in-the-criminal-justice-system-in-ukraine" TargetMode="External"/><Relationship Id="rId20" Type="http://schemas.openxmlformats.org/officeDocument/2006/relationships/hyperlink" Target="https://ihl-databases.icrc.org/fr/customary-ihl/v1" TargetMode="External"/><Relationship Id="rId29" Type="http://schemas.openxmlformats.org/officeDocument/2006/relationships/hyperlink" Target="https://eur-lex.europa.eu/eli/reg/2022/838/oj?eliuri=eli%3Areg%3A2022%3A838%3Aoj&amp;locale=fr" TargetMode="External"/><Relationship Id="rId1" Type="http://schemas.openxmlformats.org/officeDocument/2006/relationships/hyperlink" Target="https://pace.coe.int/fr/files/31550/html" TargetMode="External"/><Relationship Id="rId6" Type="http://schemas.openxmlformats.org/officeDocument/2006/relationships/hyperlink" Target="https://www.un-ilibrary.org/content/books/9789211067996" TargetMode="External"/><Relationship Id="rId11" Type="http://schemas.openxmlformats.org/officeDocument/2006/relationships/hyperlink" Target="https://eur-lex.europa.eu/legal-content/FR/AUTO/?uri=celex:42000A0712%2801%29" TargetMode="External"/><Relationship Id="rId24" Type="http://schemas.openxmlformats.org/officeDocument/2006/relationships/hyperlink" Target="https://www.eurojust.europa.eu/judicial-cooperation/instruments/joint-investigation-teams" TargetMode="External"/><Relationship Id="rId5" Type="http://schemas.openxmlformats.org/officeDocument/2006/relationships/hyperlink" Target="https://www.eurojust.europa.eu/national-jurisprudence-database-core-international-crimes" TargetMode="External"/><Relationship Id="rId15" Type="http://schemas.openxmlformats.org/officeDocument/2006/relationships/hyperlink" Target="https://ks.echr.coe.int/fr/web/echr-ks/article-2" TargetMode="External"/><Relationship Id="rId23" Type="http://schemas.openxmlformats.org/officeDocument/2006/relationships/hyperlink" Target="https://www.gov.si/en/registries/projects/mla-initiative/" TargetMode="External"/><Relationship Id="rId28" Type="http://schemas.openxmlformats.org/officeDocument/2006/relationships/hyperlink" Target="https://www.eurojust.europa.eu/core-international-crimes-evidence-database" TargetMode="External"/><Relationship Id="rId10" Type="http://schemas.openxmlformats.org/officeDocument/2006/relationships/hyperlink" Target="https://hudoc.echr.coe.int/fre" TargetMode="External"/><Relationship Id="rId19" Type="http://schemas.openxmlformats.org/officeDocument/2006/relationships/hyperlink" Target="https://international-review.icrc.org/articles/international-humanitarian-law-principled-humanitarian-action-916" TargetMode="External"/><Relationship Id="rId31" Type="http://schemas.openxmlformats.org/officeDocument/2006/relationships/hyperlink" Target="https://www.eurojust.europa.eu/judicial-cooperation/practitioner-networks/genocide-prosecution-network" TargetMode="External"/><Relationship Id="rId4" Type="http://schemas.openxmlformats.org/officeDocument/2006/relationships/hyperlink" Target="https://www.eurojust.europa.eu/publication/cumulative-prosecutions-foreign-terrorist-fighters-core-international-crimes-terrorism-related-offences" TargetMode="External"/><Relationship Id="rId9" Type="http://schemas.openxmlformats.org/officeDocument/2006/relationships/hyperlink" Target="https://www.icrc.org/fr/article/cicr-prise-position-2024-comment-le-terme-conflit-arme-est-il-defini-en-DIH" TargetMode="External"/><Relationship Id="rId14" Type="http://schemas.openxmlformats.org/officeDocument/2006/relationships/hyperlink" Target="https://ihl-databases.icrc.org/fr/customary-ihl/v1/rule158" TargetMode="External"/><Relationship Id="rId22" Type="http://schemas.openxmlformats.org/officeDocument/2006/relationships/hyperlink" Target="https://www.un-ilibrary.org/content/books/9789210474269s001-c008" TargetMode="External"/><Relationship Id="rId27" Type="http://schemas.openxmlformats.org/officeDocument/2006/relationships/hyperlink" Target="https://iiim.un.org/" TargetMode="External"/><Relationship Id="rId30" Type="http://schemas.openxmlformats.org/officeDocument/2006/relationships/hyperlink" Target="https://eur-lex.europa.eu/legal-content/FR/TXT/HTML/?uri=OJ:L_20230213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molnavin_k\ND%20Office%20Echo\DE-6OR07Y05\F_CMAbridgedReport-Template%202791-6428-8259%20v.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A5F98E4D-D688-4716-AB31-BA7E295E0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F_CMAbridgedReport-Template 2791-6428-8259 v.6</Template>
  <TotalTime>18</TotalTime>
  <Pages>14</Pages>
  <Words>11258</Words>
  <Characters>61925</Characters>
  <Application>Microsoft Office Word</Application>
  <DocSecurity>0</DocSecurity>
  <Lines>516</Lines>
  <Paragraphs>146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73037</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KAMOLNAVIN Kamoljit</dc:creator>
  <cp:lastModifiedBy>FREYD Natacha</cp:lastModifiedBy>
  <cp:revision>9</cp:revision>
  <cp:lastPrinted>2026-08-20T03:18:00Z</cp:lastPrinted>
  <dcterms:created xsi:type="dcterms:W3CDTF">2026-10-01T13:25:00Z</dcterms:created>
  <dcterms:modified xsi:type="dcterms:W3CDTF">2026-10-06T14:22:00Z</dcterms:modified>
</cp:coreProperties>
</file>