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371AE444" w:rsidR="002D11B8" w:rsidRPr="00725CD3" w:rsidRDefault="00725CD3" w:rsidP="00FE16E3">
            <w:pPr>
              <w:ind w:left="-40"/>
              <w:jc w:val="center"/>
              <w:rPr>
                <w:rFonts w:ascii="Arial Narrow" w:hAnsi="Arial Narrow" w:cs="Arial"/>
                <w:b/>
                <w:sz w:val="24"/>
                <w:szCs w:val="24"/>
              </w:rPr>
            </w:pPr>
            <w:proofErr w:type="gramStart"/>
            <w:r w:rsidRPr="00725CD3">
              <w:rPr>
                <w:rFonts w:ascii="Arial Narrow" w:hAnsi="Arial Narrow" w:cs="Calibri"/>
                <w:b/>
                <w:sz w:val="24"/>
                <w:szCs w:val="24"/>
                <w:lang w:val="fr-FR"/>
              </w:rPr>
              <w:t>CM(</w:t>
            </w:r>
            <w:proofErr w:type="gramEnd"/>
            <w:r w:rsidRPr="00725CD3">
              <w:rPr>
                <w:rFonts w:ascii="Arial Narrow" w:hAnsi="Arial Narrow" w:cs="Calibri"/>
                <w:b/>
                <w:sz w:val="24"/>
                <w:szCs w:val="24"/>
                <w:lang w:val="fr-FR"/>
              </w:rPr>
              <w:t>2025)20-add7</w:t>
            </w:r>
          </w:p>
        </w:tc>
        <w:tc>
          <w:tcPr>
            <w:tcW w:w="1250" w:type="pct"/>
            <w:shd w:val="clear" w:color="auto" w:fill="auto"/>
            <w:vAlign w:val="center"/>
          </w:tcPr>
          <w:p w14:paraId="330E1726" w14:textId="314F2FAB" w:rsidR="002D11B8" w:rsidRPr="00F96689" w:rsidRDefault="00725CD3" w:rsidP="00FE16E3">
            <w:pPr>
              <w:jc w:val="right"/>
              <w:rPr>
                <w:rFonts w:ascii="Arial Narrow" w:hAnsi="Arial Narrow" w:cs="Arial"/>
                <w:sz w:val="16"/>
                <w:szCs w:val="16"/>
              </w:rPr>
            </w:pPr>
            <w:r>
              <w:rPr>
                <w:rFonts w:ascii="Arial Narrow" w:hAnsi="Arial Narrow" w:cs="Calibri"/>
                <w:sz w:val="16"/>
                <w:szCs w:val="16"/>
              </w:rPr>
              <w:t>4</w:t>
            </w:r>
            <w:r w:rsidR="009A40D3">
              <w:rPr>
                <w:rFonts w:ascii="Arial Narrow" w:hAnsi="Arial Narrow" w:cs="Calibri"/>
                <w:sz w:val="16"/>
                <w:szCs w:val="16"/>
              </w:rPr>
              <w:t xml:space="preserve"> </w:t>
            </w:r>
            <w:r w:rsidR="002E6A16">
              <w:rPr>
                <w:rFonts w:ascii="Arial Narrow" w:hAnsi="Arial Narrow" w:cs="Calibri"/>
                <w:sz w:val="16"/>
                <w:szCs w:val="16"/>
              </w:rPr>
              <w:t>Febr</w:t>
            </w:r>
            <w:r w:rsidR="009A40D3">
              <w:rPr>
                <w:rFonts w:ascii="Arial Narrow" w:hAnsi="Arial Narrow" w:cs="Calibri"/>
                <w:sz w:val="16"/>
                <w:szCs w:val="16"/>
              </w:rPr>
              <w:t>uary</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5A54A7AE"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w:t>
            </w:r>
            <w:r w:rsidR="008E4094">
              <w:rPr>
                <w:rFonts w:ascii="Arial Narrow" w:hAnsi="Arial Narrow" w:cs="Calibri"/>
                <w:b/>
                <w:bCs/>
                <w:sz w:val="32"/>
                <w:szCs w:val="32"/>
              </w:rPr>
              <w:t>3</w:t>
            </w:r>
            <w:r w:rsidR="008E4094">
              <w:rPr>
                <w:rFonts w:ascii="Arial Narrow" w:hAnsi="Arial Narrow" w:cs="Calibri"/>
                <w:b/>
                <w:bCs/>
                <w:sz w:val="32"/>
                <w:szCs w:val="32"/>
                <w:vertAlign w:val="superscript"/>
              </w:rPr>
              <w:t>rd</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8E4094">
              <w:rPr>
                <w:rFonts w:ascii="Arial Narrow" w:hAnsi="Arial Narrow" w:cs="Calibri"/>
                <w:b/>
                <w:bCs/>
                <w:sz w:val="32"/>
                <w:szCs w:val="32"/>
              </w:rPr>
              <w:t>19 March</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74AB3BC4" w14:textId="569913AC" w:rsidR="00881149" w:rsidRPr="003D5A25" w:rsidRDefault="00881149" w:rsidP="00881149">
            <w:pPr>
              <w:rPr>
                <w:rFonts w:ascii="Arial Narrow" w:hAnsi="Arial Narrow" w:cs="Calibri"/>
                <w:b/>
                <w:sz w:val="28"/>
                <w:szCs w:val="28"/>
                <w:lang w:val="en-IE"/>
              </w:rPr>
            </w:pPr>
            <w:r w:rsidRPr="00881149">
              <w:rPr>
                <w:rFonts w:ascii="Arial Narrow" w:hAnsi="Arial Narrow" w:cs="Calibri"/>
                <w:b/>
                <w:sz w:val="28"/>
                <w:szCs w:val="28"/>
                <w:lang w:val="en-IE"/>
              </w:rPr>
              <w:t>10.</w:t>
            </w:r>
            <w:r w:rsidR="00431AB3">
              <w:rPr>
                <w:rFonts w:ascii="Arial Narrow" w:hAnsi="Arial Narrow" w:cs="Calibri"/>
                <w:b/>
                <w:sz w:val="28"/>
                <w:szCs w:val="28"/>
                <w:lang w:val="en-IE"/>
              </w:rPr>
              <w:t>1</w:t>
            </w:r>
            <w:r w:rsidRPr="00881149">
              <w:rPr>
                <w:rFonts w:ascii="Arial Narrow" w:hAnsi="Arial Narrow" w:cs="Calibri"/>
                <w:b/>
                <w:sz w:val="28"/>
                <w:szCs w:val="28"/>
                <w:lang w:val="en-IE"/>
              </w:rPr>
              <w:t xml:space="preserve"> </w:t>
            </w:r>
            <w:r w:rsidRPr="00A11B3E">
              <w:rPr>
                <w:rFonts w:ascii="Arial Narrow" w:hAnsi="Arial Narrow" w:cs="Calibri"/>
                <w:b/>
                <w:sz w:val="28"/>
                <w:szCs w:val="28"/>
                <w:lang w:val="en-IE"/>
              </w:rPr>
              <w:t>European Committee on Crime Problems</w:t>
            </w:r>
            <w:r w:rsidRPr="003D5A25">
              <w:rPr>
                <w:rFonts w:ascii="Arial Narrow" w:hAnsi="Arial Narrow" w:cs="Calibri"/>
                <w:b/>
                <w:sz w:val="28"/>
                <w:szCs w:val="28"/>
                <w:lang w:val="en-IE"/>
              </w:rPr>
              <w:t xml:space="preserve"> (CD</w:t>
            </w:r>
            <w:r>
              <w:rPr>
                <w:rFonts w:ascii="Arial Narrow" w:hAnsi="Arial Narrow" w:cs="Calibri"/>
                <w:b/>
                <w:sz w:val="28"/>
                <w:szCs w:val="28"/>
                <w:lang w:val="en-IE"/>
              </w:rPr>
              <w:t>PC</w:t>
            </w:r>
            <w:r w:rsidRPr="003D5A25">
              <w:rPr>
                <w:rFonts w:ascii="Arial Narrow" w:hAnsi="Arial Narrow" w:cs="Calibri"/>
                <w:b/>
                <w:sz w:val="28"/>
                <w:szCs w:val="28"/>
                <w:lang w:val="en-IE"/>
              </w:rPr>
              <w:t>)</w:t>
            </w:r>
          </w:p>
          <w:p w14:paraId="6820D586" w14:textId="3F1921EE" w:rsidR="00881149" w:rsidRDefault="00C05A0F" w:rsidP="00105C7F">
            <w:pPr>
              <w:rPr>
                <w:rFonts w:ascii="Arial Narrow" w:hAnsi="Arial Narrow" w:cs="Calibri"/>
                <w:sz w:val="22"/>
                <w:lang w:val="en-IE"/>
              </w:rPr>
            </w:pPr>
            <w:r>
              <w:rPr>
                <w:rFonts w:ascii="Arial Narrow" w:hAnsi="Arial Narrow" w:cs="Calibri"/>
                <w:sz w:val="22"/>
                <w:lang w:val="en-IE"/>
              </w:rPr>
              <w:t xml:space="preserve">Draft </w:t>
            </w:r>
            <w:r w:rsidR="00105C7F" w:rsidRPr="00105C7F">
              <w:rPr>
                <w:rFonts w:ascii="Arial Narrow" w:hAnsi="Arial Narrow" w:cs="Calibri"/>
                <w:sz w:val="22"/>
                <w:lang w:val="en-IE"/>
              </w:rPr>
              <w:t>Third Additional Protocol to the European Convention on Mutual Assistance in Criminal Matters</w:t>
            </w:r>
          </w:p>
          <w:p w14:paraId="2770F8DC" w14:textId="3B2B985B" w:rsidR="000A307B" w:rsidRDefault="00340C91" w:rsidP="00E54322">
            <w:pPr>
              <w:rPr>
                <w:rFonts w:ascii="Arial Narrow" w:hAnsi="Arial Narrow" w:cs="Calibri"/>
                <w:sz w:val="22"/>
              </w:rPr>
            </w:pPr>
            <w:r>
              <w:rPr>
                <w:rFonts w:ascii="Arial Narrow" w:hAnsi="Arial Narrow" w:cs="Calibri"/>
                <w:sz w:val="22"/>
              </w:rPr>
              <w:t>Draft Explanatory Report</w:t>
            </w:r>
          </w:p>
          <w:p w14:paraId="3CFEABCA" w14:textId="77777777" w:rsidR="00340C91" w:rsidRDefault="00340C91" w:rsidP="00E54322">
            <w:pPr>
              <w:rPr>
                <w:rFonts w:ascii="Arial Narrow" w:hAnsi="Arial Narrow" w:cs="Calibri"/>
                <w:sz w:val="22"/>
              </w:rPr>
            </w:pPr>
          </w:p>
          <w:p w14:paraId="3407E56B" w14:textId="456DFA41"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9A40D3">
              <w:rPr>
                <w:rFonts w:ascii="Arial Narrow" w:hAnsi="Arial Narrow" w:cs="Calibri"/>
                <w:b/>
                <w:szCs w:val="20"/>
              </w:rPr>
              <w:t>J</w:t>
            </w:r>
            <w:r w:rsidRPr="000A307B">
              <w:rPr>
                <w:rFonts w:ascii="Arial Narrow" w:hAnsi="Arial Narrow" w:cs="Calibri"/>
                <w:b/>
                <w:szCs w:val="20"/>
              </w:rPr>
              <w:t xml:space="preserve"> at its meeting on </w:t>
            </w:r>
            <w:r w:rsidR="009A40D3">
              <w:rPr>
                <w:rFonts w:ascii="Arial Narrow" w:hAnsi="Arial Narrow" w:cs="Calibri"/>
                <w:b/>
                <w:szCs w:val="20"/>
              </w:rPr>
              <w:t xml:space="preserve">11 </w:t>
            </w:r>
            <w:r w:rsidR="004E755C">
              <w:rPr>
                <w:rFonts w:ascii="Arial Narrow" w:hAnsi="Arial Narrow" w:cs="Calibri"/>
                <w:b/>
                <w:szCs w:val="20"/>
              </w:rPr>
              <w:t>March</w:t>
            </w:r>
            <w:r w:rsidR="009A40D3">
              <w:rPr>
                <w:rFonts w:ascii="Arial Narrow" w:hAnsi="Arial Narrow" w:cs="Calibri"/>
                <w:b/>
                <w:szCs w:val="20"/>
              </w:rPr>
              <w:t xml:space="preserve"> </w:t>
            </w:r>
            <w:r w:rsidR="00761B44">
              <w:rPr>
                <w:rFonts w:ascii="Arial Narrow" w:hAnsi="Arial Narrow" w:cs="Calibri"/>
                <w:b/>
                <w:szCs w:val="20"/>
              </w:rPr>
              <w:t>2025</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1480A7F9" w14:textId="2F92FEA0" w:rsidR="00E7763B" w:rsidRPr="009137D5" w:rsidRDefault="00E7763B" w:rsidP="009137D5">
      <w:pPr>
        <w:autoSpaceDE w:val="0"/>
        <w:autoSpaceDN w:val="0"/>
        <w:adjustRightInd w:val="0"/>
        <w:rPr>
          <w:rFonts w:cs="Arial"/>
          <w:szCs w:val="20"/>
        </w:rPr>
      </w:pPr>
    </w:p>
    <w:p w14:paraId="194649B0" w14:textId="380A1654" w:rsidR="002E6A16" w:rsidRPr="008F43FA" w:rsidRDefault="002E6A16" w:rsidP="002E6A16">
      <w:pPr>
        <w:autoSpaceDE w:val="0"/>
        <w:autoSpaceDN w:val="0"/>
        <w:adjustRightInd w:val="0"/>
        <w:rPr>
          <w:rFonts w:cs="Arial"/>
          <w:lang w:val="en-US"/>
          <w14:ligatures w14:val="standardContextual"/>
        </w:rPr>
      </w:pPr>
      <w:r w:rsidRPr="008F43FA">
        <w:rPr>
          <w:rFonts w:cs="Arial"/>
          <w:lang w:val="en-US"/>
          <w14:ligatures w14:val="standardContextual"/>
        </w:rPr>
        <w:t>I.</w:t>
      </w:r>
      <w:r w:rsidRPr="008F43FA">
        <w:rPr>
          <w:rFonts w:cs="Arial"/>
          <w:lang w:val="en-US"/>
          <w14:ligatures w14:val="standardContextual"/>
        </w:rPr>
        <w:tab/>
        <w:t xml:space="preserve">The Committee of Ministers of the Council of Europe took note of this Explanatory Report on </w:t>
      </w:r>
      <w:r>
        <w:rPr>
          <w:rFonts w:cs="Arial"/>
          <w:lang w:val="en-US"/>
          <w14:ligatures w14:val="standardContextual"/>
        </w:rPr>
        <w:t>…….</w:t>
      </w:r>
      <w:r w:rsidRPr="008F43FA">
        <w:rPr>
          <w:rFonts w:cs="Arial"/>
          <w:lang w:val="en-US"/>
          <w14:ligatures w14:val="standardContextual"/>
        </w:rPr>
        <w:t xml:space="preserve"> </w:t>
      </w:r>
      <w:proofErr w:type="gramStart"/>
      <w:r w:rsidRPr="008F43FA">
        <w:rPr>
          <w:rFonts w:cs="Arial"/>
          <w:lang w:val="en-US"/>
          <w14:ligatures w14:val="standardContextual"/>
        </w:rPr>
        <w:t>on the occasion of</w:t>
      </w:r>
      <w:proofErr w:type="gramEnd"/>
      <w:r w:rsidRPr="008F43FA">
        <w:rPr>
          <w:rFonts w:cs="Arial"/>
          <w:lang w:val="en-US"/>
          <w14:ligatures w14:val="standardContextual"/>
        </w:rPr>
        <w:t xml:space="preserve"> </w:t>
      </w:r>
      <w:r>
        <w:rPr>
          <w:rFonts w:cs="Arial"/>
          <w:lang w:val="en-US"/>
          <w14:ligatures w14:val="standardContextual"/>
        </w:rPr>
        <w:t>the ….</w:t>
      </w:r>
      <w:r w:rsidRPr="002E6A16">
        <w:rPr>
          <w:rFonts w:cs="Arial"/>
          <w:vertAlign w:val="superscript"/>
          <w:lang w:val="en-US"/>
          <w14:ligatures w14:val="standardContextual"/>
        </w:rPr>
        <w:t>th</w:t>
      </w:r>
      <w:r>
        <w:rPr>
          <w:rFonts w:cs="Arial"/>
          <w:lang w:val="en-US"/>
          <w14:ligatures w14:val="standardContextual"/>
        </w:rPr>
        <w:t> </w:t>
      </w:r>
      <w:r w:rsidRPr="008F43FA">
        <w:rPr>
          <w:rFonts w:cs="Arial"/>
          <w:lang w:val="en-US"/>
          <w14:ligatures w14:val="standardContextual"/>
        </w:rPr>
        <w:t>meeting of the Ministers’ Deputies.</w:t>
      </w:r>
    </w:p>
    <w:p w14:paraId="388592F2" w14:textId="77777777" w:rsidR="002E6A16" w:rsidRPr="008F43FA" w:rsidRDefault="002E6A16" w:rsidP="002E6A16">
      <w:pPr>
        <w:autoSpaceDE w:val="0"/>
        <w:autoSpaceDN w:val="0"/>
        <w:adjustRightInd w:val="0"/>
        <w:rPr>
          <w:rFonts w:cs="Arial"/>
          <w:lang w:val="en-US"/>
          <w14:ligatures w14:val="standardContextual"/>
        </w:rPr>
      </w:pPr>
    </w:p>
    <w:p w14:paraId="7763159E" w14:textId="77777777" w:rsidR="002E6A16" w:rsidRPr="00B85CD8" w:rsidRDefault="002E6A16" w:rsidP="002E6A16">
      <w:pPr>
        <w:autoSpaceDE w:val="0"/>
        <w:autoSpaceDN w:val="0"/>
        <w:adjustRightInd w:val="0"/>
        <w:rPr>
          <w:rFonts w:cs="Arial"/>
          <w:lang w:val="en-US"/>
          <w14:ligatures w14:val="standardContextual"/>
        </w:rPr>
      </w:pPr>
      <w:r w:rsidRPr="008F43FA">
        <w:rPr>
          <w:rFonts w:cs="Arial"/>
          <w:lang w:val="en-US"/>
          <w14:ligatures w14:val="standardContextual"/>
        </w:rPr>
        <w:t>II.</w:t>
      </w:r>
      <w:r w:rsidRPr="008F43FA">
        <w:rPr>
          <w:rFonts w:cs="Arial"/>
          <w:lang w:val="en-US"/>
          <w14:ligatures w14:val="standardContextual"/>
        </w:rPr>
        <w:tab/>
        <w:t xml:space="preserve">The text of the Explanatory Report does not constitute an instrument providing an authoritative interpretation of the text of the </w:t>
      </w:r>
      <w:r>
        <w:rPr>
          <w:rFonts w:cs="Arial"/>
          <w:lang w:val="en-US"/>
          <w14:ligatures w14:val="standardContextual"/>
        </w:rPr>
        <w:t>Protocol</w:t>
      </w:r>
      <w:r w:rsidRPr="008F43FA">
        <w:rPr>
          <w:rFonts w:cs="Arial"/>
          <w:lang w:val="en-US"/>
          <w14:ligatures w14:val="standardContextual"/>
        </w:rPr>
        <w:t xml:space="preserve"> although it may facilitate the understanding of </w:t>
      </w:r>
      <w:r>
        <w:rPr>
          <w:rFonts w:cs="Arial"/>
          <w:lang w:val="en-US"/>
          <w14:ligatures w14:val="standardContextual"/>
        </w:rPr>
        <w:t>its</w:t>
      </w:r>
      <w:r w:rsidRPr="008F43FA">
        <w:rPr>
          <w:rFonts w:cs="Arial"/>
          <w:lang w:val="en-US"/>
          <w14:ligatures w14:val="standardContextual"/>
        </w:rPr>
        <w:t xml:space="preserve"> provisions.</w:t>
      </w:r>
    </w:p>
    <w:p w14:paraId="6596A030" w14:textId="77777777" w:rsidR="009137D5" w:rsidRDefault="009137D5" w:rsidP="002E6A16">
      <w:pPr>
        <w:autoSpaceDE w:val="0"/>
        <w:autoSpaceDN w:val="0"/>
        <w:adjustRightInd w:val="0"/>
        <w:rPr>
          <w:rFonts w:cs="Arial"/>
          <w:szCs w:val="20"/>
          <w:lang w:val="en-US"/>
          <w14:ligatures w14:val="standardContextual"/>
        </w:rPr>
      </w:pPr>
    </w:p>
    <w:p w14:paraId="7D8DD52F" w14:textId="77777777" w:rsidR="002E6A16" w:rsidRPr="002E6A16" w:rsidRDefault="002E6A16" w:rsidP="002E6A16">
      <w:pPr>
        <w:autoSpaceDE w:val="0"/>
        <w:autoSpaceDN w:val="0"/>
        <w:adjustRightInd w:val="0"/>
        <w:rPr>
          <w:rFonts w:cs="Arial"/>
          <w:szCs w:val="20"/>
          <w:lang w:val="en-US"/>
          <w14:ligatures w14:val="standardContextual"/>
        </w:rPr>
      </w:pPr>
    </w:p>
    <w:p w14:paraId="5E8C5084" w14:textId="77777777"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Introduction</w:t>
      </w:r>
    </w:p>
    <w:p w14:paraId="47F9B431" w14:textId="77777777" w:rsidR="009137D5" w:rsidRPr="009137D5" w:rsidRDefault="009137D5" w:rsidP="009137D5">
      <w:pPr>
        <w:autoSpaceDE w:val="0"/>
        <w:autoSpaceDN w:val="0"/>
        <w:adjustRightInd w:val="0"/>
        <w:rPr>
          <w:rFonts w:cs="Arial"/>
          <w:szCs w:val="20"/>
          <w14:ligatures w14:val="standardContextual"/>
        </w:rPr>
      </w:pPr>
    </w:p>
    <w:p w14:paraId="51828647"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1. Under the authority of the European Committee on Crime Problems (CDPC), the Committee of Experts on the Operation of European Conventions on Co-operation in Criminal Matters (PC-OC) is entrusted</w:t>
      </w:r>
      <w:proofErr w:type="gramStart"/>
      <w:r w:rsidRPr="009137D5">
        <w:rPr>
          <w:rFonts w:cs="Arial"/>
          <w:szCs w:val="20"/>
          <w14:ligatures w14:val="standardContextual"/>
        </w:rPr>
        <w:t>, in particular, with</w:t>
      </w:r>
      <w:proofErr w:type="gramEnd"/>
      <w:r w:rsidRPr="009137D5">
        <w:rPr>
          <w:rFonts w:cs="Arial"/>
          <w:szCs w:val="20"/>
          <w14:ligatures w14:val="standardContextual"/>
        </w:rPr>
        <w:t xml:space="preserve"> examining the functioning and implementation of Council of Europe conventions and agreements in the field of international co-operation in criminal matters, with a view to adapting them and improving their practical application where necessary.</w:t>
      </w:r>
    </w:p>
    <w:p w14:paraId="176640C4" w14:textId="77777777" w:rsidR="009137D5" w:rsidRPr="009137D5" w:rsidRDefault="009137D5" w:rsidP="009137D5">
      <w:pPr>
        <w:autoSpaceDE w:val="0"/>
        <w:autoSpaceDN w:val="0"/>
        <w:adjustRightInd w:val="0"/>
        <w:rPr>
          <w:rFonts w:cs="Arial"/>
          <w:szCs w:val="20"/>
          <w14:ligatures w14:val="standardContextual"/>
        </w:rPr>
      </w:pPr>
    </w:p>
    <w:p w14:paraId="48CF530E" w14:textId="69367076"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2. Within the framework of its tasks, the PC-OC identified the need to update a number of provisions of the European Convention on Mutual Assistance in Criminal Matters of 1959 (“the Convention”), as well as of its Second Additional Protocol, in order to take account of the rapid evolution of practices and support systems relating to mutual assistance in recent years, including an increased use of video-conferencing and other technological tools, notably in the context of the C</w:t>
      </w:r>
      <w:r w:rsidR="00431AB3">
        <w:rPr>
          <w:rFonts w:cs="Arial"/>
          <w:szCs w:val="20"/>
          <w14:ligatures w14:val="standardContextual"/>
        </w:rPr>
        <w:t>ovid-</w:t>
      </w:r>
      <w:r w:rsidRPr="009137D5">
        <w:rPr>
          <w:rFonts w:cs="Arial"/>
          <w:szCs w:val="20"/>
          <w14:ligatures w14:val="standardContextual"/>
        </w:rPr>
        <w:t xml:space="preserve">19 pandemic. It also identified areas where the provisions of the Convention and its Additional Protocols could be complemented to take account of certain shortcomings identified by practitioners. </w:t>
      </w:r>
    </w:p>
    <w:p w14:paraId="54B20E3C" w14:textId="77777777" w:rsidR="009137D5" w:rsidRPr="009137D5" w:rsidRDefault="009137D5" w:rsidP="009137D5">
      <w:pPr>
        <w:autoSpaceDE w:val="0"/>
        <w:autoSpaceDN w:val="0"/>
        <w:adjustRightInd w:val="0"/>
        <w:rPr>
          <w:rFonts w:cs="Arial"/>
          <w:szCs w:val="20"/>
          <w14:ligatures w14:val="standardContextual"/>
        </w:rPr>
      </w:pPr>
    </w:p>
    <w:p w14:paraId="4DD8FEF2"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 xml:space="preserve">3. Having explored various options, the PC-OC agreed that an additional protocol to the Convention was the most appropriate and pragmatic response to modernise the Convention </w:t>
      </w:r>
      <w:proofErr w:type="gramStart"/>
      <w:r w:rsidRPr="009137D5">
        <w:rPr>
          <w:rFonts w:cs="Arial"/>
          <w:szCs w:val="20"/>
          <w14:ligatures w14:val="standardContextual"/>
        </w:rPr>
        <w:t>in light of</w:t>
      </w:r>
      <w:proofErr w:type="gramEnd"/>
      <w:r w:rsidRPr="009137D5">
        <w:rPr>
          <w:rFonts w:cs="Arial"/>
          <w:szCs w:val="20"/>
          <w14:ligatures w14:val="standardContextual"/>
        </w:rPr>
        <w:t xml:space="preserve"> these considerations. This proposal was approved by the CDPC and the preparation of a new Protocol to the Convention was consequently included in the terms of reference of the PC-OC for the period 2022-2025 by the Committee of Ministers of the Council of Europe. </w:t>
      </w:r>
    </w:p>
    <w:p w14:paraId="18B95A04" w14:textId="77777777" w:rsidR="009137D5" w:rsidRPr="009137D5" w:rsidRDefault="009137D5" w:rsidP="009137D5">
      <w:pPr>
        <w:autoSpaceDE w:val="0"/>
        <w:autoSpaceDN w:val="0"/>
        <w:adjustRightInd w:val="0"/>
        <w:rPr>
          <w:rFonts w:cs="Arial"/>
          <w:szCs w:val="20"/>
          <w14:ligatures w14:val="standardContextual"/>
        </w:rPr>
      </w:pPr>
    </w:p>
    <w:p w14:paraId="19BF059A" w14:textId="11352539"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 xml:space="preserve">4. The PC-OC drew up a Third Additional Protocol to the Convention </w:t>
      </w:r>
      <w:proofErr w:type="gramStart"/>
      <w:r w:rsidRPr="009137D5">
        <w:rPr>
          <w:rFonts w:cs="Arial"/>
          <w:szCs w:val="20"/>
          <w14:ligatures w14:val="standardContextual"/>
        </w:rPr>
        <w:t>on the basis of</w:t>
      </w:r>
      <w:proofErr w:type="gramEnd"/>
      <w:r w:rsidRPr="009137D5">
        <w:rPr>
          <w:rFonts w:cs="Arial"/>
          <w:szCs w:val="20"/>
          <w14:ligatures w14:val="standardContextual"/>
        </w:rPr>
        <w:t xml:space="preserve"> proposals made by various delegations. The draft Third Additional Protocol was finalised by the PC-OC at its 86</w:t>
      </w:r>
      <w:r w:rsidRPr="00431AB3">
        <w:rPr>
          <w:rFonts w:cs="Arial"/>
          <w:szCs w:val="20"/>
          <w:vertAlign w:val="superscript"/>
          <w14:ligatures w14:val="standardContextual"/>
        </w:rPr>
        <w:t>th</w:t>
      </w:r>
      <w:r w:rsidR="00431AB3">
        <w:rPr>
          <w:rFonts w:cs="Arial"/>
          <w:szCs w:val="20"/>
          <w14:ligatures w14:val="standardContextual"/>
        </w:rPr>
        <w:t> </w:t>
      </w:r>
      <w:r w:rsidRPr="009137D5">
        <w:rPr>
          <w:rFonts w:cs="Arial"/>
          <w:szCs w:val="20"/>
          <w14:ligatures w14:val="standardContextual"/>
        </w:rPr>
        <w:t>meeting (12</w:t>
      </w:r>
      <w:r w:rsidR="00431AB3">
        <w:rPr>
          <w:rFonts w:cs="Arial"/>
          <w:szCs w:val="20"/>
          <w14:ligatures w14:val="standardContextual"/>
        </w:rPr>
        <w:noBreakHyphen/>
      </w:r>
      <w:r w:rsidRPr="009137D5">
        <w:rPr>
          <w:rFonts w:cs="Arial"/>
          <w:szCs w:val="20"/>
          <w14:ligatures w14:val="standardContextual"/>
        </w:rPr>
        <w:t>14 November 2024) and submitted to the CDPC for approval.</w:t>
      </w:r>
    </w:p>
    <w:p w14:paraId="5046969F" w14:textId="77777777" w:rsidR="009137D5" w:rsidRPr="009137D5" w:rsidRDefault="009137D5" w:rsidP="009137D5">
      <w:pPr>
        <w:autoSpaceDE w:val="0"/>
        <w:autoSpaceDN w:val="0"/>
        <w:adjustRightInd w:val="0"/>
        <w:rPr>
          <w:rFonts w:cs="Arial"/>
          <w:szCs w:val="20"/>
          <w14:ligatures w14:val="standardContextual"/>
        </w:rPr>
      </w:pPr>
    </w:p>
    <w:p w14:paraId="3F0D3C03" w14:textId="77777777" w:rsid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5. The draft Third Additional Protocol was examined and approved by the CDPC at its 86</w:t>
      </w:r>
      <w:r w:rsidRPr="009137D5">
        <w:rPr>
          <w:rFonts w:cs="Arial"/>
          <w:szCs w:val="20"/>
          <w:vertAlign w:val="superscript"/>
          <w14:ligatures w14:val="standardContextual"/>
        </w:rPr>
        <w:t>th</w:t>
      </w:r>
      <w:r w:rsidRPr="009137D5">
        <w:rPr>
          <w:rFonts w:cs="Arial"/>
          <w:szCs w:val="20"/>
          <w14:ligatures w14:val="standardContextual"/>
        </w:rPr>
        <w:t xml:space="preserve"> plenary session (20-22 November 2024) and submitted to the Committee of Ministers.</w:t>
      </w:r>
    </w:p>
    <w:p w14:paraId="30FBF2BC" w14:textId="77777777" w:rsidR="00431AB3" w:rsidRPr="009137D5" w:rsidRDefault="00431AB3" w:rsidP="009137D5">
      <w:pPr>
        <w:autoSpaceDE w:val="0"/>
        <w:autoSpaceDN w:val="0"/>
        <w:adjustRightInd w:val="0"/>
        <w:rPr>
          <w:rFonts w:cs="Arial"/>
          <w:szCs w:val="20"/>
          <w14:ligatures w14:val="standardContextual"/>
        </w:rPr>
      </w:pPr>
    </w:p>
    <w:p w14:paraId="707F10D7"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6. At the … meeting of their Deputies in …, the Committee of Ministers adopted the text of the Third Additional Protocol and decided to open it for signature on ….</w:t>
      </w:r>
    </w:p>
    <w:p w14:paraId="1F8D9DC1" w14:textId="77777777" w:rsidR="002E6A16" w:rsidRDefault="002E6A16">
      <w:pPr>
        <w:rPr>
          <w:rFonts w:cs="Arial"/>
          <w:b/>
          <w:bCs/>
          <w:szCs w:val="20"/>
          <w14:ligatures w14:val="standardContextual"/>
        </w:rPr>
      </w:pPr>
      <w:r>
        <w:rPr>
          <w:rFonts w:cs="Arial"/>
          <w:b/>
          <w:bCs/>
          <w:szCs w:val="20"/>
          <w14:ligatures w14:val="standardContextual"/>
        </w:rPr>
        <w:br w:type="page"/>
      </w:r>
    </w:p>
    <w:p w14:paraId="42781B4F" w14:textId="45386529"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lastRenderedPageBreak/>
        <w:t>General considerations</w:t>
      </w:r>
    </w:p>
    <w:p w14:paraId="14BC86F6" w14:textId="77777777" w:rsidR="009137D5" w:rsidRPr="009137D5" w:rsidRDefault="009137D5" w:rsidP="009137D5">
      <w:pPr>
        <w:autoSpaceDE w:val="0"/>
        <w:autoSpaceDN w:val="0"/>
        <w:adjustRightInd w:val="0"/>
        <w:rPr>
          <w:rFonts w:cs="Arial"/>
          <w:szCs w:val="20"/>
          <w14:ligatures w14:val="standardContextual"/>
        </w:rPr>
      </w:pPr>
    </w:p>
    <w:p w14:paraId="1F923601"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 xml:space="preserve">7. The purpose of this Protocol is to reinforce the ability of member States, as well as partner States, adequately to respond to crime. This purpose is intended to be reached by improving and supplementing the European Convention on Mutual Assistance in Criminal Matters done at Strasbourg on 20 April 1959, (henceforth "the Convention") as well as two Additional Protocols thereto. </w:t>
      </w:r>
    </w:p>
    <w:p w14:paraId="472E8567" w14:textId="77777777" w:rsidR="009137D5" w:rsidRPr="009137D5" w:rsidRDefault="009137D5" w:rsidP="009137D5">
      <w:pPr>
        <w:autoSpaceDE w:val="0"/>
        <w:autoSpaceDN w:val="0"/>
        <w:adjustRightInd w:val="0"/>
        <w:rPr>
          <w:rFonts w:cs="Arial"/>
          <w:szCs w:val="20"/>
          <w14:ligatures w14:val="standardContextual"/>
        </w:rPr>
      </w:pPr>
    </w:p>
    <w:p w14:paraId="5EC08D5E"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8. That purpose is achieved by way of modernising the existing provisions governing mutual assistance, extending the range of circumstances in which mutual assistance may be requested, facilitating assistance and making it quicker and more flexible.</w:t>
      </w:r>
    </w:p>
    <w:p w14:paraId="1BFC3DE5" w14:textId="77777777" w:rsidR="009137D5" w:rsidRPr="009137D5" w:rsidRDefault="009137D5" w:rsidP="009137D5">
      <w:pPr>
        <w:autoSpaceDE w:val="0"/>
        <w:autoSpaceDN w:val="0"/>
        <w:adjustRightInd w:val="0"/>
        <w:rPr>
          <w:rFonts w:cs="Arial"/>
          <w:szCs w:val="20"/>
          <w14:ligatures w14:val="standardContextual"/>
        </w:rPr>
      </w:pPr>
    </w:p>
    <w:p w14:paraId="36DF3F80"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9. This Protocol takes due account of political and social developments in Europe and technological changes worldwide.</w:t>
      </w:r>
    </w:p>
    <w:p w14:paraId="2D93EC04" w14:textId="77777777" w:rsidR="009137D5" w:rsidRPr="009137D5" w:rsidRDefault="009137D5" w:rsidP="009137D5">
      <w:pPr>
        <w:autoSpaceDE w:val="0"/>
        <w:autoSpaceDN w:val="0"/>
        <w:adjustRightInd w:val="0"/>
        <w:rPr>
          <w:rFonts w:cs="Arial"/>
          <w:szCs w:val="20"/>
          <w14:ligatures w14:val="standardContextual"/>
        </w:rPr>
      </w:pPr>
    </w:p>
    <w:p w14:paraId="1ED2191E"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 xml:space="preserve">10. Article 30 of the Vienna Convention on the Law of Treaties, concerning the application of successive treaties relating to the same subject-matter, regulates the relations between this Protocol and the Convention, as well as the First and Second Additional Protocols thereto. </w:t>
      </w:r>
    </w:p>
    <w:p w14:paraId="7D1A4832" w14:textId="77777777" w:rsidR="009137D5" w:rsidRPr="009137D5" w:rsidRDefault="009137D5" w:rsidP="009137D5">
      <w:pPr>
        <w:autoSpaceDE w:val="0"/>
        <w:autoSpaceDN w:val="0"/>
        <w:adjustRightInd w:val="0"/>
        <w:rPr>
          <w:rFonts w:cs="Arial"/>
          <w:b/>
          <w:bCs/>
          <w:szCs w:val="20"/>
          <w14:ligatures w14:val="standardContextual"/>
        </w:rPr>
      </w:pPr>
    </w:p>
    <w:p w14:paraId="74509E1F" w14:textId="77777777"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Commentaries on the Articles of the Third Additional Protocol</w:t>
      </w:r>
    </w:p>
    <w:p w14:paraId="53CF041F" w14:textId="77777777" w:rsidR="009137D5" w:rsidRPr="009137D5" w:rsidRDefault="009137D5" w:rsidP="009137D5">
      <w:pPr>
        <w:autoSpaceDE w:val="0"/>
        <w:autoSpaceDN w:val="0"/>
        <w:adjustRightInd w:val="0"/>
        <w:rPr>
          <w:rFonts w:cs="Arial"/>
          <w:szCs w:val="20"/>
          <w14:ligatures w14:val="standardContextual"/>
        </w:rPr>
      </w:pPr>
    </w:p>
    <w:p w14:paraId="47DDF2A7" w14:textId="77777777"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Article 1 – Channels of communication</w:t>
      </w:r>
    </w:p>
    <w:p w14:paraId="28B2BEE5" w14:textId="77777777" w:rsidR="009137D5" w:rsidRPr="009137D5" w:rsidRDefault="009137D5" w:rsidP="009137D5">
      <w:pPr>
        <w:autoSpaceDE w:val="0"/>
        <w:autoSpaceDN w:val="0"/>
        <w:adjustRightInd w:val="0"/>
        <w:rPr>
          <w:rFonts w:cs="Arial"/>
          <w:color w:val="000000"/>
          <w:szCs w:val="20"/>
          <w14:ligatures w14:val="standardContextual"/>
        </w:rPr>
      </w:pPr>
    </w:p>
    <w:p w14:paraId="6C5222F1"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11. The drafters took account of rapidly changing practices regarding the use of electronic means of communication in the context of mutual assistance in criminal matters. They considered that the use of electronic transmission for mutual assistance requests and other communications has clear benefits to both requesting and requested Parties. These include facilitating a more efficient process, reducing the time taken to process requests, creating a more secure route, improved compliance with data protection requirements and reduced costs as compared to paper-based transmission. The stipulation in paragraph 1 that requests shall be addressed in writing is to be understood as excluding communications that do not leave a written trace, such as an oral exchange, and has no bearing on the form of the written communication, whether by electronic means or by post, for example.</w:t>
      </w:r>
    </w:p>
    <w:p w14:paraId="261369E5" w14:textId="77777777" w:rsidR="009137D5" w:rsidRPr="009137D5" w:rsidRDefault="009137D5" w:rsidP="009137D5">
      <w:pPr>
        <w:autoSpaceDE w:val="0"/>
        <w:autoSpaceDN w:val="0"/>
        <w:adjustRightInd w:val="0"/>
        <w:rPr>
          <w:rFonts w:cs="Arial"/>
          <w:color w:val="000000"/>
          <w:szCs w:val="20"/>
          <w14:ligatures w14:val="standardContextual"/>
        </w:rPr>
      </w:pPr>
    </w:p>
    <w:p w14:paraId="51D230DC"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12. Improving upon the approach adopted in the Second Additional Protocol, which introduced the use of electronic means of communication as a possibility for the first time, this provision establishes electronic communications as the preferred means in all cases of sending and receiving mutual assistance requests and other communications in the mutual assistance process.</w:t>
      </w:r>
    </w:p>
    <w:p w14:paraId="07A94A62" w14:textId="77777777" w:rsidR="009137D5" w:rsidRPr="009137D5" w:rsidRDefault="009137D5" w:rsidP="009137D5">
      <w:pPr>
        <w:autoSpaceDE w:val="0"/>
        <w:autoSpaceDN w:val="0"/>
        <w:adjustRightInd w:val="0"/>
        <w:rPr>
          <w:rFonts w:cs="Arial"/>
          <w:color w:val="000000"/>
          <w:szCs w:val="20"/>
          <w14:ligatures w14:val="standardContextual"/>
        </w:rPr>
      </w:pPr>
    </w:p>
    <w:p w14:paraId="049738A5"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13. There was general agreement within the PC-OC that transmission of encrypted communications via secure IT systems was the most efficient method in this respect, and preferable to broader electronic transmission (for example via email), which in turn is preferable to paper-based or fax transmission. Given the wide variety of practices and mindful of </w:t>
      </w:r>
      <w:proofErr w:type="gramStart"/>
      <w:r w:rsidRPr="009137D5">
        <w:rPr>
          <w:rFonts w:cs="Arial"/>
          <w:color w:val="000000"/>
          <w:szCs w:val="20"/>
          <w14:ligatures w14:val="standardContextual"/>
        </w:rPr>
        <w:t>future-proofing</w:t>
      </w:r>
      <w:proofErr w:type="gramEnd"/>
      <w:r w:rsidRPr="009137D5">
        <w:rPr>
          <w:rFonts w:cs="Arial"/>
          <w:color w:val="000000"/>
          <w:szCs w:val="20"/>
          <w14:ligatures w14:val="standardContextual"/>
        </w:rPr>
        <w:t xml:space="preserve">, however, it was not considered necessary to make this hierarchy explicit in the text of the provision itself. </w:t>
      </w:r>
    </w:p>
    <w:p w14:paraId="3864B768" w14:textId="77777777" w:rsidR="009137D5" w:rsidRPr="009137D5" w:rsidRDefault="009137D5" w:rsidP="009137D5">
      <w:pPr>
        <w:autoSpaceDE w:val="0"/>
        <w:autoSpaceDN w:val="0"/>
        <w:adjustRightInd w:val="0"/>
        <w:rPr>
          <w:rFonts w:cs="Arial"/>
          <w:color w:val="000000"/>
          <w:szCs w:val="20"/>
          <w14:ligatures w14:val="standardContextual"/>
        </w:rPr>
      </w:pPr>
    </w:p>
    <w:p w14:paraId="0ADCE3BB"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14. “Any other communications” mentioned in paragraph 9 include, but are not limited to, notifications made in accordance with Article 3.</w:t>
      </w:r>
    </w:p>
    <w:p w14:paraId="57193355" w14:textId="77777777" w:rsidR="009137D5" w:rsidRPr="009137D5" w:rsidRDefault="009137D5" w:rsidP="009137D5">
      <w:pPr>
        <w:autoSpaceDE w:val="0"/>
        <w:autoSpaceDN w:val="0"/>
        <w:adjustRightInd w:val="0"/>
        <w:rPr>
          <w:rFonts w:cs="Arial"/>
          <w:color w:val="000000"/>
          <w:szCs w:val="20"/>
          <w14:ligatures w14:val="standardContextual"/>
        </w:rPr>
      </w:pPr>
    </w:p>
    <w:p w14:paraId="7CD318C5"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15. The drafters also wished to acknowledge the clear direction towards the use of electronic signature of documents, by including a reference to it in this provision, </w:t>
      </w:r>
      <w:proofErr w:type="gramStart"/>
      <w:r w:rsidRPr="009137D5">
        <w:rPr>
          <w:rFonts w:cs="Arial"/>
          <w:color w:val="000000"/>
          <w:szCs w:val="20"/>
          <w14:ligatures w14:val="standardContextual"/>
        </w:rPr>
        <w:t>in order to</w:t>
      </w:r>
      <w:proofErr w:type="gramEnd"/>
      <w:r w:rsidRPr="009137D5">
        <w:rPr>
          <w:rFonts w:cs="Arial"/>
          <w:color w:val="000000"/>
          <w:szCs w:val="20"/>
          <w14:ligatures w14:val="standardContextual"/>
        </w:rPr>
        <w:t xml:space="preserve"> allow the Convention to encourage and better accommodate this evolution. They agreed that electronic signature should be considered an accepted certification method in the context of mutual legal assistance. </w:t>
      </w:r>
    </w:p>
    <w:p w14:paraId="496A360D" w14:textId="77777777" w:rsidR="009137D5" w:rsidRPr="009137D5" w:rsidRDefault="009137D5" w:rsidP="009137D5">
      <w:pPr>
        <w:autoSpaceDE w:val="0"/>
        <w:autoSpaceDN w:val="0"/>
        <w:adjustRightInd w:val="0"/>
        <w:rPr>
          <w:rFonts w:cs="Arial"/>
          <w:color w:val="000000"/>
          <w:szCs w:val="20"/>
          <w14:ligatures w14:val="standardContextual"/>
        </w:rPr>
      </w:pPr>
    </w:p>
    <w:p w14:paraId="0AA86D90"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16. The drafters furthermore noted that some Contracting Parties had entirely dematerialised their judicial document management systems, thus rendering obsolete the traditional distinction between paper originals and electronic versions. They considered that this </w:t>
      </w:r>
      <w:r w:rsidRPr="009137D5">
        <w:rPr>
          <w:rFonts w:cs="Arial"/>
          <w:i/>
          <w:iCs/>
          <w:color w:val="000000"/>
          <w:szCs w:val="20"/>
          <w14:ligatures w14:val="standardContextual"/>
        </w:rPr>
        <w:t xml:space="preserve">de facto </w:t>
      </w:r>
      <w:r w:rsidRPr="009137D5">
        <w:rPr>
          <w:rFonts w:cs="Arial"/>
          <w:color w:val="000000"/>
          <w:szCs w:val="20"/>
          <w14:ligatures w14:val="standardContextual"/>
        </w:rPr>
        <w:t xml:space="preserve">situation, which is likely to become increasingly widespread in the future, should not create an impediment for practitioners when co-operating </w:t>
      </w:r>
      <w:proofErr w:type="gramStart"/>
      <w:r w:rsidRPr="009137D5">
        <w:rPr>
          <w:rFonts w:cs="Arial"/>
          <w:color w:val="000000"/>
          <w:szCs w:val="20"/>
          <w14:ligatures w14:val="standardContextual"/>
        </w:rPr>
        <w:t>on the basis of</w:t>
      </w:r>
      <w:proofErr w:type="gramEnd"/>
      <w:r w:rsidRPr="009137D5">
        <w:rPr>
          <w:rFonts w:cs="Arial"/>
          <w:color w:val="000000"/>
          <w:szCs w:val="20"/>
          <w14:ligatures w14:val="standardContextual"/>
        </w:rPr>
        <w:t xml:space="preserve"> the Convention. </w:t>
      </w:r>
    </w:p>
    <w:p w14:paraId="7A7FE2CF" w14:textId="77777777" w:rsidR="009137D5" w:rsidRPr="009137D5" w:rsidRDefault="009137D5" w:rsidP="009137D5">
      <w:pPr>
        <w:autoSpaceDE w:val="0"/>
        <w:autoSpaceDN w:val="0"/>
        <w:adjustRightInd w:val="0"/>
        <w:rPr>
          <w:rFonts w:cs="Arial"/>
          <w:color w:val="000000"/>
          <w:szCs w:val="20"/>
          <w14:ligatures w14:val="standardContextual"/>
        </w:rPr>
      </w:pPr>
    </w:p>
    <w:p w14:paraId="172D1391" w14:textId="30486AF5"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17. Although there is a clear tendency towards the use of electronic communications over paper transmission, the drafters agreed that there might be cases where the use of other means of communication may still be necessary for various reasons, including the requirements of the applicable national legal framework. In such cases, this provision would still allow the requested State to request the originals or certified copies of the mutual assistance request and supporting documents.</w:t>
      </w:r>
    </w:p>
    <w:p w14:paraId="37545899" w14:textId="77777777" w:rsidR="009137D5" w:rsidRPr="009137D5" w:rsidRDefault="009137D5" w:rsidP="009137D5">
      <w:pPr>
        <w:autoSpaceDE w:val="0"/>
        <w:autoSpaceDN w:val="0"/>
        <w:adjustRightInd w:val="0"/>
        <w:rPr>
          <w:rFonts w:cs="Arial"/>
          <w:color w:val="000000"/>
          <w:szCs w:val="20"/>
          <w14:ligatures w14:val="standardContextual"/>
        </w:rPr>
      </w:pPr>
    </w:p>
    <w:p w14:paraId="56E7A406" w14:textId="77777777" w:rsidR="00431AB3" w:rsidRDefault="00431AB3">
      <w:pPr>
        <w:rPr>
          <w:rFonts w:cs="Arial"/>
          <w:color w:val="000000"/>
          <w:szCs w:val="20"/>
          <w14:ligatures w14:val="standardContextual"/>
        </w:rPr>
      </w:pPr>
      <w:r>
        <w:rPr>
          <w:rFonts w:cs="Arial"/>
          <w:color w:val="000000"/>
          <w:szCs w:val="20"/>
          <w14:ligatures w14:val="standardContextual"/>
        </w:rPr>
        <w:br w:type="page"/>
      </w:r>
    </w:p>
    <w:p w14:paraId="39D7C4E4" w14:textId="1A695B7E"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18. The declaration required under paragraph 11 concerns the conditions under which Parties are willing to accept electronic communications sent in accordance with paragraphs 8 and 9 of this Article. In accordance with Article 13, paragraph 2 of the Third Additional Protocol, any declaration made by a State Party regarding their central authority in accordance with paragraph 8 of Article 15 as amended by the Second Additional Protocol, for example defining the General Prosecutor’s Office as the only central authority or as an additional central authority, would remain valid under the Third Additional Protocol and States Parties having made such declarations would not need to make them again at the time of ratification.</w:t>
      </w:r>
    </w:p>
    <w:p w14:paraId="25A93A78" w14:textId="77777777" w:rsidR="009137D5" w:rsidRPr="009137D5" w:rsidRDefault="009137D5" w:rsidP="009137D5">
      <w:pPr>
        <w:autoSpaceDE w:val="0"/>
        <w:autoSpaceDN w:val="0"/>
        <w:adjustRightInd w:val="0"/>
        <w:rPr>
          <w:rFonts w:cs="Arial"/>
          <w:color w:val="000000"/>
          <w:szCs w:val="20"/>
          <w14:ligatures w14:val="standardContextual"/>
        </w:rPr>
      </w:pPr>
    </w:p>
    <w:p w14:paraId="6834C6B0" w14:textId="77777777"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 xml:space="preserve">Article 2 – Hearing by video conference </w:t>
      </w:r>
    </w:p>
    <w:p w14:paraId="4BB73783" w14:textId="77777777" w:rsidR="009137D5" w:rsidRPr="009137D5" w:rsidRDefault="009137D5" w:rsidP="009137D5">
      <w:pPr>
        <w:autoSpaceDE w:val="0"/>
        <w:autoSpaceDN w:val="0"/>
        <w:adjustRightInd w:val="0"/>
        <w:rPr>
          <w:rFonts w:cs="Arial"/>
          <w:color w:val="000000"/>
          <w:szCs w:val="20"/>
          <w14:ligatures w14:val="standardContextual"/>
        </w:rPr>
      </w:pPr>
    </w:p>
    <w:p w14:paraId="4ED973CE" w14:textId="2AE972CA"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19. The PC-OC observed that the use of video conference in judicial proceedings had grown notably during the C</w:t>
      </w:r>
      <w:r w:rsidR="00431AB3">
        <w:rPr>
          <w:rFonts w:cs="Arial"/>
          <w:color w:val="000000"/>
          <w:szCs w:val="20"/>
          <w14:ligatures w14:val="standardContextual"/>
        </w:rPr>
        <w:t>ovid-</w:t>
      </w:r>
      <w:r w:rsidRPr="009137D5">
        <w:rPr>
          <w:rFonts w:cs="Arial"/>
          <w:color w:val="000000"/>
          <w:szCs w:val="20"/>
          <w14:ligatures w14:val="standardContextual"/>
        </w:rPr>
        <w:t xml:space="preserve">19 pandemic and that it was increasingly being used to facilitate incoming mutual assistance requests, particularly in the case of voluntary witness testimonies. The drafters also agreed that video conferencing proved itself a useful, resource-efficient and reliable tool, and a practice to be encouraged in appropriate circumstances. Consequently, they considered that the text of the relevant provision in the Second Additional Protocol (Article 9) should be updated to allow for greater flexibility and increased use of video conferencing where mutual assistance requests meet the conditions and requirements of the requested and requesting States. </w:t>
      </w:r>
    </w:p>
    <w:p w14:paraId="073C902A" w14:textId="77777777" w:rsidR="009137D5" w:rsidRPr="009137D5" w:rsidRDefault="009137D5" w:rsidP="009137D5">
      <w:pPr>
        <w:autoSpaceDE w:val="0"/>
        <w:autoSpaceDN w:val="0"/>
        <w:adjustRightInd w:val="0"/>
        <w:rPr>
          <w:rFonts w:cs="Arial"/>
          <w:color w:val="000000"/>
          <w:szCs w:val="20"/>
          <w14:ligatures w14:val="standardContextual"/>
        </w:rPr>
      </w:pPr>
    </w:p>
    <w:p w14:paraId="39734512"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20. The changes in text to paragraphs 1 and 3 of this provision re-balance their wording to ensure that hearing by video conference is not treated as a secondary option for the hearing of witnesses and experts. While there may be instances where video conferencing is a less favoured alternative to physical attendance, video conferencing is a valuable tool in and of itself and can offer a more efficient and cost-effective method of facilitating proceedings including where there are logistical challenges such as long distance between respective Parties, costs of travelling, security concerns, or reduced mobility of witnesses or experts. The decision to request a hearing by video conference should be considered on a case-by-case basis and depend on whether such a hearing would be the most efficient and effective way for an individual to give evidence, while also ensuring relevant safeguards, including the right of defence. </w:t>
      </w:r>
    </w:p>
    <w:p w14:paraId="162D84A8" w14:textId="77777777" w:rsidR="009137D5" w:rsidRPr="009137D5" w:rsidRDefault="009137D5" w:rsidP="009137D5">
      <w:pPr>
        <w:autoSpaceDE w:val="0"/>
        <w:autoSpaceDN w:val="0"/>
        <w:adjustRightInd w:val="0"/>
        <w:rPr>
          <w:rFonts w:cs="Arial"/>
          <w:color w:val="000000"/>
          <w:szCs w:val="20"/>
          <w14:ligatures w14:val="standardContextual"/>
        </w:rPr>
      </w:pPr>
    </w:p>
    <w:p w14:paraId="6B46CE96" w14:textId="6D00FADC" w:rsidR="009137D5" w:rsidRPr="009137D5" w:rsidRDefault="009137D5" w:rsidP="009137D5">
      <w:pPr>
        <w:autoSpaceDE w:val="0"/>
        <w:autoSpaceDN w:val="0"/>
        <w:adjustRightInd w:val="0"/>
        <w:rPr>
          <w:rFonts w:cs="Arial"/>
          <w:szCs w:val="20"/>
        </w:rPr>
      </w:pPr>
      <w:r w:rsidRPr="009137D5">
        <w:rPr>
          <w:rFonts w:cs="Arial"/>
          <w:szCs w:val="20"/>
        </w:rPr>
        <w:t xml:space="preserve">21. In the context of paragraphs 2 and 5, the reference to </w:t>
      </w:r>
      <w:r w:rsidR="00C67D58">
        <w:rPr>
          <w:rFonts w:cs="Arial"/>
          <w:szCs w:val="20"/>
        </w:rPr>
        <w:t>“</w:t>
      </w:r>
      <w:r w:rsidRPr="009137D5">
        <w:rPr>
          <w:rFonts w:cs="Arial"/>
          <w:szCs w:val="20"/>
        </w:rPr>
        <w:t>fundamental principles of law</w:t>
      </w:r>
      <w:r w:rsidR="00C67D58">
        <w:rPr>
          <w:rFonts w:cs="Arial"/>
          <w:szCs w:val="20"/>
        </w:rPr>
        <w:t>”</w:t>
      </w:r>
      <w:r w:rsidRPr="009137D5">
        <w:rPr>
          <w:rFonts w:cs="Arial"/>
          <w:szCs w:val="20"/>
        </w:rPr>
        <w:t xml:space="preserve"> implies that a request may not be refused for the sole reason that hearing of witnesses and experts by video conference is not provided under the law of the requested Party, or that one or more detailed conditions for a hearing by video conference would not be met under national law.</w:t>
      </w:r>
    </w:p>
    <w:p w14:paraId="16703B1E" w14:textId="77777777" w:rsidR="009137D5" w:rsidRPr="009137D5" w:rsidRDefault="009137D5" w:rsidP="009137D5">
      <w:pPr>
        <w:autoSpaceDE w:val="0"/>
        <w:autoSpaceDN w:val="0"/>
        <w:adjustRightInd w:val="0"/>
        <w:rPr>
          <w:rFonts w:cs="Arial"/>
          <w:color w:val="000000"/>
          <w:szCs w:val="20"/>
          <w14:ligatures w14:val="standardContextual"/>
        </w:rPr>
      </w:pPr>
    </w:p>
    <w:p w14:paraId="6A98B3A8"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22. The drafters also considered it expedient to add a new paragraph </w:t>
      </w:r>
      <w:proofErr w:type="gramStart"/>
      <w:r w:rsidRPr="009137D5">
        <w:rPr>
          <w:rFonts w:cs="Arial"/>
          <w:color w:val="000000"/>
          <w:szCs w:val="20"/>
          <w14:ligatures w14:val="standardContextual"/>
        </w:rPr>
        <w:t>in order to</w:t>
      </w:r>
      <w:proofErr w:type="gramEnd"/>
      <w:r w:rsidRPr="009137D5">
        <w:rPr>
          <w:rFonts w:cs="Arial"/>
          <w:color w:val="000000"/>
          <w:szCs w:val="20"/>
          <w14:ligatures w14:val="standardContextual"/>
        </w:rPr>
        <w:t xml:space="preserve"> specify that Contracting Parties can use special bilateral or multilateral agreements or arrangements to replace or supplement the provisions of the Convention. It is understood that such agreements or arrangements are entered into in accordance with the national law of the Contracting Parties and can only affect their territories. The drafters considered that the term “competent authorities” should not be understood in a narrow sense as only referring to central </w:t>
      </w:r>
      <w:proofErr w:type="gramStart"/>
      <w:r w:rsidRPr="009137D5">
        <w:rPr>
          <w:rFonts w:cs="Arial"/>
          <w:color w:val="000000"/>
          <w:szCs w:val="20"/>
          <w14:ligatures w14:val="standardContextual"/>
        </w:rPr>
        <w:t>authorities, but</w:t>
      </w:r>
      <w:proofErr w:type="gramEnd"/>
      <w:r w:rsidRPr="009137D5">
        <w:rPr>
          <w:rFonts w:cs="Arial"/>
          <w:color w:val="000000"/>
          <w:szCs w:val="20"/>
          <w14:ligatures w14:val="standardContextual"/>
        </w:rPr>
        <w:t xml:space="preserve"> can refer to other authorities and agencies involved in the organisation of hearings by video conference, if competent by national law to enter into such agreements or arrangements.</w:t>
      </w:r>
    </w:p>
    <w:p w14:paraId="7F3111FD" w14:textId="77777777" w:rsidR="009137D5" w:rsidRPr="009137D5" w:rsidRDefault="009137D5" w:rsidP="009137D5">
      <w:pPr>
        <w:autoSpaceDE w:val="0"/>
        <w:autoSpaceDN w:val="0"/>
        <w:adjustRightInd w:val="0"/>
        <w:rPr>
          <w:rFonts w:cs="Arial"/>
          <w:color w:val="000000"/>
          <w:szCs w:val="20"/>
          <w14:ligatures w14:val="standardContextual"/>
        </w:rPr>
      </w:pPr>
    </w:p>
    <w:p w14:paraId="188C0E93"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23. One example considered by the drafters where such an arrangement could be envisaged concerned cases where the requested State considers that the obligation to ensure the presence of its judicial authorities in hearings by video conference may be dispensed with, subject to appropriate conditions being met and the agreement of the requesting State, the intention being to alleviate the burden on the courts of the requested State. This could for example relate to cases where the witness or expert consents/volunteers to provide evidence and where there are no </w:t>
      </w:r>
      <w:proofErr w:type="gramStart"/>
      <w:r w:rsidRPr="009137D5">
        <w:rPr>
          <w:rFonts w:cs="Arial"/>
          <w:color w:val="000000"/>
          <w:szCs w:val="20"/>
          <w14:ligatures w14:val="standardContextual"/>
        </w:rPr>
        <w:t>particular issues</w:t>
      </w:r>
      <w:proofErr w:type="gramEnd"/>
      <w:r w:rsidRPr="009137D5">
        <w:rPr>
          <w:rFonts w:cs="Arial"/>
          <w:color w:val="000000"/>
          <w:szCs w:val="20"/>
          <w14:ligatures w14:val="standardContextual"/>
        </w:rPr>
        <w:t xml:space="preserve"> regarding the protection of their rights.</w:t>
      </w:r>
    </w:p>
    <w:p w14:paraId="5017D406" w14:textId="77777777" w:rsidR="009137D5" w:rsidRPr="009137D5" w:rsidRDefault="009137D5" w:rsidP="009137D5">
      <w:pPr>
        <w:autoSpaceDE w:val="0"/>
        <w:autoSpaceDN w:val="0"/>
        <w:adjustRightInd w:val="0"/>
        <w:rPr>
          <w:rFonts w:cs="Arial"/>
          <w:color w:val="000000"/>
          <w:szCs w:val="20"/>
          <w14:ligatures w14:val="standardContextual"/>
        </w:rPr>
      </w:pPr>
    </w:p>
    <w:p w14:paraId="3D2DD3FB" w14:textId="37F8BCEF" w:rsidR="009137D5" w:rsidRPr="009137D5" w:rsidRDefault="009137D5" w:rsidP="009137D5">
      <w:pPr>
        <w:autoSpaceDE w:val="0"/>
        <w:autoSpaceDN w:val="0"/>
        <w:adjustRightInd w:val="0"/>
        <w:rPr>
          <w:rFonts w:cs="Arial"/>
          <w:b/>
          <w:bCs/>
          <w:color w:val="000000"/>
          <w:szCs w:val="20"/>
          <w14:ligatures w14:val="standardContextual"/>
        </w:rPr>
      </w:pPr>
      <w:r w:rsidRPr="009137D5">
        <w:rPr>
          <w:rFonts w:cs="Arial"/>
          <w:b/>
          <w:bCs/>
          <w:color w:val="000000"/>
          <w:szCs w:val="20"/>
          <w14:ligatures w14:val="standardContextual"/>
        </w:rPr>
        <w:t>Article 3 – Use of technical recording devices in the territory of another Party</w:t>
      </w:r>
    </w:p>
    <w:p w14:paraId="222A09F2" w14:textId="77777777" w:rsidR="009137D5" w:rsidRPr="009137D5" w:rsidRDefault="009137D5" w:rsidP="009137D5">
      <w:pPr>
        <w:autoSpaceDE w:val="0"/>
        <w:autoSpaceDN w:val="0"/>
        <w:adjustRightInd w:val="0"/>
        <w:rPr>
          <w:rFonts w:cs="Arial"/>
          <w:b/>
          <w:bCs/>
          <w:color w:val="000000"/>
          <w:szCs w:val="20"/>
          <w14:ligatures w14:val="standardContextual"/>
        </w:rPr>
      </w:pPr>
    </w:p>
    <w:p w14:paraId="41CC4083" w14:textId="37918863"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24. Recording devices (GPS, audio, etc.) are effective tools in the fight against the most serious forms of transnational crime. However, the drafters observed that the use of such devices is severely hampered by legal and practical difficulties, </w:t>
      </w:r>
      <w:proofErr w:type="gramStart"/>
      <w:r w:rsidRPr="009137D5">
        <w:rPr>
          <w:rFonts w:cs="Arial"/>
          <w:color w:val="000000"/>
          <w:szCs w:val="20"/>
          <w14:ligatures w14:val="standardContextual"/>
        </w:rPr>
        <w:t>in particular in</w:t>
      </w:r>
      <w:proofErr w:type="gramEnd"/>
      <w:r w:rsidRPr="009137D5">
        <w:rPr>
          <w:rFonts w:cs="Arial"/>
          <w:color w:val="000000"/>
          <w:szCs w:val="20"/>
          <w14:ligatures w14:val="standardContextual"/>
        </w:rPr>
        <w:t xml:space="preserve"> border regions with significant cross-border flows. It is not foreseeable in all cases </w:t>
      </w:r>
      <w:proofErr w:type="gramStart"/>
      <w:r w:rsidRPr="009137D5">
        <w:rPr>
          <w:rFonts w:cs="Arial"/>
          <w:color w:val="000000"/>
          <w:szCs w:val="20"/>
          <w14:ligatures w14:val="standardContextual"/>
        </w:rPr>
        <w:t>if and when</w:t>
      </w:r>
      <w:proofErr w:type="gramEnd"/>
      <w:r w:rsidRPr="009137D5">
        <w:rPr>
          <w:rFonts w:cs="Arial"/>
          <w:color w:val="000000"/>
          <w:szCs w:val="20"/>
          <w14:ligatures w14:val="standardContextual"/>
        </w:rPr>
        <w:t xml:space="preserve"> a device installed by the competent authorities in one Party will leave that Party’s territory, as the movement of these devices is not under the control of the authorities who authorise their installation. In such cases, non-compliance with the regulations of another State Party can lead to vital evidence of criminal activity being considered inadmissible.</w:t>
      </w:r>
    </w:p>
    <w:p w14:paraId="53D3B2E3" w14:textId="77777777" w:rsidR="009137D5" w:rsidRPr="009137D5" w:rsidRDefault="009137D5" w:rsidP="009137D5">
      <w:pPr>
        <w:autoSpaceDE w:val="0"/>
        <w:autoSpaceDN w:val="0"/>
        <w:adjustRightInd w:val="0"/>
        <w:rPr>
          <w:rFonts w:cs="Arial"/>
          <w:color w:val="000000"/>
          <w:szCs w:val="20"/>
          <w14:ligatures w14:val="standardContextual"/>
        </w:rPr>
      </w:pPr>
    </w:p>
    <w:p w14:paraId="7F78EC2F" w14:textId="77777777" w:rsidR="00431AB3" w:rsidRDefault="00431AB3">
      <w:pPr>
        <w:rPr>
          <w:rFonts w:cs="Arial"/>
          <w:color w:val="000000"/>
          <w:szCs w:val="20"/>
          <w14:ligatures w14:val="standardContextual"/>
        </w:rPr>
      </w:pPr>
      <w:r>
        <w:rPr>
          <w:rFonts w:cs="Arial"/>
          <w:color w:val="000000"/>
          <w:szCs w:val="20"/>
          <w14:ligatures w14:val="standardContextual"/>
        </w:rPr>
        <w:br w:type="page"/>
      </w:r>
    </w:p>
    <w:p w14:paraId="7B828B5F" w14:textId="71B26078"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25. This article establishes a framework of co-operation in such cases, </w:t>
      </w:r>
      <w:proofErr w:type="gramStart"/>
      <w:r w:rsidRPr="009137D5">
        <w:rPr>
          <w:rFonts w:cs="Arial"/>
          <w:color w:val="000000"/>
          <w:szCs w:val="20"/>
          <w14:ligatures w14:val="standardContextual"/>
        </w:rPr>
        <w:t>in order to</w:t>
      </w:r>
      <w:proofErr w:type="gramEnd"/>
      <w:r w:rsidRPr="009137D5">
        <w:rPr>
          <w:rFonts w:cs="Arial"/>
          <w:color w:val="000000"/>
          <w:szCs w:val="20"/>
          <w14:ligatures w14:val="standardContextual"/>
        </w:rPr>
        <w:t xml:space="preserve"> take account of current circumstances and to facilitate mutual assistance and co-operation in this particular area, while acknowledging the need for a speedy communication between the Parties, and while ensuring that a mutual assistance request remains the preferred option whenever it is feasible, in accordance with paragraph 1 of this Article. </w:t>
      </w:r>
      <w:r w:rsidRPr="009137D5">
        <w:rPr>
          <w:rFonts w:cs="Arial"/>
          <w:szCs w:val="20"/>
        </w:rPr>
        <w:t xml:space="preserve">For the purposes of this article, the word </w:t>
      </w:r>
      <w:r w:rsidR="00C67D58">
        <w:rPr>
          <w:rFonts w:cs="Arial"/>
          <w:szCs w:val="20"/>
        </w:rPr>
        <w:t>“</w:t>
      </w:r>
      <w:r w:rsidRPr="009137D5">
        <w:rPr>
          <w:rFonts w:cs="Arial"/>
          <w:szCs w:val="20"/>
        </w:rPr>
        <w:t>border</w:t>
      </w:r>
      <w:r w:rsidR="00C67D58">
        <w:rPr>
          <w:rFonts w:cs="Arial"/>
          <w:szCs w:val="20"/>
        </w:rPr>
        <w:t>”</w:t>
      </w:r>
      <w:r w:rsidRPr="009137D5">
        <w:rPr>
          <w:rFonts w:cs="Arial"/>
          <w:szCs w:val="20"/>
        </w:rPr>
        <w:t xml:space="preserve"> includes any border, be it on land, sea or air, similarly to the meaning given to the term under Article 17 of the Second Additional Protocol to the Convention (cf. the explanatory report of the Second Additional Protocol).</w:t>
      </w:r>
    </w:p>
    <w:p w14:paraId="5A29C4B4" w14:textId="77777777" w:rsidR="009137D5" w:rsidRPr="009137D5" w:rsidRDefault="009137D5" w:rsidP="009137D5">
      <w:pPr>
        <w:autoSpaceDE w:val="0"/>
        <w:autoSpaceDN w:val="0"/>
        <w:adjustRightInd w:val="0"/>
        <w:rPr>
          <w:rFonts w:cs="Arial"/>
          <w:color w:val="000000"/>
          <w:szCs w:val="20"/>
          <w14:ligatures w14:val="standardContextual"/>
        </w:rPr>
      </w:pPr>
    </w:p>
    <w:p w14:paraId="0F6C1DB6"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26. The drafters considered that the definition of recording devices for the purposes of this Article could also include the use of software installed on portable electronic devices. In that connection, the drafters took note of the case-law of the Court of Justice of the European Union, whereby a measure entailing the infiltration of terminal devices for the purpose of gathering traffic, location and communication data was considered as falling within the scope of the </w:t>
      </w:r>
      <w:r w:rsidRPr="009137D5">
        <w:rPr>
          <w:rFonts w:cs="Arial"/>
          <w:szCs w:val="20"/>
        </w:rPr>
        <w:t>Directive 2014/41/EU of the European Parliament and of the Council of 3 April 2014 regarding the European Investigation Order in criminal matters (judgment in Case C</w:t>
      </w:r>
      <w:r w:rsidRPr="009137D5">
        <w:rPr>
          <w:rFonts w:ascii="Cambria Math" w:hAnsi="Cambria Math" w:cs="Cambria Math"/>
          <w:szCs w:val="20"/>
        </w:rPr>
        <w:t>‑</w:t>
      </w:r>
      <w:r w:rsidRPr="009137D5">
        <w:rPr>
          <w:rFonts w:cs="Arial"/>
          <w:szCs w:val="20"/>
        </w:rPr>
        <w:t>670/22 of 30 April 2024).</w:t>
      </w:r>
    </w:p>
    <w:p w14:paraId="41BC8D4F" w14:textId="77777777" w:rsidR="009137D5" w:rsidRPr="009137D5" w:rsidRDefault="009137D5" w:rsidP="009137D5">
      <w:pPr>
        <w:autoSpaceDE w:val="0"/>
        <w:autoSpaceDN w:val="0"/>
        <w:adjustRightInd w:val="0"/>
        <w:rPr>
          <w:rFonts w:cs="Arial"/>
          <w:color w:val="000000"/>
          <w:szCs w:val="20"/>
          <w14:ligatures w14:val="standardContextual"/>
        </w:rPr>
      </w:pPr>
    </w:p>
    <w:p w14:paraId="7985E065" w14:textId="77777777" w:rsidR="009137D5" w:rsidRPr="009137D5" w:rsidRDefault="009137D5" w:rsidP="009137D5">
      <w:pPr>
        <w:autoSpaceDE w:val="0"/>
        <w:autoSpaceDN w:val="0"/>
        <w:adjustRightInd w:val="0"/>
        <w:rPr>
          <w:rFonts w:cs="Arial"/>
          <w:szCs w:val="20"/>
        </w:rPr>
      </w:pPr>
      <w:r w:rsidRPr="009137D5">
        <w:rPr>
          <w:rFonts w:cs="Arial"/>
          <w:color w:val="000000"/>
          <w:szCs w:val="20"/>
          <w14:ligatures w14:val="standardContextual"/>
        </w:rPr>
        <w:t xml:space="preserve">27. The drafters agreed that the additional ground for refusal defined in paragraph 1, namely that the recording would not have been authorised in a similar domestic case, is broad enough to cover a range of considerations for the requested Party. </w:t>
      </w:r>
      <w:r w:rsidRPr="009137D5">
        <w:rPr>
          <w:rFonts w:cs="Arial"/>
          <w:szCs w:val="20"/>
        </w:rPr>
        <w:t xml:space="preserve">This would allow the requested Party to refuse execution in cases where the request falls outside the scope of a catalogue of offences for which the use of technical recording devices might be authorised. It also covers any refusal based on human rights concerns assessed according to the law of the requested Party, </w:t>
      </w:r>
      <w:proofErr w:type="gramStart"/>
      <w:r w:rsidRPr="009137D5">
        <w:rPr>
          <w:rFonts w:cs="Arial"/>
          <w:szCs w:val="20"/>
        </w:rPr>
        <w:t>in particular as</w:t>
      </w:r>
      <w:proofErr w:type="gramEnd"/>
      <w:r w:rsidRPr="009137D5">
        <w:rPr>
          <w:rFonts w:cs="Arial"/>
          <w:szCs w:val="20"/>
        </w:rPr>
        <w:t xml:space="preserve"> regards the right to respect for private and family life or protection against discrimination on any prohibited ground. </w:t>
      </w:r>
    </w:p>
    <w:p w14:paraId="1FFE7496" w14:textId="77777777" w:rsidR="009137D5" w:rsidRPr="009137D5" w:rsidRDefault="009137D5" w:rsidP="009137D5">
      <w:pPr>
        <w:autoSpaceDE w:val="0"/>
        <w:autoSpaceDN w:val="0"/>
        <w:adjustRightInd w:val="0"/>
        <w:rPr>
          <w:rFonts w:cs="Arial"/>
          <w:color w:val="000000"/>
          <w:szCs w:val="20"/>
          <w14:ligatures w14:val="standardContextual"/>
        </w:rPr>
      </w:pPr>
    </w:p>
    <w:p w14:paraId="7FCB5590"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28. In urgent cases where the Party using the technical recording device is not </w:t>
      </w:r>
      <w:proofErr w:type="gramStart"/>
      <w:r w:rsidRPr="009137D5">
        <w:rPr>
          <w:rFonts w:cs="Arial"/>
          <w:color w:val="000000"/>
          <w:szCs w:val="20"/>
          <w14:ligatures w14:val="standardContextual"/>
        </w:rPr>
        <w:t>in a position</w:t>
      </w:r>
      <w:proofErr w:type="gramEnd"/>
      <w:r w:rsidRPr="009137D5">
        <w:rPr>
          <w:rFonts w:cs="Arial"/>
          <w:color w:val="000000"/>
          <w:szCs w:val="20"/>
          <w14:ligatures w14:val="standardContextual"/>
        </w:rPr>
        <w:t xml:space="preserve"> to send such a mutual assistance request in advance, the Article provides for an accelerated notification procedure, by way of derogation from Article 14 of the Convention. In </w:t>
      </w:r>
      <w:proofErr w:type="gramStart"/>
      <w:r w:rsidRPr="009137D5">
        <w:rPr>
          <w:rFonts w:cs="Arial"/>
          <w:color w:val="000000"/>
          <w:szCs w:val="20"/>
          <w14:ligatures w14:val="standardContextual"/>
        </w:rPr>
        <w:t>the majority of</w:t>
      </w:r>
      <w:proofErr w:type="gramEnd"/>
      <w:r w:rsidRPr="009137D5">
        <w:rPr>
          <w:rFonts w:cs="Arial"/>
          <w:color w:val="000000"/>
          <w:szCs w:val="20"/>
          <w14:ligatures w14:val="standardContextual"/>
        </w:rPr>
        <w:t xml:space="preserve"> cases, this would happen when the Party using the device becomes aware of the crossing of the border only after the fact. This procedure allows the technical recording devices to remain active following entry into the territory of another State Party, pending definitive authorisation by that Party regarding the use of the data collected there. In the framework of this procedure, the Parties are referred to as the “notifying Party” and “notified Party” in paragraphs 2 to 5. </w:t>
      </w:r>
    </w:p>
    <w:p w14:paraId="369E628F" w14:textId="77777777" w:rsidR="009137D5" w:rsidRPr="009137D5" w:rsidRDefault="009137D5" w:rsidP="009137D5">
      <w:pPr>
        <w:autoSpaceDE w:val="0"/>
        <w:autoSpaceDN w:val="0"/>
        <w:adjustRightInd w:val="0"/>
        <w:rPr>
          <w:rFonts w:cs="Arial"/>
          <w:color w:val="000000"/>
          <w:szCs w:val="20"/>
          <w14:ligatures w14:val="standardContextual"/>
        </w:rPr>
      </w:pPr>
    </w:p>
    <w:p w14:paraId="7537DB7E"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29. In the event that the technical recording device enters the territory of a State Party shortly after it receives a mutual assistance request, the State Party in question may treat that request as a notification and respond to </w:t>
      </w:r>
      <w:proofErr w:type="gramStart"/>
      <w:r w:rsidRPr="009137D5">
        <w:rPr>
          <w:rFonts w:cs="Arial"/>
          <w:color w:val="000000"/>
          <w:szCs w:val="20"/>
          <w14:ligatures w14:val="standardContextual"/>
        </w:rPr>
        <w:t>it</w:t>
      </w:r>
      <w:proofErr w:type="gramEnd"/>
      <w:r w:rsidRPr="009137D5">
        <w:rPr>
          <w:rFonts w:cs="Arial"/>
          <w:color w:val="000000"/>
          <w:szCs w:val="20"/>
          <w14:ligatures w14:val="standardContextual"/>
        </w:rPr>
        <w:t xml:space="preserve"> accordingly, thereby avoiding the need for the requesting Party to send a notification in addition to its original request.</w:t>
      </w:r>
    </w:p>
    <w:p w14:paraId="7AEC5EEA" w14:textId="77777777" w:rsidR="009137D5" w:rsidRPr="009137D5" w:rsidRDefault="009137D5" w:rsidP="009137D5">
      <w:pPr>
        <w:autoSpaceDE w:val="0"/>
        <w:autoSpaceDN w:val="0"/>
        <w:adjustRightInd w:val="0"/>
        <w:rPr>
          <w:rFonts w:cs="Arial"/>
          <w:color w:val="000000"/>
          <w:szCs w:val="20"/>
          <w14:ligatures w14:val="standardContextual"/>
        </w:rPr>
      </w:pPr>
    </w:p>
    <w:p w14:paraId="590237CF"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30. Paragraph 3 lists the relevant information that both mutual assistance requests and notifications under this Article must contain, with a view to allowing the requested Party to take a swift decision without the need for complementary information. For this list, the drafters took account, </w:t>
      </w:r>
      <w:r w:rsidRPr="009137D5">
        <w:rPr>
          <w:rFonts w:cs="Arial"/>
          <w:i/>
          <w:iCs/>
          <w:color w:val="000000"/>
          <w:szCs w:val="20"/>
          <w14:ligatures w14:val="standardContextual"/>
        </w:rPr>
        <w:t>mutatis mutandis</w:t>
      </w:r>
      <w:r w:rsidRPr="009137D5">
        <w:rPr>
          <w:rFonts w:cs="Arial"/>
          <w:color w:val="000000"/>
          <w:szCs w:val="20"/>
          <w14:ligatures w14:val="standardContextual"/>
        </w:rPr>
        <w:t>, of relevant international standards, including the Convention of 29 May 2000 on Mutual Assistance in Criminal Matters between the Member States of the European Union. The intention behind the inclusion of sub-paragraph 2.c was the facilitation of a proportionality test for the notified Party.</w:t>
      </w:r>
    </w:p>
    <w:p w14:paraId="4523E354" w14:textId="77777777" w:rsidR="009137D5" w:rsidRPr="009137D5" w:rsidRDefault="009137D5" w:rsidP="009137D5">
      <w:pPr>
        <w:autoSpaceDE w:val="0"/>
        <w:autoSpaceDN w:val="0"/>
        <w:adjustRightInd w:val="0"/>
        <w:rPr>
          <w:rFonts w:cs="Arial"/>
          <w:color w:val="000000"/>
          <w:szCs w:val="20"/>
          <w14:ligatures w14:val="standardContextual"/>
        </w:rPr>
      </w:pPr>
    </w:p>
    <w:p w14:paraId="0CD4F346" w14:textId="0E57C013"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31. When appropriately notified by the notifying Party, the notified Party shall indicate as soon as possible whether it allows such devices to remain active on its territory and whether their past activity up to that point is to be considered valid. Considering the nature of proceedings with respect to which such recording devices are generally used and the need for the Party to know as soon as possible whether it may or may not use the data obtained on the territory of another Party in these proceedings, the drafters agreed on the need for a speedy response from the notified Party. Drawing inspiration from the </w:t>
      </w:r>
      <w:r w:rsidRPr="009137D5">
        <w:rPr>
          <w:rFonts w:cs="Arial"/>
          <w:szCs w:val="20"/>
        </w:rPr>
        <w:t>Directive 2014/41/EU of the European Parliament and of the Council of 3 April 2014 regarding the European Investigation Order in criminal matters</w:t>
      </w:r>
      <w:r w:rsidRPr="009137D5">
        <w:rPr>
          <w:rFonts w:cs="Arial"/>
          <w:color w:val="000000"/>
          <w:szCs w:val="20"/>
          <w14:ligatures w14:val="standardContextual"/>
        </w:rPr>
        <w:t xml:space="preserve"> as regards interception where no technical assistance is needed from another Member State, they agreed that 96 hours were an appropriate benchmark. The drafters agreed that failure by the notified Party to respond within this time frame should not be considered as a form of tacit authorisation and that an explicit authorisation would be required. Where it is unable to respond to the notification within this time frame, the competent authority of the notified Party should immediately </w:t>
      </w:r>
      <w:proofErr w:type="gramStart"/>
      <w:r w:rsidRPr="009137D5">
        <w:rPr>
          <w:rFonts w:cs="Arial"/>
          <w:color w:val="000000"/>
          <w:szCs w:val="20"/>
          <w14:ligatures w14:val="standardContextual"/>
        </w:rPr>
        <w:t>enter into</w:t>
      </w:r>
      <w:proofErr w:type="gramEnd"/>
      <w:r w:rsidRPr="009137D5">
        <w:rPr>
          <w:rFonts w:cs="Arial"/>
          <w:color w:val="000000"/>
          <w:szCs w:val="20"/>
          <w14:ligatures w14:val="standardContextual"/>
        </w:rPr>
        <w:t xml:space="preserve"> contact with its counterpart in the notifying Party to agree on a different time frame.</w:t>
      </w:r>
    </w:p>
    <w:p w14:paraId="60856B2A" w14:textId="77777777" w:rsidR="009137D5" w:rsidRPr="009137D5" w:rsidRDefault="009137D5" w:rsidP="009137D5">
      <w:pPr>
        <w:autoSpaceDE w:val="0"/>
        <w:autoSpaceDN w:val="0"/>
        <w:adjustRightInd w:val="0"/>
        <w:rPr>
          <w:rFonts w:cs="Arial"/>
          <w:color w:val="000000"/>
          <w:szCs w:val="20"/>
          <w14:ligatures w14:val="standardContextual"/>
        </w:rPr>
      </w:pPr>
    </w:p>
    <w:p w14:paraId="0BCA046C" w14:textId="77777777" w:rsidR="00431AB3" w:rsidRDefault="00431AB3">
      <w:pPr>
        <w:rPr>
          <w:rFonts w:cs="Arial"/>
          <w:color w:val="000000"/>
          <w:szCs w:val="20"/>
          <w14:ligatures w14:val="standardContextual"/>
        </w:rPr>
      </w:pPr>
      <w:r>
        <w:rPr>
          <w:rFonts w:cs="Arial"/>
          <w:color w:val="000000"/>
          <w:szCs w:val="20"/>
          <w14:ligatures w14:val="standardContextual"/>
        </w:rPr>
        <w:br w:type="page"/>
      </w:r>
    </w:p>
    <w:p w14:paraId="796D26EF" w14:textId="5770571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32. The notified Party may refuse authorisation to use technical recording devices on its territory, </w:t>
      </w:r>
      <w:proofErr w:type="gramStart"/>
      <w:r w:rsidRPr="009137D5">
        <w:rPr>
          <w:rFonts w:cs="Arial"/>
          <w:color w:val="000000"/>
          <w:szCs w:val="20"/>
          <w14:ligatures w14:val="standardContextual"/>
        </w:rPr>
        <w:t>in particular when</w:t>
      </w:r>
      <w:proofErr w:type="gramEnd"/>
      <w:r w:rsidRPr="009137D5">
        <w:rPr>
          <w:rFonts w:cs="Arial"/>
          <w:color w:val="000000"/>
          <w:szCs w:val="20"/>
          <w14:ligatures w14:val="standardContextual"/>
        </w:rPr>
        <w:t xml:space="preserve"> recording of this type would not be authorised in a similar domestic case. Recording shall cease as soon as the notified Party so requests. Paragraph 4 further specifies that the notified Party can impose conditions even if it authorises the continued use of technical recording devices in its territory, which may include specific places where recording would not be permitted, restrictions regarding types of data recorded (e.g. position or sound) or the requirement that a full mutual assistance request be submitted in accordance with paragraph 1. The notified Party can furthermore order the notifying Party to destroy, fully or in part, any data collected within its territory. </w:t>
      </w:r>
    </w:p>
    <w:p w14:paraId="6B7BA89D" w14:textId="77777777" w:rsidR="009137D5" w:rsidRPr="009137D5" w:rsidRDefault="009137D5" w:rsidP="009137D5">
      <w:pPr>
        <w:autoSpaceDE w:val="0"/>
        <w:autoSpaceDN w:val="0"/>
        <w:adjustRightInd w:val="0"/>
        <w:rPr>
          <w:rFonts w:cs="Arial"/>
          <w:color w:val="000000"/>
          <w:szCs w:val="20"/>
          <w14:ligatures w14:val="standardContextual"/>
        </w:rPr>
      </w:pPr>
    </w:p>
    <w:p w14:paraId="020090BD"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33. As this type of co-operation requires a swift and specialised response from the notified Party, and considering that some Parties might not have put in place specialised authorities or procedures for these types of notifications, paragraph 5 requires Parties ratifying this Protocol to identify the authorities to submit and receive notifications under this Article, by way of derogation from Article 15 of the Convention, in order to reduce uncertainty and increase efficiency. Parties need not give the name and address of a specific individual but may identify an office or unit that has been deemed competent for the purposes of sending and receiving requests under this article. </w:t>
      </w:r>
      <w:proofErr w:type="gramStart"/>
      <w:r w:rsidRPr="009137D5">
        <w:rPr>
          <w:rFonts w:cs="Arial"/>
          <w:color w:val="000000"/>
          <w:szCs w:val="20"/>
          <w14:ligatures w14:val="standardContextual"/>
        </w:rPr>
        <w:t>Also</w:t>
      </w:r>
      <w:proofErr w:type="gramEnd"/>
      <w:r w:rsidRPr="009137D5">
        <w:rPr>
          <w:rFonts w:cs="Arial"/>
          <w:color w:val="000000"/>
          <w:szCs w:val="20"/>
          <w14:ligatures w14:val="standardContextual"/>
        </w:rPr>
        <w:t xml:space="preserve"> in the interest of a speedy response, Parties shall declare the language(s) in which these notifications are to be addressed to them, by way of derogation from Article 16 of the Convention.</w:t>
      </w:r>
    </w:p>
    <w:p w14:paraId="6ABD6651" w14:textId="77777777" w:rsidR="009137D5" w:rsidRPr="009137D5" w:rsidRDefault="009137D5" w:rsidP="009137D5">
      <w:pPr>
        <w:autoSpaceDE w:val="0"/>
        <w:autoSpaceDN w:val="0"/>
        <w:adjustRightInd w:val="0"/>
        <w:rPr>
          <w:rFonts w:cs="Arial"/>
          <w:color w:val="000000"/>
          <w:szCs w:val="20"/>
          <w14:ligatures w14:val="standardContextual"/>
        </w:rPr>
      </w:pPr>
    </w:p>
    <w:p w14:paraId="7F0B3273"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34. Paragraph 6 provides for declarations, allowing Contracting Parties to exclude the accelerated notification procedure in two specific cases.</w:t>
      </w:r>
    </w:p>
    <w:p w14:paraId="6B9B74BD" w14:textId="77777777" w:rsidR="009137D5" w:rsidRPr="009137D5" w:rsidRDefault="009137D5" w:rsidP="009137D5">
      <w:pPr>
        <w:autoSpaceDE w:val="0"/>
        <w:autoSpaceDN w:val="0"/>
        <w:adjustRightInd w:val="0"/>
        <w:rPr>
          <w:rFonts w:cs="Arial"/>
          <w:color w:val="000000"/>
          <w:szCs w:val="20"/>
          <w14:ligatures w14:val="standardContextual"/>
        </w:rPr>
      </w:pPr>
    </w:p>
    <w:p w14:paraId="45DA6661" w14:textId="77777777" w:rsidR="009137D5" w:rsidRPr="009137D5" w:rsidRDefault="009137D5" w:rsidP="009137D5">
      <w:pPr>
        <w:rPr>
          <w:rFonts w:cs="Arial"/>
          <w:b/>
          <w:bCs/>
          <w:color w:val="000000"/>
          <w:szCs w:val="20"/>
          <w14:ligatures w14:val="standardContextual"/>
        </w:rPr>
      </w:pPr>
      <w:r w:rsidRPr="009137D5">
        <w:rPr>
          <w:rFonts w:cs="Arial"/>
          <w:b/>
          <w:bCs/>
          <w:color w:val="000000"/>
          <w:szCs w:val="20"/>
          <w14:ligatures w14:val="standardContextual"/>
        </w:rPr>
        <w:t>Article 4 – Interception of telecommunications</w:t>
      </w:r>
    </w:p>
    <w:p w14:paraId="66966A7B" w14:textId="77777777" w:rsidR="009137D5" w:rsidRPr="009137D5" w:rsidRDefault="009137D5" w:rsidP="009137D5">
      <w:pPr>
        <w:autoSpaceDE w:val="0"/>
        <w:autoSpaceDN w:val="0"/>
        <w:adjustRightInd w:val="0"/>
        <w:rPr>
          <w:rFonts w:cs="Arial"/>
          <w:color w:val="000000"/>
          <w:szCs w:val="20"/>
          <w14:ligatures w14:val="standardContextual"/>
        </w:rPr>
      </w:pPr>
    </w:p>
    <w:p w14:paraId="337FE952" w14:textId="77777777" w:rsidR="009137D5" w:rsidRPr="009137D5" w:rsidRDefault="009137D5" w:rsidP="009137D5">
      <w:pPr>
        <w:autoSpaceDE w:val="0"/>
        <w:autoSpaceDN w:val="0"/>
        <w:adjustRightInd w:val="0"/>
        <w:rPr>
          <w:rFonts w:cs="Arial"/>
          <w:szCs w:val="20"/>
        </w:rPr>
      </w:pPr>
      <w:r w:rsidRPr="009137D5">
        <w:rPr>
          <w:rFonts w:cs="Arial"/>
          <w:szCs w:val="20"/>
        </w:rPr>
        <w:t>35. States Parties to the Convention regularly need to resort to the interception of telecommunications for the purpose of investigating criminal offences. The advances in technology since the entry into force of the Convention, as well as the evolving nature of criminality, including increased mobility in the context of transborder organised crime, make the interception of telecommunications also increasingly relevant for the purposes of mutual assistance in criminal matters.</w:t>
      </w:r>
    </w:p>
    <w:p w14:paraId="4D26B333" w14:textId="77777777" w:rsidR="009137D5" w:rsidRPr="009137D5" w:rsidRDefault="009137D5" w:rsidP="009137D5">
      <w:pPr>
        <w:autoSpaceDE w:val="0"/>
        <w:autoSpaceDN w:val="0"/>
        <w:adjustRightInd w:val="0"/>
        <w:rPr>
          <w:rFonts w:cs="Arial"/>
          <w:color w:val="000000"/>
          <w:szCs w:val="20"/>
          <w14:ligatures w14:val="standardContextual"/>
        </w:rPr>
      </w:pPr>
    </w:p>
    <w:p w14:paraId="60B57F25" w14:textId="100A19A0" w:rsidR="009137D5" w:rsidRPr="009137D5" w:rsidRDefault="009137D5" w:rsidP="009137D5">
      <w:pPr>
        <w:autoSpaceDE w:val="0"/>
        <w:autoSpaceDN w:val="0"/>
        <w:adjustRightInd w:val="0"/>
        <w:rPr>
          <w:rFonts w:cs="Arial"/>
          <w:szCs w:val="20"/>
        </w:rPr>
      </w:pPr>
      <w:r w:rsidRPr="009137D5">
        <w:rPr>
          <w:rFonts w:cs="Arial"/>
          <w:szCs w:val="20"/>
        </w:rPr>
        <w:t xml:space="preserve">36. Article 1, paragraph 1 of the Convention allows States Parties to co-operate regarding the interception of telecommunications. This was confirmed and developed by the 1985 Recommendation </w:t>
      </w:r>
      <w:bookmarkStart w:id="0" w:name="_ML_000000000001_VALID"/>
      <w:r w:rsidR="00725CD3" w:rsidRPr="00725CD3">
        <w:rPr>
          <w:rFonts w:cs="Arial"/>
          <w:szCs w:val="20"/>
        </w:rPr>
        <w:fldChar w:fldCharType="begin"/>
      </w:r>
      <w:r w:rsidR="00725CD3" w:rsidRPr="00725CD3">
        <w:rPr>
          <w:rFonts w:cs="Arial"/>
          <w:szCs w:val="20"/>
        </w:rPr>
        <w:instrText>HYPERLINK "https://search.coe.int/cm/eng#%7B%22CoEReference%22:[%22Rec(85)10%22],%22CoELanguageId%22:[%22eng%22],%22CoECollection%22:[%22COE_DOC%22],%22po%22:%7B%22ref%22:%22=%22%7D%7D" \o "concerning the practical application of the European Convention on Mutual Assistance in Criminal Matters in respect of letters rogatory for the interception of telecommunications"</w:instrText>
      </w:r>
      <w:r w:rsidR="00725CD3" w:rsidRPr="00725CD3">
        <w:rPr>
          <w:rFonts w:cs="Arial"/>
          <w:szCs w:val="20"/>
        </w:rPr>
      </w:r>
      <w:r w:rsidR="00725CD3" w:rsidRPr="00725CD3">
        <w:rPr>
          <w:rFonts w:cs="Arial"/>
          <w:szCs w:val="20"/>
        </w:rPr>
        <w:fldChar w:fldCharType="separate"/>
      </w:r>
      <w:bookmarkEnd w:id="0"/>
      <w:r w:rsidR="00725CD3" w:rsidRPr="00725CD3">
        <w:rPr>
          <w:rStyle w:val="Hyperlink"/>
          <w:rFonts w:cs="Arial"/>
          <w:szCs w:val="20"/>
        </w:rPr>
        <w:t>Rec(85)10</w:t>
      </w:r>
      <w:r w:rsidR="00725CD3" w:rsidRPr="00725CD3">
        <w:rPr>
          <w:rFonts w:cs="Arial"/>
          <w:szCs w:val="20"/>
        </w:rPr>
        <w:fldChar w:fldCharType="end"/>
      </w:r>
      <w:r w:rsidRPr="009137D5">
        <w:rPr>
          <w:rFonts w:cs="Arial"/>
          <w:szCs w:val="20"/>
        </w:rPr>
        <w:t xml:space="preserve"> of the Committee of Ministers of the Council of Europe on letters rogatory for the interception of telecommunications. The drafters nevertheless considered that a specific provision in the Third Additional Protocol would better guide practitioners, facilitate co-operation in this area and promote a more uniform application of the Convention.</w:t>
      </w:r>
    </w:p>
    <w:p w14:paraId="2DDBA38E" w14:textId="77777777" w:rsidR="009137D5" w:rsidRPr="009137D5" w:rsidRDefault="009137D5" w:rsidP="009137D5">
      <w:pPr>
        <w:autoSpaceDE w:val="0"/>
        <w:autoSpaceDN w:val="0"/>
        <w:adjustRightInd w:val="0"/>
        <w:rPr>
          <w:rFonts w:cs="Arial"/>
          <w:szCs w:val="20"/>
        </w:rPr>
      </w:pPr>
    </w:p>
    <w:p w14:paraId="5E1E54C1" w14:textId="77777777" w:rsidR="009137D5" w:rsidRPr="009137D5" w:rsidRDefault="009137D5" w:rsidP="009137D5">
      <w:pPr>
        <w:autoSpaceDE w:val="0"/>
        <w:autoSpaceDN w:val="0"/>
        <w:adjustRightInd w:val="0"/>
        <w:rPr>
          <w:rFonts w:cs="Arial"/>
          <w:szCs w:val="20"/>
        </w:rPr>
      </w:pPr>
      <w:r w:rsidRPr="009137D5">
        <w:rPr>
          <w:rFonts w:cs="Arial"/>
          <w:szCs w:val="20"/>
        </w:rPr>
        <w:t xml:space="preserve">37. The wording of this Article follows very closely the aforementioned Recommendation, while also taking account of more recent standards, in particular those developed within the framework of the European Union with the </w:t>
      </w:r>
      <w:r w:rsidRPr="009137D5">
        <w:rPr>
          <w:rFonts w:cs="Arial"/>
          <w:color w:val="000000"/>
          <w:szCs w:val="20"/>
          <w14:ligatures w14:val="standardContextual"/>
        </w:rPr>
        <w:t xml:space="preserve">Convention of 29 May 2000 on Mutual Assistance in Criminal Matters between the Member States of the European Union and the </w:t>
      </w:r>
      <w:r w:rsidRPr="009137D5">
        <w:rPr>
          <w:rFonts w:cs="Arial"/>
          <w:szCs w:val="20"/>
        </w:rPr>
        <w:t xml:space="preserve">Directive 2014/41/EU of the European Parliament and of the Council of 3 April 2014 regarding the European Investigation Order in criminal matters. Similarly to the Recommendation and these standards, the drafters decided that it was not necessary to define the term ‘telecommunications’, which is not limited to telephone conversations and should be understood in the widest sense of the word. The purpose of this choice is to ensure that the provisions of this Article may apply to all forms of telecommunication made possible by current and future technologies. Rather than using the term “letter rogatory” as in the Recommendation, the drafters chose to use the term “request” </w:t>
      </w:r>
      <w:proofErr w:type="gramStart"/>
      <w:r w:rsidRPr="009137D5">
        <w:rPr>
          <w:rFonts w:cs="Arial"/>
          <w:szCs w:val="20"/>
        </w:rPr>
        <w:t>in order to</w:t>
      </w:r>
      <w:proofErr w:type="gramEnd"/>
      <w:r w:rsidRPr="009137D5">
        <w:rPr>
          <w:rFonts w:cs="Arial"/>
          <w:szCs w:val="20"/>
        </w:rPr>
        <w:t xml:space="preserve"> harmonise this provision with the Convention and its Additional Protocols. This was a stylistic choice which does not indicate any specific legal distinction for the purposes of this provision.</w:t>
      </w:r>
    </w:p>
    <w:p w14:paraId="4CA6459B" w14:textId="77777777" w:rsidR="009137D5" w:rsidRPr="009137D5" w:rsidRDefault="009137D5" w:rsidP="009137D5">
      <w:pPr>
        <w:autoSpaceDE w:val="0"/>
        <w:autoSpaceDN w:val="0"/>
        <w:adjustRightInd w:val="0"/>
        <w:rPr>
          <w:rFonts w:cs="Arial"/>
          <w:szCs w:val="20"/>
        </w:rPr>
      </w:pPr>
    </w:p>
    <w:p w14:paraId="21C92ED1"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szCs w:val="20"/>
        </w:rPr>
        <w:t>38. Paragraph 1 sets out the information a request for the interception of communications shall contain in addition to the indications of Article 14. This is to be seen in conjunction with paragraph 2, which allows the requested Party to refuse execution in cases where interception would not be justified or permitted according to its legislation and practice in an analogous domestic case.</w:t>
      </w:r>
      <w:r w:rsidRPr="009137D5">
        <w:rPr>
          <w:rFonts w:cs="Arial"/>
          <w:color w:val="000000"/>
          <w:szCs w:val="20"/>
          <w14:ligatures w14:val="standardContextual"/>
        </w:rPr>
        <w:t xml:space="preserve"> The intention behind the inclusion of sub-paragraph 1.b is the facilitation of a proportionality test for the requested Party. </w:t>
      </w:r>
      <w:r w:rsidRPr="009137D5">
        <w:rPr>
          <w:rFonts w:cs="Arial"/>
          <w:szCs w:val="20"/>
        </w:rPr>
        <w:t>In that spirit, it is to be understood that the requested Party may ask for complementary information to assess the compatibility of the interception request with its legislation. In the spirit of Article 1, paragraph 1 of the Convention, the desired outcome of this provision is a similar treatment in the requested Party between warrants emanating from its own national authorities and requests made under the Convention by the competent authorities of other States Parties.</w:t>
      </w:r>
    </w:p>
    <w:p w14:paraId="3E15C3CB" w14:textId="77777777" w:rsidR="009137D5" w:rsidRPr="009137D5" w:rsidRDefault="009137D5" w:rsidP="009137D5">
      <w:pPr>
        <w:autoSpaceDE w:val="0"/>
        <w:autoSpaceDN w:val="0"/>
        <w:adjustRightInd w:val="0"/>
        <w:rPr>
          <w:rFonts w:cs="Arial"/>
          <w:szCs w:val="20"/>
        </w:rPr>
      </w:pPr>
    </w:p>
    <w:p w14:paraId="4477466D" w14:textId="77777777" w:rsidR="00431AB3" w:rsidRDefault="00431AB3">
      <w:pPr>
        <w:rPr>
          <w:rFonts w:cs="Arial"/>
          <w:szCs w:val="20"/>
        </w:rPr>
      </w:pPr>
      <w:bookmarkStart w:id="1" w:name="_Hlk178179679"/>
      <w:r>
        <w:rPr>
          <w:rFonts w:cs="Arial"/>
          <w:szCs w:val="20"/>
        </w:rPr>
        <w:br w:type="page"/>
      </w:r>
    </w:p>
    <w:p w14:paraId="6405219A" w14:textId="3A35FEA8" w:rsidR="009137D5" w:rsidRPr="009137D5" w:rsidRDefault="009137D5" w:rsidP="009137D5">
      <w:pPr>
        <w:autoSpaceDE w:val="0"/>
        <w:autoSpaceDN w:val="0"/>
        <w:adjustRightInd w:val="0"/>
        <w:rPr>
          <w:rFonts w:cs="Arial"/>
          <w:szCs w:val="20"/>
        </w:rPr>
      </w:pPr>
      <w:r w:rsidRPr="009137D5">
        <w:rPr>
          <w:rFonts w:cs="Arial"/>
          <w:szCs w:val="20"/>
        </w:rPr>
        <w:t xml:space="preserve">39. Similarly to Article 3, paragraph 1, The drafters of the Protocol agreed that the additional ground for refusal defined in paragraph 2 of this Article, namely that the interception of telecommunications would not have been authorised in a similar domestic case, is broad enough to cover a range of considerations for the requested Party. This would allow the requested Party to refuse execution in cases where the request falls outside the scope of a catalogue of offences for which interception of communications might be authorised. It also covers any refusal based on human rights concerns assessed according to the law of the requested Party, </w:t>
      </w:r>
      <w:proofErr w:type="gramStart"/>
      <w:r w:rsidRPr="009137D5">
        <w:rPr>
          <w:rFonts w:cs="Arial"/>
          <w:szCs w:val="20"/>
        </w:rPr>
        <w:t>in particular as</w:t>
      </w:r>
      <w:proofErr w:type="gramEnd"/>
      <w:r w:rsidRPr="009137D5">
        <w:rPr>
          <w:rFonts w:cs="Arial"/>
          <w:szCs w:val="20"/>
        </w:rPr>
        <w:t xml:space="preserve"> regards the right to respect for private and family life or protection against discrimination on any prohibited ground. </w:t>
      </w:r>
    </w:p>
    <w:bookmarkEnd w:id="1"/>
    <w:p w14:paraId="33E70F80" w14:textId="77777777" w:rsidR="009137D5" w:rsidRPr="009137D5" w:rsidRDefault="009137D5" w:rsidP="009137D5">
      <w:pPr>
        <w:autoSpaceDE w:val="0"/>
        <w:autoSpaceDN w:val="0"/>
        <w:adjustRightInd w:val="0"/>
        <w:rPr>
          <w:rFonts w:cs="Arial"/>
          <w:szCs w:val="20"/>
        </w:rPr>
      </w:pPr>
    </w:p>
    <w:p w14:paraId="424A7352" w14:textId="77777777" w:rsidR="009137D5" w:rsidRPr="009137D5" w:rsidRDefault="009137D5" w:rsidP="009137D5">
      <w:pPr>
        <w:autoSpaceDE w:val="0"/>
        <w:autoSpaceDN w:val="0"/>
        <w:adjustRightInd w:val="0"/>
        <w:rPr>
          <w:rFonts w:cs="Arial"/>
          <w:szCs w:val="20"/>
        </w:rPr>
      </w:pPr>
      <w:r w:rsidRPr="009137D5">
        <w:rPr>
          <w:rFonts w:cs="Arial"/>
          <w:szCs w:val="20"/>
        </w:rPr>
        <w:t xml:space="preserve">40. Paragraph 3 corresponds to the need for further co-ordination and information exchange where the </w:t>
      </w:r>
      <w:proofErr w:type="gramStart"/>
      <w:r w:rsidRPr="009137D5">
        <w:rPr>
          <w:rFonts w:cs="Arial"/>
          <w:szCs w:val="20"/>
        </w:rPr>
        <w:t>period of time</w:t>
      </w:r>
      <w:proofErr w:type="gramEnd"/>
      <w:r w:rsidRPr="009137D5">
        <w:rPr>
          <w:rFonts w:cs="Arial"/>
          <w:szCs w:val="20"/>
        </w:rPr>
        <w:t xml:space="preserve"> during which interception is requested is longer than what would be permissible in the legislation and practice of the requested Party. </w:t>
      </w:r>
    </w:p>
    <w:p w14:paraId="3D36F81E" w14:textId="77777777" w:rsidR="009137D5" w:rsidRPr="009137D5" w:rsidRDefault="009137D5" w:rsidP="009137D5">
      <w:pPr>
        <w:autoSpaceDE w:val="0"/>
        <w:autoSpaceDN w:val="0"/>
        <w:adjustRightInd w:val="0"/>
        <w:rPr>
          <w:rFonts w:cs="Arial"/>
          <w:szCs w:val="20"/>
        </w:rPr>
      </w:pPr>
    </w:p>
    <w:p w14:paraId="00D95CE3" w14:textId="77777777" w:rsidR="009137D5" w:rsidRPr="009137D5" w:rsidRDefault="009137D5" w:rsidP="009137D5">
      <w:pPr>
        <w:autoSpaceDE w:val="0"/>
        <w:autoSpaceDN w:val="0"/>
        <w:adjustRightInd w:val="0"/>
        <w:rPr>
          <w:rFonts w:cs="Arial"/>
          <w:szCs w:val="20"/>
        </w:rPr>
      </w:pPr>
      <w:r w:rsidRPr="009137D5">
        <w:rPr>
          <w:rFonts w:cs="Arial"/>
          <w:szCs w:val="20"/>
        </w:rPr>
        <w:t xml:space="preserve">41. Paragraph 4 gives the possibility to the requested Party to make the execution of requests for the interception of telecommunications subject to a limited list of conditions enumerated in paragraph 4. Among these, sub-paragraph c enshrines a kind of “rule of speciality”, </w:t>
      </w:r>
      <w:proofErr w:type="gramStart"/>
      <w:r w:rsidRPr="009137D5">
        <w:rPr>
          <w:rFonts w:cs="Arial"/>
          <w:szCs w:val="20"/>
        </w:rPr>
        <w:t>similar to</w:t>
      </w:r>
      <w:proofErr w:type="gramEnd"/>
      <w:r w:rsidRPr="009137D5">
        <w:rPr>
          <w:rFonts w:cs="Arial"/>
          <w:szCs w:val="20"/>
        </w:rPr>
        <w:t xml:space="preserve"> the principle underpinning extradition proceedings. Thus, if the records resulting from an interception contain any evidence of an offence which did not underlie the original request for interception, such evidence cannot be used by the requesting Party without having obtained the explicit consent of the requested Party for this purpose.</w:t>
      </w:r>
    </w:p>
    <w:p w14:paraId="2DCD169B" w14:textId="77777777" w:rsidR="009137D5" w:rsidRPr="009137D5" w:rsidRDefault="009137D5" w:rsidP="009137D5">
      <w:pPr>
        <w:autoSpaceDE w:val="0"/>
        <w:autoSpaceDN w:val="0"/>
        <w:adjustRightInd w:val="0"/>
        <w:rPr>
          <w:rFonts w:cs="Arial"/>
          <w:szCs w:val="20"/>
        </w:rPr>
      </w:pPr>
    </w:p>
    <w:p w14:paraId="2FE8FD3F" w14:textId="77777777" w:rsidR="009137D5" w:rsidRPr="009137D5" w:rsidRDefault="009137D5" w:rsidP="009137D5">
      <w:pPr>
        <w:autoSpaceDE w:val="0"/>
        <w:autoSpaceDN w:val="0"/>
        <w:adjustRightInd w:val="0"/>
        <w:rPr>
          <w:rFonts w:cs="Arial"/>
          <w:szCs w:val="20"/>
        </w:rPr>
      </w:pPr>
      <w:r w:rsidRPr="009137D5">
        <w:rPr>
          <w:rFonts w:cs="Arial"/>
          <w:szCs w:val="20"/>
        </w:rPr>
        <w:t xml:space="preserve">42. Paragraph 5 allows the requesting Party to specifically request the transcription, decoding or decrypting of the recording resulting from the interception. This provision is inspired by Article 30, paragraph 7 of the Directive 2014/41/EU of the European Parliament and of the Council of 3 April 2014 regarding the European Investigation Order in criminal matters. Given the considerable resources these acts imply, the drafters decided to leave it up to the requested Party to assess their feasibility </w:t>
      </w:r>
      <w:proofErr w:type="gramStart"/>
      <w:r w:rsidRPr="009137D5">
        <w:rPr>
          <w:rFonts w:cs="Arial"/>
          <w:szCs w:val="20"/>
        </w:rPr>
        <w:t>in a given</w:t>
      </w:r>
      <w:proofErr w:type="gramEnd"/>
      <w:r w:rsidRPr="009137D5">
        <w:rPr>
          <w:rFonts w:cs="Arial"/>
          <w:szCs w:val="20"/>
        </w:rPr>
        <w:t xml:space="preserve"> case.</w:t>
      </w:r>
    </w:p>
    <w:p w14:paraId="18481D10" w14:textId="77777777" w:rsidR="009137D5" w:rsidRPr="009137D5" w:rsidRDefault="009137D5" w:rsidP="009137D5">
      <w:pPr>
        <w:autoSpaceDE w:val="0"/>
        <w:autoSpaceDN w:val="0"/>
        <w:adjustRightInd w:val="0"/>
        <w:rPr>
          <w:rFonts w:cs="Arial"/>
          <w:szCs w:val="20"/>
        </w:rPr>
      </w:pPr>
    </w:p>
    <w:p w14:paraId="218FAF5E" w14:textId="77777777" w:rsidR="009137D5" w:rsidRPr="009137D5" w:rsidRDefault="009137D5" w:rsidP="009137D5">
      <w:pPr>
        <w:autoSpaceDE w:val="0"/>
        <w:autoSpaceDN w:val="0"/>
        <w:adjustRightInd w:val="0"/>
        <w:rPr>
          <w:rFonts w:cs="Arial"/>
          <w:szCs w:val="20"/>
        </w:rPr>
      </w:pPr>
      <w:r w:rsidRPr="009137D5">
        <w:rPr>
          <w:rFonts w:cs="Arial"/>
          <w:szCs w:val="20"/>
        </w:rPr>
        <w:t>43. Paragraph 6 enshrines the right of the requested Party to eliminate, of its own initiative, the parts of the records which are not relevant for the criminal proceedings in respect of which the request has been sent, before transmitting the results of the interception to the requesting Party.</w:t>
      </w:r>
    </w:p>
    <w:p w14:paraId="20475BFD" w14:textId="77777777" w:rsidR="009137D5" w:rsidRPr="009137D5" w:rsidRDefault="009137D5" w:rsidP="009137D5">
      <w:pPr>
        <w:autoSpaceDE w:val="0"/>
        <w:autoSpaceDN w:val="0"/>
        <w:adjustRightInd w:val="0"/>
        <w:rPr>
          <w:rFonts w:cs="Arial"/>
          <w:szCs w:val="20"/>
        </w:rPr>
      </w:pPr>
    </w:p>
    <w:p w14:paraId="6CA0C8E5" w14:textId="77777777" w:rsidR="009137D5" w:rsidRPr="009137D5" w:rsidRDefault="009137D5" w:rsidP="009137D5">
      <w:pPr>
        <w:autoSpaceDE w:val="0"/>
        <w:autoSpaceDN w:val="0"/>
        <w:adjustRightInd w:val="0"/>
        <w:rPr>
          <w:rFonts w:cs="Arial"/>
          <w:szCs w:val="20"/>
        </w:rPr>
      </w:pPr>
      <w:r w:rsidRPr="009137D5">
        <w:rPr>
          <w:rFonts w:cs="Arial"/>
          <w:szCs w:val="20"/>
        </w:rPr>
        <w:t>44. When the records of the interception show evidence of a crime committed within the territory of the requested Party, paragraph 7 of this Article encourages the requesting Party to lay information with a view to proceedings in the courts of the requested Party, in accordance with Article 21 of the Convention.</w:t>
      </w:r>
    </w:p>
    <w:p w14:paraId="6F47E26D" w14:textId="77777777" w:rsidR="009137D5" w:rsidRPr="009137D5" w:rsidRDefault="009137D5" w:rsidP="009137D5">
      <w:pPr>
        <w:autoSpaceDE w:val="0"/>
        <w:autoSpaceDN w:val="0"/>
        <w:adjustRightInd w:val="0"/>
        <w:rPr>
          <w:rFonts w:cs="Arial"/>
          <w:szCs w:val="20"/>
        </w:rPr>
      </w:pPr>
    </w:p>
    <w:p w14:paraId="33C6611D"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45. Paragraph 8 gives the possibility to Parties, if they agree mutually, to extend the notification procedure of Article 3 to the interception of telecommunications in the territory of another Party without the technical assistance of that Party. </w:t>
      </w:r>
      <w:proofErr w:type="gramStart"/>
      <w:r w:rsidRPr="009137D5">
        <w:rPr>
          <w:rFonts w:cs="Arial"/>
          <w:color w:val="000000"/>
          <w:szCs w:val="20"/>
          <w14:ligatures w14:val="standardContextual"/>
        </w:rPr>
        <w:t>Mutual agreement</w:t>
      </w:r>
      <w:proofErr w:type="gramEnd"/>
      <w:r w:rsidRPr="009137D5">
        <w:rPr>
          <w:rFonts w:cs="Arial"/>
          <w:color w:val="000000"/>
          <w:szCs w:val="20"/>
          <w14:ligatures w14:val="standardContextual"/>
        </w:rPr>
        <w:t xml:space="preserve"> in this connection could be envisaged both on a case-by-case basis or as a more permanent arrangement. This is primarily intended to cover situations where a person’s communications are intercepted in a Party, where the operator is also located, and when that person moves into the territory of another Party. This is a situation which is different from those envisaged in the preceding paragraphs of this Article, as collection of data would be technically possible for the notifying Party without the assistance of the notified Party. The drafters considered that these are situations that arise regularly in practice and wished not to leave a legal vacuum concerning co-operation in such cases.</w:t>
      </w:r>
    </w:p>
    <w:p w14:paraId="5C887691" w14:textId="77777777" w:rsidR="009137D5" w:rsidRPr="009137D5" w:rsidRDefault="009137D5" w:rsidP="009137D5">
      <w:pPr>
        <w:autoSpaceDE w:val="0"/>
        <w:autoSpaceDN w:val="0"/>
        <w:adjustRightInd w:val="0"/>
        <w:rPr>
          <w:rFonts w:cs="Arial"/>
          <w:szCs w:val="20"/>
        </w:rPr>
      </w:pPr>
    </w:p>
    <w:p w14:paraId="7A397B21" w14:textId="77777777"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Article 5 – Costs</w:t>
      </w:r>
    </w:p>
    <w:p w14:paraId="0A3594C2" w14:textId="77777777" w:rsidR="009137D5" w:rsidRPr="009137D5" w:rsidRDefault="009137D5" w:rsidP="009137D5">
      <w:pPr>
        <w:autoSpaceDE w:val="0"/>
        <w:autoSpaceDN w:val="0"/>
        <w:adjustRightInd w:val="0"/>
        <w:rPr>
          <w:rFonts w:cs="Arial"/>
          <w:b/>
          <w:bCs/>
          <w:szCs w:val="20"/>
          <w14:ligatures w14:val="standardContextual"/>
        </w:rPr>
      </w:pPr>
    </w:p>
    <w:p w14:paraId="44987C04" w14:textId="77777777" w:rsidR="009137D5" w:rsidRPr="009137D5" w:rsidRDefault="009137D5" w:rsidP="009137D5">
      <w:pPr>
        <w:autoSpaceDE w:val="0"/>
        <w:autoSpaceDN w:val="0"/>
        <w:adjustRightInd w:val="0"/>
        <w:rPr>
          <w:rFonts w:cs="Arial"/>
          <w:szCs w:val="20"/>
          <w14:ligatures w14:val="standardContextual"/>
        </w:rPr>
      </w:pPr>
      <w:r w:rsidRPr="009137D5">
        <w:rPr>
          <w:rFonts w:cs="Arial"/>
          <w:szCs w:val="20"/>
          <w14:ligatures w14:val="standardContextual"/>
        </w:rPr>
        <w:t xml:space="preserve">46. This provision amends Article 20 of the Convention, as modified by Article 5 of the Second Additional Protocol. More specifically, it introduces two new exceptions in paragraph 2 to the principle that Parties shall not claim the refund of costs resulting from the execution of mutual assistance requests. </w:t>
      </w:r>
      <w:proofErr w:type="gramStart"/>
      <w:r w:rsidRPr="009137D5">
        <w:rPr>
          <w:rFonts w:cs="Arial"/>
          <w:szCs w:val="20"/>
          <w14:ligatures w14:val="standardContextual"/>
        </w:rPr>
        <w:t>Both of these</w:t>
      </w:r>
      <w:proofErr w:type="gramEnd"/>
      <w:r w:rsidRPr="009137D5">
        <w:rPr>
          <w:rFonts w:cs="Arial"/>
          <w:szCs w:val="20"/>
          <w14:ligatures w14:val="standardContextual"/>
        </w:rPr>
        <w:t xml:space="preserve"> exceptions concern the interception of communications, which reflects the drafters’ observation that, in certain cases, the execution of requests for the interception of communications may engender substantial costs for the requested Party compared to other types of mutual assistance. </w:t>
      </w:r>
    </w:p>
    <w:p w14:paraId="28DA7F5E" w14:textId="77777777" w:rsidR="009137D5" w:rsidRPr="009137D5" w:rsidRDefault="009137D5" w:rsidP="009137D5">
      <w:pPr>
        <w:autoSpaceDE w:val="0"/>
        <w:autoSpaceDN w:val="0"/>
        <w:adjustRightInd w:val="0"/>
        <w:rPr>
          <w:rFonts w:cs="Arial"/>
          <w:b/>
          <w:bCs/>
          <w:szCs w:val="20"/>
          <w14:ligatures w14:val="standardContextual"/>
        </w:rPr>
      </w:pPr>
    </w:p>
    <w:p w14:paraId="615511C9" w14:textId="1362E098" w:rsidR="009137D5" w:rsidRPr="009137D5" w:rsidRDefault="009137D5" w:rsidP="009137D5">
      <w:pPr>
        <w:autoSpaceDE w:val="0"/>
        <w:autoSpaceDN w:val="0"/>
        <w:adjustRightInd w:val="0"/>
        <w:rPr>
          <w:rFonts w:cs="Arial"/>
          <w:b/>
          <w:bCs/>
          <w:szCs w:val="20"/>
          <w14:ligatures w14:val="standardContextual"/>
        </w:rPr>
      </w:pPr>
      <w:r w:rsidRPr="009137D5">
        <w:rPr>
          <w:rFonts w:cs="Arial"/>
          <w:b/>
          <w:bCs/>
          <w:szCs w:val="20"/>
          <w14:ligatures w14:val="standardContextual"/>
        </w:rPr>
        <w:t>Article 6 – Time limit for the execution of requests for mutual assistance</w:t>
      </w:r>
    </w:p>
    <w:p w14:paraId="179847A7" w14:textId="77777777" w:rsidR="009137D5" w:rsidRPr="009137D5" w:rsidRDefault="009137D5" w:rsidP="009137D5">
      <w:pPr>
        <w:autoSpaceDE w:val="0"/>
        <w:autoSpaceDN w:val="0"/>
        <w:adjustRightInd w:val="0"/>
        <w:rPr>
          <w:rFonts w:cs="Arial"/>
          <w:b/>
          <w:bCs/>
          <w:szCs w:val="20"/>
          <w14:ligatures w14:val="standardContextual"/>
        </w:rPr>
      </w:pPr>
    </w:p>
    <w:p w14:paraId="4801A045" w14:textId="77777777" w:rsidR="009137D5" w:rsidRPr="009137D5" w:rsidRDefault="009137D5" w:rsidP="009137D5">
      <w:pPr>
        <w:autoSpaceDE w:val="0"/>
        <w:autoSpaceDN w:val="0"/>
        <w:adjustRightInd w:val="0"/>
        <w:rPr>
          <w:rFonts w:cs="Arial"/>
          <w:color w:val="000000"/>
          <w:szCs w:val="20"/>
          <w14:ligatures w14:val="standardContextual"/>
        </w:rPr>
      </w:pPr>
      <w:r w:rsidRPr="009137D5">
        <w:rPr>
          <w:rFonts w:cs="Arial"/>
          <w:color w:val="000000"/>
          <w:szCs w:val="20"/>
          <w14:ligatures w14:val="standardContextual"/>
        </w:rPr>
        <w:t xml:space="preserve">47. The drafters considered that it would be expedient to introduce a provision regarding time limits for the execution of mutual assistance requests, with a view to increasing the effectiveness of and expediting mutual assistance under the Convention, as delays constitute a major impediment to cross-border crime fighting. </w:t>
      </w:r>
    </w:p>
    <w:p w14:paraId="016E3F4D" w14:textId="77777777" w:rsidR="009137D5" w:rsidRPr="009137D5" w:rsidRDefault="009137D5" w:rsidP="009137D5">
      <w:pPr>
        <w:autoSpaceDE w:val="0"/>
        <w:autoSpaceDN w:val="0"/>
        <w:adjustRightInd w:val="0"/>
        <w:rPr>
          <w:rFonts w:cs="Arial"/>
          <w:color w:val="000000"/>
          <w:szCs w:val="20"/>
          <w14:ligatures w14:val="standardContextual"/>
        </w:rPr>
      </w:pPr>
    </w:p>
    <w:p w14:paraId="14D12CBE" w14:textId="77777777" w:rsidR="00431AB3" w:rsidRDefault="00431AB3">
      <w:pPr>
        <w:rPr>
          <w:rFonts w:cs="Arial"/>
          <w:color w:val="000000"/>
          <w:szCs w:val="20"/>
          <w14:ligatures w14:val="standardContextual"/>
        </w:rPr>
      </w:pPr>
      <w:r>
        <w:rPr>
          <w:rFonts w:cs="Arial"/>
          <w:color w:val="000000"/>
          <w:szCs w:val="20"/>
          <w14:ligatures w14:val="standardContextual"/>
        </w:rPr>
        <w:br w:type="page"/>
      </w:r>
    </w:p>
    <w:p w14:paraId="7D7F2457" w14:textId="6879697F" w:rsidR="009137D5" w:rsidRPr="009137D5" w:rsidRDefault="009137D5" w:rsidP="009137D5">
      <w:pPr>
        <w:autoSpaceDE w:val="0"/>
        <w:autoSpaceDN w:val="0"/>
        <w:adjustRightInd w:val="0"/>
        <w:rPr>
          <w:rFonts w:cs="Arial"/>
          <w:b/>
          <w:bCs/>
          <w:szCs w:val="20"/>
        </w:rPr>
      </w:pPr>
      <w:r w:rsidRPr="009137D5">
        <w:rPr>
          <w:rFonts w:cs="Arial"/>
          <w:color w:val="000000"/>
          <w:szCs w:val="20"/>
          <w14:ligatures w14:val="standardContextual"/>
        </w:rPr>
        <w:t xml:space="preserve">48. The drafters considered that a time limit of 180 days was a reasonable reference point for </w:t>
      </w:r>
      <w:proofErr w:type="gramStart"/>
      <w:r w:rsidRPr="009137D5">
        <w:rPr>
          <w:rFonts w:cs="Arial"/>
          <w:color w:val="000000"/>
          <w:szCs w:val="20"/>
          <w14:ligatures w14:val="standardContextual"/>
        </w:rPr>
        <w:t>the vast majority of</w:t>
      </w:r>
      <w:proofErr w:type="gramEnd"/>
      <w:r w:rsidRPr="009137D5">
        <w:rPr>
          <w:rFonts w:cs="Arial"/>
          <w:color w:val="000000"/>
          <w:szCs w:val="20"/>
          <w14:ligatures w14:val="standardContextual"/>
        </w:rPr>
        <w:t xml:space="preserve"> mutual assistance requests. However, this Article gives due consideration to the fact that in special cases, such as those involving deprivation of liberty, faster execution may be necessary, while in some exceptional cases, execution within the usual time limits is not possible.</w:t>
      </w:r>
      <w:r w:rsidRPr="009137D5" w:rsidDel="00C13B3B">
        <w:rPr>
          <w:rFonts w:cs="Arial"/>
          <w:color w:val="000000"/>
          <w:szCs w:val="20"/>
          <w14:ligatures w14:val="standardContextual"/>
        </w:rPr>
        <w:t xml:space="preserve"> </w:t>
      </w:r>
      <w:r w:rsidRPr="009137D5">
        <w:rPr>
          <w:rFonts w:cs="Arial"/>
          <w:color w:val="000000"/>
          <w:szCs w:val="20"/>
          <w14:ligatures w14:val="standardContextual"/>
        </w:rPr>
        <w:t>While the drafters decided against setting a maximum period for the execution of mutual assistance requests, this provision seeks to clarify the duty for both Parties to keep communication channels open with a view to ensuring that execution takes place in the most time and resource-efficient manner as possible.</w:t>
      </w:r>
    </w:p>
    <w:p w14:paraId="11A226BB" w14:textId="77777777" w:rsidR="009137D5" w:rsidRPr="009137D5" w:rsidRDefault="009137D5" w:rsidP="009137D5">
      <w:pPr>
        <w:autoSpaceDE w:val="0"/>
        <w:autoSpaceDN w:val="0"/>
        <w:adjustRightInd w:val="0"/>
        <w:rPr>
          <w:rFonts w:cs="Arial"/>
          <w:b/>
          <w:bCs/>
          <w:szCs w:val="20"/>
        </w:rPr>
      </w:pPr>
    </w:p>
    <w:p w14:paraId="14B47C06" w14:textId="77777777" w:rsidR="009137D5" w:rsidRPr="009137D5" w:rsidRDefault="009137D5" w:rsidP="009137D5">
      <w:pPr>
        <w:autoSpaceDE w:val="0"/>
        <w:autoSpaceDN w:val="0"/>
        <w:adjustRightInd w:val="0"/>
        <w:rPr>
          <w:rFonts w:cs="Arial"/>
          <w:b/>
          <w:bCs/>
          <w:szCs w:val="20"/>
        </w:rPr>
      </w:pPr>
      <w:r w:rsidRPr="009137D5">
        <w:rPr>
          <w:rFonts w:cs="Arial"/>
          <w:b/>
          <w:bCs/>
          <w:szCs w:val="20"/>
        </w:rPr>
        <w:t>Article 7 – Data protection</w:t>
      </w:r>
    </w:p>
    <w:p w14:paraId="6B06AC79" w14:textId="77777777" w:rsidR="009137D5" w:rsidRPr="009137D5" w:rsidRDefault="009137D5" w:rsidP="009137D5">
      <w:pPr>
        <w:autoSpaceDE w:val="0"/>
        <w:autoSpaceDN w:val="0"/>
        <w:adjustRightInd w:val="0"/>
        <w:rPr>
          <w:rFonts w:cs="Arial"/>
          <w:b/>
          <w:bCs/>
          <w:szCs w:val="20"/>
        </w:rPr>
      </w:pPr>
    </w:p>
    <w:p w14:paraId="7A1383EE" w14:textId="77777777" w:rsidR="009137D5" w:rsidRPr="009137D5" w:rsidRDefault="009137D5" w:rsidP="009137D5">
      <w:pPr>
        <w:autoSpaceDE w:val="0"/>
        <w:autoSpaceDN w:val="0"/>
        <w:adjustRightInd w:val="0"/>
        <w:rPr>
          <w:rFonts w:cs="Arial"/>
          <w:szCs w:val="20"/>
        </w:rPr>
      </w:pPr>
      <w:r w:rsidRPr="009137D5">
        <w:rPr>
          <w:rFonts w:cs="Arial"/>
          <w:szCs w:val="20"/>
        </w:rPr>
        <w:t>49. This provision is based on Article 26 of the 2</w:t>
      </w:r>
      <w:r w:rsidRPr="009137D5">
        <w:rPr>
          <w:rFonts w:cs="Arial"/>
          <w:szCs w:val="20"/>
          <w:vertAlign w:val="superscript"/>
        </w:rPr>
        <w:t>nd</w:t>
      </w:r>
      <w:r w:rsidRPr="009137D5">
        <w:rPr>
          <w:rFonts w:cs="Arial"/>
          <w:szCs w:val="20"/>
        </w:rPr>
        <w:t xml:space="preserve"> Additional Protocol and follows the same approach. The text reflects the fact that the Convention for the Protection of Individuals </w:t>
      </w:r>
      <w:proofErr w:type="gramStart"/>
      <w:r w:rsidRPr="009137D5">
        <w:rPr>
          <w:rFonts w:cs="Arial"/>
          <w:szCs w:val="20"/>
        </w:rPr>
        <w:t>with regard to</w:t>
      </w:r>
      <w:proofErr w:type="gramEnd"/>
      <w:r w:rsidRPr="009137D5">
        <w:rPr>
          <w:rFonts w:cs="Arial"/>
          <w:szCs w:val="20"/>
        </w:rPr>
        <w:t xml:space="preserve"> Automatic Processing of Personal Data (ETS No. 108) was modernised with the Protocol amending it (CETS No. 223), which was opened for signature in 2018. </w:t>
      </w:r>
    </w:p>
    <w:p w14:paraId="59B949E7" w14:textId="77777777" w:rsidR="009137D5" w:rsidRPr="009137D5" w:rsidRDefault="009137D5" w:rsidP="009137D5">
      <w:pPr>
        <w:autoSpaceDE w:val="0"/>
        <w:autoSpaceDN w:val="0"/>
        <w:adjustRightInd w:val="0"/>
        <w:rPr>
          <w:rFonts w:cs="Arial"/>
          <w:szCs w:val="20"/>
        </w:rPr>
      </w:pPr>
    </w:p>
    <w:p w14:paraId="34551A48" w14:textId="77777777" w:rsidR="009137D5" w:rsidRPr="009137D5" w:rsidRDefault="009137D5" w:rsidP="009137D5">
      <w:pPr>
        <w:autoSpaceDE w:val="0"/>
        <w:autoSpaceDN w:val="0"/>
        <w:adjustRightInd w:val="0"/>
        <w:rPr>
          <w:rFonts w:cs="Arial"/>
          <w:szCs w:val="20"/>
        </w:rPr>
      </w:pPr>
      <w:r w:rsidRPr="009137D5">
        <w:rPr>
          <w:rFonts w:cs="Arial"/>
          <w:szCs w:val="20"/>
        </w:rPr>
        <w:t xml:space="preserve">50. The drafters agreed that it was not a precondition for Contracting Parties to the Protocol to have ratified, accepted or acceded to this Protocol </w:t>
      </w:r>
      <w:proofErr w:type="gramStart"/>
      <w:r w:rsidRPr="009137D5">
        <w:rPr>
          <w:rFonts w:cs="Arial"/>
          <w:szCs w:val="20"/>
        </w:rPr>
        <w:t>in order to</w:t>
      </w:r>
      <w:proofErr w:type="gramEnd"/>
      <w:r w:rsidRPr="009137D5">
        <w:rPr>
          <w:rFonts w:cs="Arial"/>
          <w:szCs w:val="20"/>
        </w:rPr>
        <w:t xml:space="preserve"> raise data protection concerns on the basis of the modernised Convention 108, or for the Amending Protocol to have entered into force. This forward-thinking approach is analogous to the situation </w:t>
      </w:r>
      <w:proofErr w:type="gramStart"/>
      <w:r w:rsidRPr="009137D5">
        <w:rPr>
          <w:rFonts w:cs="Arial"/>
          <w:szCs w:val="20"/>
        </w:rPr>
        <w:t>at the moment</w:t>
      </w:r>
      <w:proofErr w:type="gramEnd"/>
      <w:r w:rsidRPr="009137D5">
        <w:rPr>
          <w:rFonts w:cs="Arial"/>
          <w:szCs w:val="20"/>
        </w:rPr>
        <w:t xml:space="preserve"> of the opening for signature of the Second Additional Protocol to the Convention, when not all States Parties to the Convention had ratified the Convention for the Protection of Individuals with regard to Automatic Processing of Personal Data. The drafters also decided to reinforce the ability of requested States to invoke their domestic legislation in connection with data protection issues. For the purposes of paragraph 3 of this Article, “national legislation” is understood as referring to provisions in national law on the protection of personal data.</w:t>
      </w:r>
    </w:p>
    <w:p w14:paraId="3FDDFD32" w14:textId="77777777" w:rsidR="009137D5" w:rsidRPr="009137D5" w:rsidRDefault="009137D5" w:rsidP="009137D5">
      <w:pPr>
        <w:autoSpaceDE w:val="0"/>
        <w:autoSpaceDN w:val="0"/>
        <w:adjustRightInd w:val="0"/>
        <w:rPr>
          <w:rFonts w:cs="Arial"/>
          <w:szCs w:val="20"/>
        </w:rPr>
      </w:pPr>
    </w:p>
    <w:p w14:paraId="4247341E" w14:textId="74169C69" w:rsidR="009137D5" w:rsidRPr="009137D5" w:rsidRDefault="009137D5" w:rsidP="009137D5">
      <w:pPr>
        <w:autoSpaceDE w:val="0"/>
        <w:autoSpaceDN w:val="0"/>
        <w:adjustRightInd w:val="0"/>
        <w:rPr>
          <w:rFonts w:cs="Arial"/>
          <w:szCs w:val="20"/>
        </w:rPr>
      </w:pPr>
      <w:r w:rsidRPr="009137D5">
        <w:rPr>
          <w:rFonts w:cs="Arial"/>
          <w:szCs w:val="20"/>
        </w:rPr>
        <w:t xml:space="preserve">51. This article applies to personal data transferred from one Party to another </w:t>
      </w:r>
      <w:proofErr w:type="gramStart"/>
      <w:r w:rsidRPr="009137D5">
        <w:rPr>
          <w:rFonts w:cs="Arial"/>
          <w:szCs w:val="20"/>
        </w:rPr>
        <w:t>as a result of</w:t>
      </w:r>
      <w:proofErr w:type="gramEnd"/>
      <w:r w:rsidRPr="009137D5">
        <w:rPr>
          <w:rFonts w:cs="Arial"/>
          <w:szCs w:val="20"/>
        </w:rPr>
        <w:t xml:space="preserve"> the execution of a request made under the Convention or any of its Protocols. It applies regardless of whether data are transferred because they are communicated by a </w:t>
      </w:r>
      <w:r w:rsidR="00C67D58">
        <w:rPr>
          <w:rFonts w:cs="Arial"/>
          <w:szCs w:val="20"/>
        </w:rPr>
        <w:t>“</w:t>
      </w:r>
      <w:r w:rsidRPr="009137D5">
        <w:rPr>
          <w:rFonts w:cs="Arial"/>
          <w:szCs w:val="20"/>
        </w:rPr>
        <w:t>sending State</w:t>
      </w:r>
      <w:r w:rsidR="00C67D58">
        <w:rPr>
          <w:rFonts w:cs="Arial"/>
          <w:szCs w:val="20"/>
        </w:rPr>
        <w:t>”</w:t>
      </w:r>
      <w:r w:rsidRPr="009137D5">
        <w:rPr>
          <w:rFonts w:cs="Arial"/>
          <w:szCs w:val="20"/>
        </w:rPr>
        <w:t xml:space="preserve"> or because they are otherwise obtained by a "receiving State".</w:t>
      </w:r>
    </w:p>
    <w:p w14:paraId="40A72B48" w14:textId="77777777" w:rsidR="009137D5" w:rsidRPr="009137D5" w:rsidRDefault="009137D5" w:rsidP="009137D5">
      <w:pPr>
        <w:autoSpaceDE w:val="0"/>
        <w:autoSpaceDN w:val="0"/>
        <w:adjustRightInd w:val="0"/>
        <w:rPr>
          <w:rFonts w:cs="Arial"/>
          <w:szCs w:val="20"/>
        </w:rPr>
      </w:pPr>
    </w:p>
    <w:p w14:paraId="68342E76" w14:textId="77777777" w:rsidR="009137D5" w:rsidRPr="009137D5" w:rsidRDefault="009137D5" w:rsidP="009137D5">
      <w:pPr>
        <w:autoSpaceDE w:val="0"/>
        <w:autoSpaceDN w:val="0"/>
        <w:adjustRightInd w:val="0"/>
        <w:rPr>
          <w:rFonts w:cs="Arial"/>
          <w:szCs w:val="20"/>
        </w:rPr>
      </w:pPr>
      <w:r w:rsidRPr="009137D5">
        <w:rPr>
          <w:rFonts w:cs="Arial"/>
          <w:szCs w:val="20"/>
        </w:rPr>
        <w:t xml:space="preserve">52. This article does not apply to personal data that is obtained by a Party as a result of the execution of a request made under the Convention or any of its Protocols, by that Party or any other Party, where that data </w:t>
      </w:r>
      <w:proofErr w:type="gramStart"/>
      <w:r w:rsidRPr="009137D5">
        <w:rPr>
          <w:rFonts w:cs="Arial"/>
          <w:szCs w:val="20"/>
        </w:rPr>
        <w:t>are</w:t>
      </w:r>
      <w:proofErr w:type="gramEnd"/>
      <w:r w:rsidRPr="009137D5">
        <w:rPr>
          <w:rFonts w:cs="Arial"/>
          <w:szCs w:val="20"/>
        </w:rPr>
        <w:t xml:space="preserve"> not transferred from one Party to another.</w:t>
      </w:r>
    </w:p>
    <w:p w14:paraId="34E765BF" w14:textId="77777777" w:rsidR="009137D5" w:rsidRPr="009137D5" w:rsidRDefault="009137D5" w:rsidP="009137D5">
      <w:pPr>
        <w:autoSpaceDE w:val="0"/>
        <w:autoSpaceDN w:val="0"/>
        <w:adjustRightInd w:val="0"/>
        <w:rPr>
          <w:rFonts w:cs="Arial"/>
          <w:szCs w:val="20"/>
        </w:rPr>
      </w:pPr>
    </w:p>
    <w:p w14:paraId="2C37140C" w14:textId="3BC2978C" w:rsidR="009137D5" w:rsidRPr="009137D5" w:rsidRDefault="009137D5" w:rsidP="009137D5">
      <w:pPr>
        <w:autoSpaceDE w:val="0"/>
        <w:autoSpaceDN w:val="0"/>
        <w:adjustRightInd w:val="0"/>
        <w:rPr>
          <w:rFonts w:cs="Arial"/>
          <w:szCs w:val="20"/>
        </w:rPr>
      </w:pPr>
      <w:r w:rsidRPr="009137D5">
        <w:rPr>
          <w:rFonts w:cs="Arial"/>
          <w:szCs w:val="20"/>
        </w:rPr>
        <w:t xml:space="preserve">53. The expression </w:t>
      </w:r>
      <w:r w:rsidR="00C67D58">
        <w:rPr>
          <w:rFonts w:cs="Arial"/>
          <w:szCs w:val="20"/>
        </w:rPr>
        <w:t>“</w:t>
      </w:r>
      <w:r w:rsidRPr="009137D5">
        <w:rPr>
          <w:rFonts w:cs="Arial"/>
          <w:szCs w:val="20"/>
        </w:rPr>
        <w:t>personal data</w:t>
      </w:r>
      <w:r w:rsidR="00C67D58">
        <w:rPr>
          <w:rFonts w:cs="Arial"/>
          <w:szCs w:val="20"/>
        </w:rPr>
        <w:t>”</w:t>
      </w:r>
      <w:r w:rsidRPr="009137D5">
        <w:rPr>
          <w:rFonts w:cs="Arial"/>
          <w:szCs w:val="20"/>
        </w:rPr>
        <w:t xml:space="preserve"> is used within the meaning of Article 2(a) of the Convention for the Protection of Individuals </w:t>
      </w:r>
      <w:proofErr w:type="gramStart"/>
      <w:r w:rsidRPr="009137D5">
        <w:rPr>
          <w:rFonts w:cs="Arial"/>
          <w:szCs w:val="20"/>
        </w:rPr>
        <w:t>with regard to</w:t>
      </w:r>
      <w:proofErr w:type="gramEnd"/>
      <w:r w:rsidRPr="009137D5">
        <w:rPr>
          <w:rFonts w:cs="Arial"/>
          <w:szCs w:val="20"/>
        </w:rPr>
        <w:t xml:space="preserve"> Automatic Processing of Personal Data of 1981. That definition applies irrespective of the way in which the personal data concerned are filed or processed. Consequently, Article 24 of this Protocol applies both to data processed automatically and to data not processed automatically.</w:t>
      </w:r>
    </w:p>
    <w:p w14:paraId="5808EB05" w14:textId="77777777" w:rsidR="009137D5" w:rsidRPr="009137D5" w:rsidRDefault="009137D5" w:rsidP="009137D5">
      <w:pPr>
        <w:autoSpaceDE w:val="0"/>
        <w:autoSpaceDN w:val="0"/>
        <w:adjustRightInd w:val="0"/>
        <w:rPr>
          <w:rFonts w:cs="Arial"/>
          <w:szCs w:val="20"/>
        </w:rPr>
      </w:pPr>
    </w:p>
    <w:p w14:paraId="692D16C6" w14:textId="77777777" w:rsidR="009137D5" w:rsidRPr="009137D5" w:rsidRDefault="009137D5" w:rsidP="009137D5">
      <w:pPr>
        <w:autoSpaceDE w:val="0"/>
        <w:autoSpaceDN w:val="0"/>
        <w:adjustRightInd w:val="0"/>
        <w:rPr>
          <w:rFonts w:cs="Arial"/>
          <w:szCs w:val="20"/>
        </w:rPr>
      </w:pPr>
      <w:r w:rsidRPr="009137D5">
        <w:rPr>
          <w:rFonts w:cs="Arial"/>
          <w:szCs w:val="20"/>
        </w:rPr>
        <w:t>54. The definition is to be understood as implying that an identifiable person is one who can be identified, directly or indirectly, by reference to an identification number or to one or more factors specific to his or her physical, mental, economic, cultural or social identity.</w:t>
      </w:r>
    </w:p>
    <w:p w14:paraId="01CFA2B8" w14:textId="77777777" w:rsidR="009137D5" w:rsidRPr="009137D5" w:rsidRDefault="009137D5" w:rsidP="009137D5">
      <w:pPr>
        <w:autoSpaceDE w:val="0"/>
        <w:autoSpaceDN w:val="0"/>
        <w:adjustRightInd w:val="0"/>
        <w:rPr>
          <w:rFonts w:cs="Arial"/>
          <w:szCs w:val="20"/>
        </w:rPr>
      </w:pPr>
    </w:p>
    <w:p w14:paraId="15A218D4" w14:textId="77777777" w:rsidR="009137D5" w:rsidRPr="009137D5" w:rsidRDefault="009137D5" w:rsidP="009137D5">
      <w:pPr>
        <w:autoSpaceDE w:val="0"/>
        <w:autoSpaceDN w:val="0"/>
        <w:adjustRightInd w:val="0"/>
        <w:rPr>
          <w:rFonts w:cs="Arial"/>
          <w:szCs w:val="20"/>
        </w:rPr>
      </w:pPr>
      <w:r w:rsidRPr="009137D5">
        <w:rPr>
          <w:rFonts w:cs="Arial"/>
          <w:szCs w:val="20"/>
        </w:rPr>
        <w:t>55. This article does not affect the obligations of States under the 1981 Convention.</w:t>
      </w:r>
    </w:p>
    <w:p w14:paraId="069F4866" w14:textId="77777777" w:rsidR="009137D5" w:rsidRPr="009137D5" w:rsidRDefault="009137D5" w:rsidP="009137D5">
      <w:pPr>
        <w:autoSpaceDE w:val="0"/>
        <w:autoSpaceDN w:val="0"/>
        <w:adjustRightInd w:val="0"/>
        <w:rPr>
          <w:rFonts w:cs="Arial"/>
          <w:szCs w:val="20"/>
        </w:rPr>
      </w:pPr>
    </w:p>
    <w:p w14:paraId="27A93132" w14:textId="77777777" w:rsidR="009137D5" w:rsidRPr="009137D5" w:rsidRDefault="009137D5" w:rsidP="009137D5">
      <w:pPr>
        <w:autoSpaceDE w:val="0"/>
        <w:autoSpaceDN w:val="0"/>
        <w:adjustRightInd w:val="0"/>
        <w:rPr>
          <w:rFonts w:cs="Arial"/>
          <w:b/>
          <w:bCs/>
          <w:szCs w:val="20"/>
        </w:rPr>
      </w:pPr>
      <w:r w:rsidRPr="009137D5">
        <w:rPr>
          <w:rFonts w:cs="Arial"/>
          <w:b/>
          <w:bCs/>
          <w:szCs w:val="20"/>
        </w:rPr>
        <w:t>Article 8 – Friendly settlement</w:t>
      </w:r>
    </w:p>
    <w:p w14:paraId="20D11139" w14:textId="77777777" w:rsidR="009137D5" w:rsidRPr="009137D5" w:rsidRDefault="009137D5" w:rsidP="009137D5">
      <w:pPr>
        <w:autoSpaceDE w:val="0"/>
        <w:autoSpaceDN w:val="0"/>
        <w:adjustRightInd w:val="0"/>
        <w:rPr>
          <w:rFonts w:cs="Arial"/>
          <w:szCs w:val="20"/>
        </w:rPr>
      </w:pPr>
    </w:p>
    <w:p w14:paraId="0F8E8B2E" w14:textId="0254C441" w:rsidR="009137D5" w:rsidRPr="009137D5" w:rsidRDefault="009137D5" w:rsidP="009137D5">
      <w:pPr>
        <w:autoSpaceDE w:val="0"/>
        <w:autoSpaceDN w:val="0"/>
        <w:adjustRightInd w:val="0"/>
        <w:rPr>
          <w:rFonts w:cs="Arial"/>
          <w:szCs w:val="20"/>
        </w:rPr>
      </w:pPr>
      <w:r w:rsidRPr="009137D5">
        <w:rPr>
          <w:rFonts w:cs="Arial"/>
          <w:szCs w:val="20"/>
        </w:rPr>
        <w:t xml:space="preserve">56. This article which makes the European Committee on Crime Problems the guardian over the interpretation and application of the Convention and its Protocols follows the precedents established in other European conventions in the penal field. It also follows Recommendation </w:t>
      </w:r>
      <w:bookmarkStart w:id="2" w:name="_ML_000000000002_VALID"/>
      <w:r w:rsidR="00725CD3" w:rsidRPr="00725CD3">
        <w:rPr>
          <w:rFonts w:cs="Arial"/>
          <w:szCs w:val="20"/>
        </w:rPr>
        <w:fldChar w:fldCharType="begin"/>
      </w:r>
      <w:r w:rsidR="00725CD3" w:rsidRPr="00725CD3">
        <w:rPr>
          <w:rFonts w:cs="Arial"/>
          <w:szCs w:val="20"/>
        </w:rPr>
        <w:instrText>HYPERLINK "https://search.coe.int/cm/eng#%7B%22CoEReference%22:[%22Rec(99)20%22],%22CoELanguageId%22:[%22eng%22],%22CoECollection%22:[%22COE_DOC%22],%22po%22:%7B%22ref%22:%22=%22%7D%7D" \o "concerning the friendly settlement of any difficulty that may arise out of the application of the Council of Europe conventions in the penal field"</w:instrText>
      </w:r>
      <w:r w:rsidR="00725CD3" w:rsidRPr="00725CD3">
        <w:rPr>
          <w:rFonts w:cs="Arial"/>
          <w:szCs w:val="20"/>
        </w:rPr>
      </w:r>
      <w:r w:rsidR="00725CD3" w:rsidRPr="00725CD3">
        <w:rPr>
          <w:rFonts w:cs="Arial"/>
          <w:szCs w:val="20"/>
        </w:rPr>
        <w:fldChar w:fldCharType="separate"/>
      </w:r>
      <w:bookmarkEnd w:id="2"/>
      <w:r w:rsidR="00725CD3" w:rsidRPr="00725CD3">
        <w:rPr>
          <w:rStyle w:val="Hyperlink"/>
          <w:rFonts w:cs="Arial"/>
          <w:szCs w:val="20"/>
        </w:rPr>
        <w:t>Rec(99)20</w:t>
      </w:r>
      <w:r w:rsidR="00725CD3" w:rsidRPr="00725CD3">
        <w:rPr>
          <w:rFonts w:cs="Arial"/>
          <w:szCs w:val="20"/>
        </w:rPr>
        <w:fldChar w:fldCharType="end"/>
      </w:r>
      <w:r w:rsidRPr="009137D5">
        <w:rPr>
          <w:rFonts w:cs="Arial"/>
          <w:szCs w:val="20"/>
        </w:rPr>
        <w:t xml:space="preserve"> of the Committee of Ministers, concerning the friendly settlement of any difficulty that may arise out of the application of the Council of Europe conventions in the penal field. The reporting requirement which it lays down is intended to keep the European Committee on Crime Problems informed about possible difficulties in interpreting and applying the Convention and its Protocols, so that it may contribute to facilitating friendly settlements and proposing amendments to the Convention and its Protocols which might prove necessary.</w:t>
      </w:r>
    </w:p>
    <w:p w14:paraId="6A7E2486" w14:textId="77777777" w:rsidR="009137D5" w:rsidRPr="009137D5" w:rsidRDefault="009137D5" w:rsidP="009137D5">
      <w:pPr>
        <w:autoSpaceDE w:val="0"/>
        <w:autoSpaceDN w:val="0"/>
        <w:adjustRightInd w:val="0"/>
        <w:rPr>
          <w:rFonts w:cs="Arial"/>
          <w:szCs w:val="20"/>
        </w:rPr>
      </w:pPr>
    </w:p>
    <w:p w14:paraId="6390AEEB" w14:textId="77777777" w:rsidR="004B561B" w:rsidRDefault="004B561B">
      <w:pPr>
        <w:rPr>
          <w:rFonts w:cs="Arial"/>
          <w:b/>
          <w:bCs/>
          <w:szCs w:val="20"/>
        </w:rPr>
      </w:pPr>
      <w:r>
        <w:rPr>
          <w:rFonts w:cs="Arial"/>
          <w:b/>
          <w:bCs/>
          <w:szCs w:val="20"/>
        </w:rPr>
        <w:br w:type="page"/>
      </w:r>
    </w:p>
    <w:p w14:paraId="044C0718" w14:textId="14FA5B63" w:rsidR="009137D5" w:rsidRPr="009137D5" w:rsidRDefault="009137D5" w:rsidP="009137D5">
      <w:pPr>
        <w:autoSpaceDE w:val="0"/>
        <w:autoSpaceDN w:val="0"/>
        <w:adjustRightInd w:val="0"/>
        <w:rPr>
          <w:rFonts w:cs="Arial"/>
          <w:b/>
          <w:bCs/>
          <w:szCs w:val="20"/>
        </w:rPr>
      </w:pPr>
      <w:r w:rsidRPr="009137D5">
        <w:rPr>
          <w:rFonts w:cs="Arial"/>
          <w:b/>
          <w:bCs/>
          <w:szCs w:val="20"/>
        </w:rPr>
        <w:t>Article 9 – Relations with the Convention and its Additional Protocols</w:t>
      </w:r>
    </w:p>
    <w:p w14:paraId="73B8D219" w14:textId="77777777" w:rsidR="009137D5" w:rsidRPr="009137D5" w:rsidRDefault="009137D5" w:rsidP="009137D5">
      <w:pPr>
        <w:autoSpaceDE w:val="0"/>
        <w:autoSpaceDN w:val="0"/>
        <w:adjustRightInd w:val="0"/>
        <w:rPr>
          <w:rFonts w:cs="Arial"/>
          <w:b/>
          <w:bCs/>
          <w:szCs w:val="20"/>
        </w:rPr>
      </w:pPr>
    </w:p>
    <w:p w14:paraId="1460F3A2" w14:textId="77777777" w:rsidR="009137D5" w:rsidRPr="009137D5" w:rsidRDefault="009137D5" w:rsidP="009137D5">
      <w:pPr>
        <w:autoSpaceDE w:val="0"/>
        <w:autoSpaceDN w:val="0"/>
        <w:adjustRightInd w:val="0"/>
        <w:rPr>
          <w:rFonts w:cs="Arial"/>
          <w:szCs w:val="20"/>
        </w:rPr>
      </w:pPr>
      <w:r w:rsidRPr="009137D5">
        <w:rPr>
          <w:rFonts w:cs="Arial"/>
          <w:szCs w:val="20"/>
        </w:rPr>
        <w:t xml:space="preserve">57. This provision specifies the provisions of the Second Additional Protocol to the Convention which shall be superseded by the provisions of the Third Additional Protocol. It also explicitly states that the Third Additional Protocol shall not affect the application of Article 26 of the Convention, be it regarding bilateral or multilateral agreements on mutual assistance in criminal matters, or the possibility of States Parties to regulate their mutual relations in this field exclusively </w:t>
      </w:r>
      <w:proofErr w:type="gramStart"/>
      <w:r w:rsidRPr="009137D5">
        <w:rPr>
          <w:rFonts w:cs="Arial"/>
          <w:szCs w:val="20"/>
        </w:rPr>
        <w:t>on the basis of</w:t>
      </w:r>
      <w:proofErr w:type="gramEnd"/>
      <w:r w:rsidRPr="009137D5">
        <w:rPr>
          <w:rFonts w:cs="Arial"/>
          <w:szCs w:val="20"/>
        </w:rPr>
        <w:t xml:space="preserve"> uniform legislation or of a special system.</w:t>
      </w:r>
    </w:p>
    <w:p w14:paraId="666F4CB7" w14:textId="77777777" w:rsidR="009137D5" w:rsidRPr="009137D5" w:rsidRDefault="009137D5" w:rsidP="009137D5">
      <w:pPr>
        <w:autoSpaceDE w:val="0"/>
        <w:autoSpaceDN w:val="0"/>
        <w:adjustRightInd w:val="0"/>
        <w:rPr>
          <w:rFonts w:cs="Arial"/>
          <w:szCs w:val="20"/>
        </w:rPr>
      </w:pPr>
    </w:p>
    <w:p w14:paraId="56DEF187" w14:textId="023D2E9C" w:rsidR="009137D5" w:rsidRPr="009137D5" w:rsidRDefault="009137D5" w:rsidP="009137D5">
      <w:pPr>
        <w:autoSpaceDE w:val="0"/>
        <w:autoSpaceDN w:val="0"/>
        <w:adjustRightInd w:val="0"/>
        <w:rPr>
          <w:rFonts w:cs="Arial"/>
          <w:b/>
          <w:bCs/>
          <w:szCs w:val="20"/>
        </w:rPr>
      </w:pPr>
      <w:r w:rsidRPr="009137D5">
        <w:rPr>
          <w:rFonts w:cs="Arial"/>
          <w:b/>
          <w:bCs/>
          <w:szCs w:val="20"/>
        </w:rPr>
        <w:t>Articles 10 to 15 – Final clauses</w:t>
      </w:r>
    </w:p>
    <w:p w14:paraId="41E4BB35" w14:textId="77777777" w:rsidR="009137D5" w:rsidRPr="009137D5" w:rsidRDefault="009137D5" w:rsidP="009137D5">
      <w:pPr>
        <w:autoSpaceDE w:val="0"/>
        <w:autoSpaceDN w:val="0"/>
        <w:adjustRightInd w:val="0"/>
        <w:rPr>
          <w:rFonts w:cs="Arial"/>
          <w:b/>
          <w:bCs/>
          <w:szCs w:val="20"/>
        </w:rPr>
      </w:pPr>
    </w:p>
    <w:p w14:paraId="7EEEC10F" w14:textId="768C990F" w:rsidR="009137D5" w:rsidRPr="009137D5" w:rsidRDefault="009137D5" w:rsidP="009137D5">
      <w:pPr>
        <w:autoSpaceDE w:val="0"/>
        <w:autoSpaceDN w:val="0"/>
        <w:adjustRightInd w:val="0"/>
        <w:rPr>
          <w:rFonts w:cs="Arial"/>
          <w:szCs w:val="20"/>
        </w:rPr>
      </w:pPr>
      <w:r w:rsidRPr="009137D5">
        <w:rPr>
          <w:rFonts w:cs="Arial"/>
          <w:szCs w:val="20"/>
        </w:rPr>
        <w:t xml:space="preserve">58. These articles are based on the </w:t>
      </w:r>
      <w:r w:rsidR="00C67D58">
        <w:rPr>
          <w:rFonts w:cs="Arial"/>
          <w:szCs w:val="20"/>
        </w:rPr>
        <w:t>“</w:t>
      </w:r>
      <w:r w:rsidRPr="009137D5">
        <w:rPr>
          <w:rFonts w:cs="Arial"/>
          <w:szCs w:val="20"/>
        </w:rPr>
        <w:t>Revised draft model final clauses for conventions, additional protocols and amending protocols concluded within the Council of Europe” adopted by the Committee of Ministers at the 1291</w:t>
      </w:r>
      <w:r w:rsidRPr="009137D5">
        <w:rPr>
          <w:rFonts w:cs="Arial"/>
          <w:szCs w:val="20"/>
          <w:vertAlign w:val="superscript"/>
        </w:rPr>
        <w:t>st</w:t>
      </w:r>
      <w:r w:rsidRPr="009137D5">
        <w:rPr>
          <w:rFonts w:cs="Arial"/>
          <w:szCs w:val="20"/>
        </w:rPr>
        <w:t xml:space="preserve"> meeting of their Deputies on 5 July 2017, and the final clauses of the Convention.</w:t>
      </w:r>
    </w:p>
    <w:p w14:paraId="154F602D" w14:textId="77777777" w:rsidR="009137D5" w:rsidRPr="009137D5" w:rsidRDefault="009137D5" w:rsidP="009137D5">
      <w:pPr>
        <w:autoSpaceDE w:val="0"/>
        <w:autoSpaceDN w:val="0"/>
        <w:adjustRightInd w:val="0"/>
        <w:rPr>
          <w:rFonts w:cs="Arial"/>
          <w:szCs w:val="20"/>
        </w:rPr>
      </w:pPr>
    </w:p>
    <w:sectPr w:rsidR="009137D5" w:rsidRPr="009137D5"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F1D7" w14:textId="77777777" w:rsidR="00B950C2" w:rsidRDefault="00B950C2" w:rsidP="00FD6043">
      <w:r>
        <w:separator/>
      </w:r>
    </w:p>
  </w:endnote>
  <w:endnote w:type="continuationSeparator" w:id="0">
    <w:p w14:paraId="4CFBE346" w14:textId="77777777" w:rsidR="00B950C2" w:rsidRDefault="00B950C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HelveticaNeueLT Pro 45 L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888A" w14:textId="77777777" w:rsidR="00B950C2" w:rsidRDefault="00B950C2" w:rsidP="00FD6043">
      <w:r>
        <w:separator/>
      </w:r>
    </w:p>
  </w:footnote>
  <w:footnote w:type="continuationSeparator" w:id="0">
    <w:p w14:paraId="5E76F629" w14:textId="77777777" w:rsidR="00B950C2" w:rsidRDefault="00B950C2" w:rsidP="00FD6043">
      <w:r>
        <w:continuationSeparator/>
      </w:r>
    </w:p>
  </w:footnote>
  <w:footnote w:id="1">
    <w:p w14:paraId="0BAD3C99" w14:textId="52D3CFFE" w:rsidR="003D6AC2" w:rsidRPr="00C05A0F" w:rsidRDefault="00853C90" w:rsidP="00C05A0F">
      <w:pPr>
        <w:pStyle w:val="FootnoteText"/>
        <w:rPr>
          <w:szCs w:val="16"/>
        </w:rPr>
      </w:pPr>
      <w:r w:rsidRPr="002F6BF5">
        <w:rPr>
          <w:rStyle w:val="FootnoteReference"/>
        </w:rPr>
        <w:footnoteRef/>
      </w:r>
      <w:r w:rsidRPr="002F6BF5">
        <w:t xml:space="preserve"> </w:t>
      </w:r>
      <w:r w:rsidR="002E6A16" w:rsidRPr="002E6A16">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236B82A0" w:rsidR="00E24C57" w:rsidRPr="00E54322" w:rsidRDefault="002660DB" w:rsidP="00E54322">
    <w:pPr>
      <w:pStyle w:val="Header"/>
    </w:pPr>
    <w:proofErr w:type="gramStart"/>
    <w:r w:rsidRPr="00E54322">
      <w:t>CM(</w:t>
    </w:r>
    <w:proofErr w:type="gramEnd"/>
    <w:r w:rsidR="00761B44">
      <w:t>2025</w:t>
    </w:r>
    <w:r w:rsidRPr="00E54322">
      <w:t>)</w:t>
    </w:r>
    <w:r w:rsidR="00881149">
      <w:t>20</w:t>
    </w:r>
    <w:r w:rsidR="00EE2386">
      <w:t>-add</w:t>
    </w:r>
    <w:r w:rsidR="002E6A16">
      <w:t>7</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74A08C8D"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761B44">
      <w:t>2025</w:t>
    </w:r>
    <w:r w:rsidR="002660DB" w:rsidRPr="00E54322">
      <w:t>)</w:t>
    </w:r>
    <w:r w:rsidR="00881149">
      <w:t>20</w:t>
    </w:r>
    <w:r w:rsidR="00EE2386">
      <w:t>-add</w:t>
    </w:r>
    <w:r w:rsidR="002E6A16">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FFE"/>
    <w:multiLevelType w:val="hybridMultilevel"/>
    <w:tmpl w:val="0EE6D75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5011FFC"/>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6495604"/>
    <w:multiLevelType w:val="multilevel"/>
    <w:tmpl w:val="9F60CF46"/>
    <w:name w:val="Points"/>
    <w:styleLink w:val="ImportedStyle51"/>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4" w15:restartNumberingAfterBreak="0">
    <w:nsid w:val="08B9457A"/>
    <w:multiLevelType w:val="hybridMultilevel"/>
    <w:tmpl w:val="14987D4E"/>
    <w:lvl w:ilvl="0" w:tplc="79BEF80E">
      <w:start w:val="1"/>
      <w:numFmt w:val="lowerLetter"/>
      <w:lvlText w:val="%1."/>
      <w:lvlJc w:val="left"/>
      <w:pPr>
        <w:ind w:left="1440" w:hanging="360"/>
      </w:pPr>
      <w:rPr>
        <w:rFonts w:hint="default"/>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6"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47530B"/>
    <w:multiLevelType w:val="hybridMultilevel"/>
    <w:tmpl w:val="6E1CA09E"/>
    <w:numStyleLink w:val="ImportedStyle1"/>
  </w:abstractNum>
  <w:abstractNum w:abstractNumId="10" w15:restartNumberingAfterBreak="0">
    <w:nsid w:val="1FC73EED"/>
    <w:multiLevelType w:val="singleLevel"/>
    <w:tmpl w:val="109A6A02"/>
    <w:name w:val="Bullet (1)"/>
    <w:styleLink w:val="ImportedStyle41"/>
    <w:lvl w:ilvl="0">
      <w:start w:val="1"/>
      <w:numFmt w:val="bullet"/>
      <w:lvlRestart w:val="0"/>
      <w:lvlText w:val=""/>
      <w:lvlJc w:val="left"/>
      <w:pPr>
        <w:tabs>
          <w:tab w:val="num" w:pos="1134"/>
        </w:tabs>
        <w:ind w:left="1134" w:hanging="567"/>
      </w:pPr>
      <w:rPr>
        <w:rFonts w:ascii="Symbol" w:hAnsi="Symbol" w:hint="default"/>
      </w:rPr>
    </w:lvl>
  </w:abstractNum>
  <w:abstractNum w:abstractNumId="11" w15:restartNumberingAfterBreak="0">
    <w:nsid w:val="25D52776"/>
    <w:multiLevelType w:val="hybridMultilevel"/>
    <w:tmpl w:val="79DA0FE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2E9740">
      <w:start w:val="1"/>
      <w:numFmt w:val="lowerLetter"/>
      <w:lvlText w:val="%2."/>
      <w:lvlJc w:val="left"/>
      <w:pPr>
        <w:ind w:left="14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A04EE">
      <w:start w:val="1"/>
      <w:numFmt w:val="lowerRoman"/>
      <w:suff w:val="nothing"/>
      <w:lvlText w:val="%3."/>
      <w:lvlJc w:val="left"/>
      <w:pPr>
        <w:ind w:left="221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BC72B0">
      <w:start w:val="1"/>
      <w:numFmt w:val="decimal"/>
      <w:lvlText w:val="%4."/>
      <w:lvlJc w:val="left"/>
      <w:pPr>
        <w:ind w:left="293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A7FA4">
      <w:start w:val="1"/>
      <w:numFmt w:val="lowerLetter"/>
      <w:lvlText w:val="%5."/>
      <w:lvlJc w:val="left"/>
      <w:pPr>
        <w:ind w:left="365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D0FED0">
      <w:start w:val="1"/>
      <w:numFmt w:val="lowerRoman"/>
      <w:suff w:val="nothing"/>
      <w:lvlText w:val="%6."/>
      <w:lvlJc w:val="left"/>
      <w:pPr>
        <w:ind w:left="437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54D1B2">
      <w:start w:val="1"/>
      <w:numFmt w:val="decimal"/>
      <w:lvlText w:val="%7."/>
      <w:lvlJc w:val="left"/>
      <w:pPr>
        <w:ind w:left="50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C4088C">
      <w:start w:val="1"/>
      <w:numFmt w:val="lowerLetter"/>
      <w:lvlText w:val="%8."/>
      <w:lvlJc w:val="left"/>
      <w:pPr>
        <w:ind w:left="581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ABAB2">
      <w:start w:val="1"/>
      <w:numFmt w:val="lowerRoman"/>
      <w:suff w:val="nothing"/>
      <w:lvlText w:val="%9."/>
      <w:lvlJc w:val="left"/>
      <w:pPr>
        <w:ind w:left="653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7A932A9"/>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2F1B3D"/>
    <w:multiLevelType w:val="hybridMultilevel"/>
    <w:tmpl w:val="DAE06FA6"/>
    <w:lvl w:ilvl="0" w:tplc="040C000F">
      <w:start w:val="1"/>
      <w:numFmt w:val="decimal"/>
      <w:lvlText w:val="%1."/>
      <w:lvlJc w:val="left"/>
      <w:pPr>
        <w:ind w:left="720" w:hanging="360"/>
      </w:pPr>
    </w:lvl>
    <w:lvl w:ilvl="1" w:tplc="AFAA7C9A">
      <w:start w:val="1"/>
      <w:numFmt w:val="lowerLetter"/>
      <w:lvlText w:val="%2."/>
      <w:lvlJc w:val="left"/>
      <w:pPr>
        <w:ind w:left="1440" w:hanging="360"/>
      </w:pPr>
      <w:rPr>
        <w:rFonts w:ascii="Arial" w:eastAsiaTheme="minorHAnsi" w:hAnsi="Arial" w:cs="Arial"/>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DFD757F"/>
    <w:multiLevelType w:val="hybridMultilevel"/>
    <w:tmpl w:val="5BF43DDC"/>
    <w:numStyleLink w:val="ImportedStyle2"/>
  </w:abstractNum>
  <w:abstractNum w:abstractNumId="18"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58CD00">
      <w:start w:val="1"/>
      <w:numFmt w:val="lowerLetter"/>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9EE67A">
      <w:start w:val="1"/>
      <w:numFmt w:val="lowerRoman"/>
      <w:suff w:val="nothing"/>
      <w:lvlText w:val="%3."/>
      <w:lvlJc w:val="left"/>
      <w:pPr>
        <w:ind w:left="164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227C6A">
      <w:start w:val="1"/>
      <w:numFmt w:val="decimal"/>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020784">
      <w:start w:val="1"/>
      <w:numFmt w:val="lowerLetter"/>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FC7FC0">
      <w:start w:val="1"/>
      <w:numFmt w:val="lowerRoman"/>
      <w:suff w:val="nothing"/>
      <w:lvlText w:val="%6."/>
      <w:lvlJc w:val="left"/>
      <w:pPr>
        <w:ind w:left="380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E6D80">
      <w:start w:val="1"/>
      <w:numFmt w:val="decimal"/>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4823AE">
      <w:start w:val="1"/>
      <w:numFmt w:val="lowerLetter"/>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864C44">
      <w:start w:val="1"/>
      <w:numFmt w:val="lowerRoman"/>
      <w:suff w:val="nothing"/>
      <w:lvlText w:val="%9."/>
      <w:lvlJc w:val="left"/>
      <w:pPr>
        <w:ind w:left="596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E7412">
      <w:start w:val="1"/>
      <w:numFmt w:val="lowerLetter"/>
      <w:lvlText w:val="%2."/>
      <w:lvlJc w:val="left"/>
      <w:pPr>
        <w:ind w:left="12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DCF228">
      <w:start w:val="1"/>
      <w:numFmt w:val="lowerRoman"/>
      <w:lvlText w:val="%3."/>
      <w:lvlJc w:val="left"/>
      <w:pPr>
        <w:ind w:left="200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C0D01C">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60BB12">
      <w:start w:val="1"/>
      <w:numFmt w:val="lowerLetter"/>
      <w:lvlText w:val="%5."/>
      <w:lvlJc w:val="left"/>
      <w:pPr>
        <w:ind w:left="344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46CB50">
      <w:start w:val="1"/>
      <w:numFmt w:val="lowerRoman"/>
      <w:lvlText w:val="%6."/>
      <w:lvlJc w:val="left"/>
      <w:pPr>
        <w:ind w:left="416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18F32A">
      <w:start w:val="1"/>
      <w:numFmt w:val="decimal"/>
      <w:lvlText w:val="%7."/>
      <w:lvlJc w:val="left"/>
      <w:pPr>
        <w:ind w:left="48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829B2A">
      <w:start w:val="1"/>
      <w:numFmt w:val="lowerLetter"/>
      <w:lvlText w:val="%8."/>
      <w:lvlJc w:val="left"/>
      <w:pPr>
        <w:ind w:left="560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A075E6">
      <w:start w:val="1"/>
      <w:numFmt w:val="lowerRoman"/>
      <w:lvlText w:val="%9."/>
      <w:lvlJc w:val="left"/>
      <w:pPr>
        <w:ind w:left="632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7227889"/>
    <w:multiLevelType w:val="singleLevel"/>
    <w:tmpl w:val="B83C732C"/>
    <w:name w:val="Dash Equal 2"/>
    <w:styleLink w:val="ImportedStyle21"/>
    <w:lvl w:ilvl="0">
      <w:start w:val="1"/>
      <w:numFmt w:val="bullet"/>
      <w:lvlRestart w:val="0"/>
      <w:pStyle w:val="DashEqual2"/>
      <w:lvlText w:val="="/>
      <w:lvlJc w:val="left"/>
      <w:pPr>
        <w:tabs>
          <w:tab w:val="num" w:pos="1701"/>
        </w:tabs>
        <w:ind w:left="1701" w:hanging="567"/>
      </w:pPr>
    </w:lvl>
  </w:abstractNum>
  <w:abstractNum w:abstractNumId="23" w15:restartNumberingAfterBreak="0">
    <w:nsid w:val="57A81BE2"/>
    <w:multiLevelType w:val="hybridMultilevel"/>
    <w:tmpl w:val="A6463BDE"/>
    <w:numStyleLink w:val="ImportedStyle3"/>
  </w:abstractNum>
  <w:abstractNum w:abstractNumId="2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D460D4"/>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D4E3EA8"/>
    <w:multiLevelType w:val="multilevel"/>
    <w:tmpl w:val="A44A598A"/>
    <w:numStyleLink w:val="ImportedStyle4"/>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styleLink w:val="ImportedStyle31"/>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92D3B9F"/>
    <w:multiLevelType w:val="hybridMultilevel"/>
    <w:tmpl w:val="DF3A394C"/>
    <w:lvl w:ilvl="0" w:tplc="AFAA7C9A">
      <w:start w:val="1"/>
      <w:numFmt w:val="lowerLetter"/>
      <w:lvlText w:val="%1."/>
      <w:lvlJc w:val="left"/>
      <w:pPr>
        <w:ind w:left="144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8250856"/>
    <w:multiLevelType w:val="singleLevel"/>
    <w:tmpl w:val="70ACDB5C"/>
    <w:name w:val="Dash Equal 0"/>
    <w:styleLink w:val="ImportedStyle11"/>
    <w:lvl w:ilvl="0">
      <w:start w:val="1"/>
      <w:numFmt w:val="bullet"/>
      <w:lvlRestart w:val="0"/>
      <w:pStyle w:val="DashEqual"/>
      <w:lvlText w:val="="/>
      <w:lvlJc w:val="left"/>
      <w:pPr>
        <w:tabs>
          <w:tab w:val="num" w:pos="567"/>
        </w:tabs>
        <w:ind w:left="567" w:hanging="567"/>
      </w:pPr>
    </w:lvl>
  </w:abstractNum>
  <w:abstractNum w:abstractNumId="35" w15:restartNumberingAfterBreak="0">
    <w:nsid w:val="78BC0E18"/>
    <w:multiLevelType w:val="hybridMultilevel"/>
    <w:tmpl w:val="A44A598A"/>
    <w:styleLink w:val="ImportedStyle4"/>
    <w:lvl w:ilvl="0" w:tplc="FFFFFFFF">
      <w:start w:val="1"/>
      <w:numFmt w:val="decimal"/>
      <w:suff w:val="nothing"/>
      <w:lvlText w:val="%1."/>
      <w:lvlJc w:val="left"/>
      <w:pPr>
        <w:ind w:left="567" w:firstLine="0"/>
      </w:pPr>
      <w:rPr>
        <w:rFonts w:ascii="Arial" w:hAnsi="Aria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8" w15:restartNumberingAfterBreak="0">
    <w:nsid w:val="7FF6489E"/>
    <w:multiLevelType w:val="hybridMultilevel"/>
    <w:tmpl w:val="30C43226"/>
    <w:lvl w:ilvl="0" w:tplc="4C3CF2E8">
      <w:start w:val="24"/>
      <w:numFmt w:val="bullet"/>
      <w:lvlText w:val="-"/>
      <w:lvlJc w:val="left"/>
      <w:pPr>
        <w:ind w:left="927" w:hanging="360"/>
      </w:pPr>
      <w:rPr>
        <w:rFonts w:ascii="Arial" w:eastAsia="Arial Unicode M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882525025">
    <w:abstractNumId w:val="6"/>
  </w:num>
  <w:num w:numId="2" w16cid:durableId="781992716">
    <w:abstractNumId w:val="31"/>
  </w:num>
  <w:num w:numId="3" w16cid:durableId="1682856410">
    <w:abstractNumId w:val="3"/>
  </w:num>
  <w:num w:numId="4" w16cid:durableId="630866319">
    <w:abstractNumId w:val="32"/>
  </w:num>
  <w:num w:numId="5" w16cid:durableId="1799298304">
    <w:abstractNumId w:val="27"/>
  </w:num>
  <w:num w:numId="6" w16cid:durableId="761413367">
    <w:abstractNumId w:val="5"/>
  </w:num>
  <w:num w:numId="7" w16cid:durableId="162474978">
    <w:abstractNumId w:val="34"/>
  </w:num>
  <w:num w:numId="8" w16cid:durableId="1668895475">
    <w:abstractNumId w:val="37"/>
  </w:num>
  <w:num w:numId="9" w16cid:durableId="323705298">
    <w:abstractNumId w:val="22"/>
  </w:num>
  <w:num w:numId="10" w16cid:durableId="264117175">
    <w:abstractNumId w:val="33"/>
  </w:num>
  <w:num w:numId="11" w16cid:durableId="1380934122">
    <w:abstractNumId w:val="28"/>
  </w:num>
  <w:num w:numId="12" w16cid:durableId="161432327">
    <w:abstractNumId w:val="19"/>
  </w:num>
  <w:num w:numId="13" w16cid:durableId="376783244">
    <w:abstractNumId w:val="10"/>
  </w:num>
  <w:num w:numId="14" w16cid:durableId="513422742">
    <w:abstractNumId w:val="8"/>
  </w:num>
  <w:num w:numId="15" w16cid:durableId="1075276411">
    <w:abstractNumId w:val="29"/>
  </w:num>
  <w:num w:numId="16" w16cid:durableId="1204488375">
    <w:abstractNumId w:val="36"/>
  </w:num>
  <w:num w:numId="17" w16cid:durableId="947543305">
    <w:abstractNumId w:val="2"/>
  </w:num>
  <w:num w:numId="18" w16cid:durableId="209459218">
    <w:abstractNumId w:val="12"/>
  </w:num>
  <w:num w:numId="19" w16cid:durableId="1957327968">
    <w:abstractNumId w:val="7"/>
  </w:num>
  <w:num w:numId="20" w16cid:durableId="1129783361">
    <w:abstractNumId w:val="15"/>
  </w:num>
  <w:num w:numId="21" w16cid:durableId="538513837">
    <w:abstractNumId w:val="24"/>
  </w:num>
  <w:num w:numId="22" w16cid:durableId="1169566223">
    <w:abstractNumId w:val="13"/>
  </w:num>
  <w:num w:numId="23" w16cid:durableId="1690526251">
    <w:abstractNumId w:val="9"/>
  </w:num>
  <w:num w:numId="24" w16cid:durableId="691104006">
    <w:abstractNumId w:val="20"/>
  </w:num>
  <w:num w:numId="25" w16cid:durableId="73430804">
    <w:abstractNumId w:val="17"/>
  </w:num>
  <w:num w:numId="26" w16cid:durableId="1298023914">
    <w:abstractNumId w:val="21"/>
  </w:num>
  <w:num w:numId="27" w16cid:durableId="1251934578">
    <w:abstractNumId w:val="23"/>
    <w:lvlOverride w:ilvl="3">
      <w:lvl w:ilvl="3" w:tplc="10AC0552">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8" w16cid:durableId="1337810496">
    <w:abstractNumId w:val="35"/>
  </w:num>
  <w:num w:numId="29" w16cid:durableId="1458715665">
    <w:abstractNumId w:val="17"/>
    <w:lvlOverride w:ilvl="0">
      <w:startOverride w:val="2"/>
    </w:lvlOverride>
  </w:num>
  <w:num w:numId="30" w16cid:durableId="29956542">
    <w:abstractNumId w:val="26"/>
    <w:lvlOverride w:ilvl="0">
      <w:lvl w:ilvl="0">
        <w:numFmt w:val="decimal"/>
        <w:suff w:val="nothing"/>
        <w:lvlText w:val="%1."/>
        <w:lvlJc w:val="left"/>
        <w:pPr>
          <w:ind w:left="579" w:hanging="12"/>
        </w:pPr>
        <w:rPr>
          <w:rFonts w:ascii="Arial" w:hAnsi="Aria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nothing"/>
        <w:lvlText w:val="%2."/>
        <w:lvlJc w:val="left"/>
        <w:pPr>
          <w:ind w:left="1299" w:hanging="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lowerRoman"/>
        <w:lvlText w:val="%3."/>
        <w:lvlJc w:val="left"/>
        <w:pPr>
          <w:ind w:left="20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4."/>
        <w:lvlJc w:val="left"/>
        <w:pPr>
          <w:ind w:left="2801" w:hanging="75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lvlText w:val="%5."/>
        <w:lvlJc w:val="left"/>
        <w:pPr>
          <w:ind w:left="3520" w:hanging="74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lvlText w:val="%6."/>
        <w:lvlJc w:val="left"/>
        <w:pPr>
          <w:ind w:left="4233" w:hanging="66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7."/>
        <w:lvlJc w:val="left"/>
        <w:pPr>
          <w:ind w:left="4958" w:hanging="714"/>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lvlText w:val="%8."/>
        <w:lvlJc w:val="left"/>
        <w:pPr>
          <w:ind w:left="56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lvlText w:val="%9."/>
        <w:lvlJc w:val="left"/>
        <w:pPr>
          <w:ind w:left="6390" w:hanging="62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31" w16cid:durableId="943611549">
    <w:abstractNumId w:val="18"/>
  </w:num>
  <w:num w:numId="32" w16cid:durableId="2120568520">
    <w:abstractNumId w:val="38"/>
  </w:num>
  <w:num w:numId="33" w16cid:durableId="2037269485">
    <w:abstractNumId w:val="16"/>
  </w:num>
  <w:num w:numId="34" w16cid:durableId="1727560427">
    <w:abstractNumId w:val="25"/>
  </w:num>
  <w:num w:numId="35" w16cid:durableId="732503719">
    <w:abstractNumId w:val="14"/>
  </w:num>
  <w:num w:numId="36" w16cid:durableId="1073969597">
    <w:abstractNumId w:val="1"/>
  </w:num>
  <w:num w:numId="37" w16cid:durableId="667634857">
    <w:abstractNumId w:val="4"/>
  </w:num>
  <w:num w:numId="38" w16cid:durableId="306790124">
    <w:abstractNumId w:val="11"/>
  </w:num>
  <w:num w:numId="39" w16cid:durableId="306514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7046640">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7B17"/>
    <w:rsid w:val="000055EB"/>
    <w:rsid w:val="0001238D"/>
    <w:rsid w:val="00026187"/>
    <w:rsid w:val="00030ACE"/>
    <w:rsid w:val="00030B71"/>
    <w:rsid w:val="00035FDF"/>
    <w:rsid w:val="00071EA7"/>
    <w:rsid w:val="00072CBD"/>
    <w:rsid w:val="00082CEE"/>
    <w:rsid w:val="000A0A01"/>
    <w:rsid w:val="000A307B"/>
    <w:rsid w:val="000B2EE1"/>
    <w:rsid w:val="000C52A6"/>
    <w:rsid w:val="000E50A4"/>
    <w:rsid w:val="000F0031"/>
    <w:rsid w:val="000F4CF2"/>
    <w:rsid w:val="000F58C3"/>
    <w:rsid w:val="000F5ADA"/>
    <w:rsid w:val="00105C7F"/>
    <w:rsid w:val="00106141"/>
    <w:rsid w:val="00110729"/>
    <w:rsid w:val="00113EB0"/>
    <w:rsid w:val="00122A4F"/>
    <w:rsid w:val="00123CDD"/>
    <w:rsid w:val="001268FD"/>
    <w:rsid w:val="00134D9A"/>
    <w:rsid w:val="00135BDB"/>
    <w:rsid w:val="00136053"/>
    <w:rsid w:val="00140FC8"/>
    <w:rsid w:val="0014266D"/>
    <w:rsid w:val="00143277"/>
    <w:rsid w:val="00147EF4"/>
    <w:rsid w:val="00153BB3"/>
    <w:rsid w:val="00156DC1"/>
    <w:rsid w:val="00160B03"/>
    <w:rsid w:val="00171115"/>
    <w:rsid w:val="00181ED9"/>
    <w:rsid w:val="00191C98"/>
    <w:rsid w:val="001A6076"/>
    <w:rsid w:val="001B7E0B"/>
    <w:rsid w:val="001C01EA"/>
    <w:rsid w:val="001E1C9A"/>
    <w:rsid w:val="001E7C29"/>
    <w:rsid w:val="001F297D"/>
    <w:rsid w:val="001F4F04"/>
    <w:rsid w:val="0020510F"/>
    <w:rsid w:val="00205CE4"/>
    <w:rsid w:val="00214299"/>
    <w:rsid w:val="002250DD"/>
    <w:rsid w:val="00225F6A"/>
    <w:rsid w:val="0023437D"/>
    <w:rsid w:val="00242ABB"/>
    <w:rsid w:val="00251353"/>
    <w:rsid w:val="00262B36"/>
    <w:rsid w:val="00265917"/>
    <w:rsid w:val="002660DB"/>
    <w:rsid w:val="002746C8"/>
    <w:rsid w:val="0028456B"/>
    <w:rsid w:val="002861FB"/>
    <w:rsid w:val="00293EE6"/>
    <w:rsid w:val="002B054A"/>
    <w:rsid w:val="002B0762"/>
    <w:rsid w:val="002C0872"/>
    <w:rsid w:val="002C20BA"/>
    <w:rsid w:val="002C43B5"/>
    <w:rsid w:val="002C4704"/>
    <w:rsid w:val="002D0655"/>
    <w:rsid w:val="002D11B8"/>
    <w:rsid w:val="002E4089"/>
    <w:rsid w:val="002E6A16"/>
    <w:rsid w:val="002F3006"/>
    <w:rsid w:val="002F405C"/>
    <w:rsid w:val="002F6BB7"/>
    <w:rsid w:val="002F6BF5"/>
    <w:rsid w:val="00303712"/>
    <w:rsid w:val="003354C4"/>
    <w:rsid w:val="00335CAF"/>
    <w:rsid w:val="003364D1"/>
    <w:rsid w:val="00340C91"/>
    <w:rsid w:val="00366D00"/>
    <w:rsid w:val="0037200F"/>
    <w:rsid w:val="00373957"/>
    <w:rsid w:val="00381C50"/>
    <w:rsid w:val="00385587"/>
    <w:rsid w:val="00392D1D"/>
    <w:rsid w:val="003A5509"/>
    <w:rsid w:val="003B2C8C"/>
    <w:rsid w:val="003B345B"/>
    <w:rsid w:val="003D3B17"/>
    <w:rsid w:val="003D48AE"/>
    <w:rsid w:val="003D6AC2"/>
    <w:rsid w:val="003D73CC"/>
    <w:rsid w:val="003F1A38"/>
    <w:rsid w:val="003F3D4B"/>
    <w:rsid w:val="0040027C"/>
    <w:rsid w:val="00400868"/>
    <w:rsid w:val="004256CB"/>
    <w:rsid w:val="00430427"/>
    <w:rsid w:val="00431AB3"/>
    <w:rsid w:val="004329B7"/>
    <w:rsid w:val="00436CD8"/>
    <w:rsid w:val="00443709"/>
    <w:rsid w:val="00447D22"/>
    <w:rsid w:val="004553F6"/>
    <w:rsid w:val="00480D8B"/>
    <w:rsid w:val="004A37E1"/>
    <w:rsid w:val="004A5BBB"/>
    <w:rsid w:val="004B561B"/>
    <w:rsid w:val="004C0C2F"/>
    <w:rsid w:val="004C11B3"/>
    <w:rsid w:val="004E4BE7"/>
    <w:rsid w:val="004E755C"/>
    <w:rsid w:val="0050115D"/>
    <w:rsid w:val="0054041B"/>
    <w:rsid w:val="00550B6C"/>
    <w:rsid w:val="00574663"/>
    <w:rsid w:val="00575A26"/>
    <w:rsid w:val="005B1FA1"/>
    <w:rsid w:val="005B3604"/>
    <w:rsid w:val="005C4012"/>
    <w:rsid w:val="005C73BB"/>
    <w:rsid w:val="005D7CDF"/>
    <w:rsid w:val="005F093B"/>
    <w:rsid w:val="005F3DC6"/>
    <w:rsid w:val="00614982"/>
    <w:rsid w:val="00631491"/>
    <w:rsid w:val="00643231"/>
    <w:rsid w:val="00643C3F"/>
    <w:rsid w:val="00644AD3"/>
    <w:rsid w:val="006455FA"/>
    <w:rsid w:val="00650AC9"/>
    <w:rsid w:val="00660638"/>
    <w:rsid w:val="00671684"/>
    <w:rsid w:val="00671EA2"/>
    <w:rsid w:val="0067224D"/>
    <w:rsid w:val="006827E4"/>
    <w:rsid w:val="006908C5"/>
    <w:rsid w:val="006C4EB0"/>
    <w:rsid w:val="006D745B"/>
    <w:rsid w:val="006E6FA7"/>
    <w:rsid w:val="006F0318"/>
    <w:rsid w:val="006F6B48"/>
    <w:rsid w:val="00712E65"/>
    <w:rsid w:val="007150DE"/>
    <w:rsid w:val="00721866"/>
    <w:rsid w:val="00725CD3"/>
    <w:rsid w:val="00735569"/>
    <w:rsid w:val="007541C7"/>
    <w:rsid w:val="00761627"/>
    <w:rsid w:val="00761B44"/>
    <w:rsid w:val="00773CFE"/>
    <w:rsid w:val="00780B1B"/>
    <w:rsid w:val="007860F3"/>
    <w:rsid w:val="007A3034"/>
    <w:rsid w:val="007A543D"/>
    <w:rsid w:val="007B3DD0"/>
    <w:rsid w:val="007C0AD1"/>
    <w:rsid w:val="007C7B17"/>
    <w:rsid w:val="007D7B20"/>
    <w:rsid w:val="007E168C"/>
    <w:rsid w:val="00800A19"/>
    <w:rsid w:val="008042E6"/>
    <w:rsid w:val="00805F04"/>
    <w:rsid w:val="00810D5A"/>
    <w:rsid w:val="00814AA2"/>
    <w:rsid w:val="0082394F"/>
    <w:rsid w:val="00853C90"/>
    <w:rsid w:val="008575F2"/>
    <w:rsid w:val="00857F73"/>
    <w:rsid w:val="0087380A"/>
    <w:rsid w:val="00877E5C"/>
    <w:rsid w:val="00881149"/>
    <w:rsid w:val="008B07D4"/>
    <w:rsid w:val="008B2D62"/>
    <w:rsid w:val="008C12CC"/>
    <w:rsid w:val="008C5E2B"/>
    <w:rsid w:val="008D1088"/>
    <w:rsid w:val="008E4094"/>
    <w:rsid w:val="009137D5"/>
    <w:rsid w:val="00916BF5"/>
    <w:rsid w:val="009215B8"/>
    <w:rsid w:val="00923554"/>
    <w:rsid w:val="00925602"/>
    <w:rsid w:val="009270C4"/>
    <w:rsid w:val="00940F14"/>
    <w:rsid w:val="009432D0"/>
    <w:rsid w:val="00950D67"/>
    <w:rsid w:val="009527D7"/>
    <w:rsid w:val="00955512"/>
    <w:rsid w:val="00963962"/>
    <w:rsid w:val="00974C41"/>
    <w:rsid w:val="009A40D3"/>
    <w:rsid w:val="009B3AB7"/>
    <w:rsid w:val="009B59F1"/>
    <w:rsid w:val="009C146F"/>
    <w:rsid w:val="009C5258"/>
    <w:rsid w:val="009D28F3"/>
    <w:rsid w:val="00A12DEC"/>
    <w:rsid w:val="00A22D53"/>
    <w:rsid w:val="00A37E36"/>
    <w:rsid w:val="00A474E5"/>
    <w:rsid w:val="00A75D51"/>
    <w:rsid w:val="00A842D4"/>
    <w:rsid w:val="00A93CA3"/>
    <w:rsid w:val="00AB6552"/>
    <w:rsid w:val="00AB67F8"/>
    <w:rsid w:val="00AB7727"/>
    <w:rsid w:val="00AC30A2"/>
    <w:rsid w:val="00AC73AA"/>
    <w:rsid w:val="00AE3545"/>
    <w:rsid w:val="00AE44A3"/>
    <w:rsid w:val="00AE76B8"/>
    <w:rsid w:val="00AF425B"/>
    <w:rsid w:val="00B03A4D"/>
    <w:rsid w:val="00B06133"/>
    <w:rsid w:val="00B129D8"/>
    <w:rsid w:val="00B227AE"/>
    <w:rsid w:val="00B41B03"/>
    <w:rsid w:val="00B41EC3"/>
    <w:rsid w:val="00B63F08"/>
    <w:rsid w:val="00B81BAC"/>
    <w:rsid w:val="00B849E0"/>
    <w:rsid w:val="00B90246"/>
    <w:rsid w:val="00B920E4"/>
    <w:rsid w:val="00B950C2"/>
    <w:rsid w:val="00BA79A3"/>
    <w:rsid w:val="00BB6397"/>
    <w:rsid w:val="00BB7DCE"/>
    <w:rsid w:val="00BD25C0"/>
    <w:rsid w:val="00BF3C3C"/>
    <w:rsid w:val="00BF78B3"/>
    <w:rsid w:val="00C049EE"/>
    <w:rsid w:val="00C05A0F"/>
    <w:rsid w:val="00C109FD"/>
    <w:rsid w:val="00C14C2C"/>
    <w:rsid w:val="00C2048F"/>
    <w:rsid w:val="00C409C2"/>
    <w:rsid w:val="00C568AC"/>
    <w:rsid w:val="00C633E1"/>
    <w:rsid w:val="00C67D58"/>
    <w:rsid w:val="00C731BF"/>
    <w:rsid w:val="00C74E6F"/>
    <w:rsid w:val="00C8348A"/>
    <w:rsid w:val="00C92F89"/>
    <w:rsid w:val="00CB51FF"/>
    <w:rsid w:val="00CC39DC"/>
    <w:rsid w:val="00CE0E70"/>
    <w:rsid w:val="00CE1FF8"/>
    <w:rsid w:val="00CE4890"/>
    <w:rsid w:val="00CE6FD2"/>
    <w:rsid w:val="00CF1AFE"/>
    <w:rsid w:val="00D0182E"/>
    <w:rsid w:val="00D0265B"/>
    <w:rsid w:val="00D24A57"/>
    <w:rsid w:val="00D31BD1"/>
    <w:rsid w:val="00D3529A"/>
    <w:rsid w:val="00D43BE9"/>
    <w:rsid w:val="00D47395"/>
    <w:rsid w:val="00D53526"/>
    <w:rsid w:val="00D554E6"/>
    <w:rsid w:val="00D70628"/>
    <w:rsid w:val="00D80CB3"/>
    <w:rsid w:val="00DA7643"/>
    <w:rsid w:val="00DB029C"/>
    <w:rsid w:val="00DC162E"/>
    <w:rsid w:val="00DC4A39"/>
    <w:rsid w:val="00DE0A21"/>
    <w:rsid w:val="00DF6796"/>
    <w:rsid w:val="00E1162B"/>
    <w:rsid w:val="00E125C6"/>
    <w:rsid w:val="00E15639"/>
    <w:rsid w:val="00E173B5"/>
    <w:rsid w:val="00E24C57"/>
    <w:rsid w:val="00E457C3"/>
    <w:rsid w:val="00E475F9"/>
    <w:rsid w:val="00E50974"/>
    <w:rsid w:val="00E51423"/>
    <w:rsid w:val="00E54322"/>
    <w:rsid w:val="00E7763B"/>
    <w:rsid w:val="00E86611"/>
    <w:rsid w:val="00E940BF"/>
    <w:rsid w:val="00EA643A"/>
    <w:rsid w:val="00EC39FD"/>
    <w:rsid w:val="00EE2386"/>
    <w:rsid w:val="00EE34E3"/>
    <w:rsid w:val="00EF246F"/>
    <w:rsid w:val="00F01885"/>
    <w:rsid w:val="00F168A4"/>
    <w:rsid w:val="00F2380B"/>
    <w:rsid w:val="00F24713"/>
    <w:rsid w:val="00F40699"/>
    <w:rsid w:val="00F433D6"/>
    <w:rsid w:val="00F51329"/>
    <w:rsid w:val="00F55C3A"/>
    <w:rsid w:val="00F61D34"/>
    <w:rsid w:val="00F76BBD"/>
    <w:rsid w:val="00F96689"/>
    <w:rsid w:val="00FD6043"/>
    <w:rsid w:val="00FD7FCB"/>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E2386"/>
    <w:pPr>
      <w:keepNext/>
      <w:keepLines/>
      <w:spacing w:before="240" w:line="259" w:lineRule="auto"/>
      <w:outlineLvl w:val="0"/>
    </w:pPr>
    <w:rPr>
      <w:rFonts w:eastAsiaTheme="majorEastAsia" w:cstheme="majorBidi"/>
      <w:b/>
      <w:sz w:val="24"/>
      <w:szCs w:val="32"/>
      <w:lang w:val="fr-FR"/>
    </w:rPr>
  </w:style>
  <w:style w:type="paragraph" w:styleId="Heading2">
    <w:name w:val="heading 2"/>
    <w:basedOn w:val="Normal"/>
    <w:next w:val="Normal"/>
    <w:link w:val="Heading2Char"/>
    <w:uiPriority w:val="9"/>
    <w:unhideWhenUsed/>
    <w:qFormat/>
    <w:rsid w:val="00EE23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3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E23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1"/>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character" w:customStyle="1" w:styleId="Heading1Char">
    <w:name w:val="Heading 1 Char"/>
    <w:basedOn w:val="DefaultParagraphFont"/>
    <w:link w:val="Heading1"/>
    <w:uiPriority w:val="9"/>
    <w:rsid w:val="00EE2386"/>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EE2386"/>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EE2386"/>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EE2386"/>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EE2386"/>
    <w:pPr>
      <w:numPr>
        <w:ilvl w:val="1"/>
      </w:numPr>
      <w:spacing w:after="160" w:line="259" w:lineRule="auto"/>
      <w:jc w:val="center"/>
    </w:pPr>
    <w:rPr>
      <w:rFonts w:eastAsiaTheme="minorEastAsia" w:cstheme="minorBidi"/>
      <w:b/>
      <w:spacing w:val="15"/>
      <w:sz w:val="28"/>
      <w:lang w:val="fr-FR"/>
    </w:rPr>
  </w:style>
  <w:style w:type="character" w:customStyle="1" w:styleId="SubtitleChar">
    <w:name w:val="Subtitle Char"/>
    <w:basedOn w:val="DefaultParagraphFont"/>
    <w:link w:val="Subtitle"/>
    <w:uiPriority w:val="11"/>
    <w:rsid w:val="00EE2386"/>
    <w:rPr>
      <w:rFonts w:ascii="Arial" w:eastAsiaTheme="minorEastAsia" w:hAnsi="Arial" w:cstheme="minorBidi"/>
      <w:b/>
      <w:spacing w:val="15"/>
      <w:sz w:val="28"/>
      <w:szCs w:val="22"/>
      <w:lang w:val="fr-FR" w:eastAsia="en-US"/>
    </w:rPr>
  </w:style>
  <w:style w:type="paragraph" w:customStyle="1" w:styleId="Default">
    <w:name w:val="Default"/>
    <w:rsid w:val="00EE2386"/>
    <w:pPr>
      <w:autoSpaceDE w:val="0"/>
      <w:autoSpaceDN w:val="0"/>
      <w:adjustRightInd w:val="0"/>
    </w:pPr>
    <w:rPr>
      <w:rFonts w:ascii="Times New Roman" w:eastAsiaTheme="minorHAnsi" w:hAnsi="Times New Roman"/>
      <w:color w:val="000000"/>
      <w:sz w:val="24"/>
      <w:szCs w:val="24"/>
      <w:lang w:val="fr-FR" w:eastAsia="en-US"/>
    </w:rPr>
  </w:style>
  <w:style w:type="paragraph" w:customStyle="1" w:styleId="TITLES">
    <w:name w:val="TITLES"/>
    <w:basedOn w:val="Normal"/>
    <w:link w:val="TITLESChar"/>
    <w:qFormat/>
    <w:rsid w:val="00EE2386"/>
    <w:pPr>
      <w:jc w:val="both"/>
    </w:pPr>
    <w:rPr>
      <w:rFonts w:cs="Arial"/>
      <w:b/>
      <w:bCs/>
    </w:rPr>
  </w:style>
  <w:style w:type="paragraph" w:styleId="TOCHeading">
    <w:name w:val="TOC Heading"/>
    <w:basedOn w:val="Heading1"/>
    <w:next w:val="Normal"/>
    <w:uiPriority w:val="39"/>
    <w:unhideWhenUsed/>
    <w:qFormat/>
    <w:rsid w:val="00EE2386"/>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EE2386"/>
    <w:rPr>
      <w:rFonts w:ascii="Arial" w:hAnsi="Arial" w:cs="Arial"/>
      <w:b/>
      <w:bCs/>
      <w:szCs w:val="22"/>
      <w:lang w:eastAsia="en-US"/>
    </w:rPr>
  </w:style>
  <w:style w:type="paragraph" w:styleId="TOC1">
    <w:name w:val="toc 1"/>
    <w:basedOn w:val="Normal"/>
    <w:next w:val="Normal"/>
    <w:autoRedefine/>
    <w:uiPriority w:val="39"/>
    <w:unhideWhenUsed/>
    <w:rsid w:val="00EE2386"/>
    <w:pPr>
      <w:tabs>
        <w:tab w:val="right" w:leader="dot" w:pos="9545"/>
      </w:tabs>
      <w:spacing w:after="100"/>
    </w:pPr>
  </w:style>
  <w:style w:type="paragraph" w:styleId="TOC2">
    <w:name w:val="toc 2"/>
    <w:basedOn w:val="Normal"/>
    <w:next w:val="Normal"/>
    <w:autoRedefine/>
    <w:uiPriority w:val="39"/>
    <w:unhideWhenUsed/>
    <w:rsid w:val="00EE2386"/>
    <w:pPr>
      <w:spacing w:after="100"/>
      <w:ind w:left="200"/>
    </w:pPr>
  </w:style>
  <w:style w:type="paragraph" w:styleId="TOC3">
    <w:name w:val="toc 3"/>
    <w:basedOn w:val="Normal"/>
    <w:next w:val="Normal"/>
    <w:autoRedefine/>
    <w:uiPriority w:val="39"/>
    <w:unhideWhenUsed/>
    <w:rsid w:val="00EE2386"/>
    <w:pPr>
      <w:tabs>
        <w:tab w:val="right" w:leader="dot" w:pos="9545"/>
      </w:tabs>
      <w:spacing w:after="100" w:line="259" w:lineRule="auto"/>
      <w:ind w:left="440"/>
    </w:pPr>
    <w:rPr>
      <w:rFonts w:eastAsiaTheme="minorEastAsia" w:cs="Arial"/>
      <w:b/>
      <w:noProof/>
      <w:sz w:val="22"/>
      <w:lang w:val="en-US"/>
    </w:rPr>
  </w:style>
  <w:style w:type="paragraph" w:styleId="NormalWeb">
    <w:name w:val="Normal (Web)"/>
    <w:basedOn w:val="Normal"/>
    <w:uiPriority w:val="99"/>
    <w:unhideWhenUsed/>
    <w:rsid w:val="00EE2386"/>
    <w:pPr>
      <w:spacing w:before="100" w:beforeAutospacing="1" w:after="100" w:afterAutospacing="1"/>
    </w:pPr>
    <w:rPr>
      <w:rFonts w:ascii="Times New Roman" w:eastAsia="Times New Roman" w:hAnsi="Times New Roman"/>
      <w:sz w:val="24"/>
      <w:szCs w:val="24"/>
      <w:lang w:val="fr-FR" w:eastAsia="fr-FR"/>
    </w:rPr>
  </w:style>
  <w:style w:type="paragraph" w:customStyle="1" w:styleId="pf0">
    <w:name w:val="pf0"/>
    <w:basedOn w:val="Normal"/>
    <w:rsid w:val="00EE2386"/>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EE2386"/>
    <w:rPr>
      <w:rFonts w:ascii="Segoe UI" w:hAnsi="Segoe UI" w:cs="Segoe UI" w:hint="default"/>
      <w:sz w:val="18"/>
      <w:szCs w:val="18"/>
    </w:rPr>
  </w:style>
  <w:style w:type="paragraph" w:styleId="TOC4">
    <w:name w:val="toc 4"/>
    <w:basedOn w:val="Normal"/>
    <w:next w:val="Normal"/>
    <w:autoRedefine/>
    <w:uiPriority w:val="39"/>
    <w:unhideWhenUsed/>
    <w:rsid w:val="00EE2386"/>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EE2386"/>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EE2386"/>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EE2386"/>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EE2386"/>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EE2386"/>
    <w:pPr>
      <w:spacing w:after="100" w:line="259" w:lineRule="auto"/>
      <w:ind w:left="1760"/>
    </w:pPr>
    <w:rPr>
      <w:rFonts w:asciiTheme="minorHAnsi" w:eastAsiaTheme="minorEastAsia" w:hAnsiTheme="minorHAnsi" w:cstheme="minorBidi"/>
      <w:sz w:val="22"/>
      <w:lang w:eastAsia="en-GB"/>
    </w:rPr>
  </w:style>
  <w:style w:type="paragraph" w:styleId="BodyText">
    <w:name w:val="Body Text"/>
    <w:basedOn w:val="Normal"/>
    <w:link w:val="BodyTextChar"/>
    <w:uiPriority w:val="99"/>
    <w:unhideWhenUsed/>
    <w:rsid w:val="00EE2386"/>
    <w:pPr>
      <w:ind w:right="-29"/>
      <w:jc w:val="both"/>
    </w:pPr>
    <w:rPr>
      <w:rFonts w:eastAsiaTheme="minorHAnsi" w:cs="Arial"/>
      <w:sz w:val="24"/>
      <w:szCs w:val="24"/>
      <w14:ligatures w14:val="standardContextual"/>
    </w:rPr>
  </w:style>
  <w:style w:type="character" w:customStyle="1" w:styleId="BodyTextChar">
    <w:name w:val="Body Text Char"/>
    <w:basedOn w:val="DefaultParagraphFont"/>
    <w:link w:val="BodyText"/>
    <w:uiPriority w:val="99"/>
    <w:rsid w:val="00EE2386"/>
    <w:rPr>
      <w:rFonts w:ascii="Arial" w:eastAsiaTheme="minorHAnsi" w:hAnsi="Arial" w:cs="Arial"/>
      <w:sz w:val="24"/>
      <w:szCs w:val="24"/>
      <w:lang w:eastAsia="en-US"/>
      <w14:ligatures w14:val="standardContextual"/>
    </w:rPr>
  </w:style>
  <w:style w:type="paragraph" w:customStyle="1" w:styleId="NormalCentered">
    <w:name w:val="Normal Centered"/>
    <w:basedOn w:val="Normal"/>
    <w:rsid w:val="00C05A0F"/>
    <w:pPr>
      <w:spacing w:before="200" w:after="120" w:line="360" w:lineRule="auto"/>
      <w:jc w:val="center"/>
    </w:pPr>
    <w:rPr>
      <w:rFonts w:ascii="Times New Roman" w:eastAsiaTheme="minorHAnsi" w:hAnsi="Times New Roman"/>
      <w:sz w:val="24"/>
    </w:rPr>
  </w:style>
  <w:style w:type="paragraph" w:customStyle="1" w:styleId="NormalRight">
    <w:name w:val="Normal Right"/>
    <w:basedOn w:val="Normal"/>
    <w:rsid w:val="00C05A0F"/>
    <w:pPr>
      <w:spacing w:before="200" w:after="120" w:line="360" w:lineRule="auto"/>
      <w:jc w:val="right"/>
    </w:pPr>
    <w:rPr>
      <w:rFonts w:ascii="Times New Roman" w:eastAsiaTheme="minorHAnsi" w:hAnsi="Times New Roman"/>
      <w:sz w:val="24"/>
    </w:rPr>
  </w:style>
  <w:style w:type="paragraph" w:customStyle="1" w:styleId="NormalJustified">
    <w:name w:val="Normal Justified"/>
    <w:basedOn w:val="Normal"/>
    <w:rsid w:val="00C05A0F"/>
    <w:pPr>
      <w:spacing w:before="200" w:after="120" w:line="360" w:lineRule="auto"/>
      <w:jc w:val="both"/>
    </w:pPr>
    <w:rPr>
      <w:rFonts w:ascii="Times New Roman" w:eastAsiaTheme="minorHAnsi" w:hAnsi="Times New Roman"/>
      <w:sz w:val="24"/>
    </w:rPr>
  </w:style>
  <w:style w:type="paragraph" w:customStyle="1" w:styleId="HeaderLandscape">
    <w:name w:val="HeaderLandscape"/>
    <w:basedOn w:val="Normal"/>
    <w:rsid w:val="00C05A0F"/>
    <w:pPr>
      <w:tabs>
        <w:tab w:val="right" w:pos="14570"/>
      </w:tabs>
      <w:spacing w:before="120" w:after="120" w:line="360" w:lineRule="auto"/>
    </w:pPr>
    <w:rPr>
      <w:rFonts w:ascii="Times New Roman" w:eastAsiaTheme="minorHAnsi" w:hAnsi="Times New Roman"/>
      <w:sz w:val="24"/>
    </w:rPr>
  </w:style>
  <w:style w:type="paragraph" w:customStyle="1" w:styleId="FooterLandscape">
    <w:name w:val="FooterLandscape"/>
    <w:basedOn w:val="Normal"/>
    <w:rsid w:val="00C05A0F"/>
    <w:pPr>
      <w:tabs>
        <w:tab w:val="center" w:pos="7285"/>
        <w:tab w:val="center" w:pos="10930"/>
        <w:tab w:val="right" w:pos="14570"/>
      </w:tabs>
    </w:pPr>
    <w:rPr>
      <w:rFonts w:ascii="Times New Roman" w:eastAsiaTheme="minorHAnsi" w:hAnsi="Times New Roman"/>
      <w:sz w:val="24"/>
    </w:rPr>
  </w:style>
  <w:style w:type="paragraph" w:customStyle="1" w:styleId="HeaderCouncil">
    <w:name w:val="Header Council"/>
    <w:basedOn w:val="Normal"/>
    <w:link w:val="HeaderCouncilChar"/>
    <w:rsid w:val="00C05A0F"/>
    <w:rPr>
      <w:rFonts w:ascii="Times New Roman" w:eastAsiaTheme="minorHAnsi" w:hAnsi="Times New Roman"/>
      <w:sz w:val="2"/>
    </w:rPr>
  </w:style>
  <w:style w:type="paragraph" w:customStyle="1" w:styleId="FooterCouncil">
    <w:name w:val="Footer Council"/>
    <w:basedOn w:val="Normal"/>
    <w:link w:val="FooterCouncilChar"/>
    <w:rsid w:val="00C05A0F"/>
    <w:rPr>
      <w:rFonts w:ascii="Times New Roman" w:eastAsiaTheme="minorHAnsi" w:hAnsi="Times New Roman"/>
      <w:sz w:val="2"/>
    </w:rPr>
  </w:style>
  <w:style w:type="paragraph" w:customStyle="1" w:styleId="TechnicalBlock">
    <w:name w:val="Technical Block"/>
    <w:basedOn w:val="Normal"/>
    <w:next w:val="Normal"/>
    <w:link w:val="TechnicalBlockChar"/>
    <w:rsid w:val="00C05A0F"/>
    <w:pPr>
      <w:spacing w:after="240"/>
      <w:jc w:val="center"/>
    </w:pPr>
    <w:rPr>
      <w:rFonts w:ascii="Times New Roman" w:eastAsiaTheme="minorHAnsi" w:hAnsi="Times New Roman"/>
      <w:sz w:val="24"/>
    </w:rPr>
  </w:style>
  <w:style w:type="paragraph" w:customStyle="1" w:styleId="FinalLine">
    <w:name w:val="Final Line"/>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rPr>
  </w:style>
  <w:style w:type="paragraph" w:customStyle="1" w:styleId="FinalLineLandscape">
    <w:name w:val="Final Line (Landscape)"/>
    <w:basedOn w:val="Normal"/>
    <w:next w:val="Normal"/>
    <w:rsid w:val="00C05A0F"/>
    <w:pPr>
      <w:pBdr>
        <w:bottom w:val="single" w:sz="4" w:space="0" w:color="000000"/>
      </w:pBdr>
      <w:spacing w:before="360" w:after="120" w:line="360" w:lineRule="auto"/>
      <w:ind w:left="5868" w:right="5868"/>
      <w:jc w:val="center"/>
    </w:pPr>
    <w:rPr>
      <w:rFonts w:ascii="Times New Roman" w:eastAsiaTheme="minorHAnsi" w:hAnsi="Times New Roman"/>
      <w:b/>
      <w:sz w:val="24"/>
    </w:rPr>
  </w:style>
  <w:style w:type="paragraph" w:customStyle="1" w:styleId="Text1">
    <w:name w:val="Text 1"/>
    <w:basedOn w:val="Normal"/>
    <w:rsid w:val="00C05A0F"/>
    <w:pPr>
      <w:spacing w:before="120" w:after="120" w:line="360" w:lineRule="auto"/>
      <w:ind w:left="567"/>
    </w:pPr>
    <w:rPr>
      <w:rFonts w:ascii="Times New Roman" w:eastAsiaTheme="minorHAnsi" w:hAnsi="Times New Roman"/>
      <w:sz w:val="24"/>
    </w:rPr>
  </w:style>
  <w:style w:type="paragraph" w:customStyle="1" w:styleId="Text2">
    <w:name w:val="Text 2"/>
    <w:basedOn w:val="Normal"/>
    <w:rsid w:val="00C05A0F"/>
    <w:pPr>
      <w:spacing w:before="120" w:after="120" w:line="360" w:lineRule="auto"/>
      <w:ind w:left="1134"/>
    </w:pPr>
    <w:rPr>
      <w:rFonts w:ascii="Times New Roman" w:eastAsiaTheme="minorHAnsi" w:hAnsi="Times New Roman"/>
      <w:sz w:val="24"/>
    </w:rPr>
  </w:style>
  <w:style w:type="paragraph" w:customStyle="1" w:styleId="Text3">
    <w:name w:val="Text 3"/>
    <w:basedOn w:val="Normal"/>
    <w:rsid w:val="00C05A0F"/>
    <w:pPr>
      <w:spacing w:before="120" w:after="120" w:line="360" w:lineRule="auto"/>
      <w:ind w:left="1701"/>
    </w:pPr>
    <w:rPr>
      <w:rFonts w:ascii="Times New Roman" w:eastAsiaTheme="minorHAnsi" w:hAnsi="Times New Roman"/>
      <w:sz w:val="24"/>
    </w:rPr>
  </w:style>
  <w:style w:type="paragraph" w:customStyle="1" w:styleId="Text4">
    <w:name w:val="Text 4"/>
    <w:basedOn w:val="Normal"/>
    <w:rsid w:val="00C05A0F"/>
    <w:pPr>
      <w:spacing w:before="120" w:after="120" w:line="360" w:lineRule="auto"/>
      <w:ind w:left="2268"/>
    </w:pPr>
    <w:rPr>
      <w:rFonts w:ascii="Times New Roman" w:eastAsiaTheme="minorHAnsi" w:hAnsi="Times New Roman"/>
      <w:sz w:val="24"/>
    </w:rPr>
  </w:style>
  <w:style w:type="paragraph" w:customStyle="1" w:styleId="Text5">
    <w:name w:val="Text 5"/>
    <w:basedOn w:val="Normal"/>
    <w:rsid w:val="00C05A0F"/>
    <w:pPr>
      <w:spacing w:before="120" w:after="120" w:line="360" w:lineRule="auto"/>
      <w:ind w:left="2835"/>
    </w:pPr>
    <w:rPr>
      <w:rFonts w:ascii="Times New Roman" w:eastAsiaTheme="minorHAnsi" w:hAnsi="Times New Roman"/>
      <w:sz w:val="24"/>
    </w:rPr>
  </w:style>
  <w:style w:type="paragraph" w:customStyle="1" w:styleId="Text6">
    <w:name w:val="Text 6"/>
    <w:basedOn w:val="Normal"/>
    <w:rsid w:val="00C05A0F"/>
    <w:pPr>
      <w:spacing w:before="120" w:after="120" w:line="360" w:lineRule="auto"/>
      <w:ind w:left="3402"/>
    </w:pPr>
    <w:rPr>
      <w:rFonts w:ascii="Times New Roman" w:eastAsiaTheme="minorHAnsi" w:hAnsi="Times New Roman"/>
      <w:sz w:val="24"/>
    </w:rPr>
  </w:style>
  <w:style w:type="paragraph" w:customStyle="1" w:styleId="PointManual">
    <w:name w:val="Point Manual"/>
    <w:basedOn w:val="Normal"/>
    <w:rsid w:val="00C05A0F"/>
    <w:pPr>
      <w:spacing w:before="120" w:after="120" w:line="360" w:lineRule="auto"/>
      <w:ind w:left="567" w:hanging="567"/>
    </w:pPr>
    <w:rPr>
      <w:rFonts w:ascii="Times New Roman" w:eastAsiaTheme="minorHAnsi" w:hAnsi="Times New Roman"/>
      <w:sz w:val="24"/>
    </w:rPr>
  </w:style>
  <w:style w:type="paragraph" w:customStyle="1" w:styleId="PointManual1">
    <w:name w:val="Point Manual (1)"/>
    <w:basedOn w:val="Normal"/>
    <w:rsid w:val="00C05A0F"/>
    <w:pPr>
      <w:spacing w:before="120" w:after="120" w:line="360" w:lineRule="auto"/>
      <w:ind w:left="1134" w:hanging="567"/>
    </w:pPr>
    <w:rPr>
      <w:rFonts w:ascii="Times New Roman" w:eastAsiaTheme="minorHAnsi" w:hAnsi="Times New Roman"/>
      <w:sz w:val="24"/>
    </w:rPr>
  </w:style>
  <w:style w:type="paragraph" w:customStyle="1" w:styleId="PointManual2">
    <w:name w:val="Point Manual (2)"/>
    <w:basedOn w:val="Normal"/>
    <w:rsid w:val="00C05A0F"/>
    <w:pPr>
      <w:spacing w:before="120" w:after="120" w:line="360" w:lineRule="auto"/>
      <w:ind w:left="1701" w:hanging="567"/>
    </w:pPr>
    <w:rPr>
      <w:rFonts w:ascii="Times New Roman" w:eastAsiaTheme="minorHAnsi" w:hAnsi="Times New Roman"/>
      <w:sz w:val="24"/>
    </w:rPr>
  </w:style>
  <w:style w:type="paragraph" w:customStyle="1" w:styleId="PointManual3">
    <w:name w:val="Point Manual (3)"/>
    <w:basedOn w:val="Normal"/>
    <w:rsid w:val="00C05A0F"/>
    <w:pPr>
      <w:spacing w:before="120" w:after="120" w:line="360" w:lineRule="auto"/>
      <w:ind w:left="2268" w:hanging="567"/>
    </w:pPr>
    <w:rPr>
      <w:rFonts w:ascii="Times New Roman" w:eastAsiaTheme="minorHAnsi" w:hAnsi="Times New Roman"/>
      <w:sz w:val="24"/>
    </w:rPr>
  </w:style>
  <w:style w:type="paragraph" w:customStyle="1" w:styleId="PointManual4">
    <w:name w:val="Point Manual (4)"/>
    <w:basedOn w:val="Normal"/>
    <w:rsid w:val="00C05A0F"/>
    <w:pPr>
      <w:spacing w:before="120" w:after="120" w:line="360" w:lineRule="auto"/>
      <w:ind w:left="2835" w:hanging="567"/>
    </w:pPr>
    <w:rPr>
      <w:rFonts w:ascii="Times New Roman" w:eastAsiaTheme="minorHAnsi" w:hAnsi="Times New Roman"/>
      <w:sz w:val="24"/>
    </w:rPr>
  </w:style>
  <w:style w:type="paragraph" w:customStyle="1" w:styleId="PointDoubleManual">
    <w:name w:val="Point Double Manual"/>
    <w:basedOn w:val="Normal"/>
    <w:rsid w:val="00C05A0F"/>
    <w:pPr>
      <w:tabs>
        <w:tab w:val="left" w:pos="567"/>
      </w:tabs>
      <w:spacing w:before="120" w:after="120" w:line="360" w:lineRule="auto"/>
      <w:ind w:left="1134" w:hanging="1134"/>
    </w:pPr>
    <w:rPr>
      <w:rFonts w:ascii="Times New Roman" w:eastAsiaTheme="minorHAnsi" w:hAnsi="Times New Roman"/>
      <w:sz w:val="24"/>
    </w:rPr>
  </w:style>
  <w:style w:type="paragraph" w:customStyle="1" w:styleId="PointDoubleManual1">
    <w:name w:val="Point Double Manual (1)"/>
    <w:basedOn w:val="Normal"/>
    <w:rsid w:val="00C05A0F"/>
    <w:pPr>
      <w:tabs>
        <w:tab w:val="left" w:pos="1134"/>
      </w:tabs>
      <w:spacing w:before="120" w:after="120" w:line="360" w:lineRule="auto"/>
      <w:ind w:left="1701" w:hanging="1134"/>
    </w:pPr>
    <w:rPr>
      <w:rFonts w:ascii="Times New Roman" w:eastAsiaTheme="minorHAnsi" w:hAnsi="Times New Roman"/>
      <w:sz w:val="24"/>
    </w:rPr>
  </w:style>
  <w:style w:type="paragraph" w:customStyle="1" w:styleId="PointDoubleManual2">
    <w:name w:val="Point Double Manual (2)"/>
    <w:basedOn w:val="Normal"/>
    <w:rsid w:val="00C05A0F"/>
    <w:pPr>
      <w:tabs>
        <w:tab w:val="left" w:pos="1701"/>
      </w:tabs>
      <w:spacing w:before="120" w:after="120" w:line="360" w:lineRule="auto"/>
      <w:ind w:left="2268" w:hanging="1134"/>
    </w:pPr>
    <w:rPr>
      <w:rFonts w:ascii="Times New Roman" w:eastAsiaTheme="minorHAnsi" w:hAnsi="Times New Roman"/>
      <w:sz w:val="24"/>
    </w:rPr>
  </w:style>
  <w:style w:type="paragraph" w:customStyle="1" w:styleId="PointDoubleManual3">
    <w:name w:val="Point Double Manual (3)"/>
    <w:basedOn w:val="Normal"/>
    <w:rsid w:val="00C05A0F"/>
    <w:pPr>
      <w:tabs>
        <w:tab w:val="left" w:pos="2268"/>
      </w:tabs>
      <w:spacing w:before="120" w:after="120" w:line="360" w:lineRule="auto"/>
      <w:ind w:left="2835" w:hanging="1134"/>
    </w:pPr>
    <w:rPr>
      <w:rFonts w:ascii="Times New Roman" w:eastAsiaTheme="minorHAnsi" w:hAnsi="Times New Roman"/>
      <w:sz w:val="24"/>
    </w:rPr>
  </w:style>
  <w:style w:type="paragraph" w:customStyle="1" w:styleId="PointDoubleManual4">
    <w:name w:val="Point Double Manual (4)"/>
    <w:basedOn w:val="Normal"/>
    <w:rsid w:val="00C05A0F"/>
    <w:pPr>
      <w:tabs>
        <w:tab w:val="left" w:pos="2835"/>
      </w:tabs>
      <w:spacing w:before="120" w:after="120" w:line="360" w:lineRule="auto"/>
      <w:ind w:left="3402" w:hanging="1134"/>
    </w:pPr>
    <w:rPr>
      <w:rFonts w:ascii="Times New Roman" w:eastAsiaTheme="minorHAnsi" w:hAnsi="Times New Roman"/>
      <w:sz w:val="24"/>
    </w:rPr>
  </w:style>
  <w:style w:type="paragraph" w:customStyle="1" w:styleId="Pointabc">
    <w:name w:val="Point abc"/>
    <w:basedOn w:val="Normal"/>
    <w:rsid w:val="00C05A0F"/>
    <w:pPr>
      <w:numPr>
        <w:ilvl w:val="1"/>
        <w:numId w:val="17"/>
      </w:numPr>
      <w:spacing w:before="120" w:after="120" w:line="360" w:lineRule="auto"/>
    </w:pPr>
    <w:rPr>
      <w:rFonts w:ascii="Times New Roman" w:eastAsiaTheme="minorHAnsi" w:hAnsi="Times New Roman"/>
      <w:sz w:val="24"/>
    </w:rPr>
  </w:style>
  <w:style w:type="paragraph" w:customStyle="1" w:styleId="Pointabc1">
    <w:name w:val="Point abc (1)"/>
    <w:basedOn w:val="Normal"/>
    <w:rsid w:val="00C05A0F"/>
    <w:pPr>
      <w:numPr>
        <w:ilvl w:val="3"/>
        <w:numId w:val="17"/>
      </w:numPr>
      <w:spacing w:before="120" w:after="120" w:line="360" w:lineRule="auto"/>
    </w:pPr>
    <w:rPr>
      <w:rFonts w:ascii="Times New Roman" w:eastAsiaTheme="minorHAnsi" w:hAnsi="Times New Roman"/>
      <w:sz w:val="24"/>
    </w:rPr>
  </w:style>
  <w:style w:type="paragraph" w:customStyle="1" w:styleId="Pointabc2">
    <w:name w:val="Point abc (2)"/>
    <w:basedOn w:val="Normal"/>
    <w:rsid w:val="00C05A0F"/>
    <w:pPr>
      <w:numPr>
        <w:ilvl w:val="5"/>
        <w:numId w:val="17"/>
      </w:numPr>
      <w:spacing w:before="120" w:after="120" w:line="360" w:lineRule="auto"/>
    </w:pPr>
    <w:rPr>
      <w:rFonts w:ascii="Times New Roman" w:eastAsiaTheme="minorHAnsi" w:hAnsi="Times New Roman"/>
      <w:sz w:val="24"/>
    </w:rPr>
  </w:style>
  <w:style w:type="paragraph" w:customStyle="1" w:styleId="Pointabc3">
    <w:name w:val="Point abc (3)"/>
    <w:basedOn w:val="Normal"/>
    <w:rsid w:val="00C05A0F"/>
    <w:pPr>
      <w:numPr>
        <w:ilvl w:val="7"/>
        <w:numId w:val="17"/>
      </w:numPr>
      <w:spacing w:before="120" w:after="120" w:line="360" w:lineRule="auto"/>
    </w:pPr>
    <w:rPr>
      <w:rFonts w:ascii="Times New Roman" w:eastAsiaTheme="minorHAnsi" w:hAnsi="Times New Roman"/>
      <w:sz w:val="24"/>
    </w:rPr>
  </w:style>
  <w:style w:type="paragraph" w:customStyle="1" w:styleId="Pointabc4">
    <w:name w:val="Point abc (4)"/>
    <w:basedOn w:val="Normal"/>
    <w:rsid w:val="00C05A0F"/>
    <w:pPr>
      <w:numPr>
        <w:ilvl w:val="8"/>
        <w:numId w:val="17"/>
      </w:numPr>
      <w:spacing w:before="120" w:after="120" w:line="360" w:lineRule="auto"/>
    </w:pPr>
    <w:rPr>
      <w:rFonts w:ascii="Times New Roman" w:eastAsiaTheme="minorHAnsi" w:hAnsi="Times New Roman"/>
      <w:sz w:val="24"/>
    </w:rPr>
  </w:style>
  <w:style w:type="paragraph" w:customStyle="1" w:styleId="Point123">
    <w:name w:val="Point 123"/>
    <w:basedOn w:val="Normal"/>
    <w:rsid w:val="00C05A0F"/>
    <w:pPr>
      <w:numPr>
        <w:numId w:val="17"/>
      </w:numPr>
      <w:spacing w:before="120" w:after="120" w:line="360" w:lineRule="auto"/>
    </w:pPr>
    <w:rPr>
      <w:rFonts w:ascii="Times New Roman" w:eastAsiaTheme="minorHAnsi" w:hAnsi="Times New Roman"/>
      <w:sz w:val="24"/>
    </w:rPr>
  </w:style>
  <w:style w:type="paragraph" w:customStyle="1" w:styleId="Point1231">
    <w:name w:val="Point 123 (1)"/>
    <w:basedOn w:val="Normal"/>
    <w:rsid w:val="00C05A0F"/>
    <w:pPr>
      <w:numPr>
        <w:ilvl w:val="2"/>
        <w:numId w:val="17"/>
      </w:numPr>
      <w:spacing w:before="120" w:after="120" w:line="360" w:lineRule="auto"/>
    </w:pPr>
    <w:rPr>
      <w:rFonts w:ascii="Times New Roman" w:eastAsiaTheme="minorHAnsi" w:hAnsi="Times New Roman"/>
      <w:sz w:val="24"/>
    </w:rPr>
  </w:style>
  <w:style w:type="paragraph" w:customStyle="1" w:styleId="Point1232">
    <w:name w:val="Point 123 (2)"/>
    <w:basedOn w:val="Normal"/>
    <w:rsid w:val="00C05A0F"/>
    <w:pPr>
      <w:numPr>
        <w:ilvl w:val="4"/>
        <w:numId w:val="17"/>
      </w:numPr>
      <w:spacing w:before="120" w:after="120" w:line="360" w:lineRule="auto"/>
    </w:pPr>
    <w:rPr>
      <w:rFonts w:ascii="Times New Roman" w:eastAsiaTheme="minorHAnsi" w:hAnsi="Times New Roman"/>
      <w:sz w:val="24"/>
    </w:rPr>
  </w:style>
  <w:style w:type="paragraph" w:customStyle="1" w:styleId="Point1233">
    <w:name w:val="Point 123 (3)"/>
    <w:basedOn w:val="Normal"/>
    <w:rsid w:val="00C05A0F"/>
    <w:pPr>
      <w:numPr>
        <w:ilvl w:val="6"/>
        <w:numId w:val="17"/>
      </w:numPr>
      <w:spacing w:before="120" w:after="120" w:line="360" w:lineRule="auto"/>
    </w:pPr>
    <w:rPr>
      <w:rFonts w:ascii="Times New Roman" w:eastAsiaTheme="minorHAnsi" w:hAnsi="Times New Roman"/>
      <w:sz w:val="24"/>
    </w:rPr>
  </w:style>
  <w:style w:type="paragraph" w:customStyle="1" w:styleId="Pointivx">
    <w:name w:val="Point ivx"/>
    <w:basedOn w:val="Normal"/>
    <w:rsid w:val="00C05A0F"/>
    <w:pPr>
      <w:numPr>
        <w:numId w:val="18"/>
      </w:numPr>
      <w:spacing w:before="120" w:after="120" w:line="360" w:lineRule="auto"/>
    </w:pPr>
    <w:rPr>
      <w:rFonts w:ascii="Times New Roman" w:eastAsiaTheme="minorHAnsi" w:hAnsi="Times New Roman"/>
      <w:sz w:val="24"/>
    </w:rPr>
  </w:style>
  <w:style w:type="paragraph" w:customStyle="1" w:styleId="Pointivx1">
    <w:name w:val="Point ivx (1)"/>
    <w:basedOn w:val="Normal"/>
    <w:rsid w:val="00C05A0F"/>
    <w:pPr>
      <w:numPr>
        <w:ilvl w:val="1"/>
        <w:numId w:val="18"/>
      </w:numPr>
      <w:spacing w:before="120" w:after="120" w:line="360" w:lineRule="auto"/>
    </w:pPr>
    <w:rPr>
      <w:rFonts w:ascii="Times New Roman" w:eastAsiaTheme="minorHAnsi" w:hAnsi="Times New Roman"/>
      <w:sz w:val="24"/>
    </w:rPr>
  </w:style>
  <w:style w:type="paragraph" w:customStyle="1" w:styleId="Pointivx2">
    <w:name w:val="Point ivx (2)"/>
    <w:basedOn w:val="Normal"/>
    <w:rsid w:val="00C05A0F"/>
    <w:pPr>
      <w:numPr>
        <w:ilvl w:val="2"/>
        <w:numId w:val="18"/>
      </w:numPr>
      <w:spacing w:before="120" w:after="120" w:line="360" w:lineRule="auto"/>
    </w:pPr>
    <w:rPr>
      <w:rFonts w:ascii="Times New Roman" w:eastAsiaTheme="minorHAnsi" w:hAnsi="Times New Roman"/>
      <w:sz w:val="24"/>
    </w:rPr>
  </w:style>
  <w:style w:type="paragraph" w:customStyle="1" w:styleId="Pointivx3">
    <w:name w:val="Point ivx (3)"/>
    <w:basedOn w:val="Normal"/>
    <w:rsid w:val="00C05A0F"/>
    <w:pPr>
      <w:numPr>
        <w:ilvl w:val="3"/>
        <w:numId w:val="18"/>
      </w:numPr>
      <w:spacing w:before="120" w:after="120" w:line="360" w:lineRule="auto"/>
    </w:pPr>
    <w:rPr>
      <w:rFonts w:ascii="Times New Roman" w:eastAsiaTheme="minorHAnsi" w:hAnsi="Times New Roman"/>
      <w:sz w:val="24"/>
    </w:rPr>
  </w:style>
  <w:style w:type="paragraph" w:customStyle="1" w:styleId="Pointivx4">
    <w:name w:val="Point ivx (4)"/>
    <w:basedOn w:val="Normal"/>
    <w:rsid w:val="00C05A0F"/>
    <w:pPr>
      <w:numPr>
        <w:ilvl w:val="4"/>
        <w:numId w:val="18"/>
      </w:numPr>
      <w:spacing w:before="120" w:after="120" w:line="360" w:lineRule="auto"/>
    </w:pPr>
    <w:rPr>
      <w:rFonts w:ascii="Times New Roman" w:eastAsiaTheme="minorHAnsi" w:hAnsi="Times New Roman"/>
      <w:sz w:val="24"/>
    </w:rPr>
  </w:style>
  <w:style w:type="paragraph" w:customStyle="1" w:styleId="Bullet">
    <w:name w:val="Bullet"/>
    <w:basedOn w:val="Normal"/>
    <w:rsid w:val="00C05A0F"/>
    <w:pPr>
      <w:numPr>
        <w:numId w:val="12"/>
      </w:numPr>
      <w:spacing w:before="120" w:after="120" w:line="360" w:lineRule="auto"/>
    </w:pPr>
    <w:rPr>
      <w:rFonts w:ascii="Times New Roman" w:eastAsiaTheme="minorHAnsi" w:hAnsi="Times New Roman"/>
      <w:sz w:val="24"/>
    </w:rPr>
  </w:style>
  <w:style w:type="paragraph" w:customStyle="1" w:styleId="Bullet2">
    <w:name w:val="Bullet 2"/>
    <w:basedOn w:val="Normal"/>
    <w:rsid w:val="00C05A0F"/>
    <w:pPr>
      <w:numPr>
        <w:numId w:val="14"/>
      </w:numPr>
      <w:spacing w:before="120" w:after="120" w:line="360" w:lineRule="auto"/>
    </w:pPr>
    <w:rPr>
      <w:rFonts w:ascii="Times New Roman" w:eastAsiaTheme="minorHAnsi" w:hAnsi="Times New Roman"/>
      <w:sz w:val="24"/>
    </w:rPr>
  </w:style>
  <w:style w:type="paragraph" w:customStyle="1" w:styleId="Bullet3">
    <w:name w:val="Bullet 3"/>
    <w:basedOn w:val="Normal"/>
    <w:rsid w:val="00C05A0F"/>
    <w:pPr>
      <w:numPr>
        <w:numId w:val="15"/>
      </w:numPr>
      <w:spacing w:before="120" w:after="120" w:line="360" w:lineRule="auto"/>
    </w:pPr>
    <w:rPr>
      <w:rFonts w:ascii="Times New Roman" w:eastAsiaTheme="minorHAnsi" w:hAnsi="Times New Roman"/>
      <w:sz w:val="24"/>
    </w:rPr>
  </w:style>
  <w:style w:type="paragraph" w:customStyle="1" w:styleId="Bullet4">
    <w:name w:val="Bullet 4"/>
    <w:basedOn w:val="Normal"/>
    <w:rsid w:val="00C05A0F"/>
    <w:pPr>
      <w:numPr>
        <w:numId w:val="16"/>
      </w:numPr>
      <w:spacing w:before="120" w:after="120" w:line="360" w:lineRule="auto"/>
    </w:pPr>
    <w:rPr>
      <w:rFonts w:ascii="Times New Roman" w:eastAsiaTheme="minorHAnsi" w:hAnsi="Times New Roman"/>
      <w:sz w:val="24"/>
    </w:rPr>
  </w:style>
  <w:style w:type="paragraph" w:customStyle="1" w:styleId="Dash">
    <w:name w:val="Dash"/>
    <w:basedOn w:val="Normal"/>
    <w:rsid w:val="00C05A0F"/>
    <w:pPr>
      <w:numPr>
        <w:numId w:val="2"/>
      </w:numPr>
      <w:spacing w:before="120" w:after="120" w:line="360" w:lineRule="auto"/>
    </w:pPr>
    <w:rPr>
      <w:rFonts w:ascii="Times New Roman" w:eastAsiaTheme="minorHAnsi" w:hAnsi="Times New Roman"/>
      <w:sz w:val="24"/>
    </w:rPr>
  </w:style>
  <w:style w:type="paragraph" w:customStyle="1" w:styleId="Dash1">
    <w:name w:val="Dash 1"/>
    <w:basedOn w:val="Normal"/>
    <w:rsid w:val="00C05A0F"/>
    <w:pPr>
      <w:numPr>
        <w:numId w:val="3"/>
      </w:numPr>
      <w:spacing w:before="120" w:after="120" w:line="360" w:lineRule="auto"/>
    </w:pPr>
    <w:rPr>
      <w:rFonts w:ascii="Times New Roman" w:eastAsiaTheme="minorHAnsi" w:hAnsi="Times New Roman"/>
      <w:sz w:val="24"/>
    </w:rPr>
  </w:style>
  <w:style w:type="paragraph" w:customStyle="1" w:styleId="Dash2">
    <w:name w:val="Dash 2"/>
    <w:basedOn w:val="Normal"/>
    <w:rsid w:val="00C05A0F"/>
    <w:pPr>
      <w:numPr>
        <w:numId w:val="4"/>
      </w:numPr>
      <w:spacing w:before="120" w:after="120" w:line="360" w:lineRule="auto"/>
    </w:pPr>
    <w:rPr>
      <w:rFonts w:ascii="Times New Roman" w:eastAsiaTheme="minorHAnsi" w:hAnsi="Times New Roman"/>
      <w:sz w:val="24"/>
    </w:rPr>
  </w:style>
  <w:style w:type="paragraph" w:customStyle="1" w:styleId="Dash3">
    <w:name w:val="Dash 3"/>
    <w:basedOn w:val="Normal"/>
    <w:rsid w:val="00C05A0F"/>
    <w:pPr>
      <w:numPr>
        <w:numId w:val="5"/>
      </w:numPr>
      <w:spacing w:before="120" w:after="120" w:line="360" w:lineRule="auto"/>
    </w:pPr>
    <w:rPr>
      <w:rFonts w:ascii="Times New Roman" w:eastAsiaTheme="minorHAnsi" w:hAnsi="Times New Roman"/>
      <w:sz w:val="24"/>
    </w:rPr>
  </w:style>
  <w:style w:type="paragraph" w:customStyle="1" w:styleId="Dash4">
    <w:name w:val="Dash 4"/>
    <w:basedOn w:val="Normal"/>
    <w:rsid w:val="00C05A0F"/>
    <w:pPr>
      <w:numPr>
        <w:numId w:val="6"/>
      </w:numPr>
      <w:spacing w:before="120" w:after="120" w:line="360" w:lineRule="auto"/>
    </w:pPr>
    <w:rPr>
      <w:rFonts w:ascii="Times New Roman" w:eastAsiaTheme="minorHAnsi" w:hAnsi="Times New Roman"/>
      <w:sz w:val="24"/>
    </w:rPr>
  </w:style>
  <w:style w:type="paragraph" w:customStyle="1" w:styleId="DashEqual">
    <w:name w:val="Dash Equal"/>
    <w:basedOn w:val="Dash"/>
    <w:rsid w:val="00C05A0F"/>
    <w:pPr>
      <w:numPr>
        <w:numId w:val="7"/>
      </w:numPr>
    </w:pPr>
  </w:style>
  <w:style w:type="paragraph" w:customStyle="1" w:styleId="DashEqual1">
    <w:name w:val="Dash Equal 1"/>
    <w:basedOn w:val="Dash1"/>
    <w:rsid w:val="00C05A0F"/>
    <w:pPr>
      <w:numPr>
        <w:numId w:val="8"/>
      </w:numPr>
    </w:pPr>
  </w:style>
  <w:style w:type="paragraph" w:customStyle="1" w:styleId="DashEqual2">
    <w:name w:val="Dash Equal 2"/>
    <w:basedOn w:val="Dash2"/>
    <w:rsid w:val="00C05A0F"/>
    <w:pPr>
      <w:numPr>
        <w:numId w:val="9"/>
      </w:numPr>
    </w:pPr>
  </w:style>
  <w:style w:type="paragraph" w:customStyle="1" w:styleId="DashEqual3">
    <w:name w:val="Dash Equal 3"/>
    <w:basedOn w:val="Dash3"/>
    <w:rsid w:val="00C05A0F"/>
    <w:pPr>
      <w:numPr>
        <w:numId w:val="10"/>
      </w:numPr>
    </w:pPr>
  </w:style>
  <w:style w:type="paragraph" w:customStyle="1" w:styleId="DashEqual4">
    <w:name w:val="Dash Equal 4"/>
    <w:basedOn w:val="Dash4"/>
    <w:rsid w:val="00C05A0F"/>
    <w:pPr>
      <w:numPr>
        <w:numId w:val="11"/>
      </w:numPr>
    </w:pPr>
  </w:style>
  <w:style w:type="character" w:customStyle="1" w:styleId="Marker">
    <w:name w:val="Marker"/>
    <w:basedOn w:val="DefaultParagraphFont"/>
    <w:rsid w:val="00C05A0F"/>
    <w:rPr>
      <w:color w:val="0000FF"/>
      <w:shd w:val="clear" w:color="auto" w:fill="auto"/>
    </w:rPr>
  </w:style>
  <w:style w:type="character" w:customStyle="1" w:styleId="Marker1">
    <w:name w:val="Marker1"/>
    <w:basedOn w:val="DefaultParagraphFont"/>
    <w:rsid w:val="00C05A0F"/>
    <w:rPr>
      <w:color w:val="008000"/>
      <w:shd w:val="clear" w:color="auto" w:fill="auto"/>
    </w:rPr>
  </w:style>
  <w:style w:type="paragraph" w:customStyle="1" w:styleId="HeadingLeft">
    <w:name w:val="Heading Left"/>
    <w:basedOn w:val="Normal"/>
    <w:next w:val="Normal"/>
    <w:rsid w:val="00C05A0F"/>
    <w:pPr>
      <w:spacing w:before="360" w:after="120" w:line="360" w:lineRule="auto"/>
      <w:outlineLvl w:val="0"/>
    </w:pPr>
    <w:rPr>
      <w:rFonts w:ascii="Times New Roman" w:eastAsiaTheme="minorHAnsi" w:hAnsi="Times New Roman"/>
      <w:b/>
      <w:caps/>
      <w:sz w:val="24"/>
      <w:u w:val="single"/>
    </w:rPr>
  </w:style>
  <w:style w:type="paragraph" w:customStyle="1" w:styleId="HeadingIVX">
    <w:name w:val="Heading IVX"/>
    <w:basedOn w:val="HeadingLeft"/>
    <w:next w:val="Normal"/>
    <w:rsid w:val="00C05A0F"/>
    <w:pPr>
      <w:numPr>
        <w:numId w:val="21"/>
      </w:numPr>
    </w:pPr>
  </w:style>
  <w:style w:type="paragraph" w:customStyle="1" w:styleId="Heading123">
    <w:name w:val="Heading 123"/>
    <w:basedOn w:val="HeadingLeft"/>
    <w:next w:val="Normal"/>
    <w:rsid w:val="00C05A0F"/>
    <w:pPr>
      <w:numPr>
        <w:numId w:val="20"/>
      </w:numPr>
    </w:pPr>
  </w:style>
  <w:style w:type="paragraph" w:customStyle="1" w:styleId="HeadingABC">
    <w:name w:val="Heading ABC"/>
    <w:basedOn w:val="HeadingLeft"/>
    <w:next w:val="Normal"/>
    <w:rsid w:val="00C05A0F"/>
    <w:pPr>
      <w:numPr>
        <w:numId w:val="19"/>
      </w:numPr>
    </w:pPr>
  </w:style>
  <w:style w:type="paragraph" w:customStyle="1" w:styleId="HeadingCentered">
    <w:name w:val="Heading Centered"/>
    <w:basedOn w:val="HeadingLeft"/>
    <w:next w:val="Normal"/>
    <w:rsid w:val="00C05A0F"/>
    <w:pPr>
      <w:jc w:val="center"/>
    </w:pPr>
  </w:style>
  <w:style w:type="paragraph" w:customStyle="1" w:styleId="Jardin">
    <w:name w:val="Jardin"/>
    <w:basedOn w:val="Normal"/>
    <w:rsid w:val="00C05A0F"/>
    <w:pPr>
      <w:spacing w:before="200"/>
      <w:jc w:val="center"/>
    </w:pPr>
    <w:rPr>
      <w:rFonts w:ascii="Times New Roman" w:eastAsiaTheme="minorHAnsi" w:hAnsi="Times New Roman"/>
      <w:sz w:val="24"/>
    </w:rPr>
  </w:style>
  <w:style w:type="paragraph" w:customStyle="1" w:styleId="Amendment">
    <w:name w:val="Amendment"/>
    <w:basedOn w:val="Normal"/>
    <w:next w:val="Normal"/>
    <w:rsid w:val="00C05A0F"/>
    <w:pPr>
      <w:spacing w:before="120" w:after="120" w:line="360" w:lineRule="auto"/>
    </w:pPr>
    <w:rPr>
      <w:rFonts w:ascii="Times New Roman" w:eastAsiaTheme="minorHAnsi" w:hAnsi="Times New Roman"/>
      <w:i/>
      <w:sz w:val="24"/>
      <w:u w:val="single"/>
    </w:rPr>
  </w:style>
  <w:style w:type="paragraph" w:customStyle="1" w:styleId="AmendmentList">
    <w:name w:val="Amendment List"/>
    <w:basedOn w:val="Normal"/>
    <w:rsid w:val="00C05A0F"/>
    <w:pPr>
      <w:spacing w:before="120" w:after="120" w:line="360" w:lineRule="auto"/>
      <w:ind w:left="2268" w:hanging="2268"/>
    </w:pPr>
    <w:rPr>
      <w:rFonts w:ascii="Times New Roman" w:eastAsiaTheme="minorHAnsi" w:hAnsi="Times New Roman"/>
      <w:sz w:val="24"/>
    </w:rPr>
  </w:style>
  <w:style w:type="paragraph" w:customStyle="1" w:styleId="ReplyRE">
    <w:name w:val="Reply RE"/>
    <w:basedOn w:val="Normal"/>
    <w:next w:val="Normal"/>
    <w:rsid w:val="00C05A0F"/>
    <w:pPr>
      <w:spacing w:before="120" w:after="480"/>
      <w:contextualSpacing/>
    </w:pPr>
    <w:rPr>
      <w:rFonts w:ascii="Times New Roman" w:eastAsiaTheme="minorHAnsi" w:hAnsi="Times New Roman"/>
      <w:sz w:val="24"/>
    </w:rPr>
  </w:style>
  <w:style w:type="paragraph" w:customStyle="1" w:styleId="ReplyBold">
    <w:name w:val="Reply Bold"/>
    <w:basedOn w:val="ReplyRE"/>
    <w:next w:val="Normal"/>
    <w:rsid w:val="00C05A0F"/>
    <w:rPr>
      <w:b/>
    </w:rPr>
  </w:style>
  <w:style w:type="paragraph" w:customStyle="1" w:styleId="Annex">
    <w:name w:val="Annex"/>
    <w:basedOn w:val="Normal"/>
    <w:next w:val="Normal"/>
    <w:rsid w:val="00C05A0F"/>
    <w:pPr>
      <w:spacing w:before="120" w:after="120" w:line="360" w:lineRule="auto"/>
      <w:jc w:val="right"/>
    </w:pPr>
    <w:rPr>
      <w:rFonts w:ascii="Times New Roman" w:eastAsiaTheme="minorHAnsi" w:hAnsi="Times New Roman"/>
      <w:b/>
      <w:sz w:val="24"/>
      <w:u w:val="single"/>
    </w:rPr>
  </w:style>
  <w:style w:type="paragraph" w:customStyle="1" w:styleId="Sign">
    <w:name w:val="Sign"/>
    <w:basedOn w:val="Normal"/>
    <w:rsid w:val="00C05A0F"/>
    <w:pPr>
      <w:tabs>
        <w:tab w:val="center" w:pos="7087"/>
      </w:tabs>
      <w:spacing w:before="120" w:after="120" w:line="360" w:lineRule="auto"/>
      <w:contextualSpacing/>
    </w:pPr>
    <w:rPr>
      <w:rFonts w:ascii="Times New Roman" w:eastAsiaTheme="minorHAnsi" w:hAnsi="Times New Roman"/>
      <w:sz w:val="24"/>
    </w:rPr>
  </w:style>
  <w:style w:type="paragraph" w:customStyle="1" w:styleId="NotDeclassified">
    <w:name w:val="Not Declassified"/>
    <w:basedOn w:val="Normal"/>
    <w:next w:val="Normal"/>
    <w:rsid w:val="00C05A0F"/>
    <w:pPr>
      <w:spacing w:before="120" w:after="120" w:line="360" w:lineRule="auto"/>
    </w:pPr>
    <w:rPr>
      <w:rFonts w:ascii="Times New Roman" w:eastAsiaTheme="minorHAnsi" w:hAnsi="Times New Roman"/>
      <w:b/>
      <w:sz w:val="24"/>
      <w:shd w:val="clear" w:color="auto" w:fill="CCCCCC"/>
    </w:rPr>
  </w:style>
  <w:style w:type="character" w:customStyle="1" w:styleId="NotDeclassifiedCharacter">
    <w:name w:val="Not Declassified Character"/>
    <w:basedOn w:val="DefaultParagraphFont"/>
    <w:rsid w:val="00C05A0F"/>
    <w:rPr>
      <w:rFonts w:ascii="Times New Roman" w:hAnsi="Times New Roman" w:cs="Times New Roman"/>
      <w:b/>
      <w:sz w:val="24"/>
      <w:shd w:val="clear" w:color="auto" w:fill="CCCCCC"/>
    </w:rPr>
  </w:style>
  <w:style w:type="paragraph" w:customStyle="1" w:styleId="NormalCompact">
    <w:name w:val="Normal Compact"/>
    <w:basedOn w:val="Normal"/>
    <w:next w:val="Normal"/>
    <w:rsid w:val="00C05A0F"/>
    <w:pPr>
      <w:spacing w:before="120" w:after="120"/>
    </w:pPr>
    <w:rPr>
      <w:rFonts w:ascii="Times New Roman" w:eastAsiaTheme="minorHAnsi" w:hAnsi="Times New Roman"/>
      <w:sz w:val="24"/>
    </w:rPr>
  </w:style>
  <w:style w:type="paragraph" w:styleId="EndnoteText">
    <w:name w:val="endnote text"/>
    <w:basedOn w:val="Normal"/>
    <w:link w:val="EndnoteTextChar"/>
    <w:uiPriority w:val="99"/>
    <w:semiHidden/>
    <w:unhideWhenUsed/>
    <w:rsid w:val="00C05A0F"/>
    <w:rPr>
      <w:rFonts w:ascii="Times New Roman" w:eastAsiaTheme="minorHAnsi" w:hAnsi="Times New Roman"/>
      <w:szCs w:val="20"/>
    </w:rPr>
  </w:style>
  <w:style w:type="character" w:customStyle="1" w:styleId="EndnoteTextChar">
    <w:name w:val="Endnote Text Char"/>
    <w:basedOn w:val="DefaultParagraphFont"/>
    <w:link w:val="EndnoteText"/>
    <w:uiPriority w:val="99"/>
    <w:semiHidden/>
    <w:rsid w:val="00C05A0F"/>
    <w:rPr>
      <w:rFonts w:ascii="Times New Roman" w:eastAsiaTheme="minorHAnsi" w:hAnsi="Times New Roman"/>
      <w:lang w:eastAsia="en-US"/>
    </w:rPr>
  </w:style>
  <w:style w:type="character" w:styleId="EndnoteReference">
    <w:name w:val="endnote reference"/>
    <w:basedOn w:val="DefaultParagraphFont"/>
    <w:uiPriority w:val="99"/>
    <w:semiHidden/>
    <w:unhideWhenUsed/>
    <w:rsid w:val="00C05A0F"/>
    <w:rPr>
      <w:vertAlign w:val="superscript"/>
    </w:rPr>
  </w:style>
  <w:style w:type="paragraph" w:customStyle="1" w:styleId="HeaderCouncilLarge">
    <w:name w:val="Header Council Large"/>
    <w:basedOn w:val="Normal"/>
    <w:link w:val="HeaderCouncilLargeChar"/>
    <w:rsid w:val="00C05A0F"/>
    <w:pPr>
      <w:spacing w:after="440" w:line="360" w:lineRule="auto"/>
      <w:ind w:left="-1134" w:right="-1134"/>
    </w:pPr>
    <w:rPr>
      <w:rFonts w:ascii="Times New Roman" w:eastAsiaTheme="minorHAnsi" w:hAnsi="Times New Roman"/>
      <w:sz w:val="2"/>
    </w:rPr>
  </w:style>
  <w:style w:type="character" w:customStyle="1" w:styleId="TechnicalBlockChar">
    <w:name w:val="Technical Block Char"/>
    <w:basedOn w:val="DefaultParagraphFont"/>
    <w:link w:val="TechnicalBlock"/>
    <w:rsid w:val="00C05A0F"/>
    <w:rPr>
      <w:rFonts w:ascii="Times New Roman" w:eastAsiaTheme="minorHAnsi" w:hAnsi="Times New Roman"/>
      <w:sz w:val="24"/>
      <w:szCs w:val="22"/>
      <w:lang w:eastAsia="en-US"/>
    </w:rPr>
  </w:style>
  <w:style w:type="character" w:customStyle="1" w:styleId="HeaderCouncilLargeChar">
    <w:name w:val="Header Council Large Char"/>
    <w:basedOn w:val="TechnicalBlockChar"/>
    <w:link w:val="HeaderCouncilLarge"/>
    <w:rsid w:val="00C05A0F"/>
    <w:rPr>
      <w:rFonts w:ascii="Times New Roman" w:eastAsiaTheme="minorHAnsi" w:hAnsi="Times New Roman"/>
      <w:sz w:val="2"/>
      <w:szCs w:val="22"/>
      <w:lang w:eastAsia="en-US"/>
    </w:rPr>
  </w:style>
  <w:style w:type="paragraph" w:customStyle="1" w:styleId="FooterText">
    <w:name w:val="Footer Text"/>
    <w:basedOn w:val="Normal"/>
    <w:rsid w:val="00C05A0F"/>
    <w:rPr>
      <w:rFonts w:ascii="Times New Roman" w:eastAsia="Times New Roman" w:hAnsi="Times New Roman"/>
      <w:sz w:val="24"/>
      <w:szCs w:val="24"/>
    </w:rPr>
  </w:style>
  <w:style w:type="character" w:styleId="PlaceholderText">
    <w:name w:val="Placeholder Text"/>
    <w:basedOn w:val="DefaultParagraphFont"/>
    <w:uiPriority w:val="99"/>
    <w:semiHidden/>
    <w:rsid w:val="00C05A0F"/>
    <w:rPr>
      <w:color w:val="808080"/>
    </w:rPr>
  </w:style>
  <w:style w:type="paragraph" w:customStyle="1" w:styleId="HeaderFooter">
    <w:name w:val="Header &amp; Footer"/>
    <w:rsid w:val="00C05A0F"/>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C05A0F"/>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C05A0F"/>
    <w:pPr>
      <w:numPr>
        <w:numId w:val="22"/>
      </w:numPr>
    </w:pPr>
  </w:style>
  <w:style w:type="numbering" w:customStyle="1" w:styleId="ImportedStyle2">
    <w:name w:val="Imported Style 2"/>
    <w:rsid w:val="00C05A0F"/>
    <w:pPr>
      <w:numPr>
        <w:numId w:val="24"/>
      </w:numPr>
    </w:pPr>
  </w:style>
  <w:style w:type="numbering" w:customStyle="1" w:styleId="ImportedStyle3">
    <w:name w:val="Imported Style 3"/>
    <w:rsid w:val="00C05A0F"/>
    <w:pPr>
      <w:numPr>
        <w:numId w:val="26"/>
      </w:numPr>
    </w:pPr>
  </w:style>
  <w:style w:type="numbering" w:customStyle="1" w:styleId="ImportedStyle4">
    <w:name w:val="Imported Style 4"/>
    <w:rsid w:val="00C05A0F"/>
    <w:pPr>
      <w:numPr>
        <w:numId w:val="28"/>
      </w:numPr>
    </w:pPr>
  </w:style>
  <w:style w:type="character" w:customStyle="1" w:styleId="Link">
    <w:name w:val="Link"/>
    <w:rsid w:val="00C05A0F"/>
    <w:rPr>
      <w:color w:val="000000"/>
      <w:u w:val="none" w:color="000000"/>
      <w14:textOutline w14:w="0" w14:cap="rnd" w14:cmpd="sng" w14:algn="ctr">
        <w14:noFill/>
        <w14:prstDash w14:val="solid"/>
        <w14:bevel/>
      </w14:textOutline>
    </w:rPr>
  </w:style>
  <w:style w:type="character" w:customStyle="1" w:styleId="Hyperlink0">
    <w:name w:val="Hyperlink.0"/>
    <w:basedOn w:val="Link"/>
    <w:rsid w:val="00C05A0F"/>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C05A0F"/>
    <w:pPr>
      <w:numPr>
        <w:numId w:val="31"/>
      </w:numPr>
    </w:pPr>
  </w:style>
  <w:style w:type="character" w:customStyle="1" w:styleId="ecl-linklabel">
    <w:name w:val="ecl-link__label"/>
    <w:basedOn w:val="DefaultParagraphFont"/>
    <w:rsid w:val="00C05A0F"/>
  </w:style>
  <w:style w:type="paragraph" w:customStyle="1" w:styleId="oj-normal">
    <w:name w:val="oj-normal"/>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styleId="Emphasis">
    <w:name w:val="Emphasis"/>
    <w:basedOn w:val="DefaultParagraphFont"/>
    <w:uiPriority w:val="20"/>
    <w:qFormat/>
    <w:rsid w:val="00C05A0F"/>
    <w:rPr>
      <w:i/>
      <w:iCs/>
    </w:rPr>
  </w:style>
  <w:style w:type="character" w:customStyle="1" w:styleId="italic">
    <w:name w:val="italic"/>
    <w:basedOn w:val="DefaultParagraphFont"/>
    <w:rsid w:val="00C05A0F"/>
  </w:style>
  <w:style w:type="character" w:customStyle="1" w:styleId="sup">
    <w:name w:val="sup"/>
    <w:basedOn w:val="DefaultParagraphFont"/>
    <w:rsid w:val="00C05A0F"/>
  </w:style>
  <w:style w:type="paragraph" w:customStyle="1" w:styleId="Normal1">
    <w:name w:val="Normal1"/>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oj-sub">
    <w:name w:val="oj-sub"/>
    <w:basedOn w:val="DefaultParagraphFont"/>
    <w:rsid w:val="00C05A0F"/>
  </w:style>
  <w:style w:type="paragraph" w:customStyle="1" w:styleId="norm">
    <w:name w:val="norm"/>
    <w:basedOn w:val="Normal"/>
    <w:rsid w:val="00C05A0F"/>
    <w:pPr>
      <w:spacing w:before="100" w:beforeAutospacing="1" w:after="100" w:afterAutospacing="1"/>
    </w:pPr>
    <w:rPr>
      <w:rFonts w:ascii="Times New Roman" w:eastAsia="Times New Roman" w:hAnsi="Times New Roman"/>
      <w:sz w:val="24"/>
      <w:szCs w:val="24"/>
      <w:lang w:val="fr-FR" w:eastAsia="fr-FR"/>
    </w:rPr>
  </w:style>
  <w:style w:type="paragraph" w:customStyle="1" w:styleId="oj-sti-art">
    <w:name w:val="oj-sti-art"/>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italics">
    <w:name w:val="italics"/>
    <w:basedOn w:val="DefaultParagraphFont"/>
    <w:rsid w:val="00C05A0F"/>
  </w:style>
  <w:style w:type="character" w:customStyle="1" w:styleId="A1">
    <w:name w:val="A1"/>
    <w:uiPriority w:val="99"/>
    <w:rsid w:val="00C05A0F"/>
    <w:rPr>
      <w:rFonts w:cs="HelveticaNeueLT Pro 45 Lt"/>
      <w:color w:val="000000"/>
      <w:sz w:val="14"/>
      <w:szCs w:val="14"/>
    </w:rPr>
  </w:style>
  <w:style w:type="character" w:customStyle="1" w:styleId="cf21">
    <w:name w:val="cf21"/>
    <w:basedOn w:val="DefaultParagraphFont"/>
    <w:rsid w:val="00C05A0F"/>
    <w:rPr>
      <w:rFonts w:ascii="Segoe UI" w:hAnsi="Segoe UI" w:cs="Segoe UI" w:hint="default"/>
      <w:b/>
      <w:bCs/>
      <w:i/>
      <w:iCs/>
      <w:color w:val="FF0000"/>
      <w:sz w:val="18"/>
      <w:szCs w:val="18"/>
    </w:rPr>
  </w:style>
  <w:style w:type="paragraph" w:customStyle="1" w:styleId="EntText">
    <w:name w:val="EntText"/>
    <w:basedOn w:val="Normal"/>
    <w:rsid w:val="00C05A0F"/>
    <w:pPr>
      <w:spacing w:before="120" w:after="120" w:line="360" w:lineRule="auto"/>
    </w:pPr>
    <w:rPr>
      <w:rFonts w:ascii="Times New Roman" w:eastAsiaTheme="minorHAnsi" w:hAnsi="Times New Roman"/>
      <w:sz w:val="24"/>
      <w:lang w:val="en-US"/>
    </w:rPr>
  </w:style>
  <w:style w:type="paragraph" w:customStyle="1" w:styleId="Lignefinal">
    <w:name w:val="Ligne final"/>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lang w:val="en-US"/>
    </w:rPr>
  </w:style>
  <w:style w:type="paragraph" w:customStyle="1" w:styleId="pj">
    <w:name w:val="p.j."/>
    <w:basedOn w:val="Normal"/>
    <w:link w:val="pjChar"/>
    <w:rsid w:val="00C05A0F"/>
    <w:pPr>
      <w:pBdr>
        <w:top w:val="nil"/>
        <w:left w:val="nil"/>
        <w:bottom w:val="nil"/>
        <w:right w:val="nil"/>
        <w:between w:val="nil"/>
        <w:bar w:val="nil"/>
      </w:pBdr>
      <w:spacing w:before="1200" w:after="120"/>
      <w:ind w:left="1440" w:hanging="1440"/>
    </w:pPr>
    <w:rPr>
      <w:rFonts w:ascii="Times New Roman" w:eastAsia="Arial Unicode MS" w:hAnsi="Times New Roman"/>
      <w:sz w:val="24"/>
      <w:szCs w:val="24"/>
      <w:bdr w:val="nil"/>
      <w:lang w:val="en-US"/>
    </w:rPr>
  </w:style>
  <w:style w:type="character" w:customStyle="1" w:styleId="pjChar">
    <w:name w:val="p.j. Char"/>
    <w:basedOn w:val="DefaultParagraphFont"/>
    <w:link w:val="pj"/>
    <w:rsid w:val="00C05A0F"/>
    <w:rPr>
      <w:rFonts w:ascii="Times New Roman" w:eastAsia="Arial Unicode MS" w:hAnsi="Times New Roman"/>
      <w:sz w:val="24"/>
      <w:szCs w:val="24"/>
      <w:bdr w:val="nil"/>
      <w:lang w:val="en-US" w:eastAsia="en-US"/>
    </w:rPr>
  </w:style>
  <w:style w:type="paragraph" w:customStyle="1" w:styleId="nbbordered">
    <w:name w:val="nb bordered"/>
    <w:basedOn w:val="Normal"/>
    <w:link w:val="nbborderedChar"/>
    <w:rsid w:val="00C05A0F"/>
    <w:pPr>
      <w:pBdr>
        <w:top w:val="single" w:sz="4" w:space="1" w:color="auto"/>
        <w:left w:val="single" w:sz="4" w:space="4" w:color="auto"/>
        <w:bottom w:val="single" w:sz="4" w:space="1" w:color="auto"/>
        <w:right w:val="single" w:sz="4" w:space="4" w:color="auto"/>
        <w:between w:val="single" w:sz="4" w:space="0" w:color="auto"/>
        <w:bar w:val="nil"/>
      </w:pBdr>
      <w:spacing w:after="160"/>
      <w:ind w:left="480" w:hanging="480"/>
    </w:pPr>
    <w:rPr>
      <w:rFonts w:ascii="Times New Roman" w:eastAsia="Arial Unicode MS" w:hAnsi="Times New Roman"/>
      <w:b/>
      <w:sz w:val="24"/>
      <w:szCs w:val="24"/>
      <w:bdr w:val="nil"/>
      <w:lang w:val="en-US"/>
    </w:rPr>
  </w:style>
  <w:style w:type="character" w:customStyle="1" w:styleId="nbborderedChar">
    <w:name w:val="nb bordered Char"/>
    <w:basedOn w:val="DefaultParagraphFont"/>
    <w:link w:val="nbbordered"/>
    <w:rsid w:val="00C05A0F"/>
    <w:rPr>
      <w:rFonts w:ascii="Times New Roman" w:eastAsia="Arial Unicode MS" w:hAnsi="Times New Roman"/>
      <w:b/>
      <w:sz w:val="24"/>
      <w:szCs w:val="24"/>
      <w:bdr w:val="nil"/>
      <w:lang w:val="en-US" w:eastAsia="en-US"/>
    </w:rPr>
  </w:style>
  <w:style w:type="character" w:customStyle="1" w:styleId="HeaderCouncilChar">
    <w:name w:val="Header Council Char"/>
    <w:basedOn w:val="DefaultParagraphFont"/>
    <w:link w:val="HeaderCouncil"/>
    <w:rsid w:val="00C05A0F"/>
    <w:rPr>
      <w:rFonts w:ascii="Times New Roman" w:eastAsiaTheme="minorHAnsi" w:hAnsi="Times New Roman"/>
      <w:sz w:val="2"/>
      <w:szCs w:val="22"/>
      <w:lang w:eastAsia="en-US"/>
    </w:rPr>
  </w:style>
  <w:style w:type="character" w:customStyle="1" w:styleId="FooterCouncilChar">
    <w:name w:val="Footer Council Char"/>
    <w:basedOn w:val="DefaultParagraphFont"/>
    <w:link w:val="FooterCouncil"/>
    <w:rsid w:val="00C05A0F"/>
    <w:rPr>
      <w:rFonts w:ascii="Times New Roman" w:eastAsiaTheme="minorHAnsi" w:hAnsi="Times New Roman"/>
      <w:sz w:val="2"/>
      <w:szCs w:val="22"/>
      <w:lang w:eastAsia="en-US"/>
    </w:rPr>
  </w:style>
  <w:style w:type="numbering" w:customStyle="1" w:styleId="NoList1">
    <w:name w:val="No List1"/>
    <w:next w:val="NoList"/>
    <w:uiPriority w:val="99"/>
    <w:semiHidden/>
    <w:unhideWhenUsed/>
    <w:rsid w:val="00C05A0F"/>
  </w:style>
  <w:style w:type="numbering" w:customStyle="1" w:styleId="ImportedStyle11">
    <w:name w:val="Imported Style 11"/>
    <w:rsid w:val="00C05A0F"/>
    <w:pPr>
      <w:numPr>
        <w:numId w:val="7"/>
      </w:numPr>
    </w:pPr>
  </w:style>
  <w:style w:type="numbering" w:customStyle="1" w:styleId="ImportedStyle21">
    <w:name w:val="Imported Style 21"/>
    <w:rsid w:val="00C05A0F"/>
    <w:pPr>
      <w:numPr>
        <w:numId w:val="9"/>
      </w:numPr>
    </w:pPr>
  </w:style>
  <w:style w:type="numbering" w:customStyle="1" w:styleId="ImportedStyle31">
    <w:name w:val="Imported Style 31"/>
    <w:rsid w:val="00C05A0F"/>
    <w:pPr>
      <w:numPr>
        <w:numId w:val="11"/>
      </w:numPr>
    </w:pPr>
  </w:style>
  <w:style w:type="numbering" w:customStyle="1" w:styleId="ImportedStyle41">
    <w:name w:val="Imported Style 41"/>
    <w:rsid w:val="00C05A0F"/>
    <w:pPr>
      <w:numPr>
        <w:numId w:val="13"/>
      </w:numPr>
    </w:pPr>
  </w:style>
  <w:style w:type="numbering" w:customStyle="1" w:styleId="ImportedStyle51">
    <w:name w:val="Imported Style 51"/>
    <w:rsid w:val="00C05A0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17</TotalTime>
  <Pages>8</Pages>
  <Words>5149</Words>
  <Characters>28325</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33408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19</cp:revision>
  <cp:lastPrinted>2025-01-27T13:35:00Z</cp:lastPrinted>
  <dcterms:created xsi:type="dcterms:W3CDTF">2025-01-15T10:17:00Z</dcterms:created>
  <dcterms:modified xsi:type="dcterms:W3CDTF">2025-02-04T08:54:00Z</dcterms:modified>
</cp:coreProperties>
</file>